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B5B1F" w14:textId="5511F67E"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1</w:t>
      </w:r>
    </w:p>
    <w:p w14:paraId="1FC39FC9" w14:textId="575914FD"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2ED5A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98918992" r:id="rId7"/>
        </w:object>
      </w:r>
    </w:p>
    <w:p w14:paraId="35B41F1B"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Hello everyone and welcome to this presentation. My name is Kayleigh Cowdery, and I am a youth work student currently pursuing my Level 6 degree at the University of Wales Trinity Saint David (UWTSD) in Carmarthen. Today, I will be critically exploring the multifaceted experiences of LGBTQ+ young people during the transformative years of adolescence. </w:t>
      </w:r>
    </w:p>
    <w:p w14:paraId="7BE0BE17" w14:textId="77777777" w:rsidR="002D790C" w:rsidRDefault="002D790C" w:rsidP="00A21D08">
      <w:pPr>
        <w:spacing w:line="480" w:lineRule="auto"/>
        <w:jc w:val="both"/>
        <w:rPr>
          <w:rFonts w:ascii="Times New Roman" w:hAnsi="Times New Roman" w:cs="Times New Roman"/>
          <w:sz w:val="24"/>
          <w:szCs w:val="24"/>
        </w:rPr>
      </w:pPr>
    </w:p>
    <w:p w14:paraId="336294AC" w14:textId="4E325481"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2</w:t>
      </w:r>
    </w:p>
    <w:p w14:paraId="3FFE90A7" w14:textId="18F10176"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50659A6C">
          <v:shape id="_x0000_i1026" type="#_x0000_t75" style="width:5in;height:202.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798918993" r:id="rId9"/>
        </w:object>
      </w:r>
    </w:p>
    <w:p w14:paraId="1BAAF7DD"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lastRenderedPageBreak/>
        <w:t xml:space="preserve">This presentation will delve into the unique challenges that LGBTQ+ adolescents face, particularly concerning adverse childhood experiences, commonly known as ACEs. Additionally, I will discuss the crucial role of youth work in supporting these individuals, proposing interventions that are proven to boost their health and well-being, ultimately building resilience and mitigating the long-term effects of adversity.  Throughout the presentation, I will link these discussions to the Youth Work National Occupational Standards (NOS) (CLD Standards Council Scotland, 2019) and other policies. </w:t>
      </w:r>
    </w:p>
    <w:p w14:paraId="4F4A9FBB" w14:textId="77777777" w:rsidR="002D790C" w:rsidRDefault="002D790C" w:rsidP="00A21D08">
      <w:pPr>
        <w:spacing w:line="480" w:lineRule="auto"/>
        <w:jc w:val="both"/>
        <w:rPr>
          <w:rFonts w:ascii="Times New Roman" w:hAnsi="Times New Roman" w:cs="Times New Roman"/>
          <w:b/>
          <w:bCs/>
          <w:sz w:val="24"/>
          <w:szCs w:val="24"/>
          <w:u w:val="single"/>
        </w:rPr>
      </w:pPr>
    </w:p>
    <w:p w14:paraId="75B450F0" w14:textId="77E96167"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3</w:t>
      </w:r>
    </w:p>
    <w:p w14:paraId="2835CF7B" w14:textId="0D7DEBB4"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5E292BA6">
          <v:shape id="_x0000_i1027" type="#_x0000_t75" style="width:5in;height:202.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798918994" r:id="rId11"/>
        </w:object>
      </w:r>
    </w:p>
    <w:p w14:paraId="113EACF2" w14:textId="77777777" w:rsid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To be effective in our roles as youth workers or professionals working with young people, it is essential to cultivate a deeper understanding of the LGBTQ+ community and its diverse spectrum. </w:t>
      </w:r>
      <w:r w:rsidRPr="00A21D08">
        <w:rPr>
          <w:rFonts w:ascii="Times New Roman" w:eastAsia="Times New Roman" w:hAnsi="Times New Roman" w:cs="Times New Roman"/>
          <w:color w:val="000000"/>
          <w:sz w:val="24"/>
          <w:szCs w:val="24"/>
        </w:rPr>
        <w:t xml:space="preserve">Research by Cullen and Meehan (2018) indicates </w:t>
      </w:r>
      <w:r w:rsidRPr="00A21D08">
        <w:rPr>
          <w:rFonts w:ascii="Times New Roman" w:eastAsia="Times New Roman" w:hAnsi="Times New Roman" w:cs="Times New Roman"/>
          <w:sz w:val="24"/>
          <w:szCs w:val="24"/>
        </w:rPr>
        <w:t xml:space="preserve">that young people are increasingly ‘coming out’ at younger ages. This trend has been facilitated by greater societal acceptance, the visibility of relatable LGBTQ+ role models in mainstream media, and increased access to information online (Cullen and Meehan, 2018). </w:t>
      </w:r>
    </w:p>
    <w:p w14:paraId="40D505CD"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2C7D8214" w14:textId="0C5A7851" w:rsid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lastRenderedPageBreak/>
        <w:t>It is important to acknowledge that the response of a youth worker to a young person coming out</w:t>
      </w:r>
      <w:r w:rsidR="00981686">
        <w:rPr>
          <w:rFonts w:ascii="Times New Roman" w:eastAsia="Times New Roman" w:hAnsi="Times New Roman" w:cs="Times New Roman"/>
          <w:sz w:val="24"/>
          <w:szCs w:val="24"/>
        </w:rPr>
        <w:t xml:space="preserve">, </w:t>
      </w:r>
      <w:r w:rsidRPr="00A21D08">
        <w:rPr>
          <w:rFonts w:ascii="Times New Roman" w:eastAsia="Times New Roman" w:hAnsi="Times New Roman" w:cs="Times New Roman"/>
          <w:sz w:val="24"/>
          <w:szCs w:val="24"/>
        </w:rPr>
        <w:t>can have significant consequences for that individual's experience, sense of self-worth, and overall mental health (Cullen and Meehan, 2018). Therefore, continually learning about LGBTQ+ issues is critical for creating a welcoming and supportive environment for all young people, regardless of whether they have publicly identified as LGBTQ+ or not. Cullen and Meehan (2018) state that every young person deserves a safe, inclusive space where they can receive empathetic support in their personal journeys.</w:t>
      </w:r>
    </w:p>
    <w:p w14:paraId="65F3FBA6"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This reflects youth work’s values of equity, diversity, and inclusion as outlined in the NOS (CLD Standards Council Scotland, 2019). It also supports the principle of continuous professional development as outlined by Sapin (2013). </w:t>
      </w:r>
    </w:p>
    <w:p w14:paraId="68914538" w14:textId="77777777" w:rsidR="00A21D08" w:rsidRDefault="00A21D08" w:rsidP="00A21D08">
      <w:pPr>
        <w:spacing w:line="480" w:lineRule="auto"/>
        <w:jc w:val="both"/>
        <w:rPr>
          <w:rFonts w:ascii="Times New Roman" w:hAnsi="Times New Roman" w:cs="Times New Roman"/>
          <w:sz w:val="24"/>
          <w:szCs w:val="24"/>
        </w:rPr>
      </w:pPr>
    </w:p>
    <w:p w14:paraId="43DDAF12" w14:textId="2819564E"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4</w:t>
      </w:r>
    </w:p>
    <w:p w14:paraId="20324FB2" w14:textId="0C442903"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5FD8FEA8">
          <v:shape id="_x0000_i1028" type="#_x0000_t75" style="width:5in;height:202.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798918995" r:id="rId13"/>
        </w:object>
      </w:r>
    </w:p>
    <w:p w14:paraId="41F643C5" w14:textId="4BBBFC21" w:rsid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Let’s clarify some of the terminology related to gender and sexuality. According to </w:t>
      </w:r>
      <w:proofErr w:type="spellStart"/>
      <w:r w:rsidRPr="00A21D08">
        <w:rPr>
          <w:rFonts w:ascii="Times New Roman" w:eastAsia="Times New Roman" w:hAnsi="Times New Roman" w:cs="Times New Roman"/>
          <w:sz w:val="24"/>
          <w:szCs w:val="24"/>
        </w:rPr>
        <w:t>Dellenty</w:t>
      </w:r>
      <w:proofErr w:type="spellEnd"/>
      <w:r w:rsidRPr="00A21D08">
        <w:rPr>
          <w:rFonts w:ascii="Times New Roman" w:eastAsia="Times New Roman" w:hAnsi="Times New Roman" w:cs="Times New Roman"/>
          <w:sz w:val="24"/>
          <w:szCs w:val="24"/>
        </w:rPr>
        <w:t xml:space="preserve"> (2019), sexuality, often termed sexual </w:t>
      </w:r>
      <w:r w:rsidR="00981686">
        <w:rPr>
          <w:rFonts w:ascii="Times New Roman" w:eastAsia="Times New Roman" w:hAnsi="Times New Roman" w:cs="Times New Roman"/>
          <w:sz w:val="24"/>
          <w:szCs w:val="24"/>
        </w:rPr>
        <w:t xml:space="preserve">orientation, </w:t>
      </w:r>
      <w:r w:rsidRPr="00A21D08">
        <w:rPr>
          <w:rFonts w:ascii="Times New Roman" w:eastAsia="Times New Roman" w:hAnsi="Times New Roman" w:cs="Times New Roman"/>
          <w:sz w:val="24"/>
          <w:szCs w:val="24"/>
        </w:rPr>
        <w:t xml:space="preserve"> encompasses an individual's emotional and physical attraction to various genders. Under this umbrella, there are numerous identities, including lesbian, gay, bisexual, pansexual, heterosexual, and asexual (Cullen and Meehan, </w:t>
      </w:r>
      <w:r w:rsidRPr="00A21D08">
        <w:rPr>
          <w:rFonts w:ascii="Times New Roman" w:eastAsia="Times New Roman" w:hAnsi="Times New Roman" w:cs="Times New Roman"/>
          <w:sz w:val="24"/>
          <w:szCs w:val="24"/>
        </w:rPr>
        <w:lastRenderedPageBreak/>
        <w:t xml:space="preserve">2018). Gender, as defined by the Office for National Statistics (ONS) (2019), is a complex social construct shaped by cultural norms and expectations, where individuals may identify as male, female, non-binary, or have no gender at all (ONS, 2019). The ONS (2019) states that gender identity reflects an individual’s internal perception of themselves, and this may not align with their assigned sex at birth. This mismatch can lead to significant psychological distress, particularly for transgender or non-binary individuals (NHS, 2020). </w:t>
      </w:r>
    </w:p>
    <w:p w14:paraId="66E9C932"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7F092A07" w14:textId="31D87B80"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5</w:t>
      </w:r>
    </w:p>
    <w:p w14:paraId="2A469172" w14:textId="5906AC66"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05A37558">
          <v:shape id="_x0000_i1029" type="#_x0000_t75" style="width:5in;height:202.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798918996" r:id="rId15"/>
        </w:object>
      </w:r>
    </w:p>
    <w:p w14:paraId="4FFFDCCB"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A valuable resource developed by the Trans Student Educational Resources (TSER) (2015) that can be used by youth workers is the Gender Unicorn. This visual and interactive tool demonstrates the diversity and fluidity of gender and sexuality, challenges fixed labels, and actively engages individuals in their exploration of self (TSER, 2015). This reflects youth work’s values of equity, diversity, and inclusion whilst also promoting active participation and empowerment (CLD Standards Council Scotland, 2019).</w:t>
      </w:r>
    </w:p>
    <w:p w14:paraId="40F5C751"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0"/>
          <w:sz w:val="24"/>
          <w:szCs w:val="24"/>
        </w:rPr>
      </w:pPr>
    </w:p>
    <w:p w14:paraId="178E9F84" w14:textId="7010A928" w:rsidR="00A21D08" w:rsidRPr="00A21D08" w:rsidRDefault="00A21D08" w:rsidP="00A21D08">
      <w:pPr>
        <w:spacing w:line="480" w:lineRule="auto"/>
        <w:jc w:val="both"/>
        <w:rPr>
          <w:rFonts w:ascii="Times New Roman" w:hAnsi="Times New Roman" w:cs="Times New Roman"/>
          <w:sz w:val="24"/>
          <w:szCs w:val="24"/>
        </w:rPr>
      </w:pPr>
    </w:p>
    <w:p w14:paraId="6F44F51A" w14:textId="77777777" w:rsidR="00A21D08" w:rsidRDefault="00A21D08" w:rsidP="00A21D08">
      <w:pPr>
        <w:spacing w:line="480" w:lineRule="auto"/>
        <w:jc w:val="both"/>
        <w:rPr>
          <w:rFonts w:ascii="Times New Roman" w:hAnsi="Times New Roman" w:cs="Times New Roman"/>
          <w:sz w:val="24"/>
          <w:szCs w:val="24"/>
        </w:rPr>
      </w:pPr>
    </w:p>
    <w:p w14:paraId="72C063DC" w14:textId="2DE61874"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6</w:t>
      </w:r>
    </w:p>
    <w:p w14:paraId="01534EF3" w14:textId="21BA0AC6"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6307F8F8">
          <v:shape id="_x0000_i1030" type="#_x0000_t75" style="width:5in;height:202.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798918997" r:id="rId17"/>
        </w:object>
      </w:r>
    </w:p>
    <w:p w14:paraId="381B5978" w14:textId="7CDEB7C0"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Understanding adolescent development is crucial for fostering positive outcomes among young people. The World Health Organisation (2025) defines adolescence as a critical life stage spanning ages 10 to 19 and serves as a bridge between childhood and adulthood. The </w:t>
      </w:r>
      <w:proofErr w:type="spellStart"/>
      <w:r w:rsidRPr="00A21D08">
        <w:rPr>
          <w:rFonts w:ascii="Times New Roman" w:eastAsia="Times New Roman" w:hAnsi="Times New Roman" w:cs="Times New Roman"/>
          <w:sz w:val="24"/>
          <w:szCs w:val="24"/>
        </w:rPr>
        <w:t>Center</w:t>
      </w:r>
      <w:proofErr w:type="spellEnd"/>
      <w:r w:rsidRPr="00A21D08">
        <w:rPr>
          <w:rFonts w:ascii="Times New Roman" w:eastAsia="Times New Roman" w:hAnsi="Times New Roman" w:cs="Times New Roman"/>
          <w:sz w:val="24"/>
          <w:szCs w:val="24"/>
        </w:rPr>
        <w:t xml:space="preserve"> for the Study of Social Policy (CSSP) (2018) state that this period is characterised by significant physical, cognitive, emotional, and social changes that can be extremely challenging. Cultural influences from family, peer groups, and societal expectations can further complicate navigation and successful transition through this life stage (CSSP, 2018). </w:t>
      </w:r>
    </w:p>
    <w:p w14:paraId="2B8C59DF" w14:textId="77777777" w:rsidR="002D790C" w:rsidRDefault="002D790C"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137B6A92" w14:textId="073C3365"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color w:val="000000"/>
          <w:sz w:val="24"/>
          <w:szCs w:val="24"/>
        </w:rPr>
      </w:pPr>
      <w:r w:rsidRPr="00A21D08">
        <w:rPr>
          <w:rFonts w:ascii="Times New Roman" w:eastAsia="Times New Roman" w:hAnsi="Times New Roman" w:cs="Times New Roman"/>
          <w:sz w:val="24"/>
          <w:szCs w:val="24"/>
        </w:rPr>
        <w:t xml:space="preserve">According to CSSP (2018), the adolescent brain is adaptable and shaped by experiences. </w:t>
      </w:r>
      <w:r w:rsidRPr="00A21D08">
        <w:rPr>
          <w:rFonts w:ascii="Times New Roman" w:eastAsia="Times New Roman" w:hAnsi="Times New Roman" w:cs="Times New Roman"/>
          <w:color w:val="212529"/>
          <w:sz w:val="24"/>
          <w:szCs w:val="24"/>
        </w:rPr>
        <w:t xml:space="preserve">As a result of the adolescent maturing process, Rose provides an educative approach underpinned by two implicit principles; ‘knowledge is assumed to be actively constructed by the learner not passively received from the environment, and learning is an interactive process of interpretation, integration, and transformation of one’s experiential world’, made possible </w:t>
      </w:r>
      <w:r w:rsidRPr="00A21D08">
        <w:rPr>
          <w:rFonts w:ascii="Times New Roman" w:eastAsia="Times New Roman" w:hAnsi="Times New Roman" w:cs="Times New Roman"/>
          <w:color w:val="212529"/>
          <w:sz w:val="24"/>
          <w:szCs w:val="24"/>
        </w:rPr>
        <w:lastRenderedPageBreak/>
        <w:t xml:space="preserve">through the principles of participation and empowerment (Rose, </w:t>
      </w:r>
      <w:r w:rsidRPr="00A21D08">
        <w:rPr>
          <w:rFonts w:ascii="Times New Roman" w:eastAsia="Times New Roman" w:hAnsi="Times New Roman" w:cs="Times New Roman"/>
          <w:i/>
          <w:iCs/>
          <w:color w:val="212529"/>
          <w:sz w:val="24"/>
          <w:szCs w:val="24"/>
        </w:rPr>
        <w:t>cited in</w:t>
      </w:r>
      <w:r w:rsidRPr="00A21D08">
        <w:rPr>
          <w:rFonts w:ascii="Times New Roman" w:eastAsia="Times New Roman" w:hAnsi="Times New Roman" w:cs="Times New Roman"/>
          <w:color w:val="212529"/>
          <w:sz w:val="24"/>
          <w:szCs w:val="24"/>
        </w:rPr>
        <w:t xml:space="preserve"> Jeffs and </w:t>
      </w:r>
      <w:r w:rsidRPr="00A21D08">
        <w:rPr>
          <w:rFonts w:ascii="Times New Roman" w:eastAsia="Times New Roman" w:hAnsi="Times New Roman" w:cs="Times New Roman"/>
          <w:color w:val="000000"/>
          <w:sz w:val="24"/>
          <w:szCs w:val="24"/>
        </w:rPr>
        <w:t xml:space="preserve">Smith, 2010, p. 167). </w:t>
      </w:r>
    </w:p>
    <w:p w14:paraId="00B41206"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3D951D1A" w14:textId="0C5C840C" w:rsid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This knowledge and understanding informs youth work praxis and can be used to support and promote the essential competencies needed for young people’s successful transition to adulthood (CSSP, 2018).</w:t>
      </w:r>
      <w:r w:rsidRPr="00A21D08">
        <w:rPr>
          <w:rFonts w:ascii="Times New Roman" w:eastAsia="Times New Roman" w:hAnsi="Times New Roman" w:cs="Times New Roman"/>
          <w:b/>
          <w:bCs/>
          <w:color w:val="212529"/>
          <w:sz w:val="24"/>
          <w:szCs w:val="24"/>
        </w:rPr>
        <w:t xml:space="preserve"> </w:t>
      </w:r>
      <w:r w:rsidRPr="00A21D08">
        <w:rPr>
          <w:rFonts w:ascii="Times New Roman" w:eastAsia="Times New Roman" w:hAnsi="Times New Roman" w:cs="Times New Roman"/>
          <w:color w:val="212529"/>
          <w:sz w:val="24"/>
          <w:szCs w:val="24"/>
        </w:rPr>
        <w:t>Youth workers can t</w:t>
      </w:r>
      <w:r w:rsidRPr="00A21D08">
        <w:rPr>
          <w:rFonts w:ascii="Times New Roman" w:eastAsia="Times New Roman" w:hAnsi="Times New Roman" w:cs="Times New Roman"/>
          <w:sz w:val="24"/>
          <w:szCs w:val="24"/>
        </w:rPr>
        <w:t>ailor programmes and activities to specific developmental needs, thus boosting their resilience to thrive in a complex world (CSSP, 2018).  This reflects the visions set forth by the Youth Work Strategy for Wales (Welsh Government, 2024), and the Wellbeing of Future Generations (Wales) Act (Welsh Government, 2015).</w:t>
      </w:r>
    </w:p>
    <w:p w14:paraId="13C77167"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2692DD3C" w14:textId="655627CD"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7</w:t>
      </w:r>
    </w:p>
    <w:p w14:paraId="1B4FDD5E" w14:textId="3541C3D5"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70F631A9">
          <v:shape id="_x0000_i1031" type="#_x0000_t75" style="width:5in;height:202.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798918998" r:id="rId19"/>
        </w:object>
      </w:r>
    </w:p>
    <w:p w14:paraId="5E72C9F6"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Erikson's Theory of Psychosocial Development emphasises that adolescence is a critical period for identity exploration and represents a conflict between identity formation and role confusion (McLeod, 2024). During this time, young people actively seek to understand their sense of self, values, and future direction, exploration which is vital for developing autonomy and independence (McLeod, 2024).</w:t>
      </w:r>
    </w:p>
    <w:p w14:paraId="74BAD9CD"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3F427BD8"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lastRenderedPageBreak/>
        <w:t xml:space="preserve">Unfortunately, many LGBTQ+ adolescents face unique challenges that complicate this identity formation process, leading to feelings of confusion, fear, and isolation (NSPCC Learning, 2024). The societal pressure to conform to traditional gender roles and heteronormative expectations can hinder their ability to express their true selves (NSPCC Learning, 2024). Consequently, feeling a sense of belonging becomes critical. As emphasised by the National Youth Agency (NYA) (2024), identity and belonging are essential for young people, significantly influencing how they feel respected and valued within their communities. Youth workers can facilitate this sense of belonging for LGBTQ+ young people by creating opportunities for shared experiences where young people can openly discuss their identity struggles and feel empowered to confront stigma and discrimination (NYA, 2024). </w:t>
      </w:r>
    </w:p>
    <w:p w14:paraId="7495D65F"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3E6C0C49" w14:textId="096294CD" w:rsid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This could include facilitating LGBTQ+ community service projects, educational workshops, or young people’s participation in events like Pride Cymru (Cullen and Meehan, 2018). These initiatives can foster meaningful social connections and provide young people with inspirational role models who reflect their identities (Barnardo’s, 2019). These approaches are proactive anti-oppressive, a key principle in youth work practice (Sapin, 2013). Furthermore, such initiatives reflect Rose’s adolescent educational principles (Jeffs and Smith, 2010) and embody youth work’s principles of active participation, inclusion, and empowerment (CLD Standards Council Scotland, 2019).</w:t>
      </w:r>
    </w:p>
    <w:p w14:paraId="7F60797A"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sz w:val="24"/>
          <w:szCs w:val="24"/>
        </w:rPr>
      </w:pPr>
    </w:p>
    <w:p w14:paraId="1E280515" w14:textId="77777777" w:rsidR="00A21D08" w:rsidRDefault="00A21D08" w:rsidP="00A21D08">
      <w:pPr>
        <w:spacing w:line="480" w:lineRule="auto"/>
        <w:jc w:val="both"/>
        <w:rPr>
          <w:rFonts w:ascii="Times New Roman" w:hAnsi="Times New Roman" w:cs="Times New Roman"/>
          <w:sz w:val="24"/>
          <w:szCs w:val="24"/>
        </w:rPr>
      </w:pPr>
    </w:p>
    <w:p w14:paraId="41759954" w14:textId="77777777" w:rsidR="00A21D08" w:rsidRDefault="00A21D08" w:rsidP="00A21D08">
      <w:pPr>
        <w:spacing w:line="480" w:lineRule="auto"/>
        <w:jc w:val="both"/>
        <w:rPr>
          <w:rFonts w:ascii="Times New Roman" w:hAnsi="Times New Roman" w:cs="Times New Roman"/>
          <w:sz w:val="24"/>
          <w:szCs w:val="24"/>
        </w:rPr>
      </w:pPr>
    </w:p>
    <w:p w14:paraId="19FA2055" w14:textId="77777777" w:rsidR="00A21D08" w:rsidRDefault="00A21D08" w:rsidP="00A21D08">
      <w:pPr>
        <w:spacing w:line="480" w:lineRule="auto"/>
        <w:jc w:val="both"/>
        <w:rPr>
          <w:rFonts w:ascii="Times New Roman" w:hAnsi="Times New Roman" w:cs="Times New Roman"/>
          <w:sz w:val="24"/>
          <w:szCs w:val="24"/>
        </w:rPr>
      </w:pPr>
    </w:p>
    <w:p w14:paraId="2B70C869" w14:textId="77777777" w:rsidR="00A21D08" w:rsidRDefault="00A21D08" w:rsidP="00A21D08">
      <w:pPr>
        <w:spacing w:line="480" w:lineRule="auto"/>
        <w:jc w:val="both"/>
        <w:rPr>
          <w:rFonts w:ascii="Times New Roman" w:hAnsi="Times New Roman" w:cs="Times New Roman"/>
          <w:sz w:val="24"/>
          <w:szCs w:val="24"/>
        </w:rPr>
      </w:pPr>
    </w:p>
    <w:p w14:paraId="46D141C9" w14:textId="77777777" w:rsidR="00A21D08" w:rsidRDefault="00A21D08" w:rsidP="00A21D08">
      <w:pPr>
        <w:spacing w:line="480" w:lineRule="auto"/>
        <w:jc w:val="both"/>
        <w:rPr>
          <w:rFonts w:ascii="Times New Roman" w:hAnsi="Times New Roman" w:cs="Times New Roman"/>
          <w:sz w:val="24"/>
          <w:szCs w:val="24"/>
        </w:rPr>
      </w:pPr>
    </w:p>
    <w:p w14:paraId="6E2E29C2" w14:textId="77777777" w:rsidR="00A21D08" w:rsidRDefault="00A21D08" w:rsidP="00A21D08">
      <w:pPr>
        <w:spacing w:line="480" w:lineRule="auto"/>
        <w:jc w:val="both"/>
        <w:rPr>
          <w:rFonts w:ascii="Times New Roman" w:hAnsi="Times New Roman" w:cs="Times New Roman"/>
          <w:sz w:val="24"/>
          <w:szCs w:val="24"/>
        </w:rPr>
      </w:pPr>
    </w:p>
    <w:p w14:paraId="64E98807" w14:textId="77777777" w:rsidR="00A21D08" w:rsidRDefault="00A21D08" w:rsidP="00A21D08">
      <w:pPr>
        <w:spacing w:line="480" w:lineRule="auto"/>
        <w:jc w:val="both"/>
        <w:rPr>
          <w:rFonts w:ascii="Times New Roman" w:hAnsi="Times New Roman" w:cs="Times New Roman"/>
          <w:sz w:val="24"/>
          <w:szCs w:val="24"/>
        </w:rPr>
      </w:pPr>
    </w:p>
    <w:p w14:paraId="3746DF44" w14:textId="7C04F2F4"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t>Slide 8</w:t>
      </w:r>
    </w:p>
    <w:p w14:paraId="6ED54920" w14:textId="6E146B74"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0EF2B778">
          <v:shape id="_x0000_i1032" type="#_x0000_t75" style="width:5in;height:202.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798918999" r:id="rId21"/>
        </w:object>
      </w:r>
    </w:p>
    <w:p w14:paraId="66C74E87"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The process of developing personal identity in adolescents is closely related to self-categorisation, group identification, and sensitivity to peer acceptance (Cotterell, 1996). Unfortunately, many LGBTQ+ young people suffer from bullying in educational settings. According to Stonewall's (2017) school report, nearly half of LGB students face bullying, and this number rises to a staggering 64% for transgender young people. These experiences can drastically affect their mental health and academic performance, with 61% of LGBTQ+ young people reporting self-harming behaviours and suicidal tendencies (Stonewall, 2017). </w:t>
      </w:r>
    </w:p>
    <w:p w14:paraId="071C72D4"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06185E40" w14:textId="0C44A1EF" w:rsidR="00A21D08" w:rsidRPr="00A21D08" w:rsidRDefault="00A21D08" w:rsidP="00A21D08">
      <w:pPr>
        <w:autoSpaceDE w:val="0"/>
        <w:autoSpaceDN w:val="0"/>
        <w:adjustRightInd w:val="0"/>
        <w:spacing w:after="0" w:line="480" w:lineRule="auto"/>
        <w:jc w:val="both"/>
        <w:rPr>
          <w:rFonts w:ascii="Times New Roman" w:hAnsi="Times New Roman" w:cs="Times New Roman"/>
          <w:sz w:val="24"/>
          <w:szCs w:val="24"/>
        </w:rPr>
      </w:pPr>
      <w:r w:rsidRPr="00A21D08">
        <w:rPr>
          <w:rFonts w:ascii="Times New Roman" w:eastAsia="Times New Roman" w:hAnsi="Times New Roman" w:cs="Times New Roman"/>
          <w:sz w:val="24"/>
          <w:szCs w:val="24"/>
        </w:rPr>
        <w:t xml:space="preserve">According to Anderson (2023), by creating safe spaces for self-expression, youth workers can cultivate a strong sense of community among young people. This supportive environment helps reduce feelings of isolation while enhancing their skills and confidence (Anderson, 2023). Additionally, it empowers young people to confront bullying and advocate for themselves and </w:t>
      </w:r>
      <w:r w:rsidRPr="00A21D08">
        <w:rPr>
          <w:rFonts w:ascii="Times New Roman" w:eastAsia="Times New Roman" w:hAnsi="Times New Roman" w:cs="Times New Roman"/>
          <w:sz w:val="24"/>
          <w:szCs w:val="24"/>
        </w:rPr>
        <w:lastRenderedPageBreak/>
        <w:t xml:space="preserve">others effectively (Anderson, 2023). This reflects youth work’s five pillars which include providing opportunities for education, expression, participation, inclusion, and empowerment (Youth Work in Wales Review Group, 2022). </w:t>
      </w:r>
    </w:p>
    <w:p w14:paraId="531C9450" w14:textId="0A72A8B1"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br w:type="page"/>
      </w:r>
    </w:p>
    <w:p w14:paraId="00356222" w14:textId="4004F9A8"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9</w:t>
      </w:r>
    </w:p>
    <w:p w14:paraId="5B27A5B0" w14:textId="19EA85D7"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135DD9CD">
          <v:shape id="_x0000_i1033" type="#_x0000_t75" style="width:5in;height:202.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798919000" r:id="rId23"/>
        </w:object>
      </w:r>
    </w:p>
    <w:p w14:paraId="5E7AE27B"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Adverse Childhood Experiences (ACEs) refer to stressful incidents in childhood, such as experiencing abuse, neglect, or living in a family with issues like substance abuse, mental health disorders, domestic violence, or criminal activities leading to imprisonment (</w:t>
      </w:r>
      <w:proofErr w:type="spellStart"/>
      <w:r w:rsidRPr="00A21D08">
        <w:rPr>
          <w:rFonts w:ascii="Times New Roman" w:eastAsia="Times New Roman" w:hAnsi="Times New Roman" w:cs="Times New Roman"/>
          <w:sz w:val="24"/>
          <w:szCs w:val="24"/>
        </w:rPr>
        <w:t>Felitti</w:t>
      </w:r>
      <w:proofErr w:type="spellEnd"/>
      <w:r w:rsidRPr="00A21D08">
        <w:rPr>
          <w:rFonts w:ascii="Times New Roman" w:eastAsia="Times New Roman" w:hAnsi="Times New Roman" w:cs="Times New Roman"/>
          <w:sz w:val="24"/>
          <w:szCs w:val="24"/>
        </w:rPr>
        <w:t xml:space="preserve"> </w:t>
      </w:r>
      <w:r w:rsidRPr="00A21D08">
        <w:rPr>
          <w:rFonts w:ascii="Times New Roman" w:eastAsia="Times New Roman" w:hAnsi="Times New Roman" w:cs="Times New Roman"/>
          <w:i/>
          <w:iCs/>
          <w:sz w:val="24"/>
          <w:szCs w:val="24"/>
        </w:rPr>
        <w:t>et al.</w:t>
      </w:r>
      <w:r w:rsidRPr="00A21D08">
        <w:rPr>
          <w:rFonts w:ascii="Times New Roman" w:eastAsia="Times New Roman" w:hAnsi="Times New Roman" w:cs="Times New Roman"/>
          <w:sz w:val="24"/>
          <w:szCs w:val="24"/>
        </w:rPr>
        <w:t xml:space="preserve">, 1998 </w:t>
      </w:r>
      <w:r w:rsidRPr="00A21D08">
        <w:rPr>
          <w:rFonts w:ascii="Times New Roman" w:eastAsia="Times New Roman" w:hAnsi="Times New Roman" w:cs="Times New Roman"/>
          <w:i/>
          <w:iCs/>
          <w:sz w:val="24"/>
          <w:szCs w:val="24"/>
        </w:rPr>
        <w:t>cited in</w:t>
      </w:r>
      <w:r w:rsidRPr="00A21D08">
        <w:rPr>
          <w:rFonts w:ascii="Times New Roman" w:eastAsia="Times New Roman" w:hAnsi="Times New Roman" w:cs="Times New Roman"/>
          <w:sz w:val="24"/>
          <w:szCs w:val="24"/>
        </w:rPr>
        <w:t xml:space="preserve"> Public Health Wales, 2019). </w:t>
      </w:r>
    </w:p>
    <w:p w14:paraId="2B4F7016"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218BC8F2"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ACEs can have long-lasting negative effects on health throughout a person's life, contributing to greater health disparities and increased illness rates (see picture) (Public Health Wales, 2019). Public Health Wales (2019) suggests that the adverse impacts of ACEs can extend across generations, as their recurrence is influenced by interactions among personal and social environmental elements, resulting in intergenerational transmission. Therefore, they mention that actions for preventing and mitigating ACEs and their negative effects are critical for improving the health and well-being of current and future generations. </w:t>
      </w:r>
    </w:p>
    <w:p w14:paraId="0AA8B44C"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24"/>
          <w:sz w:val="24"/>
          <w:szCs w:val="24"/>
        </w:rPr>
      </w:pPr>
    </w:p>
    <w:p w14:paraId="05198CEC"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0"/>
          <w:sz w:val="24"/>
          <w:szCs w:val="24"/>
        </w:rPr>
      </w:pPr>
    </w:p>
    <w:p w14:paraId="3EA39104" w14:textId="77777777" w:rsidR="00A21D08" w:rsidRPr="00A21D08" w:rsidRDefault="00A21D08" w:rsidP="00A21D08">
      <w:pPr>
        <w:spacing w:line="480" w:lineRule="auto"/>
        <w:jc w:val="both"/>
        <w:rPr>
          <w:rFonts w:ascii="Times New Roman" w:hAnsi="Times New Roman" w:cs="Times New Roman"/>
          <w:sz w:val="24"/>
          <w:szCs w:val="24"/>
        </w:rPr>
      </w:pPr>
    </w:p>
    <w:p w14:paraId="6F95E11F" w14:textId="63EA6349"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lastRenderedPageBreak/>
        <w:br w:type="page"/>
      </w:r>
    </w:p>
    <w:p w14:paraId="022E7452" w14:textId="551D3A7B"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10</w:t>
      </w:r>
    </w:p>
    <w:p w14:paraId="5CCE8323" w14:textId="5D59756C"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639C71D9">
          <v:shape id="_x0000_i1034" type="#_x0000_t75" style="width:5in;height:202.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4" DrawAspect="Content" ObjectID="_1798919001" r:id="rId25"/>
        </w:object>
      </w:r>
    </w:p>
    <w:p w14:paraId="79054E41"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Research by Craig </w:t>
      </w:r>
      <w:r w:rsidRPr="00A21D08">
        <w:rPr>
          <w:rFonts w:ascii="Times New Roman" w:eastAsia="Times New Roman" w:hAnsi="Times New Roman" w:cs="Times New Roman"/>
          <w:i/>
          <w:iCs/>
          <w:sz w:val="24"/>
          <w:szCs w:val="24"/>
        </w:rPr>
        <w:t>et al.,</w:t>
      </w:r>
      <w:r w:rsidRPr="00A21D08">
        <w:rPr>
          <w:rFonts w:ascii="Times New Roman" w:eastAsia="Times New Roman" w:hAnsi="Times New Roman" w:cs="Times New Roman"/>
          <w:sz w:val="24"/>
          <w:szCs w:val="24"/>
        </w:rPr>
        <w:t xml:space="preserve"> (2020) indicates that LGBTQ+ young people are disproportionately affected by ACEs, as they often encounter significantly higher levels of family dysfunction, emotional abuse, and rejection by those closest to them. </w:t>
      </w:r>
    </w:p>
    <w:p w14:paraId="5B981D8E"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75B2B9DB"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The culmination of these adverse experiences creates a complex web of challenges that LGBTQ+ individuals face during their upbringing (Craig </w:t>
      </w:r>
      <w:r w:rsidRPr="00A21D08">
        <w:rPr>
          <w:rFonts w:ascii="Times New Roman" w:eastAsia="Times New Roman" w:hAnsi="Times New Roman" w:cs="Times New Roman"/>
          <w:i/>
          <w:iCs/>
          <w:sz w:val="24"/>
          <w:szCs w:val="24"/>
        </w:rPr>
        <w:t>et al.,</w:t>
      </w:r>
      <w:r w:rsidRPr="00A21D08">
        <w:rPr>
          <w:rFonts w:ascii="Times New Roman" w:eastAsia="Times New Roman" w:hAnsi="Times New Roman" w:cs="Times New Roman"/>
          <w:sz w:val="24"/>
          <w:szCs w:val="24"/>
        </w:rPr>
        <w:t xml:space="preserve"> 2020). More notably, the additional challenges posed by identity-based stressors amplify the difficulties experienced (Craig </w:t>
      </w:r>
      <w:r w:rsidRPr="00A21D08">
        <w:rPr>
          <w:rFonts w:ascii="Times New Roman" w:eastAsia="Times New Roman" w:hAnsi="Times New Roman" w:cs="Times New Roman"/>
          <w:i/>
          <w:iCs/>
          <w:sz w:val="24"/>
          <w:szCs w:val="24"/>
        </w:rPr>
        <w:t>et al.,</w:t>
      </w:r>
      <w:r w:rsidRPr="00A21D08">
        <w:rPr>
          <w:rFonts w:ascii="Times New Roman" w:eastAsia="Times New Roman" w:hAnsi="Times New Roman" w:cs="Times New Roman"/>
          <w:sz w:val="24"/>
          <w:szCs w:val="24"/>
        </w:rPr>
        <w:t xml:space="preserve"> 2020).</w:t>
      </w:r>
    </w:p>
    <w:p w14:paraId="7C1B2902" w14:textId="77777777" w:rsidR="00A21D08" w:rsidRDefault="00A21D08" w:rsidP="00A21D08">
      <w:pPr>
        <w:spacing w:line="480" w:lineRule="auto"/>
        <w:jc w:val="both"/>
        <w:rPr>
          <w:rFonts w:ascii="Times New Roman" w:hAnsi="Times New Roman" w:cs="Times New Roman"/>
          <w:sz w:val="24"/>
          <w:szCs w:val="24"/>
        </w:rPr>
      </w:pPr>
    </w:p>
    <w:p w14:paraId="7C0AFE9E" w14:textId="77777777" w:rsidR="00A21D08" w:rsidRDefault="00A21D08" w:rsidP="00A21D08">
      <w:pPr>
        <w:spacing w:line="480" w:lineRule="auto"/>
        <w:jc w:val="both"/>
        <w:rPr>
          <w:rFonts w:ascii="Times New Roman" w:hAnsi="Times New Roman" w:cs="Times New Roman"/>
          <w:sz w:val="24"/>
          <w:szCs w:val="24"/>
        </w:rPr>
      </w:pPr>
    </w:p>
    <w:p w14:paraId="6DBC47B9" w14:textId="77777777" w:rsidR="00A21D08" w:rsidRDefault="00A21D08" w:rsidP="00A21D08">
      <w:pPr>
        <w:spacing w:line="480" w:lineRule="auto"/>
        <w:jc w:val="both"/>
        <w:rPr>
          <w:rFonts w:ascii="Times New Roman" w:hAnsi="Times New Roman" w:cs="Times New Roman"/>
          <w:sz w:val="24"/>
          <w:szCs w:val="24"/>
        </w:rPr>
      </w:pPr>
    </w:p>
    <w:p w14:paraId="21CB5973" w14:textId="77777777" w:rsidR="00A21D08" w:rsidRDefault="00A21D08" w:rsidP="00A21D08">
      <w:pPr>
        <w:spacing w:line="480" w:lineRule="auto"/>
        <w:jc w:val="both"/>
        <w:rPr>
          <w:rFonts w:ascii="Times New Roman" w:hAnsi="Times New Roman" w:cs="Times New Roman"/>
          <w:sz w:val="24"/>
          <w:szCs w:val="24"/>
        </w:rPr>
      </w:pPr>
    </w:p>
    <w:p w14:paraId="79522650" w14:textId="77777777" w:rsidR="00A21D08" w:rsidRDefault="00A21D08" w:rsidP="00A21D08">
      <w:pPr>
        <w:spacing w:line="480" w:lineRule="auto"/>
        <w:jc w:val="both"/>
        <w:rPr>
          <w:rFonts w:ascii="Times New Roman" w:hAnsi="Times New Roman" w:cs="Times New Roman"/>
          <w:sz w:val="24"/>
          <w:szCs w:val="24"/>
        </w:rPr>
      </w:pPr>
    </w:p>
    <w:p w14:paraId="69D9865D" w14:textId="77777777" w:rsidR="00A21D08" w:rsidRDefault="00A21D08" w:rsidP="00A21D08">
      <w:pPr>
        <w:spacing w:line="480" w:lineRule="auto"/>
        <w:jc w:val="both"/>
        <w:rPr>
          <w:rFonts w:ascii="Times New Roman" w:hAnsi="Times New Roman" w:cs="Times New Roman"/>
          <w:sz w:val="24"/>
          <w:szCs w:val="24"/>
        </w:rPr>
      </w:pPr>
    </w:p>
    <w:p w14:paraId="067AA535" w14:textId="5904814A"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11</w:t>
      </w:r>
    </w:p>
    <w:p w14:paraId="6B2527CC" w14:textId="1CE0D61E"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06DD54EE">
          <v:shape id="_x0000_i1035" type="#_x0000_t75" style="width:5in;height:202.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5" DrawAspect="Content" ObjectID="_1798919002" r:id="rId27"/>
        </w:object>
      </w:r>
    </w:p>
    <w:p w14:paraId="008A8AF1"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According to Public Health Wales (2019), there is substantial evidence indicating that resilience serves as a crucial protective factor in reducing the effects of ACEs, including mental health issues, and positively influencing childhood health and school attendance. </w:t>
      </w:r>
    </w:p>
    <w:p w14:paraId="5E00E547"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6368ACF2" w14:textId="40D92A8C"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Resilience resources include having a </w:t>
      </w:r>
      <w:r w:rsidR="003E5436">
        <w:rPr>
          <w:rFonts w:ascii="Times New Roman" w:eastAsia="Times New Roman" w:hAnsi="Times New Roman" w:cs="Times New Roman"/>
          <w:sz w:val="24"/>
          <w:szCs w:val="24"/>
        </w:rPr>
        <w:t>secure</w:t>
      </w:r>
      <w:r w:rsidRPr="00A21D08">
        <w:rPr>
          <w:rFonts w:ascii="Times New Roman" w:eastAsia="Times New Roman" w:hAnsi="Times New Roman" w:cs="Times New Roman"/>
          <w:sz w:val="24"/>
          <w:szCs w:val="24"/>
        </w:rPr>
        <w:t>, trust</w:t>
      </w:r>
      <w:r w:rsidR="003E5436">
        <w:rPr>
          <w:rFonts w:ascii="Times New Roman" w:eastAsia="Times New Roman" w:hAnsi="Times New Roman" w:cs="Times New Roman"/>
          <w:sz w:val="24"/>
          <w:szCs w:val="24"/>
        </w:rPr>
        <w:t>ing</w:t>
      </w:r>
      <w:r w:rsidRPr="00A21D08">
        <w:rPr>
          <w:rFonts w:ascii="Times New Roman" w:eastAsia="Times New Roman" w:hAnsi="Times New Roman" w:cs="Times New Roman"/>
          <w:sz w:val="24"/>
          <w:szCs w:val="24"/>
        </w:rPr>
        <w:t xml:space="preserve"> relationship with an adult,</w:t>
      </w:r>
      <w:r w:rsidR="003E5436">
        <w:rPr>
          <w:rFonts w:ascii="Times New Roman" w:eastAsia="Times New Roman" w:hAnsi="Times New Roman" w:cs="Times New Roman"/>
          <w:sz w:val="24"/>
          <w:szCs w:val="24"/>
        </w:rPr>
        <w:t xml:space="preserve"> engaging </w:t>
      </w:r>
      <w:r w:rsidR="003E5436" w:rsidRPr="00A21D08">
        <w:rPr>
          <w:rFonts w:ascii="Times New Roman" w:eastAsia="Times New Roman" w:hAnsi="Times New Roman" w:cs="Times New Roman"/>
          <w:sz w:val="24"/>
          <w:szCs w:val="24"/>
        </w:rPr>
        <w:t>in</w:t>
      </w:r>
      <w:r w:rsidRPr="00A21D08">
        <w:rPr>
          <w:rFonts w:ascii="Times New Roman" w:eastAsia="Times New Roman" w:hAnsi="Times New Roman" w:cs="Times New Roman"/>
          <w:sz w:val="24"/>
          <w:szCs w:val="24"/>
        </w:rPr>
        <w:t xml:space="preserve"> sports groups, and community engagement (Public Health Wales, 2019).</w:t>
      </w:r>
    </w:p>
    <w:p w14:paraId="3427DF00" w14:textId="77777777" w:rsidR="00A21D08" w:rsidRDefault="00A21D08" w:rsidP="00A21D08">
      <w:pPr>
        <w:spacing w:line="480" w:lineRule="auto"/>
        <w:jc w:val="both"/>
        <w:rPr>
          <w:rFonts w:ascii="Times New Roman" w:hAnsi="Times New Roman" w:cs="Times New Roman"/>
          <w:sz w:val="24"/>
          <w:szCs w:val="24"/>
        </w:rPr>
      </w:pPr>
    </w:p>
    <w:p w14:paraId="184FF4B0" w14:textId="77777777" w:rsidR="00A21D08" w:rsidRDefault="00A21D08" w:rsidP="00A21D08">
      <w:pPr>
        <w:spacing w:line="480" w:lineRule="auto"/>
        <w:jc w:val="both"/>
        <w:rPr>
          <w:rFonts w:ascii="Times New Roman" w:hAnsi="Times New Roman" w:cs="Times New Roman"/>
          <w:sz w:val="24"/>
          <w:szCs w:val="24"/>
        </w:rPr>
      </w:pPr>
    </w:p>
    <w:p w14:paraId="72DC8335" w14:textId="77777777" w:rsidR="00A21D08" w:rsidRDefault="00A21D08" w:rsidP="00A21D08">
      <w:pPr>
        <w:spacing w:line="480" w:lineRule="auto"/>
        <w:jc w:val="both"/>
        <w:rPr>
          <w:rFonts w:ascii="Times New Roman" w:hAnsi="Times New Roman" w:cs="Times New Roman"/>
          <w:sz w:val="24"/>
          <w:szCs w:val="24"/>
        </w:rPr>
      </w:pPr>
    </w:p>
    <w:p w14:paraId="434625B0" w14:textId="77777777" w:rsidR="00A21D08" w:rsidRDefault="00A21D08" w:rsidP="00A21D08">
      <w:pPr>
        <w:spacing w:line="480" w:lineRule="auto"/>
        <w:jc w:val="both"/>
        <w:rPr>
          <w:rFonts w:ascii="Times New Roman" w:hAnsi="Times New Roman" w:cs="Times New Roman"/>
          <w:sz w:val="24"/>
          <w:szCs w:val="24"/>
        </w:rPr>
      </w:pPr>
    </w:p>
    <w:p w14:paraId="7EFCE037" w14:textId="77777777" w:rsidR="00A21D08" w:rsidRDefault="00A21D08" w:rsidP="00A21D08">
      <w:pPr>
        <w:spacing w:line="480" w:lineRule="auto"/>
        <w:jc w:val="both"/>
        <w:rPr>
          <w:rFonts w:ascii="Times New Roman" w:hAnsi="Times New Roman" w:cs="Times New Roman"/>
          <w:sz w:val="24"/>
          <w:szCs w:val="24"/>
        </w:rPr>
      </w:pPr>
    </w:p>
    <w:p w14:paraId="1DC05046" w14:textId="77777777" w:rsidR="00A21D08" w:rsidRDefault="00A21D08" w:rsidP="00A21D08">
      <w:pPr>
        <w:spacing w:line="480" w:lineRule="auto"/>
        <w:jc w:val="both"/>
        <w:rPr>
          <w:rFonts w:ascii="Times New Roman" w:hAnsi="Times New Roman" w:cs="Times New Roman"/>
          <w:sz w:val="24"/>
          <w:szCs w:val="24"/>
        </w:rPr>
      </w:pPr>
    </w:p>
    <w:p w14:paraId="6CC1DF52" w14:textId="77777777" w:rsidR="00A21D08" w:rsidRDefault="00A21D08" w:rsidP="00A21D08">
      <w:pPr>
        <w:spacing w:line="480" w:lineRule="auto"/>
        <w:jc w:val="both"/>
        <w:rPr>
          <w:rFonts w:ascii="Times New Roman" w:hAnsi="Times New Roman" w:cs="Times New Roman"/>
          <w:sz w:val="24"/>
          <w:szCs w:val="24"/>
        </w:rPr>
      </w:pPr>
    </w:p>
    <w:p w14:paraId="166D7390" w14:textId="77777777" w:rsidR="00A21D08" w:rsidRDefault="00A21D08" w:rsidP="00A21D08">
      <w:pPr>
        <w:spacing w:line="480" w:lineRule="auto"/>
        <w:jc w:val="both"/>
        <w:rPr>
          <w:rFonts w:ascii="Times New Roman" w:hAnsi="Times New Roman" w:cs="Times New Roman"/>
          <w:sz w:val="24"/>
          <w:szCs w:val="24"/>
        </w:rPr>
      </w:pPr>
    </w:p>
    <w:p w14:paraId="475E5A9F" w14:textId="7FF72770"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12</w:t>
      </w:r>
    </w:p>
    <w:p w14:paraId="600E2247" w14:textId="67EE6194"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58753865">
          <v:shape id="_x0000_i1036" type="#_x0000_t75" style="width:5in;height:202.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6" DrawAspect="Content" ObjectID="_1798919003" r:id="rId29"/>
        </w:object>
      </w:r>
    </w:p>
    <w:p w14:paraId="4F82AA2F"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Youth Borders (2020) also highlights the significant impact that having at least one reliable adult in a young person's life can have on their development. They agree that this supportive relationship can enhance self-confidence, build resilience, and contribute to academic success. However, they argue that the strength of this relationship lies in its voluntary nature where young people feel comfortable and safe in choosing their trusted adult (Youth Borders, 2020). Furthermore, they note that youth workers are uniquely positioned to provide support and resources, filling in the gaps that young people may experience at home or school (Youth Borders, 2020).</w:t>
      </w:r>
    </w:p>
    <w:p w14:paraId="62C7A08B"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1F66DBAD"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Youth Borders (2020) state that, by being reliable and consistent points of contact for young people seeking advice, support, and affirmation, youth workers can play a pivotal role in their lives. In many cases they add, youth workers may serve as the only trusted adults present in a young person's life, highlighting their potential to create lasting impacts and serve as lifelines in times of crisis (Youth Borders, 2020).</w:t>
      </w:r>
    </w:p>
    <w:p w14:paraId="480633E5"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24"/>
          <w:sz w:val="24"/>
          <w:szCs w:val="24"/>
        </w:rPr>
      </w:pPr>
    </w:p>
    <w:p w14:paraId="3101ACF0"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0"/>
          <w:sz w:val="24"/>
          <w:szCs w:val="24"/>
        </w:rPr>
      </w:pPr>
    </w:p>
    <w:p w14:paraId="40DA514B" w14:textId="42356428"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13</w:t>
      </w:r>
    </w:p>
    <w:p w14:paraId="2F808328" w14:textId="15503896"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710FB201">
          <v:shape id="_x0000_i1037" type="#_x0000_t75" style="width:5in;height:202.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7" DrawAspect="Content" ObjectID="_1798919004" r:id="rId31"/>
        </w:object>
      </w:r>
    </w:p>
    <w:p w14:paraId="1F0923FC"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 xml:space="preserve">According to Marion (2024), experiential learning significantly enhances adolescent well-being and resilience by encouraging active engagement and participation, key principles in youth work (CLD Standards Council Scotland, 2019). </w:t>
      </w:r>
    </w:p>
    <w:p w14:paraId="3CB64999"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38323E43"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sz w:val="24"/>
          <w:szCs w:val="24"/>
        </w:rPr>
        <w:t>Ultimately, this approach reflects youth work’s holistic approach to personal and social development as outlined in NOS (CLD Standards Council Scotland, 2019), and reflects the adolescent educational principles suggested by Rose (</w:t>
      </w:r>
      <w:r w:rsidRPr="00A21D08">
        <w:rPr>
          <w:rFonts w:ascii="Times New Roman" w:eastAsia="Times New Roman" w:hAnsi="Times New Roman" w:cs="Times New Roman"/>
          <w:i/>
          <w:iCs/>
          <w:sz w:val="24"/>
          <w:szCs w:val="24"/>
        </w:rPr>
        <w:t>cited in</w:t>
      </w:r>
      <w:r w:rsidRPr="00A21D08">
        <w:rPr>
          <w:rFonts w:ascii="Times New Roman" w:eastAsia="Times New Roman" w:hAnsi="Times New Roman" w:cs="Times New Roman"/>
          <w:sz w:val="24"/>
          <w:szCs w:val="24"/>
        </w:rPr>
        <w:t xml:space="preserve"> Jeffs and Smith, 2010).</w:t>
      </w:r>
    </w:p>
    <w:p w14:paraId="7A8B5558"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24"/>
          <w:sz w:val="24"/>
          <w:szCs w:val="24"/>
        </w:rPr>
      </w:pPr>
    </w:p>
    <w:p w14:paraId="4E561C56"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0"/>
          <w:sz w:val="24"/>
          <w:szCs w:val="24"/>
        </w:rPr>
      </w:pPr>
    </w:p>
    <w:p w14:paraId="2445BC58" w14:textId="77777777" w:rsidR="00A21D08" w:rsidRPr="00A21D08" w:rsidRDefault="00A21D08" w:rsidP="00A21D08">
      <w:pPr>
        <w:spacing w:line="480" w:lineRule="auto"/>
        <w:jc w:val="both"/>
        <w:rPr>
          <w:rFonts w:ascii="Times New Roman" w:hAnsi="Times New Roman" w:cs="Times New Roman"/>
          <w:sz w:val="24"/>
          <w:szCs w:val="24"/>
        </w:rPr>
      </w:pPr>
    </w:p>
    <w:p w14:paraId="3CE52621" w14:textId="3DF49FAC"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br w:type="page"/>
      </w:r>
    </w:p>
    <w:p w14:paraId="286EAF6E" w14:textId="4197951B" w:rsidR="00A21D08" w:rsidRPr="002D790C" w:rsidRDefault="00A21D08" w:rsidP="00A21D08">
      <w:pPr>
        <w:spacing w:line="480" w:lineRule="auto"/>
        <w:jc w:val="both"/>
        <w:rPr>
          <w:rFonts w:ascii="Times New Roman" w:hAnsi="Times New Roman" w:cs="Times New Roman"/>
          <w:b/>
          <w:bCs/>
          <w:sz w:val="24"/>
          <w:szCs w:val="24"/>
          <w:u w:val="single"/>
        </w:rPr>
      </w:pPr>
      <w:r w:rsidRPr="002D790C">
        <w:rPr>
          <w:rFonts w:ascii="Times New Roman" w:hAnsi="Times New Roman" w:cs="Times New Roman"/>
          <w:b/>
          <w:bCs/>
          <w:sz w:val="24"/>
          <w:szCs w:val="24"/>
          <w:u w:val="single"/>
        </w:rPr>
        <w:lastRenderedPageBreak/>
        <w:t>Slide 14</w:t>
      </w:r>
    </w:p>
    <w:p w14:paraId="7C43ED60" w14:textId="6F3FF2A4"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279592A6">
          <v:shape id="_x0000_i1038" type="#_x0000_t75" style="width:5in;height:204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8" DrawAspect="Content" ObjectID="_1798919005" r:id="rId33"/>
        </w:object>
      </w:r>
    </w:p>
    <w:p w14:paraId="52F0726C"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color w:val="212529"/>
          <w:sz w:val="24"/>
          <w:szCs w:val="24"/>
        </w:rPr>
      </w:pPr>
      <w:r w:rsidRPr="00A21D08">
        <w:rPr>
          <w:rFonts w:ascii="Times New Roman" w:eastAsia="Times New Roman" w:hAnsi="Times New Roman" w:cs="Times New Roman"/>
          <w:color w:val="212529"/>
          <w:sz w:val="24"/>
          <w:szCs w:val="24"/>
        </w:rPr>
        <w:t>In conclusion, youth work provides crucial support during the formative years of adolescence by fostering environments where young people can build their sense of self, acquire knowledge, and develop the skills necessary to navigate its complexities (Welsh Government, 2024). By establishing trusted relationships with adults, often the only supportive figures in their lives, youth workers are positioned to positively influence LGBTQ+ young people, enhancing their resilience, self-confidence, and overall well-being (Youth Borders, 2020).</w:t>
      </w:r>
    </w:p>
    <w:p w14:paraId="6D628BB9"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78972706"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color w:val="212529"/>
          <w:sz w:val="24"/>
          <w:szCs w:val="24"/>
        </w:rPr>
        <w:t>The principles of equity, diversity, and inclusion, as outlined in the NOS are central to effective youth work practice (CLD Standards Council Scotland, 2019).  Through initiatives that prioritise safe spaces, participation, and shared experiences, youth workers can empower LGBTQ+ young people to voice their experiences, confront stigma, and combat discrimination (Anderson, 2023). Such an approach not only addresses the immediate needs of young people but also fosters a sense of belonging and community, vital for their emotional and social development (NYA, 2024).</w:t>
      </w:r>
    </w:p>
    <w:p w14:paraId="59C103E5"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color w:val="212529"/>
          <w:sz w:val="24"/>
          <w:szCs w:val="24"/>
        </w:rPr>
      </w:pPr>
    </w:p>
    <w:p w14:paraId="5CBF45A0"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color w:val="212529"/>
          <w:sz w:val="24"/>
          <w:szCs w:val="24"/>
        </w:rPr>
        <w:lastRenderedPageBreak/>
        <w:t>Experiential learning plays a significant role in promoting resilience among LGBTQ+ young people (Marion, 2024). By engaging in hands-on activities like community service and sports, young individuals can build supportive networks and develop trust within their peer groups, critical elements for overcoming the challenges posed by bullying, rejection, and isolation (Mermaids UK, 2021).</w:t>
      </w:r>
    </w:p>
    <w:p w14:paraId="30DEF85F"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color w:val="212529"/>
          <w:sz w:val="24"/>
          <w:szCs w:val="24"/>
        </w:rPr>
      </w:pPr>
    </w:p>
    <w:p w14:paraId="74EB27E7"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color w:val="212529"/>
          <w:sz w:val="24"/>
          <w:szCs w:val="24"/>
        </w:rPr>
      </w:pPr>
      <w:r w:rsidRPr="00A21D08">
        <w:rPr>
          <w:rFonts w:ascii="Times New Roman" w:eastAsia="Times New Roman" w:hAnsi="Times New Roman" w:cs="Times New Roman"/>
          <w:color w:val="212529"/>
          <w:sz w:val="24"/>
          <w:szCs w:val="24"/>
        </w:rPr>
        <w:t>By promoting equality, celebrating diversity, and tackling oppression, youth work plays a vital role in fostering a supportive landscape where LGBTQ+ young people can flourish (Sapin, 2013). Through consistent support, advocacy, and empowerment, youth workers can help young individuals navigate their paths toward adulthood, ensuring they can access the opportunities and resources they need to lead fulfilling lives (Welsh Government, 2024).</w:t>
      </w:r>
    </w:p>
    <w:p w14:paraId="7C66CF7C"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p>
    <w:p w14:paraId="0F32D0F2" w14:textId="77777777" w:rsidR="00A21D08" w:rsidRPr="00A21D08" w:rsidRDefault="00A21D08" w:rsidP="00A21D08">
      <w:pPr>
        <w:autoSpaceDE w:val="0"/>
        <w:autoSpaceDN w:val="0"/>
        <w:adjustRightInd w:val="0"/>
        <w:spacing w:after="0" w:line="480" w:lineRule="auto"/>
        <w:jc w:val="both"/>
        <w:rPr>
          <w:rFonts w:ascii="Times New Roman" w:eastAsia="Times New Roman" w:hAnsi="Times New Roman" w:cs="Times New Roman"/>
          <w:sz w:val="24"/>
          <w:szCs w:val="24"/>
        </w:rPr>
      </w:pPr>
      <w:r w:rsidRPr="00A21D08">
        <w:rPr>
          <w:rFonts w:ascii="Times New Roman" w:eastAsia="Times New Roman" w:hAnsi="Times New Roman" w:cs="Times New Roman"/>
          <w:color w:val="212529"/>
          <w:sz w:val="24"/>
          <w:szCs w:val="24"/>
        </w:rPr>
        <w:t xml:space="preserve">This aligns with various standards and policies including the NOS (CLD Standards Council Scotland, 2019), the Equality Act (Legislation, 2010), the Well-being of Future Generations (Wales) Act (Welsh Government, 2015), the Youth Work Strategy for Wales </w:t>
      </w:r>
      <w:r w:rsidRPr="00A21D08">
        <w:rPr>
          <w:rFonts w:ascii="Times New Roman" w:eastAsia="Times New Roman" w:hAnsi="Times New Roman" w:cs="Times New Roman"/>
          <w:sz w:val="24"/>
          <w:szCs w:val="24"/>
        </w:rPr>
        <w:t xml:space="preserve">(Welsh Government, 2024), </w:t>
      </w:r>
      <w:r w:rsidRPr="00A21D08">
        <w:rPr>
          <w:rFonts w:ascii="Times New Roman" w:eastAsia="Times New Roman" w:hAnsi="Times New Roman" w:cs="Times New Roman"/>
          <w:color w:val="212529"/>
          <w:sz w:val="24"/>
          <w:szCs w:val="24"/>
        </w:rPr>
        <w:t>and the United Nations Convention on the Rights of the Child (UNICEF, 1989).</w:t>
      </w:r>
    </w:p>
    <w:p w14:paraId="2B8681FF"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24"/>
          <w:sz w:val="24"/>
          <w:szCs w:val="24"/>
        </w:rPr>
      </w:pPr>
    </w:p>
    <w:p w14:paraId="6235E24F" w14:textId="77777777" w:rsidR="00A21D08" w:rsidRPr="00A21D08" w:rsidRDefault="00A21D08" w:rsidP="00A21D08">
      <w:pPr>
        <w:autoSpaceDE w:val="0"/>
        <w:autoSpaceDN w:val="0"/>
        <w:adjustRightInd w:val="0"/>
        <w:spacing w:after="0" w:line="480" w:lineRule="auto"/>
        <w:jc w:val="both"/>
        <w:rPr>
          <w:rFonts w:ascii="Times New Roman" w:hAnsi="Times New Roman" w:cs="Times New Roman"/>
          <w:kern w:val="0"/>
          <w:sz w:val="24"/>
          <w:szCs w:val="24"/>
        </w:rPr>
      </w:pPr>
    </w:p>
    <w:p w14:paraId="0C22FE20" w14:textId="77777777" w:rsidR="00A21D08" w:rsidRPr="00A21D08" w:rsidRDefault="00A21D08" w:rsidP="00A21D08">
      <w:pPr>
        <w:spacing w:line="480" w:lineRule="auto"/>
        <w:jc w:val="both"/>
        <w:rPr>
          <w:rFonts w:ascii="Times New Roman" w:hAnsi="Times New Roman" w:cs="Times New Roman"/>
          <w:sz w:val="24"/>
          <w:szCs w:val="24"/>
        </w:rPr>
      </w:pPr>
    </w:p>
    <w:p w14:paraId="238971F5" w14:textId="6AE580C5"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br w:type="page"/>
      </w:r>
    </w:p>
    <w:p w14:paraId="00128829" w14:textId="034C6283" w:rsidR="00A21D08" w:rsidRPr="00AD63C4" w:rsidRDefault="00A21D08" w:rsidP="00A21D08">
      <w:pPr>
        <w:spacing w:line="480" w:lineRule="auto"/>
        <w:jc w:val="both"/>
        <w:rPr>
          <w:rFonts w:ascii="Times New Roman" w:hAnsi="Times New Roman" w:cs="Times New Roman"/>
          <w:b/>
          <w:bCs/>
          <w:sz w:val="24"/>
          <w:szCs w:val="24"/>
          <w:u w:val="single"/>
        </w:rPr>
      </w:pPr>
      <w:r w:rsidRPr="00AD63C4">
        <w:rPr>
          <w:rFonts w:ascii="Times New Roman" w:hAnsi="Times New Roman" w:cs="Times New Roman"/>
          <w:b/>
          <w:bCs/>
          <w:sz w:val="24"/>
          <w:szCs w:val="24"/>
          <w:u w:val="single"/>
        </w:rPr>
        <w:lastRenderedPageBreak/>
        <w:t>Slide 15</w:t>
      </w:r>
    </w:p>
    <w:p w14:paraId="6EBDE35D" w14:textId="71977363" w:rsidR="00A21D08" w:rsidRPr="00A21D08" w:rsidRDefault="00A21D08" w:rsidP="00A21D08">
      <w:pPr>
        <w:spacing w:line="480" w:lineRule="auto"/>
        <w:jc w:val="both"/>
        <w:rPr>
          <w:rFonts w:ascii="Times New Roman" w:hAnsi="Times New Roman" w:cs="Times New Roman"/>
          <w:sz w:val="24"/>
          <w:szCs w:val="24"/>
        </w:rPr>
      </w:pPr>
      <w:r w:rsidRPr="00A21D08">
        <w:rPr>
          <w:rFonts w:ascii="Times New Roman" w:hAnsi="Times New Roman" w:cs="Times New Roman"/>
          <w:sz w:val="24"/>
          <w:szCs w:val="24"/>
        </w:rPr>
        <w:object w:dxaOrig="9605" w:dyaOrig="5393" w14:anchorId="6428CBBF">
          <v:shape id="_x0000_i1039" type="#_x0000_t75" style="width:5in;height:204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9" DrawAspect="Content" ObjectID="_1798919006" r:id="rId35"/>
        </w:object>
      </w:r>
    </w:p>
    <w:p w14:paraId="3A1107E6" w14:textId="459FF115" w:rsidR="00A21D08" w:rsidRDefault="00A21D08" w:rsidP="00A21D0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Thank </w:t>
      </w:r>
      <w:r w:rsidR="00981686">
        <w:rPr>
          <w:rFonts w:ascii="Times New Roman" w:hAnsi="Times New Roman" w:cs="Times New Roman"/>
          <w:sz w:val="24"/>
          <w:szCs w:val="24"/>
        </w:rPr>
        <w:t xml:space="preserve">you for </w:t>
      </w:r>
      <w:r>
        <w:rPr>
          <w:rFonts w:ascii="Times New Roman" w:hAnsi="Times New Roman" w:cs="Times New Roman"/>
          <w:sz w:val="24"/>
          <w:szCs w:val="24"/>
        </w:rPr>
        <w:t xml:space="preserve">listening. Does anyone have any questions? </w:t>
      </w:r>
    </w:p>
    <w:p w14:paraId="68069248" w14:textId="77777777" w:rsidR="0036003D" w:rsidRDefault="0036003D" w:rsidP="00A21D08">
      <w:pPr>
        <w:spacing w:line="480" w:lineRule="auto"/>
        <w:jc w:val="both"/>
        <w:rPr>
          <w:rFonts w:ascii="Times New Roman" w:hAnsi="Times New Roman" w:cs="Times New Roman"/>
          <w:sz w:val="24"/>
          <w:szCs w:val="24"/>
        </w:rPr>
      </w:pPr>
    </w:p>
    <w:p w14:paraId="6F5762F9" w14:textId="77777777" w:rsidR="0036003D" w:rsidRDefault="0036003D" w:rsidP="00A21D08">
      <w:pPr>
        <w:spacing w:line="480" w:lineRule="auto"/>
        <w:jc w:val="both"/>
        <w:rPr>
          <w:rFonts w:ascii="Times New Roman" w:hAnsi="Times New Roman" w:cs="Times New Roman"/>
          <w:sz w:val="24"/>
          <w:szCs w:val="24"/>
        </w:rPr>
      </w:pPr>
    </w:p>
    <w:p w14:paraId="7CB9DB63" w14:textId="77777777" w:rsidR="0036003D" w:rsidRDefault="0036003D" w:rsidP="00A21D08">
      <w:pPr>
        <w:spacing w:line="480" w:lineRule="auto"/>
        <w:jc w:val="both"/>
        <w:rPr>
          <w:rFonts w:ascii="Times New Roman" w:hAnsi="Times New Roman" w:cs="Times New Roman"/>
          <w:sz w:val="24"/>
          <w:szCs w:val="24"/>
        </w:rPr>
      </w:pPr>
    </w:p>
    <w:p w14:paraId="1D14B107" w14:textId="77777777" w:rsidR="0036003D" w:rsidRDefault="0036003D" w:rsidP="00A21D08">
      <w:pPr>
        <w:spacing w:line="480" w:lineRule="auto"/>
        <w:jc w:val="both"/>
        <w:rPr>
          <w:rFonts w:ascii="Times New Roman" w:hAnsi="Times New Roman" w:cs="Times New Roman"/>
          <w:sz w:val="24"/>
          <w:szCs w:val="24"/>
        </w:rPr>
      </w:pPr>
    </w:p>
    <w:p w14:paraId="24FF6FEA" w14:textId="77777777" w:rsidR="0036003D" w:rsidRDefault="0036003D" w:rsidP="00A21D08">
      <w:pPr>
        <w:spacing w:line="480" w:lineRule="auto"/>
        <w:jc w:val="both"/>
        <w:rPr>
          <w:rFonts w:ascii="Times New Roman" w:hAnsi="Times New Roman" w:cs="Times New Roman"/>
          <w:sz w:val="24"/>
          <w:szCs w:val="24"/>
        </w:rPr>
      </w:pPr>
    </w:p>
    <w:p w14:paraId="06ED0C62" w14:textId="77777777" w:rsidR="0036003D" w:rsidRDefault="0036003D" w:rsidP="00A21D08">
      <w:pPr>
        <w:spacing w:line="480" w:lineRule="auto"/>
        <w:jc w:val="both"/>
        <w:rPr>
          <w:rFonts w:ascii="Times New Roman" w:hAnsi="Times New Roman" w:cs="Times New Roman"/>
          <w:sz w:val="24"/>
          <w:szCs w:val="24"/>
        </w:rPr>
      </w:pPr>
    </w:p>
    <w:p w14:paraId="6C362259" w14:textId="77777777" w:rsidR="0036003D" w:rsidRDefault="0036003D" w:rsidP="00A21D08">
      <w:pPr>
        <w:spacing w:line="480" w:lineRule="auto"/>
        <w:jc w:val="both"/>
        <w:rPr>
          <w:rFonts w:ascii="Times New Roman" w:hAnsi="Times New Roman" w:cs="Times New Roman"/>
          <w:sz w:val="24"/>
          <w:szCs w:val="24"/>
        </w:rPr>
      </w:pPr>
    </w:p>
    <w:p w14:paraId="247F32A5" w14:textId="77777777" w:rsidR="0036003D" w:rsidRDefault="0036003D" w:rsidP="00A21D08">
      <w:pPr>
        <w:spacing w:line="480" w:lineRule="auto"/>
        <w:jc w:val="both"/>
        <w:rPr>
          <w:rFonts w:ascii="Times New Roman" w:hAnsi="Times New Roman" w:cs="Times New Roman"/>
          <w:sz w:val="24"/>
          <w:szCs w:val="24"/>
        </w:rPr>
      </w:pPr>
    </w:p>
    <w:p w14:paraId="65945F8E" w14:textId="77777777" w:rsidR="0036003D" w:rsidRDefault="0036003D" w:rsidP="00A21D08">
      <w:pPr>
        <w:spacing w:line="480" w:lineRule="auto"/>
        <w:jc w:val="both"/>
        <w:rPr>
          <w:rFonts w:ascii="Times New Roman" w:hAnsi="Times New Roman" w:cs="Times New Roman"/>
          <w:sz w:val="24"/>
          <w:szCs w:val="24"/>
        </w:rPr>
      </w:pPr>
    </w:p>
    <w:p w14:paraId="38380B29" w14:textId="77777777" w:rsidR="0036003D" w:rsidRDefault="0036003D" w:rsidP="00A21D08">
      <w:pPr>
        <w:spacing w:line="480" w:lineRule="auto"/>
        <w:jc w:val="both"/>
        <w:rPr>
          <w:rFonts w:ascii="Times New Roman" w:hAnsi="Times New Roman" w:cs="Times New Roman"/>
          <w:sz w:val="24"/>
          <w:szCs w:val="24"/>
        </w:rPr>
      </w:pPr>
    </w:p>
    <w:p w14:paraId="6212FEC8" w14:textId="77777777" w:rsidR="0036003D" w:rsidRDefault="0036003D" w:rsidP="00A21D08">
      <w:pPr>
        <w:spacing w:line="480" w:lineRule="auto"/>
        <w:jc w:val="both"/>
        <w:rPr>
          <w:rFonts w:ascii="Times New Roman" w:hAnsi="Times New Roman" w:cs="Times New Roman"/>
          <w:sz w:val="24"/>
          <w:szCs w:val="24"/>
        </w:rPr>
      </w:pPr>
    </w:p>
    <w:p w14:paraId="0CABF318"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u w:val="single"/>
        </w:rPr>
        <w:lastRenderedPageBreak/>
        <w:t>References</w:t>
      </w:r>
    </w:p>
    <w:p w14:paraId="3B999BA9" w14:textId="77777777" w:rsidR="0036003D" w:rsidRPr="0036003D" w:rsidRDefault="0036003D" w:rsidP="00AD63C4">
      <w:pPr>
        <w:spacing w:line="360" w:lineRule="auto"/>
        <w:jc w:val="both"/>
        <w:rPr>
          <w:rFonts w:ascii="Times New Roman" w:hAnsi="Times New Roman" w:cs="Times New Roman"/>
          <w:i/>
          <w:iCs/>
          <w:sz w:val="24"/>
          <w:szCs w:val="24"/>
        </w:rPr>
      </w:pPr>
      <w:r w:rsidRPr="0036003D">
        <w:rPr>
          <w:rFonts w:ascii="Times New Roman" w:hAnsi="Times New Roman" w:cs="Times New Roman"/>
          <w:sz w:val="24"/>
          <w:szCs w:val="24"/>
        </w:rPr>
        <w:t xml:space="preserve">Anderson, S. (2023) </w:t>
      </w:r>
      <w:r w:rsidRPr="0036003D">
        <w:rPr>
          <w:rFonts w:ascii="Times New Roman" w:hAnsi="Times New Roman" w:cs="Times New Roman"/>
          <w:i/>
          <w:iCs/>
          <w:sz w:val="24"/>
          <w:szCs w:val="24"/>
        </w:rPr>
        <w:t xml:space="preserve">Youth work blog – how youth centres support the LGBTQ+ the community. </w:t>
      </w:r>
      <w:r w:rsidRPr="0036003D">
        <w:rPr>
          <w:rFonts w:ascii="Times New Roman" w:hAnsi="Times New Roman" w:cs="Times New Roman"/>
          <w:sz w:val="24"/>
          <w:szCs w:val="24"/>
        </w:rPr>
        <w:t>Available at: https://www.onsideyouthzones.org/news/youth-workers-supporting-the-lgbt-community/ (Accessed: 11 January 2025).</w:t>
      </w:r>
    </w:p>
    <w:p w14:paraId="0EF5883A"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Barnardo’s (2019) </w:t>
      </w:r>
      <w:r w:rsidRPr="0036003D">
        <w:rPr>
          <w:rFonts w:ascii="Times New Roman" w:hAnsi="Times New Roman" w:cs="Times New Roman"/>
          <w:i/>
          <w:iCs/>
          <w:sz w:val="24"/>
          <w:szCs w:val="24"/>
        </w:rPr>
        <w:t xml:space="preserve">Why young people need famous LGBT+ roles models? </w:t>
      </w:r>
      <w:r w:rsidRPr="0036003D">
        <w:rPr>
          <w:rFonts w:ascii="Times New Roman" w:hAnsi="Times New Roman" w:cs="Times New Roman"/>
          <w:sz w:val="24"/>
          <w:szCs w:val="24"/>
        </w:rPr>
        <w:t>Available at:</w:t>
      </w:r>
      <w:r w:rsidRPr="0036003D">
        <w:rPr>
          <w:rFonts w:ascii="Times New Roman" w:hAnsi="Times New Roman" w:cs="Times New Roman"/>
          <w:i/>
          <w:iCs/>
          <w:sz w:val="24"/>
          <w:szCs w:val="24"/>
        </w:rPr>
        <w:t xml:space="preserve"> </w:t>
      </w:r>
      <w:r w:rsidRPr="0036003D">
        <w:rPr>
          <w:rFonts w:ascii="Times New Roman" w:hAnsi="Times New Roman" w:cs="Times New Roman"/>
          <w:sz w:val="24"/>
          <w:szCs w:val="24"/>
        </w:rPr>
        <w:t>https://www.barnardos.org.uk/blog/why-young-people-need-famous-lgbt-roles-models (Accessed: 29 December 2024).</w:t>
      </w:r>
    </w:p>
    <w:p w14:paraId="7C77C6C6" w14:textId="77777777" w:rsidR="0036003D" w:rsidRPr="0036003D" w:rsidRDefault="0036003D" w:rsidP="00AD63C4">
      <w:pPr>
        <w:spacing w:line="360" w:lineRule="auto"/>
        <w:jc w:val="both"/>
        <w:rPr>
          <w:rFonts w:ascii="Times New Roman" w:hAnsi="Times New Roman" w:cs="Times New Roman"/>
          <w:sz w:val="24"/>
          <w:szCs w:val="24"/>
        </w:rPr>
      </w:pPr>
      <w:proofErr w:type="spellStart"/>
      <w:r w:rsidRPr="0036003D">
        <w:rPr>
          <w:rFonts w:ascii="Times New Roman" w:hAnsi="Times New Roman" w:cs="Times New Roman"/>
          <w:sz w:val="24"/>
          <w:szCs w:val="24"/>
        </w:rPr>
        <w:t>Center</w:t>
      </w:r>
      <w:proofErr w:type="spellEnd"/>
      <w:r w:rsidRPr="0036003D">
        <w:rPr>
          <w:rFonts w:ascii="Times New Roman" w:hAnsi="Times New Roman" w:cs="Times New Roman"/>
          <w:sz w:val="24"/>
          <w:szCs w:val="24"/>
        </w:rPr>
        <w:t xml:space="preserve"> for the Study of Social Policy (2018) </w:t>
      </w:r>
      <w:r w:rsidRPr="0036003D">
        <w:rPr>
          <w:rFonts w:ascii="Times New Roman" w:hAnsi="Times New Roman" w:cs="Times New Roman"/>
          <w:i/>
          <w:iCs/>
          <w:sz w:val="24"/>
          <w:szCs w:val="24"/>
        </w:rPr>
        <w:t>Knowledge of adolescent development.</w:t>
      </w:r>
      <w:r w:rsidRPr="0036003D">
        <w:rPr>
          <w:rFonts w:ascii="Times New Roman" w:hAnsi="Times New Roman" w:cs="Times New Roman"/>
          <w:sz w:val="24"/>
          <w:szCs w:val="24"/>
        </w:rPr>
        <w:t xml:space="preserve"> Available at: https://cssp.org/wp-content/uploads/2018/08/YT_Knowledge-of-Adolescent-Development.pdf (Accessed: 5 January 2025). </w:t>
      </w:r>
    </w:p>
    <w:p w14:paraId="2F2DA94A" w14:textId="6D949CD6"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CLD Standards Council Scotland (2019) </w:t>
      </w:r>
      <w:r w:rsidRPr="0036003D">
        <w:rPr>
          <w:rFonts w:ascii="Times New Roman" w:hAnsi="Times New Roman" w:cs="Times New Roman"/>
          <w:i/>
          <w:iCs/>
          <w:sz w:val="24"/>
          <w:szCs w:val="24"/>
        </w:rPr>
        <w:t>Youth Work National Occupational Standards.</w:t>
      </w:r>
      <w:r w:rsidRPr="0036003D">
        <w:rPr>
          <w:rFonts w:ascii="Times New Roman" w:hAnsi="Times New Roman" w:cs="Times New Roman"/>
          <w:sz w:val="24"/>
          <w:szCs w:val="24"/>
        </w:rPr>
        <w:t xml:space="preserve"> Glasgow: CLD Standards Council Scotland. </w:t>
      </w:r>
    </w:p>
    <w:p w14:paraId="05C45A99"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Cotterell, J. (1996) </w:t>
      </w:r>
      <w:r w:rsidRPr="0036003D">
        <w:rPr>
          <w:rFonts w:ascii="Times New Roman" w:hAnsi="Times New Roman" w:cs="Times New Roman"/>
          <w:i/>
          <w:iCs/>
          <w:sz w:val="24"/>
          <w:szCs w:val="24"/>
        </w:rPr>
        <w:t>Social networks and social influences in adolescence</w:t>
      </w:r>
      <w:r w:rsidRPr="0036003D">
        <w:rPr>
          <w:rFonts w:ascii="Times New Roman" w:hAnsi="Times New Roman" w:cs="Times New Roman"/>
          <w:sz w:val="24"/>
          <w:szCs w:val="24"/>
        </w:rPr>
        <w:t>. London; New York: Routledge.</w:t>
      </w:r>
    </w:p>
    <w:p w14:paraId="58D44379"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Craig, S.L. </w:t>
      </w:r>
      <w:r w:rsidRPr="0036003D">
        <w:rPr>
          <w:rFonts w:ascii="Times New Roman" w:hAnsi="Times New Roman" w:cs="Times New Roman"/>
          <w:i/>
          <w:iCs/>
          <w:sz w:val="24"/>
          <w:szCs w:val="24"/>
        </w:rPr>
        <w:t>et al.</w:t>
      </w:r>
      <w:r w:rsidRPr="0036003D">
        <w:rPr>
          <w:rFonts w:ascii="Times New Roman" w:hAnsi="Times New Roman" w:cs="Times New Roman"/>
          <w:sz w:val="24"/>
          <w:szCs w:val="24"/>
        </w:rPr>
        <w:t xml:space="preserve"> (2020) ‘Frequencies and patterns of adverse childhood events in LGBTQ+ youth’, </w:t>
      </w:r>
      <w:r w:rsidRPr="0036003D">
        <w:rPr>
          <w:rFonts w:ascii="Times New Roman" w:hAnsi="Times New Roman" w:cs="Times New Roman"/>
          <w:i/>
          <w:iCs/>
          <w:sz w:val="24"/>
          <w:szCs w:val="24"/>
        </w:rPr>
        <w:t>Child Abuse &amp; Neglect</w:t>
      </w:r>
      <w:r w:rsidRPr="0036003D">
        <w:rPr>
          <w:rFonts w:ascii="Times New Roman" w:hAnsi="Times New Roman" w:cs="Times New Roman"/>
          <w:sz w:val="24"/>
          <w:szCs w:val="24"/>
        </w:rPr>
        <w:t>. Available at: https://pubmed.ncbi.nlm.nih.gov/32682145/ (Accessed: 10 January 2025).</w:t>
      </w:r>
    </w:p>
    <w:p w14:paraId="622D5305"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Cullen, L. and Meehan, D. (2018) </w:t>
      </w:r>
      <w:r w:rsidRPr="0036003D">
        <w:rPr>
          <w:rFonts w:ascii="Times New Roman" w:hAnsi="Times New Roman" w:cs="Times New Roman"/>
          <w:i/>
          <w:iCs/>
          <w:sz w:val="24"/>
          <w:szCs w:val="24"/>
        </w:rPr>
        <w:t>A Youth Worker’s Resource: Encouraging LGBTQ+ Inclusive Practice</w:t>
      </w:r>
      <w:r w:rsidRPr="0036003D">
        <w:rPr>
          <w:rFonts w:ascii="Times New Roman" w:hAnsi="Times New Roman" w:cs="Times New Roman"/>
          <w:sz w:val="24"/>
          <w:szCs w:val="24"/>
        </w:rPr>
        <w:t xml:space="preserve">. Available at: https://cara-friend.org.uk/wp-content/uploads/2018/09/22307-CaraFriend-Youth-Worker-Booklet-LGBTQ-Final-screen.pdf (Accessed: 5 January 2025). </w:t>
      </w:r>
    </w:p>
    <w:p w14:paraId="7FD6CD64" w14:textId="77777777" w:rsidR="0036003D" w:rsidRPr="0036003D" w:rsidRDefault="0036003D" w:rsidP="00AD63C4">
      <w:pPr>
        <w:spacing w:line="360" w:lineRule="auto"/>
        <w:jc w:val="both"/>
        <w:rPr>
          <w:rFonts w:ascii="Times New Roman" w:hAnsi="Times New Roman" w:cs="Times New Roman"/>
          <w:sz w:val="24"/>
          <w:szCs w:val="24"/>
        </w:rPr>
      </w:pPr>
      <w:proofErr w:type="spellStart"/>
      <w:r w:rsidRPr="0036003D">
        <w:rPr>
          <w:rFonts w:ascii="Times New Roman" w:hAnsi="Times New Roman" w:cs="Times New Roman"/>
          <w:sz w:val="24"/>
          <w:szCs w:val="24"/>
        </w:rPr>
        <w:t>Dellenty</w:t>
      </w:r>
      <w:proofErr w:type="spellEnd"/>
      <w:r w:rsidRPr="0036003D">
        <w:rPr>
          <w:rFonts w:ascii="Times New Roman" w:hAnsi="Times New Roman" w:cs="Times New Roman"/>
          <w:sz w:val="24"/>
          <w:szCs w:val="24"/>
        </w:rPr>
        <w:t xml:space="preserve">, S. (2019) </w:t>
      </w:r>
      <w:r w:rsidRPr="0036003D">
        <w:rPr>
          <w:rFonts w:ascii="Times New Roman" w:hAnsi="Times New Roman" w:cs="Times New Roman"/>
          <w:i/>
          <w:iCs/>
          <w:sz w:val="24"/>
          <w:szCs w:val="24"/>
        </w:rPr>
        <w:t>Celebrating difference: a whole-school approach to LGBT+ inclusion</w:t>
      </w:r>
      <w:r w:rsidRPr="0036003D">
        <w:rPr>
          <w:rFonts w:ascii="Times New Roman" w:hAnsi="Times New Roman" w:cs="Times New Roman"/>
          <w:sz w:val="24"/>
          <w:szCs w:val="24"/>
        </w:rPr>
        <w:t>. London: Bloomsbury Education.</w:t>
      </w:r>
    </w:p>
    <w:p w14:paraId="6E9268B7"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Glasgow City Health and Social Care Partnership (2023) </w:t>
      </w:r>
      <w:r w:rsidRPr="0036003D">
        <w:rPr>
          <w:rFonts w:ascii="Times New Roman" w:hAnsi="Times New Roman" w:cs="Times New Roman"/>
          <w:i/>
          <w:iCs/>
          <w:sz w:val="24"/>
          <w:szCs w:val="24"/>
        </w:rPr>
        <w:t>Vulnerable groups</w:t>
      </w:r>
      <w:r w:rsidRPr="0036003D">
        <w:rPr>
          <w:rFonts w:ascii="Times New Roman" w:hAnsi="Times New Roman" w:cs="Times New Roman"/>
          <w:sz w:val="24"/>
          <w:szCs w:val="24"/>
        </w:rPr>
        <w:t>. Available at: https://rightdecisions.scot.nhs.uk/media/ohwgpmns/july-2023-hwb-vulnerable-groups.pdf (Accessed: 13 January 2025).</w:t>
      </w:r>
    </w:p>
    <w:p w14:paraId="01C82A32"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Jeffs, T. and Smith, M. (2010) </w:t>
      </w:r>
      <w:r w:rsidRPr="0036003D">
        <w:rPr>
          <w:rFonts w:ascii="Times New Roman" w:hAnsi="Times New Roman" w:cs="Times New Roman"/>
          <w:i/>
          <w:iCs/>
          <w:sz w:val="24"/>
          <w:szCs w:val="24"/>
        </w:rPr>
        <w:t>Youth Work Practice</w:t>
      </w:r>
      <w:r w:rsidRPr="0036003D">
        <w:rPr>
          <w:rFonts w:ascii="Times New Roman" w:hAnsi="Times New Roman" w:cs="Times New Roman"/>
          <w:sz w:val="24"/>
          <w:szCs w:val="24"/>
        </w:rPr>
        <w:t>. Basingstoke: Palgrave Macmillan.</w:t>
      </w:r>
    </w:p>
    <w:p w14:paraId="7707816C"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Legislation (2010) </w:t>
      </w:r>
      <w:r w:rsidRPr="0036003D">
        <w:rPr>
          <w:rFonts w:ascii="Times New Roman" w:hAnsi="Times New Roman" w:cs="Times New Roman"/>
          <w:i/>
          <w:iCs/>
          <w:sz w:val="24"/>
          <w:szCs w:val="24"/>
        </w:rPr>
        <w:t>Equality Act 2010.</w:t>
      </w:r>
      <w:r w:rsidRPr="0036003D">
        <w:rPr>
          <w:rFonts w:ascii="Times New Roman" w:hAnsi="Times New Roman" w:cs="Times New Roman"/>
          <w:sz w:val="24"/>
          <w:szCs w:val="24"/>
        </w:rPr>
        <w:t xml:space="preserve"> Available at: https://www.legislation.gov.uk/ukpga/2010/15/contents (Accessed: 15 January 2025).</w:t>
      </w:r>
    </w:p>
    <w:p w14:paraId="75FD1474"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lastRenderedPageBreak/>
        <w:t xml:space="preserve">Marion, P. (2024) </w:t>
      </w:r>
      <w:r w:rsidRPr="0036003D">
        <w:rPr>
          <w:rFonts w:ascii="Times New Roman" w:hAnsi="Times New Roman" w:cs="Times New Roman"/>
          <w:i/>
          <w:iCs/>
          <w:sz w:val="24"/>
          <w:szCs w:val="24"/>
        </w:rPr>
        <w:t>The Transformative Power of Experiential Mental Health Learning.</w:t>
      </w:r>
      <w:r w:rsidRPr="0036003D">
        <w:rPr>
          <w:rFonts w:ascii="Times New Roman" w:hAnsi="Times New Roman" w:cs="Times New Roman"/>
          <w:sz w:val="24"/>
          <w:szCs w:val="24"/>
        </w:rPr>
        <w:t xml:space="preserve"> Available at: https://medium.com/@pennymarion/the-transformative-power-of-experiential-mental-health-learning-c2ada3ca9961#:~:text=Long%2Dlasting%20Impact%20and%20Sustainable,for%20sustained%20growth%20and%20resilience. (Accessed: 15 January 2025).</w:t>
      </w:r>
    </w:p>
    <w:p w14:paraId="09069F9A" w14:textId="00CD9F74" w:rsidR="0036003D" w:rsidRPr="0036003D" w:rsidRDefault="0036003D" w:rsidP="00AD63C4">
      <w:pPr>
        <w:spacing w:line="360" w:lineRule="auto"/>
        <w:jc w:val="both"/>
        <w:rPr>
          <w:rFonts w:ascii="Times New Roman" w:hAnsi="Times New Roman" w:cs="Times New Roman"/>
          <w:b/>
          <w:bCs/>
          <w:sz w:val="24"/>
          <w:szCs w:val="24"/>
        </w:rPr>
      </w:pPr>
      <w:r w:rsidRPr="0036003D">
        <w:rPr>
          <w:rFonts w:ascii="Times New Roman" w:hAnsi="Times New Roman" w:cs="Times New Roman"/>
          <w:sz w:val="24"/>
          <w:szCs w:val="24"/>
        </w:rPr>
        <w:t>McLeod</w:t>
      </w:r>
      <w:r w:rsidR="00052A4C">
        <w:rPr>
          <w:rFonts w:ascii="Times New Roman" w:hAnsi="Times New Roman" w:cs="Times New Roman"/>
          <w:sz w:val="24"/>
          <w:szCs w:val="24"/>
        </w:rPr>
        <w:t xml:space="preserve">, S. </w:t>
      </w:r>
      <w:r w:rsidRPr="0036003D">
        <w:rPr>
          <w:rFonts w:ascii="Times New Roman" w:hAnsi="Times New Roman" w:cs="Times New Roman"/>
          <w:sz w:val="24"/>
          <w:szCs w:val="24"/>
        </w:rPr>
        <w:t xml:space="preserve">(2024) </w:t>
      </w:r>
      <w:r w:rsidRPr="0036003D">
        <w:rPr>
          <w:rFonts w:ascii="Times New Roman" w:hAnsi="Times New Roman" w:cs="Times New Roman"/>
          <w:i/>
          <w:iCs/>
          <w:sz w:val="24"/>
          <w:szCs w:val="24"/>
        </w:rPr>
        <w:t>Erik Erikson’s Stages of Development.</w:t>
      </w:r>
      <w:r w:rsidRPr="0036003D">
        <w:rPr>
          <w:rFonts w:ascii="Times New Roman" w:hAnsi="Times New Roman" w:cs="Times New Roman"/>
          <w:sz w:val="24"/>
          <w:szCs w:val="24"/>
        </w:rPr>
        <w:t xml:space="preserve"> Available at: https://www.simplypsychology.org/erik-erikson.html (Accessed: 9 January 2025).</w:t>
      </w:r>
    </w:p>
    <w:p w14:paraId="5E259B5A"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National Health Service (2020) </w:t>
      </w:r>
      <w:r w:rsidRPr="0036003D">
        <w:rPr>
          <w:rFonts w:ascii="Times New Roman" w:hAnsi="Times New Roman" w:cs="Times New Roman"/>
          <w:i/>
          <w:iCs/>
          <w:sz w:val="24"/>
          <w:szCs w:val="24"/>
        </w:rPr>
        <w:t>Gender dysphoria.</w:t>
      </w:r>
      <w:r w:rsidRPr="0036003D">
        <w:rPr>
          <w:rFonts w:ascii="Times New Roman" w:hAnsi="Times New Roman" w:cs="Times New Roman"/>
          <w:sz w:val="24"/>
          <w:szCs w:val="24"/>
        </w:rPr>
        <w:t xml:space="preserve"> Available at: https://www.nhs.uk/conditions/gender-dysphoria/ (Accessed: 3 January 2025).</w:t>
      </w:r>
    </w:p>
    <w:p w14:paraId="63C5C5AD"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National Youth Agency (2024) </w:t>
      </w:r>
      <w:r w:rsidRPr="00052A4C">
        <w:rPr>
          <w:rFonts w:ascii="Times New Roman" w:hAnsi="Times New Roman" w:cs="Times New Roman"/>
          <w:i/>
          <w:iCs/>
          <w:sz w:val="24"/>
          <w:szCs w:val="24"/>
        </w:rPr>
        <w:t>National Youth Work Curriculum.</w:t>
      </w:r>
      <w:r w:rsidRPr="0036003D">
        <w:rPr>
          <w:rFonts w:ascii="Times New Roman" w:hAnsi="Times New Roman" w:cs="Times New Roman"/>
          <w:sz w:val="24"/>
          <w:szCs w:val="24"/>
        </w:rPr>
        <w:t xml:space="preserve"> Available at: https://nya.org.uk/wp-content/uploads/2024/04/5.3.1-0923-NYA-Youth-Work-Curriculum-DIGITAL1-03.24-1.pdf (Accessed: 29 December 2024).</w:t>
      </w:r>
    </w:p>
    <w:p w14:paraId="353D72F6"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NSPCC Learning (2024) </w:t>
      </w:r>
      <w:r w:rsidRPr="0036003D">
        <w:rPr>
          <w:rFonts w:ascii="Times New Roman" w:hAnsi="Times New Roman" w:cs="Times New Roman"/>
          <w:i/>
          <w:iCs/>
          <w:sz w:val="24"/>
          <w:szCs w:val="24"/>
        </w:rPr>
        <w:t>Safeguarding LGBTQ+ children and young people.</w:t>
      </w:r>
      <w:r w:rsidRPr="0036003D">
        <w:rPr>
          <w:rFonts w:ascii="Times New Roman" w:hAnsi="Times New Roman" w:cs="Times New Roman"/>
          <w:sz w:val="24"/>
          <w:szCs w:val="24"/>
        </w:rPr>
        <w:t xml:space="preserve"> Available at: https://learning.nspcc.org.uk/safeguarding-child-protection/lgbtq-children-young-people#skip-to-content (Accessed: 9 January 2025).</w:t>
      </w:r>
    </w:p>
    <w:p w14:paraId="11701D8A"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lang w:val="en-US"/>
        </w:rPr>
        <w:t xml:space="preserve">Office for National Statistics (2019) </w:t>
      </w:r>
      <w:r w:rsidRPr="0036003D">
        <w:rPr>
          <w:rFonts w:ascii="Times New Roman" w:hAnsi="Times New Roman" w:cs="Times New Roman"/>
          <w:i/>
          <w:iCs/>
          <w:sz w:val="24"/>
          <w:szCs w:val="24"/>
        </w:rPr>
        <w:t>What is the difference between sex and gender?</w:t>
      </w:r>
      <w:r w:rsidRPr="0036003D">
        <w:rPr>
          <w:rFonts w:ascii="Times New Roman" w:hAnsi="Times New Roman" w:cs="Times New Roman"/>
          <w:sz w:val="24"/>
          <w:szCs w:val="24"/>
        </w:rPr>
        <w:t xml:space="preserve"> Available at: https://backup.ons.gov.uk/wp-content/uploads/sites/3/2019/02/What-is-the-difference-between-sex-and-gender_-1.pdf (Accessed: 11 January 2025).</w:t>
      </w:r>
    </w:p>
    <w:p w14:paraId="1529E644"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Public Health Wales (2019) </w:t>
      </w:r>
      <w:r w:rsidRPr="0036003D">
        <w:rPr>
          <w:rFonts w:ascii="Times New Roman" w:hAnsi="Times New Roman" w:cs="Times New Roman"/>
          <w:i/>
          <w:iCs/>
          <w:sz w:val="24"/>
          <w:szCs w:val="24"/>
        </w:rPr>
        <w:t>Responding to Adverse Childhood Experiences.</w:t>
      </w:r>
      <w:r w:rsidRPr="0036003D">
        <w:rPr>
          <w:rFonts w:ascii="Times New Roman" w:hAnsi="Times New Roman" w:cs="Times New Roman"/>
          <w:sz w:val="24"/>
          <w:szCs w:val="24"/>
        </w:rPr>
        <w:t xml:space="preserve"> Available at: https://phw.nhs.wales/news/responding-to-adverse-childhood-experiences-an-evidence-review/responding-to-adverse-childhood-experiences/ (Accessed: 13 January 2025).</w:t>
      </w:r>
    </w:p>
    <w:p w14:paraId="03737BD9" w14:textId="77777777" w:rsidR="0036003D" w:rsidRPr="0036003D" w:rsidRDefault="0036003D" w:rsidP="00AD63C4">
      <w:pPr>
        <w:spacing w:line="360" w:lineRule="auto"/>
        <w:jc w:val="both"/>
        <w:rPr>
          <w:rFonts w:ascii="Times New Roman" w:hAnsi="Times New Roman" w:cs="Times New Roman"/>
          <w:sz w:val="24"/>
          <w:szCs w:val="24"/>
        </w:rPr>
      </w:pPr>
      <w:bookmarkStart w:id="0" w:name="_Hlk188302075"/>
      <w:r w:rsidRPr="0036003D">
        <w:rPr>
          <w:rFonts w:ascii="Times New Roman" w:hAnsi="Times New Roman" w:cs="Times New Roman"/>
          <w:sz w:val="24"/>
          <w:szCs w:val="24"/>
        </w:rPr>
        <w:t xml:space="preserve">Sapin, K. (2013) </w:t>
      </w:r>
      <w:r w:rsidRPr="0036003D">
        <w:rPr>
          <w:rFonts w:ascii="Times New Roman" w:hAnsi="Times New Roman" w:cs="Times New Roman"/>
          <w:i/>
          <w:iCs/>
          <w:sz w:val="24"/>
          <w:szCs w:val="24"/>
        </w:rPr>
        <w:t>Essential skills for youth work practice</w:t>
      </w:r>
      <w:r w:rsidRPr="0036003D">
        <w:rPr>
          <w:rFonts w:ascii="Times New Roman" w:hAnsi="Times New Roman" w:cs="Times New Roman"/>
          <w:sz w:val="24"/>
          <w:szCs w:val="24"/>
        </w:rPr>
        <w:t>. 2nd ed. London: Sage.</w:t>
      </w:r>
    </w:p>
    <w:bookmarkEnd w:id="0"/>
    <w:p w14:paraId="0062EFB4"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Stonewall (2017) </w:t>
      </w:r>
      <w:r w:rsidRPr="0036003D">
        <w:rPr>
          <w:rFonts w:ascii="Times New Roman" w:hAnsi="Times New Roman" w:cs="Times New Roman"/>
          <w:i/>
          <w:iCs/>
          <w:sz w:val="24"/>
          <w:szCs w:val="24"/>
        </w:rPr>
        <w:t>School Report (2017).</w:t>
      </w:r>
      <w:r w:rsidRPr="0036003D">
        <w:rPr>
          <w:rFonts w:ascii="Times New Roman" w:hAnsi="Times New Roman" w:cs="Times New Roman"/>
          <w:sz w:val="24"/>
          <w:szCs w:val="24"/>
        </w:rPr>
        <w:t xml:space="preserve"> Available at: https://www.stonewall.org.uk/resources/school-report-2017 (Accessed: 3 January 2025).</w:t>
      </w:r>
    </w:p>
    <w:p w14:paraId="0600D0A9"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Trans Student Educational Resources (2015) </w:t>
      </w:r>
      <w:r w:rsidRPr="0036003D">
        <w:rPr>
          <w:rFonts w:ascii="Times New Roman" w:hAnsi="Times New Roman" w:cs="Times New Roman"/>
          <w:i/>
          <w:iCs/>
          <w:sz w:val="24"/>
          <w:szCs w:val="24"/>
        </w:rPr>
        <w:t xml:space="preserve">Gender Unicorn. </w:t>
      </w:r>
      <w:r w:rsidRPr="0036003D">
        <w:rPr>
          <w:rFonts w:ascii="Times New Roman" w:hAnsi="Times New Roman" w:cs="Times New Roman"/>
          <w:sz w:val="24"/>
          <w:szCs w:val="24"/>
        </w:rPr>
        <w:t>Available at: https://transstudent.org/gender/ (Accessed: 5 January 2025).</w:t>
      </w:r>
    </w:p>
    <w:p w14:paraId="68519D50" w14:textId="77777777" w:rsidR="0036003D" w:rsidRPr="0036003D" w:rsidRDefault="0036003D" w:rsidP="00AD63C4">
      <w:pPr>
        <w:spacing w:line="360" w:lineRule="auto"/>
        <w:jc w:val="both"/>
        <w:rPr>
          <w:rFonts w:ascii="Times New Roman" w:hAnsi="Times New Roman" w:cs="Times New Roman"/>
          <w:sz w:val="24"/>
          <w:szCs w:val="24"/>
        </w:rPr>
      </w:pPr>
      <w:bookmarkStart w:id="1" w:name="_Hlk188302103"/>
      <w:r w:rsidRPr="0036003D">
        <w:rPr>
          <w:rFonts w:ascii="Times New Roman" w:hAnsi="Times New Roman" w:cs="Times New Roman"/>
          <w:sz w:val="24"/>
          <w:szCs w:val="24"/>
        </w:rPr>
        <w:t xml:space="preserve">Welsh Government (2015) </w:t>
      </w:r>
      <w:r w:rsidRPr="0036003D">
        <w:rPr>
          <w:rFonts w:ascii="Times New Roman" w:hAnsi="Times New Roman" w:cs="Times New Roman"/>
          <w:i/>
          <w:iCs/>
          <w:sz w:val="24"/>
          <w:szCs w:val="24"/>
        </w:rPr>
        <w:t>Well-being of Future Generations (Wales) Act 2015: the essentials.</w:t>
      </w:r>
      <w:r w:rsidRPr="0036003D">
        <w:rPr>
          <w:rFonts w:ascii="Times New Roman" w:hAnsi="Times New Roman" w:cs="Times New Roman"/>
          <w:sz w:val="24"/>
          <w:szCs w:val="24"/>
        </w:rPr>
        <w:t xml:space="preserve"> Available at: https://www.gov.wales/well-being-future-generations-act-essentials-html (Accessed: 10 January 2025).</w:t>
      </w:r>
    </w:p>
    <w:p w14:paraId="1E0CEF90" w14:textId="77777777" w:rsidR="0036003D" w:rsidRPr="0036003D" w:rsidRDefault="0036003D" w:rsidP="00AD63C4">
      <w:pPr>
        <w:spacing w:line="360" w:lineRule="auto"/>
        <w:jc w:val="both"/>
        <w:rPr>
          <w:rFonts w:ascii="Times New Roman" w:hAnsi="Times New Roman" w:cs="Times New Roman"/>
          <w:sz w:val="24"/>
          <w:szCs w:val="24"/>
        </w:rPr>
      </w:pPr>
      <w:bookmarkStart w:id="2" w:name="_Hlk188202453"/>
      <w:r w:rsidRPr="0036003D">
        <w:rPr>
          <w:rFonts w:ascii="Times New Roman" w:hAnsi="Times New Roman" w:cs="Times New Roman"/>
          <w:sz w:val="24"/>
          <w:szCs w:val="24"/>
        </w:rPr>
        <w:lastRenderedPageBreak/>
        <w:t xml:space="preserve">Welsh Government (2024) </w:t>
      </w:r>
      <w:r w:rsidRPr="0036003D">
        <w:rPr>
          <w:rFonts w:ascii="Times New Roman" w:hAnsi="Times New Roman" w:cs="Times New Roman"/>
          <w:i/>
          <w:iCs/>
          <w:sz w:val="24"/>
          <w:szCs w:val="24"/>
        </w:rPr>
        <w:t>Youth Work Strategy for Wales.</w:t>
      </w:r>
      <w:r w:rsidRPr="0036003D">
        <w:rPr>
          <w:rFonts w:ascii="Times New Roman" w:hAnsi="Times New Roman" w:cs="Times New Roman"/>
          <w:sz w:val="24"/>
          <w:szCs w:val="24"/>
        </w:rPr>
        <w:t xml:space="preserve"> Available at: https://www.gov.wales/sites/default/files/publications/2024-10/youth-work-strategy-for-wales.pdf (Accessed: 10 January 2025).</w:t>
      </w:r>
    </w:p>
    <w:bookmarkEnd w:id="1"/>
    <w:bookmarkEnd w:id="2"/>
    <w:p w14:paraId="714F378F"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World Health Organisation (2025) </w:t>
      </w:r>
      <w:r w:rsidRPr="0036003D">
        <w:rPr>
          <w:rFonts w:ascii="Times New Roman" w:hAnsi="Times New Roman" w:cs="Times New Roman"/>
          <w:i/>
          <w:iCs/>
          <w:sz w:val="24"/>
          <w:szCs w:val="24"/>
        </w:rPr>
        <w:t>Adolescent Health.</w:t>
      </w:r>
      <w:r w:rsidRPr="0036003D">
        <w:rPr>
          <w:rFonts w:ascii="Times New Roman" w:hAnsi="Times New Roman" w:cs="Times New Roman"/>
          <w:sz w:val="24"/>
          <w:szCs w:val="24"/>
        </w:rPr>
        <w:t xml:space="preserve"> Available at: https://www.who.int/health-topics/adolescent-health/#tab=tab_1 (Accessed: 8 January 2025).</w:t>
      </w:r>
    </w:p>
    <w:p w14:paraId="07135766" w14:textId="77777777" w:rsidR="0036003D" w:rsidRPr="0036003D" w:rsidRDefault="0036003D" w:rsidP="00AD63C4">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‌Youth Borders (2020) </w:t>
      </w:r>
      <w:r w:rsidRPr="0036003D">
        <w:rPr>
          <w:rFonts w:ascii="Times New Roman" w:hAnsi="Times New Roman" w:cs="Times New Roman"/>
          <w:i/>
          <w:iCs/>
          <w:sz w:val="24"/>
          <w:szCs w:val="24"/>
        </w:rPr>
        <w:t>Youth Work and Trusted Adults.</w:t>
      </w:r>
      <w:r w:rsidRPr="0036003D">
        <w:rPr>
          <w:rFonts w:ascii="Times New Roman" w:hAnsi="Times New Roman" w:cs="Times New Roman"/>
          <w:sz w:val="24"/>
          <w:szCs w:val="24"/>
        </w:rPr>
        <w:t xml:space="preserve"> Available at: https://youthborders.org.uk/wp-content/uploads/2020/12/Youth-Work-and-Trusted-Adults-April20.pdf (Accessed: 15 January 2025). </w:t>
      </w:r>
    </w:p>
    <w:p w14:paraId="0C0C8DA5" w14:textId="77777777" w:rsidR="0036003D" w:rsidRPr="0036003D" w:rsidRDefault="0036003D" w:rsidP="00AD63C4">
      <w:pPr>
        <w:spacing w:line="360" w:lineRule="auto"/>
        <w:jc w:val="both"/>
        <w:rPr>
          <w:rFonts w:ascii="Times New Roman" w:hAnsi="Times New Roman" w:cs="Times New Roman"/>
          <w:sz w:val="24"/>
          <w:szCs w:val="24"/>
        </w:rPr>
      </w:pPr>
      <w:bookmarkStart w:id="3" w:name="_Hlk188302556"/>
      <w:r w:rsidRPr="0036003D">
        <w:rPr>
          <w:rFonts w:ascii="Times New Roman" w:hAnsi="Times New Roman" w:cs="Times New Roman"/>
          <w:sz w:val="24"/>
          <w:szCs w:val="24"/>
        </w:rPr>
        <w:t>UNICEF (no dat</w:t>
      </w:r>
      <w:r w:rsidRPr="0036003D">
        <w:rPr>
          <w:rFonts w:ascii="Times New Roman" w:hAnsi="Times New Roman" w:cs="Times New Roman"/>
          <w:i/>
          <w:iCs/>
          <w:sz w:val="24"/>
          <w:szCs w:val="24"/>
        </w:rPr>
        <w:t>e) A Summary of the UN Convention on the Rights of the Child</w:t>
      </w:r>
      <w:r w:rsidRPr="0036003D">
        <w:rPr>
          <w:rFonts w:ascii="Times New Roman" w:hAnsi="Times New Roman" w:cs="Times New Roman"/>
          <w:sz w:val="24"/>
          <w:szCs w:val="24"/>
        </w:rPr>
        <w:t>. Available at: https://www.unicef.org.uk/wp-content/uploads/2019/10/UNCRC_summary-1_1.pdf (Accessed: 14 January 2025).</w:t>
      </w:r>
    </w:p>
    <w:bookmarkEnd w:id="3"/>
    <w:p w14:paraId="52203BB1" w14:textId="77777777" w:rsidR="0036003D" w:rsidRPr="00A21D08" w:rsidRDefault="0036003D" w:rsidP="00AD63C4">
      <w:pPr>
        <w:spacing w:line="360" w:lineRule="auto"/>
        <w:jc w:val="both"/>
        <w:rPr>
          <w:rFonts w:ascii="Times New Roman" w:hAnsi="Times New Roman" w:cs="Times New Roman"/>
          <w:sz w:val="24"/>
          <w:szCs w:val="24"/>
        </w:rPr>
      </w:pPr>
    </w:p>
    <w:p w14:paraId="632108C5" w14:textId="77777777" w:rsidR="00A21D08" w:rsidRPr="00A21D08" w:rsidRDefault="00A21D08" w:rsidP="00AD63C4">
      <w:pPr>
        <w:spacing w:line="360" w:lineRule="auto"/>
        <w:jc w:val="both"/>
        <w:rPr>
          <w:rFonts w:ascii="Times New Roman" w:hAnsi="Times New Roman" w:cs="Times New Roman"/>
          <w:sz w:val="24"/>
          <w:szCs w:val="24"/>
        </w:rPr>
      </w:pPr>
    </w:p>
    <w:p w14:paraId="73471464" w14:textId="77777777" w:rsidR="00A21D08" w:rsidRPr="00A21D08" w:rsidRDefault="00A21D08" w:rsidP="00A21D08">
      <w:pPr>
        <w:spacing w:line="480" w:lineRule="auto"/>
        <w:jc w:val="both"/>
        <w:rPr>
          <w:rFonts w:ascii="Times New Roman" w:hAnsi="Times New Roman" w:cs="Times New Roman"/>
          <w:sz w:val="24"/>
          <w:szCs w:val="24"/>
        </w:rPr>
      </w:pPr>
    </w:p>
    <w:sectPr w:rsidR="00A21D08" w:rsidRPr="00A21D08">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60278" w14:textId="77777777" w:rsidR="00DE3EBE" w:rsidRDefault="00DE3EBE" w:rsidP="00A21D08">
      <w:pPr>
        <w:spacing w:after="0" w:line="240" w:lineRule="auto"/>
      </w:pPr>
      <w:r>
        <w:separator/>
      </w:r>
    </w:p>
  </w:endnote>
  <w:endnote w:type="continuationSeparator" w:id="0">
    <w:p w14:paraId="586DCD97" w14:textId="77777777" w:rsidR="00DE3EBE" w:rsidRDefault="00DE3EBE" w:rsidP="00A2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233835"/>
      <w:docPartObj>
        <w:docPartGallery w:val="Page Numbers (Bottom of Page)"/>
        <w:docPartUnique/>
      </w:docPartObj>
    </w:sdtPr>
    <w:sdtEndPr>
      <w:rPr>
        <w:noProof/>
      </w:rPr>
    </w:sdtEndPr>
    <w:sdtContent>
      <w:p w14:paraId="5008F9EA" w14:textId="591A5802" w:rsidR="00A21D08" w:rsidRDefault="00A21D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FC937" w14:textId="77777777" w:rsidR="00A21D08" w:rsidRDefault="00A21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79BF5" w14:textId="77777777" w:rsidR="00DE3EBE" w:rsidRDefault="00DE3EBE" w:rsidP="00A21D08">
      <w:pPr>
        <w:spacing w:after="0" w:line="240" w:lineRule="auto"/>
      </w:pPr>
      <w:r>
        <w:separator/>
      </w:r>
    </w:p>
  </w:footnote>
  <w:footnote w:type="continuationSeparator" w:id="0">
    <w:p w14:paraId="638A2CE0" w14:textId="77777777" w:rsidR="00DE3EBE" w:rsidRDefault="00DE3EBE" w:rsidP="00A21D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8399" w14:textId="78B59FB1" w:rsidR="005714EC" w:rsidRDefault="005714EC">
    <w:pPr>
      <w:pStyle w:val="Header"/>
    </w:pPr>
    <w:r>
      <w:t>ECYW 6003</w:t>
    </w:r>
    <w:r>
      <w:ptab w:relativeTo="margin" w:alignment="center" w:leader="none"/>
    </w:r>
    <w:r>
      <w:ptab w:relativeTo="margin" w:alignment="right" w:leader="none"/>
    </w:r>
    <w:r>
      <w:t>2218436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08"/>
    <w:rsid w:val="00052A4C"/>
    <w:rsid w:val="001E07E2"/>
    <w:rsid w:val="002D790C"/>
    <w:rsid w:val="0036003D"/>
    <w:rsid w:val="003E5436"/>
    <w:rsid w:val="005714EC"/>
    <w:rsid w:val="00883259"/>
    <w:rsid w:val="008C2E81"/>
    <w:rsid w:val="00981686"/>
    <w:rsid w:val="00A21D08"/>
    <w:rsid w:val="00A44BED"/>
    <w:rsid w:val="00AD63C4"/>
    <w:rsid w:val="00DE3EBE"/>
    <w:rsid w:val="00FD5EAD"/>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EB10"/>
  <w15:chartTrackingRefBased/>
  <w15:docId w15:val="{79001930-F553-4D8C-9A64-C3F9196D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D08"/>
    <w:rPr>
      <w:rFonts w:eastAsiaTheme="majorEastAsia" w:cstheme="majorBidi"/>
      <w:color w:val="272727" w:themeColor="text1" w:themeTint="D8"/>
    </w:rPr>
  </w:style>
  <w:style w:type="paragraph" w:styleId="Title">
    <w:name w:val="Title"/>
    <w:basedOn w:val="Normal"/>
    <w:next w:val="Normal"/>
    <w:link w:val="TitleChar"/>
    <w:uiPriority w:val="10"/>
    <w:qFormat/>
    <w:rsid w:val="00A21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D08"/>
    <w:pPr>
      <w:spacing w:before="160"/>
      <w:jc w:val="center"/>
    </w:pPr>
    <w:rPr>
      <w:i/>
      <w:iCs/>
      <w:color w:val="404040" w:themeColor="text1" w:themeTint="BF"/>
    </w:rPr>
  </w:style>
  <w:style w:type="character" w:customStyle="1" w:styleId="QuoteChar">
    <w:name w:val="Quote Char"/>
    <w:basedOn w:val="DefaultParagraphFont"/>
    <w:link w:val="Quote"/>
    <w:uiPriority w:val="29"/>
    <w:rsid w:val="00A21D08"/>
    <w:rPr>
      <w:i/>
      <w:iCs/>
      <w:color w:val="404040" w:themeColor="text1" w:themeTint="BF"/>
    </w:rPr>
  </w:style>
  <w:style w:type="paragraph" w:styleId="ListParagraph">
    <w:name w:val="List Paragraph"/>
    <w:basedOn w:val="Normal"/>
    <w:uiPriority w:val="34"/>
    <w:qFormat/>
    <w:rsid w:val="00A21D08"/>
    <w:pPr>
      <w:ind w:left="720"/>
      <w:contextualSpacing/>
    </w:pPr>
  </w:style>
  <w:style w:type="character" w:styleId="IntenseEmphasis">
    <w:name w:val="Intense Emphasis"/>
    <w:basedOn w:val="DefaultParagraphFont"/>
    <w:uiPriority w:val="21"/>
    <w:qFormat/>
    <w:rsid w:val="00A21D08"/>
    <w:rPr>
      <w:i/>
      <w:iCs/>
      <w:color w:val="0F4761" w:themeColor="accent1" w:themeShade="BF"/>
    </w:rPr>
  </w:style>
  <w:style w:type="paragraph" w:styleId="IntenseQuote">
    <w:name w:val="Intense Quote"/>
    <w:basedOn w:val="Normal"/>
    <w:next w:val="Normal"/>
    <w:link w:val="IntenseQuoteChar"/>
    <w:uiPriority w:val="30"/>
    <w:qFormat/>
    <w:rsid w:val="00A21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D08"/>
    <w:rPr>
      <w:i/>
      <w:iCs/>
      <w:color w:val="0F4761" w:themeColor="accent1" w:themeShade="BF"/>
    </w:rPr>
  </w:style>
  <w:style w:type="character" w:styleId="IntenseReference">
    <w:name w:val="Intense Reference"/>
    <w:basedOn w:val="DefaultParagraphFont"/>
    <w:uiPriority w:val="32"/>
    <w:qFormat/>
    <w:rsid w:val="00A21D08"/>
    <w:rPr>
      <w:b/>
      <w:bCs/>
      <w:smallCaps/>
      <w:color w:val="0F4761" w:themeColor="accent1" w:themeShade="BF"/>
      <w:spacing w:val="5"/>
    </w:rPr>
  </w:style>
  <w:style w:type="paragraph" w:styleId="Header">
    <w:name w:val="header"/>
    <w:basedOn w:val="Normal"/>
    <w:link w:val="HeaderChar"/>
    <w:uiPriority w:val="99"/>
    <w:unhideWhenUsed/>
    <w:rsid w:val="00A21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D08"/>
  </w:style>
  <w:style w:type="paragraph" w:styleId="Footer">
    <w:name w:val="footer"/>
    <w:basedOn w:val="Normal"/>
    <w:link w:val="FooterChar"/>
    <w:uiPriority w:val="99"/>
    <w:unhideWhenUsed/>
    <w:rsid w:val="00A21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2133">
      <w:bodyDiv w:val="1"/>
      <w:marLeft w:val="0"/>
      <w:marRight w:val="0"/>
      <w:marTop w:val="0"/>
      <w:marBottom w:val="0"/>
      <w:divBdr>
        <w:top w:val="none" w:sz="0" w:space="0" w:color="auto"/>
        <w:left w:val="none" w:sz="0" w:space="0" w:color="auto"/>
        <w:bottom w:val="none" w:sz="0" w:space="0" w:color="auto"/>
        <w:right w:val="none" w:sz="0" w:space="0" w:color="auto"/>
      </w:divBdr>
    </w:div>
    <w:div w:id="87978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theme" Target="theme/theme1.xml"/><Relationship Id="rId21" Type="http://schemas.openxmlformats.org/officeDocument/2006/relationships/package" Target="embeddings/Microsoft_PowerPoint_Slide7.sldx"/><Relationship Id="rId34" Type="http://schemas.openxmlformats.org/officeDocument/2006/relationships/image" Target="media/image15.emf"/><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package" Target="embeddings/Microsoft_PowerPoint_Slide13.sldx"/><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36"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package" Target="embeddings/Microsoft_PowerPoint_Slide12.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emf"/><Relationship Id="rId35" Type="http://schemas.openxmlformats.org/officeDocument/2006/relationships/package" Target="embeddings/Microsoft_PowerPoint_Slide14.sldx"/><Relationship Id="rId8" Type="http://schemas.openxmlformats.org/officeDocument/2006/relationships/image" Target="media/image2.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21</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kayleighcowdery@outlook.com</dc:creator>
  <cp:keywords/>
  <dc:description/>
  <cp:lastModifiedBy>kayleighcowdery@outlook.com</cp:lastModifiedBy>
  <cp:revision>6</cp:revision>
  <dcterms:created xsi:type="dcterms:W3CDTF">2025-01-20T00:26:00Z</dcterms:created>
  <dcterms:modified xsi:type="dcterms:W3CDTF">2025-01-20T22:55:00Z</dcterms:modified>
</cp:coreProperties>
</file>