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DE6474" w14:textId="57224182" w:rsidR="00ED1049" w:rsidRPr="00ED1049" w:rsidRDefault="00867C6C" w:rsidP="00ED1049">
      <w:pPr>
        <w:ind w:left="426"/>
        <w:rPr>
          <w:rFonts w:ascii="Arial" w:hAnsi="Arial" w:cs="Arial"/>
        </w:rPr>
      </w:pPr>
      <w:r>
        <w:fldChar w:fldCharType="begin"/>
      </w:r>
      <w:r w:rsidR="002408E8">
        <w:instrText xml:space="preserve"> INCLUDEPICTURE "/Users/biancasanfilippo/Library/Group Containers/UBF8T346G9.ms/WebArchiveCopyPasteTempFiles/com.microsoft.Word/UWTSD-Logo.jpg" \* MERGEFORMAT </w:instrText>
      </w:r>
      <w:r>
        <w:fldChar w:fldCharType="separate"/>
      </w:r>
      <w:r w:rsidRPr="003456DA">
        <w:rPr>
          <w:noProof/>
        </w:rPr>
        <w:drawing>
          <wp:inline distT="0" distB="0" distL="0" distR="0" wp14:anchorId="7BA3065C" wp14:editId="3837F77A">
            <wp:extent cx="3340100" cy="1346200"/>
            <wp:effectExtent l="0" t="0" r="0" b="0"/>
            <wp:docPr id="1" name="Picture 2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0100" cy="134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787E396" w14:textId="77777777" w:rsidR="00ED1049" w:rsidRDefault="00ED1049" w:rsidP="00867C6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C8BE13B" w14:textId="77777777" w:rsidR="00867C6C" w:rsidRDefault="00867C6C" w:rsidP="00867C6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332AEB5" w14:textId="7C81F1A7" w:rsidR="00ED1049" w:rsidRPr="00867C6C" w:rsidRDefault="00ED1049" w:rsidP="00867C6C">
      <w:pPr>
        <w:jc w:val="both"/>
        <w:rPr>
          <w:rFonts w:ascii="Arial" w:hAnsi="Arial" w:cs="Arial"/>
        </w:rPr>
      </w:pPr>
      <w:r w:rsidRPr="00867C6C">
        <w:rPr>
          <w:rFonts w:ascii="Arial" w:hAnsi="Arial" w:cs="Arial"/>
          <w:b/>
          <w:bCs/>
          <w:lang w:val="nl-NL"/>
        </w:rPr>
        <w:t>Student name</w:t>
      </w:r>
      <w:r w:rsidRPr="00867C6C">
        <w:rPr>
          <w:rFonts w:ascii="Arial" w:hAnsi="Arial" w:cs="Arial"/>
          <w:lang w:val="nl-NL"/>
        </w:rPr>
        <w:t>:</w:t>
      </w:r>
      <w:r w:rsidR="00867C6C" w:rsidRPr="00867C6C">
        <w:rPr>
          <w:rFonts w:ascii="Arial" w:hAnsi="Arial" w:cs="Arial"/>
          <w:lang w:val="nl-NL"/>
        </w:rPr>
        <w:t xml:space="preserve"> </w:t>
      </w:r>
      <w:r w:rsidR="00867C6C" w:rsidRPr="00867C6C">
        <w:rPr>
          <w:rFonts w:ascii="Arial" w:hAnsi="Arial" w:cs="Arial"/>
        </w:rPr>
        <w:t>Stefan Burcea</w:t>
      </w:r>
    </w:p>
    <w:p w14:paraId="7A06F4EF" w14:textId="77777777" w:rsidR="00867C6C" w:rsidRPr="00867C6C" w:rsidRDefault="00ED1049" w:rsidP="00867C6C">
      <w:pPr>
        <w:jc w:val="both"/>
        <w:rPr>
          <w:rFonts w:ascii="Arial" w:hAnsi="Arial" w:cs="Arial"/>
        </w:rPr>
      </w:pPr>
      <w:r w:rsidRPr="00867C6C">
        <w:rPr>
          <w:rFonts w:ascii="Arial" w:hAnsi="Arial" w:cs="Arial"/>
          <w:b/>
          <w:bCs/>
          <w:lang w:val="nl-NL"/>
        </w:rPr>
        <w:t>Student ID</w:t>
      </w:r>
      <w:r w:rsidRPr="00867C6C">
        <w:rPr>
          <w:rFonts w:ascii="Arial" w:hAnsi="Arial" w:cs="Arial"/>
          <w:lang w:val="nl-NL"/>
        </w:rPr>
        <w:t>:</w:t>
      </w:r>
      <w:r w:rsidR="00867C6C" w:rsidRPr="00867C6C">
        <w:rPr>
          <w:rFonts w:ascii="Arial" w:hAnsi="Arial" w:cs="Arial"/>
          <w:lang w:val="nl-NL"/>
        </w:rPr>
        <w:t xml:space="preserve"> </w:t>
      </w:r>
      <w:r w:rsidR="00867C6C" w:rsidRPr="00867C6C">
        <w:rPr>
          <w:rFonts w:ascii="Arial" w:hAnsi="Arial" w:cs="Arial"/>
        </w:rPr>
        <w:t>2246403</w:t>
      </w:r>
    </w:p>
    <w:p w14:paraId="4C34EECE" w14:textId="4914AC82" w:rsidR="00ED1049" w:rsidRPr="00867C6C" w:rsidRDefault="00ED1049" w:rsidP="00867C6C">
      <w:pPr>
        <w:tabs>
          <w:tab w:val="left" w:pos="6540"/>
        </w:tabs>
        <w:spacing w:line="360" w:lineRule="auto"/>
        <w:jc w:val="both"/>
        <w:rPr>
          <w:rFonts w:ascii="Arial" w:hAnsi="Arial" w:cs="Arial"/>
          <w:lang w:val="nl-NL"/>
        </w:rPr>
      </w:pPr>
      <w:r w:rsidRPr="00867C6C">
        <w:rPr>
          <w:rFonts w:ascii="Arial" w:hAnsi="Arial" w:cs="Arial"/>
          <w:b/>
          <w:bCs/>
          <w:lang w:val="nl-NL"/>
        </w:rPr>
        <w:t>Module name</w:t>
      </w:r>
      <w:r w:rsidRPr="00867C6C">
        <w:rPr>
          <w:rFonts w:ascii="Arial" w:hAnsi="Arial" w:cs="Arial"/>
          <w:lang w:val="nl-NL"/>
        </w:rPr>
        <w:t xml:space="preserve">: </w:t>
      </w:r>
      <w:r w:rsidR="00867C6C" w:rsidRPr="00867C6C">
        <w:rPr>
          <w:rFonts w:ascii="Arial" w:hAnsi="Arial" w:cs="Arial"/>
        </w:rPr>
        <w:t>Empowering the Older Person</w:t>
      </w:r>
    </w:p>
    <w:p w14:paraId="128034B7" w14:textId="77777777" w:rsidR="00867C6C" w:rsidRPr="00867C6C" w:rsidRDefault="00ED1049" w:rsidP="00867C6C">
      <w:pPr>
        <w:jc w:val="both"/>
        <w:rPr>
          <w:rFonts w:ascii="Arial" w:hAnsi="Arial" w:cs="Arial"/>
        </w:rPr>
      </w:pPr>
      <w:r w:rsidRPr="00867C6C">
        <w:rPr>
          <w:rFonts w:ascii="Arial" w:hAnsi="Arial" w:cs="Arial"/>
          <w:b/>
          <w:bCs/>
        </w:rPr>
        <w:t>Module code</w:t>
      </w:r>
      <w:r w:rsidRPr="00867C6C">
        <w:rPr>
          <w:rFonts w:ascii="Arial" w:hAnsi="Arial" w:cs="Arial"/>
        </w:rPr>
        <w:t>:</w:t>
      </w:r>
      <w:r w:rsidR="00867C6C" w:rsidRPr="00867C6C">
        <w:rPr>
          <w:rFonts w:ascii="Arial" w:hAnsi="Arial" w:cs="Arial"/>
        </w:rPr>
        <w:t xml:space="preserve"> </w:t>
      </w:r>
      <w:r w:rsidR="00867C6C" w:rsidRPr="00867C6C">
        <w:rPr>
          <w:rFonts w:ascii="Arial" w:hAnsi="Arial" w:cs="Arial"/>
        </w:rPr>
        <w:t>BMHP6027</w:t>
      </w:r>
    </w:p>
    <w:p w14:paraId="574A53E6" w14:textId="77777777" w:rsidR="00867C6C" w:rsidRPr="00867C6C" w:rsidRDefault="00FB49B9" w:rsidP="00867C6C">
      <w:pPr>
        <w:jc w:val="both"/>
        <w:rPr>
          <w:rFonts w:ascii="Arial" w:hAnsi="Arial" w:cs="Arial"/>
        </w:rPr>
      </w:pPr>
      <w:r w:rsidRPr="00867C6C">
        <w:rPr>
          <w:rFonts w:ascii="Arial" w:hAnsi="Arial" w:cs="Arial"/>
          <w:b/>
          <w:bCs/>
        </w:rPr>
        <w:t>Lecturer</w:t>
      </w:r>
      <w:r w:rsidR="006D2642" w:rsidRPr="00867C6C">
        <w:rPr>
          <w:rFonts w:ascii="Arial" w:hAnsi="Arial" w:cs="Arial"/>
          <w:b/>
          <w:bCs/>
        </w:rPr>
        <w:t>’s</w:t>
      </w:r>
      <w:r w:rsidR="00ED1049" w:rsidRPr="00867C6C">
        <w:rPr>
          <w:rFonts w:ascii="Arial" w:hAnsi="Arial" w:cs="Arial"/>
          <w:b/>
          <w:bCs/>
        </w:rPr>
        <w:t xml:space="preserve"> name</w:t>
      </w:r>
      <w:r w:rsidR="00ED1049" w:rsidRPr="00867C6C">
        <w:rPr>
          <w:rFonts w:ascii="Arial" w:hAnsi="Arial" w:cs="Arial"/>
        </w:rPr>
        <w:t>:</w:t>
      </w:r>
      <w:r w:rsidR="00867C6C" w:rsidRPr="00867C6C">
        <w:rPr>
          <w:rFonts w:ascii="Arial" w:hAnsi="Arial" w:cs="Arial"/>
        </w:rPr>
        <w:t xml:space="preserve"> </w:t>
      </w:r>
      <w:r w:rsidR="00867C6C" w:rsidRPr="00867C6C">
        <w:rPr>
          <w:rFonts w:ascii="Arial" w:hAnsi="Arial" w:cs="Arial"/>
        </w:rPr>
        <w:t>Dr Laila Surani</w:t>
      </w:r>
    </w:p>
    <w:p w14:paraId="70E8882D" w14:textId="598191B8" w:rsidR="00ED1049" w:rsidRDefault="00ED1049" w:rsidP="00867C6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3BD0C54" w14:textId="77777777" w:rsidR="00ED1049" w:rsidRPr="00ED1049" w:rsidRDefault="00ED1049">
      <w:pPr>
        <w:rPr>
          <w:rFonts w:ascii="Arial" w:hAnsi="Arial" w:cs="Arial"/>
        </w:rPr>
      </w:pPr>
    </w:p>
    <w:p w14:paraId="268EAE3C" w14:textId="77777777" w:rsidR="00CC0A8F" w:rsidRPr="00CC0A8F" w:rsidRDefault="00CC0A8F" w:rsidP="00C46111">
      <w:r w:rsidRPr="00CC0A8F">
        <w:br w:type="page"/>
      </w:r>
    </w:p>
    <w:tbl>
      <w:tblPr>
        <w:tblW w:w="5000" w:type="pct"/>
        <w:tblInd w:w="1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28"/>
        <w:gridCol w:w="420"/>
        <w:gridCol w:w="4494"/>
        <w:gridCol w:w="364"/>
        <w:gridCol w:w="4584"/>
      </w:tblGrid>
      <w:tr w:rsidR="00346FFA" w:rsidRPr="000E2F62" w14:paraId="4B300E12" w14:textId="77777777" w:rsidTr="00602564">
        <w:trPr>
          <w:trHeight w:val="9495"/>
        </w:trPr>
        <w:tc>
          <w:tcPr>
            <w:tcW w:w="4606" w:type="dxa"/>
          </w:tcPr>
          <w:p w14:paraId="49154F7A" w14:textId="77777777" w:rsidR="00346FFA" w:rsidRDefault="00602564" w:rsidP="00B67824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lastRenderedPageBreak/>
              <w:t>(Pace Hospitals, 2024)</w:t>
            </w:r>
          </w:p>
          <w:p w14:paraId="23794C30" w14:textId="77777777" w:rsidR="00602564" w:rsidRDefault="00602564" w:rsidP="00B67824">
            <w:pPr>
              <w:rPr>
                <w:rFonts w:ascii="Arial" w:hAnsi="Arial" w:cs="Arial"/>
                <w:color w:val="000000"/>
              </w:rPr>
            </w:pPr>
          </w:p>
          <w:p w14:paraId="2BC95FDE" w14:textId="03ADFF40" w:rsidR="00602564" w:rsidRPr="000E2F62" w:rsidRDefault="00602564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525DCA4" wp14:editId="5FA6FF22">
                  <wp:extent cx="2729230" cy="2349795"/>
                  <wp:effectExtent l="0" t="0" r="1270" b="0"/>
                  <wp:docPr id="588716803" name="Picture 4" descr="An old person with a question mark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8716803" name="Picture 4" descr="An old person with a question mark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4763" cy="23545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3" w:type="dxa"/>
            <w:vMerge w:val="restart"/>
          </w:tcPr>
          <w:p w14:paraId="676F8FA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 w:val="restart"/>
          </w:tcPr>
          <w:p w14:paraId="2DCB55A6" w14:textId="77777777" w:rsidR="00C669A9" w:rsidRDefault="00C669A9" w:rsidP="00084229">
            <w:pPr>
              <w:pStyle w:val="Heading1"/>
            </w:pPr>
          </w:p>
          <w:p w14:paraId="09764CDD" w14:textId="12BB12C2" w:rsidR="00084229" w:rsidRDefault="00084229" w:rsidP="00084229">
            <w:pPr>
              <w:pStyle w:val="Heading1"/>
            </w:pPr>
            <w:r>
              <w:t>Care, Empowerment and Support Needs</w:t>
            </w:r>
          </w:p>
          <w:p w14:paraId="64EB4007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Maintaining functional ability and mobility.</w:t>
            </w:r>
          </w:p>
          <w:p w14:paraId="300431FF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Access to healthcare and social care services.</w:t>
            </w:r>
          </w:p>
          <w:p w14:paraId="2BFEDB3B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Emotional and psychological support.</w:t>
            </w:r>
          </w:p>
          <w:p w14:paraId="6B2D26DF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Social participation and community inclusion.</w:t>
            </w:r>
          </w:p>
          <w:p w14:paraId="3E391AF2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Assistive technologies and home adaptations.</w:t>
            </w:r>
          </w:p>
          <w:p w14:paraId="2FCB78FA" w14:textId="77777777" w:rsidR="00867C6C" w:rsidRPr="00C669A9" w:rsidRDefault="00867C6C" w:rsidP="00867C6C">
            <w:pPr>
              <w:pStyle w:val="ListBullet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Person-centred care allows older adults to participate in decisions about their care.</w:t>
            </w:r>
          </w:p>
          <w:p w14:paraId="5E802F0A" w14:textId="537FB262" w:rsidR="00EB6F36" w:rsidRPr="000E2F62" w:rsidRDefault="00EB6F36" w:rsidP="004645F8">
            <w:pPr>
              <w:rPr>
                <w:rFonts w:ascii="Arial" w:hAnsi="Arial" w:cs="Arial"/>
              </w:rPr>
            </w:pPr>
          </w:p>
        </w:tc>
        <w:tc>
          <w:tcPr>
            <w:tcW w:w="366" w:type="dxa"/>
            <w:vMerge w:val="restart"/>
          </w:tcPr>
          <w:p w14:paraId="76997AC8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Align w:val="center"/>
          </w:tcPr>
          <w:p w14:paraId="0D5A6173" w14:textId="77777777" w:rsidR="00C676CA" w:rsidRDefault="00C676CA" w:rsidP="00EB6F36">
            <w:pPr>
              <w:rPr>
                <w:rFonts w:ascii="Arial" w:hAnsi="Arial" w:cs="Arial"/>
                <w:noProof/>
              </w:rPr>
            </w:pPr>
          </w:p>
          <w:p w14:paraId="0D520AD5" w14:textId="5F593910" w:rsidR="00346FFA" w:rsidRDefault="00AA0BFC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14DCE94" wp14:editId="4479A728">
                  <wp:extent cx="2762471" cy="2179675"/>
                  <wp:effectExtent l="0" t="0" r="0" b="5080"/>
                  <wp:docPr id="1575776823" name="Picture 2" descr="A diagram of different types of dementia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5776823" name="Picture 2" descr="A diagram of different types of dementia&#10;&#10;AI-generated content may be incorrect.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42713" cy="22429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7F724A" w14:textId="77777777" w:rsidR="00C676CA" w:rsidRPr="000E2F62" w:rsidRDefault="00C676CA" w:rsidP="00C676CA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color w:val="000000"/>
              </w:rPr>
              <w:t>(Bhandari, 2006)</w:t>
            </w:r>
          </w:p>
          <w:p w14:paraId="790836ED" w14:textId="0754F529" w:rsidR="00C676CA" w:rsidRPr="00C676CA" w:rsidRDefault="00C676CA" w:rsidP="00C676CA">
            <w:pPr>
              <w:rPr>
                <w:rFonts w:ascii="Arial" w:hAnsi="Arial" w:cs="Arial"/>
              </w:rPr>
            </w:pPr>
          </w:p>
        </w:tc>
      </w:tr>
      <w:tr w:rsidR="00346FFA" w:rsidRPr="000E2F62" w14:paraId="45E98AF8" w14:textId="77777777" w:rsidTr="00502277">
        <w:trPr>
          <w:trHeight w:val="272"/>
        </w:trPr>
        <w:tc>
          <w:tcPr>
            <w:tcW w:w="4606" w:type="dxa"/>
          </w:tcPr>
          <w:p w14:paraId="0D9898A4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22485B9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</w:tcPr>
          <w:p w14:paraId="3E2AE240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6" w:type="dxa"/>
            <w:vMerge/>
          </w:tcPr>
          <w:p w14:paraId="0E367523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</w:tcPr>
          <w:p w14:paraId="5A3888EB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48A098CA" w14:textId="77777777" w:rsidTr="00502277">
        <w:trPr>
          <w:trHeight w:val="473"/>
        </w:trPr>
        <w:tc>
          <w:tcPr>
            <w:tcW w:w="4606" w:type="dxa"/>
            <w:vMerge w:val="restart"/>
          </w:tcPr>
          <w:p w14:paraId="2B851FA4" w14:textId="5918CEDE" w:rsidR="00B67824" w:rsidRPr="000E2F62" w:rsidRDefault="00867C6C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Introduction </w:t>
            </w:r>
          </w:p>
          <w:p w14:paraId="484B59C8" w14:textId="77777777" w:rsidR="00867C6C" w:rsidRPr="00867C6C" w:rsidRDefault="00867C6C" w:rsidP="00867C6C">
            <w:pPr>
              <w:pStyle w:val="ListBullet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867C6C">
              <w:rPr>
                <w:rFonts w:ascii="Arial" w:hAnsi="Arial" w:cs="Arial"/>
              </w:rPr>
              <w:t>Population ageing is increasing rapidly in the UK.</w:t>
            </w:r>
          </w:p>
          <w:p w14:paraId="0DC0234D" w14:textId="77777777" w:rsidR="00867C6C" w:rsidRPr="00867C6C" w:rsidRDefault="00867C6C" w:rsidP="00867C6C">
            <w:pPr>
              <w:pStyle w:val="ListBullet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867C6C">
              <w:rPr>
                <w:rFonts w:ascii="Arial" w:hAnsi="Arial" w:cs="Arial"/>
              </w:rPr>
              <w:t>By 2050 over 20 million people will be aged 65+.</w:t>
            </w:r>
          </w:p>
          <w:p w14:paraId="1F170C0E" w14:textId="77777777" w:rsidR="00867C6C" w:rsidRPr="00867C6C" w:rsidRDefault="00867C6C" w:rsidP="00867C6C">
            <w:pPr>
              <w:pStyle w:val="ListBullet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867C6C">
              <w:rPr>
                <w:rFonts w:ascii="Arial" w:hAnsi="Arial" w:cs="Arial"/>
              </w:rPr>
              <w:t>Empowerment helps older adults maintain independence, dignity and quality of life.</w:t>
            </w:r>
          </w:p>
          <w:p w14:paraId="523628B6" w14:textId="77777777" w:rsidR="00867C6C" w:rsidRPr="00867C6C" w:rsidRDefault="00867C6C" w:rsidP="00867C6C">
            <w:pPr>
              <w:pStyle w:val="ListBullet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867C6C">
              <w:rPr>
                <w:rFonts w:ascii="Arial" w:hAnsi="Arial" w:cs="Arial"/>
              </w:rPr>
              <w:t>Policies such as the Care Act 2014 emphasise wellbeing and person-centred care.</w:t>
            </w:r>
          </w:p>
          <w:p w14:paraId="179709B7" w14:textId="77777777" w:rsidR="00EB6F36" w:rsidRPr="000E2F62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2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185C603D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  <w:vAlign w:val="center"/>
          </w:tcPr>
          <w:p w14:paraId="2AE4C4D3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  <w:vAlign w:val="center"/>
          </w:tcPr>
          <w:p w14:paraId="255FA321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 w:val="restart"/>
          </w:tcPr>
          <w:p w14:paraId="0BBDB405" w14:textId="77777777" w:rsidR="00084229" w:rsidRDefault="00084229" w:rsidP="00084229">
            <w:pPr>
              <w:pStyle w:val="Heading1"/>
            </w:pPr>
            <w:r>
              <w:t>Challenges to Independence</w:t>
            </w:r>
          </w:p>
          <w:p w14:paraId="3A07FC9B" w14:textId="77777777" w:rsidR="00084229" w:rsidRPr="00084229" w:rsidRDefault="00084229" w:rsidP="00084229">
            <w:pPr>
              <w:pStyle w:val="ListBullet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Chronic diseases such as dementia, arthritis and cardiovascular illness.</w:t>
            </w:r>
          </w:p>
          <w:p w14:paraId="5F72A085" w14:textId="77777777" w:rsidR="00084229" w:rsidRPr="00084229" w:rsidRDefault="00084229" w:rsidP="00084229">
            <w:pPr>
              <w:pStyle w:val="ListBullet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Reduced mobility and physical frailty.</w:t>
            </w:r>
          </w:p>
          <w:p w14:paraId="4B8502D4" w14:textId="77777777" w:rsidR="00084229" w:rsidRPr="00084229" w:rsidRDefault="00084229" w:rsidP="00084229">
            <w:pPr>
              <w:pStyle w:val="ListBullet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Social isolation and loneliness.</w:t>
            </w:r>
          </w:p>
          <w:p w14:paraId="48CA6A2A" w14:textId="77777777" w:rsidR="00084229" w:rsidRPr="00084229" w:rsidRDefault="00084229" w:rsidP="00084229">
            <w:pPr>
              <w:pStyle w:val="ListBullet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Digital exclusion among some older adults.</w:t>
            </w:r>
          </w:p>
          <w:p w14:paraId="7AA56D3D" w14:textId="3930F349" w:rsidR="00EB6F36" w:rsidRPr="00084229" w:rsidRDefault="00084229" w:rsidP="00EB6F36">
            <w:pPr>
              <w:pStyle w:val="ListBullet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Unequal access to services and community support.</w:t>
            </w:r>
          </w:p>
          <w:p w14:paraId="02A7B436" w14:textId="70F90869" w:rsidR="00084229" w:rsidRDefault="00084229" w:rsidP="00084229">
            <w:pPr>
              <w:pStyle w:val="Heading1"/>
            </w:pPr>
            <w:r>
              <w:t>Recommendations</w:t>
            </w:r>
            <w:r>
              <w:t xml:space="preserve"> and conclusion</w:t>
            </w:r>
          </w:p>
          <w:p w14:paraId="48DA0562" w14:textId="77777777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Increase community-based support services.</w:t>
            </w:r>
          </w:p>
          <w:p w14:paraId="6F0D5F9C" w14:textId="77777777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Invest in assistive technologies and telecare.</w:t>
            </w:r>
          </w:p>
          <w:p w14:paraId="6F19C9CC" w14:textId="4C19EADA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 xml:space="preserve">Improve integration between </w:t>
            </w:r>
            <w:r w:rsidR="00C669A9">
              <w:rPr>
                <w:rFonts w:ascii="Arial" w:hAnsi="Arial" w:cs="Arial"/>
              </w:rPr>
              <w:t>the NHS</w:t>
            </w:r>
            <w:r w:rsidRPr="00084229">
              <w:rPr>
                <w:rFonts w:ascii="Arial" w:hAnsi="Arial" w:cs="Arial"/>
              </w:rPr>
              <w:t xml:space="preserve"> and social care.</w:t>
            </w:r>
          </w:p>
          <w:p w14:paraId="4B5F8720" w14:textId="77777777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Promote social participation programmes.</w:t>
            </w:r>
          </w:p>
          <w:p w14:paraId="2ACFC5BF" w14:textId="77777777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Provide training for professionals in person-centred care.</w:t>
            </w:r>
          </w:p>
          <w:p w14:paraId="7FE1F22C" w14:textId="77777777" w:rsidR="00084229" w:rsidRPr="00084229" w:rsidRDefault="00084229" w:rsidP="00084229">
            <w:pPr>
              <w:pStyle w:val="ListBullet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 w:rsidRPr="00084229">
              <w:rPr>
                <w:rFonts w:ascii="Arial" w:hAnsi="Arial" w:cs="Arial"/>
              </w:rPr>
              <w:t>Empowering older adults improves wellbeing and long-term independence.</w:t>
            </w:r>
          </w:p>
          <w:p w14:paraId="0FDA66A6" w14:textId="3D463131" w:rsidR="00B67824" w:rsidRPr="000E2F62" w:rsidRDefault="00634071" w:rsidP="00634071">
            <w:pPr>
              <w:rPr>
                <w:rFonts w:ascii="Arial" w:hAnsi="Arial" w:cs="Arial"/>
              </w:rPr>
            </w:pPr>
            <w:r w:rsidRPr="000E2F62">
              <w:rPr>
                <w:rFonts w:ascii="Arial" w:hAnsi="Arial" w:cs="Arial"/>
              </w:rPr>
              <w:t>.</w:t>
            </w:r>
          </w:p>
        </w:tc>
      </w:tr>
      <w:tr w:rsidR="004642F0" w:rsidRPr="000E2F62" w14:paraId="0226221E" w14:textId="77777777" w:rsidTr="00502277">
        <w:trPr>
          <w:trHeight w:val="60"/>
        </w:trPr>
        <w:tc>
          <w:tcPr>
            <w:tcW w:w="4606" w:type="dxa"/>
            <w:vMerge/>
          </w:tcPr>
          <w:p w14:paraId="541256D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5E9A980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6BC70C2C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4E2AE6B3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5EE13E76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706CE5B8" w14:textId="77777777" w:rsidTr="00502277">
        <w:trPr>
          <w:trHeight w:val="6431"/>
        </w:trPr>
        <w:tc>
          <w:tcPr>
            <w:tcW w:w="4606" w:type="dxa"/>
            <w:vMerge/>
          </w:tcPr>
          <w:p w14:paraId="0BF785E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1D9DBAC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0DCD28A6" w14:textId="1FB291B7" w:rsidR="00EB6F36" w:rsidRPr="00C669A9" w:rsidRDefault="00C669A9" w:rsidP="00C669A9">
            <w:pPr>
              <w:pStyle w:val="Heading1"/>
            </w:pPr>
            <w:r w:rsidRPr="00C669A9">
              <w:t>Relevant Policies</w:t>
            </w:r>
          </w:p>
          <w:p w14:paraId="444A0684" w14:textId="77777777" w:rsidR="00C669A9" w:rsidRPr="00C669A9" w:rsidRDefault="00C669A9" w:rsidP="00C669A9">
            <w:pPr>
              <w:jc w:val="both"/>
              <w:rPr>
                <w:rFonts w:ascii="Arial" w:hAnsi="Arial" w:cs="Arial"/>
                <w:b/>
                <w:bCs/>
              </w:rPr>
            </w:pPr>
            <w:r w:rsidRPr="00C669A9">
              <w:rPr>
                <w:rFonts w:ascii="Arial" w:hAnsi="Arial" w:cs="Arial"/>
                <w:b/>
                <w:bCs/>
              </w:rPr>
              <w:t>Care Act 2014</w:t>
            </w:r>
          </w:p>
          <w:p w14:paraId="66E8C3A7" w14:textId="77777777" w:rsidR="00C669A9" w:rsidRPr="00C669A9" w:rsidRDefault="00C669A9" w:rsidP="00C669A9">
            <w:pPr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Promotes wellbeing, independence, and person-centred care</w:t>
            </w:r>
          </w:p>
          <w:p w14:paraId="0AA6C55F" w14:textId="6FD015E2" w:rsidR="00C669A9" w:rsidRPr="00C669A9" w:rsidRDefault="00C669A9" w:rsidP="00C669A9">
            <w:pPr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 xml:space="preserve">Gives older adults more control over their care </w:t>
            </w:r>
            <w:r>
              <w:rPr>
                <w:rFonts w:ascii="Arial" w:hAnsi="Arial" w:cs="Arial"/>
              </w:rPr>
              <w:t>(e.g.,</w:t>
            </w:r>
            <w:r w:rsidRPr="00C669A9">
              <w:rPr>
                <w:rFonts w:ascii="Arial" w:hAnsi="Arial" w:cs="Arial"/>
              </w:rPr>
              <w:t xml:space="preserve"> personal budgets)</w:t>
            </w:r>
          </w:p>
          <w:p w14:paraId="6D1621B7" w14:textId="5776693B" w:rsidR="00C669A9" w:rsidRPr="00C669A9" w:rsidRDefault="00C669A9" w:rsidP="00C669A9">
            <w:pPr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Focuses on safeguarding and dignity</w:t>
            </w:r>
          </w:p>
          <w:p w14:paraId="051856A8" w14:textId="77777777" w:rsidR="00C669A9" w:rsidRPr="00C669A9" w:rsidRDefault="00C669A9" w:rsidP="00C669A9">
            <w:pPr>
              <w:jc w:val="both"/>
              <w:rPr>
                <w:rFonts w:ascii="Arial" w:hAnsi="Arial" w:cs="Arial"/>
                <w:b/>
                <w:bCs/>
              </w:rPr>
            </w:pPr>
            <w:r w:rsidRPr="00C669A9">
              <w:rPr>
                <w:rFonts w:ascii="Arial" w:hAnsi="Arial" w:cs="Arial"/>
                <w:b/>
                <w:bCs/>
              </w:rPr>
              <w:t>Health and Care Act 2022</w:t>
            </w:r>
          </w:p>
          <w:p w14:paraId="11C1112C" w14:textId="77777777" w:rsidR="00C669A9" w:rsidRPr="00C669A9" w:rsidRDefault="00C669A9" w:rsidP="00C669A9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Encourages integration between health and social care services</w:t>
            </w:r>
          </w:p>
          <w:p w14:paraId="36BC89EB" w14:textId="77777777" w:rsidR="00C669A9" w:rsidRPr="00C669A9" w:rsidRDefault="00C669A9" w:rsidP="00C669A9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Improves coordination of care for older people</w:t>
            </w:r>
          </w:p>
          <w:p w14:paraId="7A03DA67" w14:textId="77777777" w:rsidR="00C669A9" w:rsidRDefault="00C669A9" w:rsidP="00C669A9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Supports better access and long-term care planning</w:t>
            </w:r>
          </w:p>
          <w:p w14:paraId="00C007F2" w14:textId="27C05150" w:rsidR="00C669A9" w:rsidRPr="00C669A9" w:rsidRDefault="00C669A9" w:rsidP="00C669A9">
            <w:pPr>
              <w:pStyle w:val="Heading1"/>
            </w:pPr>
            <w:r w:rsidRPr="00C669A9">
              <w:t xml:space="preserve">Relevant Theories </w:t>
            </w:r>
          </w:p>
          <w:p w14:paraId="552F8B9F" w14:textId="3A144588" w:rsidR="00C669A9" w:rsidRPr="00C669A9" w:rsidRDefault="00C669A9" w:rsidP="00C669A9">
            <w:pPr>
              <w:rPr>
                <w:rFonts w:ascii="Arial" w:hAnsi="Arial" w:cs="Arial"/>
                <w:b/>
                <w:bCs/>
              </w:rPr>
            </w:pPr>
            <w:r w:rsidRPr="00C669A9">
              <w:rPr>
                <w:rFonts w:ascii="Arial" w:hAnsi="Arial" w:cs="Arial"/>
                <w:b/>
                <w:bCs/>
              </w:rPr>
              <w:t>Person-Centred Theory</w:t>
            </w:r>
          </w:p>
          <w:p w14:paraId="1C0C37EB" w14:textId="66BEA13C" w:rsidR="00C669A9" w:rsidRPr="00C669A9" w:rsidRDefault="00C669A9" w:rsidP="00C669A9">
            <w:pPr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Focuses on individual needs, preferences, and autonomy</w:t>
            </w:r>
          </w:p>
          <w:p w14:paraId="2CBFB948" w14:textId="1AF2FE6F" w:rsidR="00C669A9" w:rsidRPr="00C669A9" w:rsidRDefault="00C669A9" w:rsidP="00C669A9">
            <w:pPr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Widely used in elderly care to improve dignity and wellbeing</w:t>
            </w:r>
          </w:p>
          <w:p w14:paraId="5233B93A" w14:textId="5B5C7CF0" w:rsidR="00C669A9" w:rsidRPr="00C669A9" w:rsidRDefault="00C669A9" w:rsidP="00C669A9">
            <w:pPr>
              <w:rPr>
                <w:rFonts w:ascii="Arial" w:hAnsi="Arial" w:cs="Arial"/>
                <w:b/>
                <w:bCs/>
              </w:rPr>
            </w:pPr>
            <w:r w:rsidRPr="00C669A9">
              <w:rPr>
                <w:rFonts w:ascii="Arial" w:hAnsi="Arial" w:cs="Arial"/>
                <w:b/>
                <w:bCs/>
              </w:rPr>
              <w:t>Empowerment Theory</w:t>
            </w:r>
          </w:p>
          <w:p w14:paraId="2555B725" w14:textId="03198472" w:rsidR="00C669A9" w:rsidRPr="00C669A9" w:rsidRDefault="00C669A9" w:rsidP="00C669A9">
            <w:pPr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Encourages individuals to take control over their own lives</w:t>
            </w:r>
          </w:p>
          <w:p w14:paraId="129D245D" w14:textId="4B8AD265" w:rsidR="00EB6F36" w:rsidRPr="00602564" w:rsidRDefault="00C669A9" w:rsidP="00392CF6">
            <w:pPr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C669A9">
              <w:rPr>
                <w:rFonts w:ascii="Arial" w:hAnsi="Arial" w:cs="Arial"/>
              </w:rPr>
              <w:t>Supports independence and active decision-making</w:t>
            </w:r>
          </w:p>
        </w:tc>
        <w:tc>
          <w:tcPr>
            <w:tcW w:w="366" w:type="dxa"/>
            <w:vMerge/>
          </w:tcPr>
          <w:p w14:paraId="3188BA8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65686162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1CB5C8C5" w14:textId="77777777" w:rsidR="00B67824" w:rsidRDefault="00B67824" w:rsidP="00C46111"/>
    <w:p w14:paraId="36962526" w14:textId="463AF44D" w:rsidR="00EB6F36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1D6437F" w14:textId="77777777" w:rsidR="00602564" w:rsidRDefault="00602564" w:rsidP="00602564">
      <w:r>
        <w:t>Age UK (2023) Later Life in the United Kingdom. London: Age UK.</w:t>
      </w:r>
    </w:p>
    <w:p w14:paraId="1299F0B8" w14:textId="55C95108" w:rsidR="00602564" w:rsidRPr="00602564" w:rsidRDefault="00602564" w:rsidP="00602564">
      <w:pPr>
        <w:pStyle w:val="NormalWeb"/>
        <w:spacing w:before="0" w:beforeAutospacing="0" w:after="240" w:afterAutospacing="0" w:line="330" w:lineRule="atLeas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Bhandari, S. (2006)</w:t>
      </w:r>
      <w:r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>
        <w:rPr>
          <w:rFonts w:ascii="Arial" w:hAnsi="Arial" w:cs="Arial"/>
          <w:i/>
          <w:iCs/>
          <w:color w:val="000000"/>
          <w:sz w:val="22"/>
          <w:szCs w:val="22"/>
        </w:rPr>
        <w:t xml:space="preserve">What Is </w:t>
      </w:r>
      <w:r>
        <w:rPr>
          <w:rFonts w:ascii="Arial" w:hAnsi="Arial" w:cs="Arial"/>
          <w:i/>
          <w:iCs/>
          <w:color w:val="000000"/>
          <w:sz w:val="22"/>
          <w:szCs w:val="22"/>
        </w:rPr>
        <w:t>Dementia? Available</w:t>
      </w:r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3" w:history="1">
        <w:r w:rsidRPr="005417E0">
          <w:rPr>
            <w:rStyle w:val="Hyperlink"/>
            <w:rFonts w:ascii="Arial" w:hAnsi="Arial" w:cs="Arial"/>
            <w:sz w:val="22"/>
            <w:szCs w:val="22"/>
          </w:rPr>
          <w:t>https://www.webmd.com/alzheimers/types-dementia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(</w:t>
      </w:r>
      <w:r>
        <w:rPr>
          <w:rFonts w:ascii="Arial" w:hAnsi="Arial" w:cs="Arial"/>
          <w:color w:val="000000"/>
          <w:sz w:val="22"/>
          <w:szCs w:val="22"/>
        </w:rPr>
        <w:t>Accessed</w:t>
      </w:r>
      <w:r>
        <w:rPr>
          <w:rFonts w:ascii="Arial" w:hAnsi="Arial" w:cs="Arial"/>
          <w:color w:val="000000"/>
          <w:sz w:val="22"/>
          <w:szCs w:val="22"/>
        </w:rPr>
        <w:t xml:space="preserve">: </w:t>
      </w:r>
      <w:r>
        <w:rPr>
          <w:rFonts w:ascii="Arial" w:hAnsi="Arial" w:cs="Arial"/>
          <w:color w:val="000000"/>
          <w:sz w:val="22"/>
          <w:szCs w:val="22"/>
        </w:rPr>
        <w:t>17 Mar. 2026</w:t>
      </w:r>
      <w:r>
        <w:rPr>
          <w:rFonts w:ascii="Arial" w:hAnsi="Arial" w:cs="Arial"/>
          <w:color w:val="000000"/>
          <w:sz w:val="22"/>
          <w:szCs w:val="22"/>
        </w:rPr>
        <w:t>)</w:t>
      </w:r>
      <w:r>
        <w:rPr>
          <w:rFonts w:ascii="Arial" w:hAnsi="Arial" w:cs="Arial"/>
          <w:color w:val="000000"/>
          <w:sz w:val="22"/>
          <w:szCs w:val="22"/>
        </w:rPr>
        <w:t>.</w:t>
      </w:r>
    </w:p>
    <w:p w14:paraId="33E83036" w14:textId="77777777" w:rsidR="00602564" w:rsidRDefault="00602564" w:rsidP="00602564">
      <w:r>
        <w:t xml:space="preserve">NHS England (2022) Ageing Well </w:t>
      </w:r>
      <w:proofErr w:type="spellStart"/>
      <w:r>
        <w:t>Programme</w:t>
      </w:r>
      <w:proofErr w:type="spellEnd"/>
      <w:r>
        <w:t>. London: NHS England.</w:t>
      </w:r>
    </w:p>
    <w:p w14:paraId="6D8E4F9F" w14:textId="77777777" w:rsidR="00602564" w:rsidRDefault="00602564" w:rsidP="00602564">
      <w:r>
        <w:t>Office for National Statistics (2023) Overview of the UK population. London: ONS.</w:t>
      </w:r>
    </w:p>
    <w:p w14:paraId="079175F6" w14:textId="77777777" w:rsidR="00602564" w:rsidRDefault="00602564" w:rsidP="00602564">
      <w:r>
        <w:t>World Health Organization (2021) Decade of Healthy Ageing 2021–2030. Geneva: WHO.</w:t>
      </w:r>
    </w:p>
    <w:p w14:paraId="726700C2" w14:textId="77777777" w:rsidR="00602564" w:rsidRDefault="00602564" w:rsidP="00602564">
      <w:r>
        <w:t>Glasby, J. (2020) Understanding Health and Social Care. Bristol: Policy Press.</w:t>
      </w:r>
    </w:p>
    <w:p w14:paraId="7494FAA0" w14:textId="77777777" w:rsidR="00602564" w:rsidRDefault="00602564" w:rsidP="00602564">
      <w:r>
        <w:t>Victor, C. (2019) Ageing, Health and Care. Bristol: Policy Press.</w:t>
      </w:r>
    </w:p>
    <w:p w14:paraId="125FB88D" w14:textId="77777777" w:rsidR="00602564" w:rsidRDefault="00602564" w:rsidP="00602564">
      <w:r>
        <w:t>Care Act (2014) London: UK Government.</w:t>
      </w:r>
    </w:p>
    <w:p w14:paraId="7D37A667" w14:textId="77777777" w:rsidR="00602564" w:rsidRDefault="00602564" w:rsidP="00602564">
      <w:r>
        <w:t>Department of Health and Social Care (2021) Integration and Innovation: Working together to improve health and social care. London: DHSC.</w:t>
      </w:r>
    </w:p>
    <w:p w14:paraId="060C702F" w14:textId="395273FD" w:rsidR="00602564" w:rsidRDefault="00602564" w:rsidP="00602564">
      <w:pPr>
        <w:pStyle w:val="NormalWeb"/>
        <w:spacing w:before="0" w:beforeAutospacing="0" w:after="240" w:afterAutospacing="0" w:line="330" w:lineRule="atLeas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Pace Hospitals (2024)</w:t>
      </w:r>
      <w:r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>
        <w:rPr>
          <w:rFonts w:ascii="Arial" w:hAnsi="Arial" w:cs="Arial"/>
          <w:i/>
          <w:iCs/>
          <w:color w:val="000000"/>
          <w:sz w:val="22"/>
          <w:szCs w:val="22"/>
        </w:rPr>
        <w:t>Dementia Disease - Symptoms, Causes, Types and Treatment</w:t>
      </w:r>
      <w:r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4" w:history="1">
        <w:r w:rsidRPr="005417E0">
          <w:rPr>
            <w:rStyle w:val="Hyperlink"/>
            <w:rFonts w:ascii="Arial" w:hAnsi="Arial" w:cs="Arial"/>
            <w:sz w:val="22"/>
            <w:szCs w:val="22"/>
          </w:rPr>
          <w:t>https://www.pacehospital.com/dementia-disease-symptoms-types-causes-prevention-and-treatment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(</w:t>
      </w:r>
      <w:r>
        <w:rPr>
          <w:rFonts w:ascii="Arial" w:hAnsi="Arial" w:cs="Arial"/>
          <w:color w:val="000000"/>
          <w:sz w:val="22"/>
          <w:szCs w:val="22"/>
        </w:rPr>
        <w:t>Accessed</w:t>
      </w:r>
      <w:r>
        <w:rPr>
          <w:rFonts w:ascii="Arial" w:hAnsi="Arial" w:cs="Arial"/>
          <w:color w:val="000000"/>
          <w:sz w:val="22"/>
          <w:szCs w:val="22"/>
        </w:rPr>
        <w:t>:</w:t>
      </w:r>
      <w:r>
        <w:rPr>
          <w:rFonts w:ascii="Arial" w:hAnsi="Arial" w:cs="Arial"/>
          <w:color w:val="000000"/>
          <w:sz w:val="22"/>
          <w:szCs w:val="22"/>
        </w:rPr>
        <w:t xml:space="preserve"> 17 Mar. 2026</w:t>
      </w:r>
      <w:r>
        <w:rPr>
          <w:rFonts w:ascii="Arial" w:hAnsi="Arial" w:cs="Arial"/>
          <w:color w:val="000000"/>
          <w:sz w:val="22"/>
          <w:szCs w:val="22"/>
        </w:rPr>
        <w:t>)</w:t>
      </w:r>
      <w:r>
        <w:rPr>
          <w:rFonts w:ascii="Arial" w:hAnsi="Arial" w:cs="Arial"/>
          <w:color w:val="000000"/>
          <w:sz w:val="22"/>
          <w:szCs w:val="22"/>
        </w:rPr>
        <w:t>.</w:t>
      </w:r>
    </w:p>
    <w:p w14:paraId="4AA06340" w14:textId="77777777" w:rsidR="00602564" w:rsidRDefault="00602564" w:rsidP="00602564"/>
    <w:p w14:paraId="5AF7AB90" w14:textId="77777777" w:rsidR="00602564" w:rsidRDefault="00602564" w:rsidP="00602564">
      <w:r>
        <w:t>Public Health England (2019) Health Profile for England. London: PHE.</w:t>
      </w:r>
    </w:p>
    <w:p w14:paraId="6A7D8DC0" w14:textId="77777777" w:rsidR="00602564" w:rsidRDefault="00602564" w:rsidP="00602564">
      <w:r>
        <w:t>The King’s Fund (2022) Social Care 360. London: The King’s Fund.</w:t>
      </w:r>
    </w:p>
    <w:p w14:paraId="6DB3E1CE" w14:textId="77777777" w:rsidR="00602564" w:rsidRDefault="00602564" w:rsidP="00602564">
      <w:r>
        <w:t>Alzheimer’s Society (2023) Dementia UK Update. London: Alzheimer’s Society.</w:t>
      </w:r>
    </w:p>
    <w:p w14:paraId="28EA7A9F" w14:textId="77777777" w:rsidR="00602564" w:rsidRDefault="00602564" w:rsidP="00602564">
      <w:r>
        <w:t>Centre for Ageing Better (2022) State of Ageing Report. London: Centre for Ageing Better.</w:t>
      </w:r>
    </w:p>
    <w:p w14:paraId="466EF70F" w14:textId="77777777" w:rsidR="00602564" w:rsidRDefault="00602564" w:rsidP="00602564">
      <w:r>
        <w:t>NICE (2015) Older people: independence and mental wellbeing. London: National Institute for Health and Care Excellence.</w:t>
      </w:r>
    </w:p>
    <w:p w14:paraId="2A08D75D" w14:textId="77777777" w:rsidR="00602564" w:rsidRDefault="00602564" w:rsidP="00602564">
      <w:r>
        <w:t>Walker, A. (2018) Active Ageing: Supporting Older People to Live Well. London: Palgrave Macmillan.</w:t>
      </w:r>
    </w:p>
    <w:p w14:paraId="303AC741" w14:textId="77777777" w:rsidR="00602564" w:rsidRDefault="00602564" w:rsidP="00602564">
      <w:r>
        <w:t>Phillipson, C. (2017) Ageing and the Urban Environment. Bristol: Policy Press.</w:t>
      </w:r>
    </w:p>
    <w:p w14:paraId="59FAD27E" w14:textId="77777777" w:rsidR="00602564" w:rsidRDefault="00602564" w:rsidP="00602564">
      <w:r>
        <w:t>Twigg, J. &amp; Martin, W. (2015) Routledge Handbook of Cultural Gerontology. London: Routledge.</w:t>
      </w:r>
    </w:p>
    <w:p w14:paraId="391C006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0247D127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5"/>
      <w:headerReference w:type="first" r:id="rId16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C7F2B0" w14:textId="77777777" w:rsidR="000354C5" w:rsidRDefault="000354C5" w:rsidP="00D210FA">
      <w:pPr>
        <w:spacing w:after="0"/>
      </w:pPr>
      <w:r>
        <w:separator/>
      </w:r>
    </w:p>
  </w:endnote>
  <w:endnote w:type="continuationSeparator" w:id="0">
    <w:p w14:paraId="0D5CBF70" w14:textId="77777777" w:rsidR="000354C5" w:rsidRDefault="000354C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notTrueType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4B4F8B" w14:textId="77777777" w:rsidR="000354C5" w:rsidRDefault="000354C5" w:rsidP="00D210FA">
      <w:pPr>
        <w:spacing w:after="0"/>
      </w:pPr>
      <w:r>
        <w:separator/>
      </w:r>
    </w:p>
  </w:footnote>
  <w:footnote w:type="continuationSeparator" w:id="0">
    <w:p w14:paraId="09A3B1A9" w14:textId="77777777" w:rsidR="000354C5" w:rsidRDefault="000354C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FCE489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0E1F7B" w14:textId="77777777" w:rsidR="008B0F18" w:rsidRDefault="008B0F18">
    <w:pPr>
      <w:pStyle w:val="Header"/>
    </w:pPr>
  </w:p>
  <w:p w14:paraId="39DAAE84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97B8E2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BCC0E4F"/>
    <w:multiLevelType w:val="hybridMultilevel"/>
    <w:tmpl w:val="C2D85E6E"/>
    <w:lvl w:ilvl="0" w:tplc="D195C8BF">
      <w:start w:val="1"/>
      <w:numFmt w:val="bullet"/>
      <w:lvlText w:val="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20305DA"/>
    <w:multiLevelType w:val="hybridMultilevel"/>
    <w:tmpl w:val="688656D4"/>
    <w:lvl w:ilvl="0" w:tplc="D195C8BF">
      <w:start w:val="1"/>
      <w:numFmt w:val="bullet"/>
      <w:lvlText w:val=""/>
      <w:lvlJc w:val="left"/>
      <w:pPr>
        <w:ind w:left="50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5" w15:restartNumberingAfterBreak="0">
    <w:nsid w:val="28F91BBF"/>
    <w:multiLevelType w:val="hybridMultilevel"/>
    <w:tmpl w:val="24764E76"/>
    <w:lvl w:ilvl="0" w:tplc="D195C8BF">
      <w:start w:val="1"/>
      <w:numFmt w:val="bullet"/>
      <w:lvlText w:val="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C56D66"/>
    <w:multiLevelType w:val="hybridMultilevel"/>
    <w:tmpl w:val="65C49972"/>
    <w:lvl w:ilvl="0" w:tplc="D195C8BF">
      <w:start w:val="1"/>
      <w:numFmt w:val="bullet"/>
      <w:lvlText w:val="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5D13B9"/>
    <w:multiLevelType w:val="hybridMultilevel"/>
    <w:tmpl w:val="86DABA30"/>
    <w:lvl w:ilvl="0" w:tplc="D195C8BF">
      <w:start w:val="1"/>
      <w:numFmt w:val="bullet"/>
      <w:lvlText w:val=""/>
      <w:lvlJc w:val="left"/>
      <w:pPr>
        <w:ind w:left="50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625C50"/>
    <w:multiLevelType w:val="hybridMultilevel"/>
    <w:tmpl w:val="7C16C124"/>
    <w:lvl w:ilvl="0" w:tplc="D195C8BF">
      <w:start w:val="1"/>
      <w:numFmt w:val="bullet"/>
      <w:lvlText w:val=""/>
      <w:lvlJc w:val="left"/>
      <w:pPr>
        <w:ind w:left="50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2E574A"/>
    <w:multiLevelType w:val="hybridMultilevel"/>
    <w:tmpl w:val="D072586E"/>
    <w:lvl w:ilvl="0" w:tplc="D195C8BF">
      <w:start w:val="1"/>
      <w:numFmt w:val="bullet"/>
      <w:lvlText w:val="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63F25E6"/>
    <w:multiLevelType w:val="hybridMultilevel"/>
    <w:tmpl w:val="41ACAE4A"/>
    <w:lvl w:ilvl="0" w:tplc="D195C8BF">
      <w:start w:val="1"/>
      <w:numFmt w:val="bullet"/>
      <w:lvlText w:val="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0763520">
    <w:abstractNumId w:val="3"/>
  </w:num>
  <w:num w:numId="2" w16cid:durableId="1522084846">
    <w:abstractNumId w:val="1"/>
  </w:num>
  <w:num w:numId="3" w16cid:durableId="234317344">
    <w:abstractNumId w:val="14"/>
  </w:num>
  <w:num w:numId="4" w16cid:durableId="424694498">
    <w:abstractNumId w:val="15"/>
  </w:num>
  <w:num w:numId="5" w16cid:durableId="1643655238">
    <w:abstractNumId w:val="7"/>
  </w:num>
  <w:num w:numId="6" w16cid:durableId="728116931">
    <w:abstractNumId w:val="6"/>
  </w:num>
  <w:num w:numId="7" w16cid:durableId="472606307">
    <w:abstractNumId w:val="11"/>
  </w:num>
  <w:num w:numId="8" w16cid:durableId="1256523269">
    <w:abstractNumId w:val="0"/>
  </w:num>
  <w:num w:numId="9" w16cid:durableId="197861731">
    <w:abstractNumId w:val="2"/>
  </w:num>
  <w:num w:numId="10" w16cid:durableId="159080154">
    <w:abstractNumId w:val="5"/>
  </w:num>
  <w:num w:numId="11" w16cid:durableId="764308535">
    <w:abstractNumId w:val="9"/>
  </w:num>
  <w:num w:numId="12" w16cid:durableId="1315597644">
    <w:abstractNumId w:val="8"/>
  </w:num>
  <w:num w:numId="13" w16cid:durableId="1428695041">
    <w:abstractNumId w:val="12"/>
  </w:num>
  <w:num w:numId="14" w16cid:durableId="703017069">
    <w:abstractNumId w:val="13"/>
  </w:num>
  <w:num w:numId="15" w16cid:durableId="2063825058">
    <w:abstractNumId w:val="4"/>
  </w:num>
  <w:num w:numId="16" w16cid:durableId="100906387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354C5"/>
    <w:rsid w:val="00061977"/>
    <w:rsid w:val="00073A5E"/>
    <w:rsid w:val="00084229"/>
    <w:rsid w:val="0008782A"/>
    <w:rsid w:val="000A065A"/>
    <w:rsid w:val="000E2F62"/>
    <w:rsid w:val="00106FC5"/>
    <w:rsid w:val="00120DEC"/>
    <w:rsid w:val="00123C19"/>
    <w:rsid w:val="00127F31"/>
    <w:rsid w:val="00180958"/>
    <w:rsid w:val="001A672F"/>
    <w:rsid w:val="001C55B6"/>
    <w:rsid w:val="001D6CC4"/>
    <w:rsid w:val="00206405"/>
    <w:rsid w:val="002408E8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92CF6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645F8"/>
    <w:rsid w:val="004F5917"/>
    <w:rsid w:val="00500564"/>
    <w:rsid w:val="00502277"/>
    <w:rsid w:val="0051102B"/>
    <w:rsid w:val="00517812"/>
    <w:rsid w:val="005838BC"/>
    <w:rsid w:val="005B57E1"/>
    <w:rsid w:val="005E61E0"/>
    <w:rsid w:val="005F0F31"/>
    <w:rsid w:val="006024ED"/>
    <w:rsid w:val="00602564"/>
    <w:rsid w:val="0061793F"/>
    <w:rsid w:val="0062123A"/>
    <w:rsid w:val="00634071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E7754"/>
    <w:rsid w:val="007F20B4"/>
    <w:rsid w:val="007F525E"/>
    <w:rsid w:val="0082695D"/>
    <w:rsid w:val="0083044C"/>
    <w:rsid w:val="00847CFA"/>
    <w:rsid w:val="0085182D"/>
    <w:rsid w:val="00867C6C"/>
    <w:rsid w:val="00867E5F"/>
    <w:rsid w:val="008709F5"/>
    <w:rsid w:val="00877A91"/>
    <w:rsid w:val="00884E86"/>
    <w:rsid w:val="008927FF"/>
    <w:rsid w:val="008A5FA5"/>
    <w:rsid w:val="008A75AB"/>
    <w:rsid w:val="008B0F18"/>
    <w:rsid w:val="008D6C80"/>
    <w:rsid w:val="008E3921"/>
    <w:rsid w:val="0090027B"/>
    <w:rsid w:val="0090088E"/>
    <w:rsid w:val="00905238"/>
    <w:rsid w:val="0094702A"/>
    <w:rsid w:val="00967DAB"/>
    <w:rsid w:val="00990E76"/>
    <w:rsid w:val="00991A53"/>
    <w:rsid w:val="00996F4E"/>
    <w:rsid w:val="009F71FE"/>
    <w:rsid w:val="00A0201E"/>
    <w:rsid w:val="00A31F33"/>
    <w:rsid w:val="00A70A62"/>
    <w:rsid w:val="00A71DA8"/>
    <w:rsid w:val="00A844D6"/>
    <w:rsid w:val="00AA0BFC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7824"/>
    <w:rsid w:val="00BE15BA"/>
    <w:rsid w:val="00C20ED0"/>
    <w:rsid w:val="00C348A8"/>
    <w:rsid w:val="00C46111"/>
    <w:rsid w:val="00C54E50"/>
    <w:rsid w:val="00C669A9"/>
    <w:rsid w:val="00C676CA"/>
    <w:rsid w:val="00C83332"/>
    <w:rsid w:val="00C95E04"/>
    <w:rsid w:val="00CC0A8F"/>
    <w:rsid w:val="00CC24B6"/>
    <w:rsid w:val="00CD3A64"/>
    <w:rsid w:val="00CE08CD"/>
    <w:rsid w:val="00D05B4C"/>
    <w:rsid w:val="00D0664A"/>
    <w:rsid w:val="00D210FA"/>
    <w:rsid w:val="00D30F1D"/>
    <w:rsid w:val="00D57231"/>
    <w:rsid w:val="00D62DF6"/>
    <w:rsid w:val="00D87B48"/>
    <w:rsid w:val="00D91203"/>
    <w:rsid w:val="00D94FD1"/>
    <w:rsid w:val="00DC00BD"/>
    <w:rsid w:val="00DD6F63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658C1"/>
    <w:rsid w:val="00FB49B9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A4A2E6"/>
  <w14:defaultImageDpi w14:val="32767"/>
  <w15:chartTrackingRefBased/>
  <w15:docId w15:val="{3662568F-D987-8C4A-97B8-DE4FDCC39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ListBullet">
    <w:name w:val="List Bullet"/>
    <w:basedOn w:val="Normal"/>
    <w:uiPriority w:val="99"/>
    <w:unhideWhenUsed/>
    <w:rsid w:val="00867C6C"/>
    <w:pPr>
      <w:numPr>
        <w:numId w:val="8"/>
      </w:numPr>
      <w:tabs>
        <w:tab w:val="clear" w:pos="360"/>
      </w:tabs>
      <w:spacing w:after="200" w:line="276" w:lineRule="auto"/>
      <w:ind w:left="0" w:firstLine="0"/>
      <w:contextualSpacing/>
    </w:pPr>
    <w:rPr>
      <w:rFonts w:ascii="Cambria" w:eastAsia="MS Mincho" w:hAnsi="Cambria"/>
    </w:rPr>
  </w:style>
  <w:style w:type="paragraph" w:styleId="NormalWeb">
    <w:name w:val="Normal (Web)"/>
    <w:basedOn w:val="Normal"/>
    <w:uiPriority w:val="99"/>
    <w:unhideWhenUsed/>
    <w:rsid w:val="00602564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602564"/>
  </w:style>
  <w:style w:type="character" w:styleId="Hyperlink">
    <w:name w:val="Hyperlink"/>
    <w:basedOn w:val="DefaultParagraphFont"/>
    <w:uiPriority w:val="99"/>
    <w:unhideWhenUsed/>
    <w:rsid w:val="0060256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webmd.com/alzheimers/types-dementia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pacehospital.com/dementia-disease-symptoms-types-causes-prevention-and-treatment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1</TotalTime>
  <Pages>5</Pages>
  <Words>614</Words>
  <Characters>3503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Larry Osei Kofi (2308809)</cp:lastModifiedBy>
  <cp:revision>2</cp:revision>
  <dcterms:created xsi:type="dcterms:W3CDTF">2026-03-17T12:33:00Z</dcterms:created>
  <dcterms:modified xsi:type="dcterms:W3CDTF">2026-03-17T12:33:00Z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