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5613205"/>
        <w:docPartObj>
          <w:docPartGallery w:val="Cover Pages"/>
          <w:docPartUnique/>
        </w:docPartObj>
      </w:sdtPr>
      <w:sdtEndPr>
        <w:rPr>
          <w:rFonts w:ascii="Arial" w:hAnsi="Arial" w:cs="Arial"/>
          <w:b/>
          <w:bCs/>
          <w:sz w:val="24"/>
          <w:szCs w:val="24"/>
        </w:rPr>
      </w:sdtEndPr>
      <w:sdtContent>
        <w:p w14:paraId="65FDEC0F" w14:textId="6AD419A2" w:rsidR="00871D4D" w:rsidRDefault="00871D4D">
          <w:r>
            <w:rPr>
              <w:noProof/>
            </w:rPr>
            <w:pict w14:anchorId="6C3951D7">
              <v:shapetype id="_x0000_t202" coordsize="21600,21600" o:spt="202" path="m,l,21600r21600,l21600,xe">
                <v:stroke joinstyle="miter"/>
                <v:path gradientshapeok="t" o:connecttype="rect"/>
              </v:shapetype>
              <v:shape id="Text Box 255" o:spid="_x0000_s1043"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34AB2EA" w14:textId="4F6B6979" w:rsidR="00871D4D" w:rsidRDefault="00871D4D" w:rsidP="00871D4D">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Adrian Neacsu</w:t>
                          </w:r>
                        </w:sdtContent>
                      </w:sdt>
                      <w:r>
                        <w:rPr>
                          <w:color w:val="0E2841" w:themeColor="text2"/>
                        </w:rPr>
                        <w:t xml:space="preserve"> UWTSD 2312529</w:t>
                      </w:r>
                    </w:p>
                    <w:p w14:paraId="5C775D6E" w14:textId="3AA4E750" w:rsidR="00871D4D" w:rsidRDefault="00871D4D">
                      <w:pPr>
                        <w:pStyle w:val="NoSpacing"/>
                        <w:rPr>
                          <w:color w:val="0E2841" w:themeColor="text2"/>
                        </w:rPr>
                      </w:pPr>
                    </w:p>
                  </w:txbxContent>
                </v:textbox>
                <w10:wrap type="square" anchorx="page" anchory="page"/>
              </v:shape>
            </w:pict>
          </w:r>
          <w:r>
            <w:rPr>
              <w:noProof/>
            </w:rPr>
            <w:pict w14:anchorId="054FCE1C">
              <v:rect id="Rectangle 257" o:spid="_x0000_s1042"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A48331A" w14:textId="77777777" w:rsidR="00871D4D" w:rsidRDefault="00871D4D"/>
                  </w:txbxContent>
                </v:textbox>
                <w10:wrap anchorx="page" anchory="page"/>
              </v:rect>
            </w:pict>
          </w:r>
          <w:r>
            <w:rPr>
              <w:noProof/>
            </w:rPr>
            <w:pict w14:anchorId="0B25EB2D">
              <v:rect id="Rectangle 259" o:spid="_x0000_s1041"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6EDD6D18" w14:textId="0CD453F3" w:rsidR="00871D4D" w:rsidRDefault="00871D4D" w:rsidP="00871D4D">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871D4D">
                            <w:rPr>
                              <w:color w:val="FFFFFF" w:themeColor="background1"/>
                            </w:rPr>
                            <w:t>A critical reflection on Genting UK’s development, its founders’ entrepreneurial approach, and the lessons I would apply when starting my own company.</w:t>
                          </w:r>
                        </w:sdtContent>
                      </w:sdt>
                    </w:p>
                  </w:txbxContent>
                </v:textbox>
                <w10:wrap anchorx="page" anchory="page"/>
              </v:rect>
            </w:pict>
          </w:r>
          <w:r>
            <w:rPr>
              <w:noProof/>
            </w:rPr>
            <w:pict w14:anchorId="75D5CE7B">
              <v:rect id="Rectangle 261" o:spid="_x0000_s1040"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w:r>
          <w:r>
            <w:rPr>
              <w:noProof/>
            </w:rPr>
            <w:pict w14:anchorId="0E7EC928">
              <v:rect id="Rectangle 263" o:spid="_x0000_s103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w:r>
          <w:r>
            <w:rPr>
              <w:noProof/>
            </w:rPr>
            <w:pict w14:anchorId="462932D6">
              <v:shape id="Text Box 265" o:spid="_x0000_s103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FAF2D33" w14:textId="60053F73" w:rsidR="00871D4D" w:rsidRDefault="00871D4D">
                          <w:pPr>
                            <w:spacing w:line="240" w:lineRule="auto"/>
                            <w:rPr>
                              <w:rFonts w:asciiTheme="majorHAnsi" w:eastAsiaTheme="majorEastAsia" w:hAnsiTheme="majorHAnsi" w:cstheme="majorBidi"/>
                              <w:color w:val="156082" w:themeColor="accent1"/>
                              <w:sz w:val="72"/>
                              <w:szCs w:val="72"/>
                            </w:rPr>
                          </w:pPr>
                          <w:r w:rsidRPr="00871D4D">
                            <w:rPr>
                              <w:rFonts w:asciiTheme="majorHAnsi" w:eastAsiaTheme="majorEastAsia" w:hAnsiTheme="majorHAnsi" w:cstheme="majorBidi"/>
                              <w:color w:val="156082" w:themeColor="accent1"/>
                              <w:sz w:val="56"/>
                              <w:szCs w:val="56"/>
                            </w:rPr>
                            <w:t>Entrepreneurship</w:t>
                          </w:r>
                        </w:p>
                      </w:sdtContent>
                    </w:sdt>
                    <w:sdt>
                      <w:sdtPr>
                        <w:rPr>
                          <w:rFonts w:asciiTheme="majorHAnsi" w:eastAsiaTheme="majorEastAsia" w:hAnsiTheme="majorHAnsi" w:cstheme="majorBidi"/>
                          <w:color w:val="0E2841"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E65E48E" w14:textId="34ADCBB1" w:rsidR="00871D4D" w:rsidRDefault="00871D4D">
                          <w:pPr>
                            <w:rPr>
                              <w:rFonts w:asciiTheme="majorHAnsi" w:eastAsiaTheme="majorEastAsia" w:hAnsiTheme="majorHAnsi" w:cstheme="majorBidi"/>
                              <w:color w:val="0E2841" w:themeColor="text2"/>
                              <w:sz w:val="32"/>
                              <w:szCs w:val="32"/>
                            </w:rPr>
                          </w:pPr>
                          <w:r w:rsidRPr="00871D4D">
                            <w:rPr>
                              <w:rFonts w:asciiTheme="majorHAnsi" w:eastAsiaTheme="majorEastAsia" w:hAnsiTheme="majorHAnsi" w:cstheme="majorBidi"/>
                              <w:color w:val="0E2841" w:themeColor="text2"/>
                              <w:sz w:val="40"/>
                              <w:szCs w:val="40"/>
                            </w:rPr>
                            <w:t>Reflection</w:t>
                          </w:r>
                        </w:p>
                      </w:sdtContent>
                    </w:sdt>
                  </w:txbxContent>
                </v:textbox>
                <w10:wrap type="square" anchorx="page" anchory="page"/>
              </v:shape>
            </w:pict>
          </w:r>
        </w:p>
        <w:p w14:paraId="63B0AE97" w14:textId="6C7C680C" w:rsidR="00871D4D" w:rsidRDefault="00871D4D">
          <w:pPr>
            <w:rPr>
              <w:rFonts w:ascii="Arial" w:hAnsi="Arial" w:cs="Arial"/>
              <w:b/>
              <w:bCs/>
              <w:sz w:val="24"/>
              <w:szCs w:val="24"/>
            </w:rPr>
          </w:pPr>
          <w:r>
            <w:rPr>
              <w:rFonts w:ascii="Arial" w:hAnsi="Arial" w:cs="Arial"/>
              <w:b/>
              <w:bCs/>
              <w:sz w:val="24"/>
              <w:szCs w:val="24"/>
            </w:rPr>
            <w:br w:type="page"/>
          </w:r>
        </w:p>
      </w:sdtContent>
    </w:sdt>
    <w:p w14:paraId="5D81ED3E" w14:textId="77777777" w:rsidR="001E44E0" w:rsidRDefault="001E44E0" w:rsidP="001E44E0">
      <w:pPr>
        <w:spacing w:line="360" w:lineRule="auto"/>
        <w:jc w:val="both"/>
        <w:rPr>
          <w:rFonts w:ascii="Arial" w:hAnsi="Arial" w:cs="Arial"/>
          <w:b/>
          <w:bCs/>
          <w:sz w:val="24"/>
          <w:szCs w:val="24"/>
        </w:rPr>
      </w:pPr>
    </w:p>
    <w:p w14:paraId="15F0B2E4" w14:textId="63D19A85" w:rsidR="001E44E0" w:rsidRPr="00E64AEB" w:rsidRDefault="001E44E0" w:rsidP="00871D4D">
      <w:pPr>
        <w:rPr>
          <w:rFonts w:ascii="Arial" w:hAnsi="Arial" w:cs="Arial"/>
          <w:b/>
          <w:bCs/>
          <w:sz w:val="24"/>
          <w:szCs w:val="24"/>
        </w:rPr>
      </w:pPr>
      <w:r w:rsidRPr="00E64AEB">
        <w:rPr>
          <w:rFonts w:ascii="Arial" w:hAnsi="Arial" w:cs="Arial"/>
          <w:noProof/>
          <w:sz w:val="24"/>
          <w:szCs w:val="24"/>
        </w:rPr>
        <w:drawing>
          <wp:inline distT="0" distB="0" distL="0" distR="0" wp14:anchorId="7C34BA49" wp14:editId="0DDB7E3B">
            <wp:extent cx="5731510" cy="2865755"/>
            <wp:effectExtent l="0" t="0" r="0" b="0"/>
            <wp:docPr id="1359570139"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E0B8382" w14:textId="77777777" w:rsidR="001E44E0" w:rsidRPr="00E64AEB" w:rsidRDefault="001E44E0" w:rsidP="001E44E0">
      <w:pPr>
        <w:spacing w:line="360" w:lineRule="auto"/>
        <w:rPr>
          <w:rFonts w:ascii="Arial" w:hAnsi="Arial" w:cs="Arial"/>
          <w:b/>
          <w:bCs/>
          <w:sz w:val="24"/>
          <w:szCs w:val="24"/>
        </w:rPr>
      </w:pPr>
    </w:p>
    <w:p w14:paraId="2AC0F249" w14:textId="77777777" w:rsidR="001E44E0" w:rsidRPr="00E64AEB" w:rsidRDefault="001E44E0" w:rsidP="001E44E0">
      <w:pPr>
        <w:spacing w:line="360" w:lineRule="auto"/>
        <w:jc w:val="center"/>
        <w:rPr>
          <w:rFonts w:ascii="Arial" w:hAnsi="Arial" w:cs="Arial"/>
          <w:sz w:val="24"/>
          <w:szCs w:val="24"/>
        </w:rPr>
      </w:pPr>
      <w:r w:rsidRPr="00E64AEB">
        <w:rPr>
          <w:rFonts w:ascii="Arial" w:hAnsi="Arial" w:cs="Arial"/>
          <w:b/>
          <w:bCs/>
          <w:sz w:val="24"/>
          <w:szCs w:val="24"/>
        </w:rPr>
        <w:t>Name: Adrian Mihai Neacsu</w:t>
      </w:r>
    </w:p>
    <w:p w14:paraId="471BAF1D" w14:textId="77777777" w:rsidR="001E44E0" w:rsidRPr="00E64AEB" w:rsidRDefault="001E44E0" w:rsidP="001E44E0">
      <w:pPr>
        <w:spacing w:line="360" w:lineRule="auto"/>
        <w:jc w:val="center"/>
        <w:rPr>
          <w:rFonts w:ascii="Arial" w:hAnsi="Arial" w:cs="Arial"/>
          <w:b/>
          <w:bCs/>
          <w:sz w:val="24"/>
          <w:szCs w:val="24"/>
        </w:rPr>
      </w:pPr>
      <w:r w:rsidRPr="00E64AEB">
        <w:rPr>
          <w:rFonts w:ascii="Arial" w:hAnsi="Arial" w:cs="Arial"/>
          <w:b/>
          <w:bCs/>
          <w:sz w:val="24"/>
          <w:szCs w:val="24"/>
        </w:rPr>
        <w:t>Student number: 2312529</w:t>
      </w:r>
    </w:p>
    <w:p w14:paraId="0C19C826" w14:textId="77777777" w:rsidR="001E44E0" w:rsidRPr="00E64AEB" w:rsidRDefault="001E44E0" w:rsidP="001E44E0">
      <w:pPr>
        <w:spacing w:line="360" w:lineRule="auto"/>
        <w:jc w:val="center"/>
        <w:rPr>
          <w:rFonts w:ascii="Arial" w:hAnsi="Arial" w:cs="Arial"/>
          <w:b/>
          <w:bCs/>
          <w:sz w:val="24"/>
          <w:szCs w:val="24"/>
        </w:rPr>
      </w:pPr>
      <w:r w:rsidRPr="00E64AEB">
        <w:rPr>
          <w:rFonts w:ascii="Arial" w:hAnsi="Arial" w:cs="Arial"/>
          <w:b/>
          <w:bCs/>
          <w:sz w:val="24"/>
          <w:szCs w:val="24"/>
        </w:rPr>
        <w:t>Module Code: LCBB5013</w:t>
      </w:r>
    </w:p>
    <w:p w14:paraId="542020C3" w14:textId="77777777" w:rsidR="001E44E0" w:rsidRPr="00E64AEB" w:rsidRDefault="001E44E0" w:rsidP="001E44E0">
      <w:pPr>
        <w:spacing w:line="360" w:lineRule="auto"/>
        <w:jc w:val="center"/>
        <w:rPr>
          <w:rFonts w:ascii="Arial" w:hAnsi="Arial" w:cs="Arial"/>
          <w:b/>
          <w:bCs/>
          <w:sz w:val="24"/>
          <w:szCs w:val="24"/>
        </w:rPr>
      </w:pPr>
      <w:r w:rsidRPr="00E64AEB">
        <w:rPr>
          <w:rFonts w:ascii="Arial" w:hAnsi="Arial" w:cs="Arial"/>
          <w:b/>
          <w:bCs/>
          <w:sz w:val="24"/>
          <w:szCs w:val="24"/>
        </w:rPr>
        <w:t>Module Title: Entrepreneurship</w:t>
      </w:r>
    </w:p>
    <w:p w14:paraId="6F95B333" w14:textId="23CB0C07" w:rsidR="001E44E0" w:rsidRPr="00E64AEB" w:rsidRDefault="001E44E0" w:rsidP="001E44E0">
      <w:pPr>
        <w:spacing w:line="360" w:lineRule="auto"/>
        <w:jc w:val="center"/>
        <w:rPr>
          <w:rFonts w:ascii="Arial" w:hAnsi="Arial" w:cs="Arial"/>
          <w:b/>
          <w:bCs/>
          <w:sz w:val="24"/>
          <w:szCs w:val="24"/>
          <w:lang w:val="en-US"/>
        </w:rPr>
      </w:pPr>
      <w:r w:rsidRPr="00E64AEB">
        <w:rPr>
          <w:rFonts w:ascii="Arial" w:hAnsi="Arial" w:cs="Arial"/>
          <w:b/>
          <w:bCs/>
          <w:sz w:val="24"/>
          <w:szCs w:val="24"/>
        </w:rPr>
        <w:t xml:space="preserve">Assignment Title: Task </w:t>
      </w:r>
      <w:r>
        <w:rPr>
          <w:rFonts w:ascii="Arial" w:hAnsi="Arial" w:cs="Arial"/>
          <w:b/>
          <w:bCs/>
          <w:sz w:val="24"/>
          <w:szCs w:val="24"/>
        </w:rPr>
        <w:t>3</w:t>
      </w:r>
      <w:r w:rsidRPr="00E64AEB">
        <w:rPr>
          <w:rFonts w:ascii="Arial" w:hAnsi="Arial" w:cs="Arial"/>
          <w:b/>
          <w:bCs/>
          <w:sz w:val="24"/>
          <w:szCs w:val="24"/>
        </w:rPr>
        <w:t xml:space="preserve">: </w:t>
      </w:r>
      <w:r>
        <w:rPr>
          <w:rFonts w:ascii="Arial" w:hAnsi="Arial" w:cs="Arial"/>
          <w:b/>
          <w:bCs/>
          <w:sz w:val="24"/>
          <w:szCs w:val="24"/>
        </w:rPr>
        <w:t>Reflection</w:t>
      </w:r>
      <w:r w:rsidRPr="00E64AEB">
        <w:rPr>
          <w:rFonts w:ascii="Arial" w:hAnsi="Arial" w:cs="Arial"/>
          <w:b/>
          <w:bCs/>
          <w:sz w:val="24"/>
          <w:szCs w:val="24"/>
        </w:rPr>
        <w:t xml:space="preserve"> (Element</w:t>
      </w:r>
      <w:r>
        <w:rPr>
          <w:rFonts w:ascii="Arial" w:hAnsi="Arial" w:cs="Arial"/>
          <w:b/>
          <w:bCs/>
          <w:sz w:val="24"/>
          <w:szCs w:val="24"/>
        </w:rPr>
        <w:t xml:space="preserve"> 6</w:t>
      </w:r>
      <w:r w:rsidRPr="00E64AEB">
        <w:rPr>
          <w:rFonts w:ascii="Arial" w:hAnsi="Arial" w:cs="Arial"/>
          <w:b/>
          <w:bCs/>
          <w:sz w:val="24"/>
          <w:szCs w:val="24"/>
        </w:rPr>
        <w:t>)</w:t>
      </w:r>
    </w:p>
    <w:p w14:paraId="5D08ADFA" w14:textId="77777777" w:rsidR="001E44E0" w:rsidRPr="00E64AEB" w:rsidRDefault="001E44E0" w:rsidP="001E44E0">
      <w:pPr>
        <w:spacing w:line="360" w:lineRule="auto"/>
        <w:jc w:val="center"/>
        <w:rPr>
          <w:rFonts w:ascii="Arial" w:hAnsi="Arial" w:cs="Arial"/>
          <w:b/>
          <w:bCs/>
          <w:sz w:val="24"/>
          <w:szCs w:val="24"/>
        </w:rPr>
      </w:pPr>
      <w:r w:rsidRPr="00E64AEB">
        <w:rPr>
          <w:rFonts w:ascii="Arial" w:hAnsi="Arial" w:cs="Arial"/>
          <w:b/>
          <w:bCs/>
          <w:sz w:val="24"/>
          <w:szCs w:val="24"/>
        </w:rPr>
        <w:t>UWTSD Birmingham</w:t>
      </w:r>
    </w:p>
    <w:p w14:paraId="310732CD" w14:textId="77777777" w:rsidR="001E44E0" w:rsidRPr="00E64AEB" w:rsidRDefault="001E44E0" w:rsidP="001E44E0">
      <w:pPr>
        <w:spacing w:line="360" w:lineRule="auto"/>
        <w:jc w:val="center"/>
        <w:rPr>
          <w:rFonts w:ascii="Arial" w:hAnsi="Arial" w:cs="Arial"/>
          <w:b/>
          <w:bCs/>
          <w:sz w:val="24"/>
          <w:szCs w:val="24"/>
        </w:rPr>
      </w:pPr>
      <w:r w:rsidRPr="00E64AEB">
        <w:rPr>
          <w:rFonts w:ascii="Arial" w:hAnsi="Arial" w:cs="Arial"/>
          <w:b/>
          <w:bCs/>
          <w:sz w:val="24"/>
          <w:szCs w:val="24"/>
        </w:rPr>
        <w:t>Program of Study: BA Business Management</w:t>
      </w:r>
    </w:p>
    <w:p w14:paraId="261F55F4" w14:textId="77777777" w:rsidR="001E44E0" w:rsidRDefault="001E44E0" w:rsidP="001E44E0">
      <w:pPr>
        <w:spacing w:line="360" w:lineRule="auto"/>
        <w:jc w:val="both"/>
        <w:rPr>
          <w:rFonts w:ascii="Arial" w:hAnsi="Arial" w:cs="Arial"/>
          <w:b/>
          <w:bCs/>
          <w:sz w:val="24"/>
          <w:szCs w:val="24"/>
        </w:rPr>
      </w:pPr>
    </w:p>
    <w:p w14:paraId="49FEE3D3" w14:textId="77777777" w:rsidR="001E44E0" w:rsidRDefault="001E44E0" w:rsidP="001E44E0">
      <w:pPr>
        <w:spacing w:line="360" w:lineRule="auto"/>
        <w:jc w:val="both"/>
        <w:rPr>
          <w:rFonts w:ascii="Arial" w:hAnsi="Arial" w:cs="Arial"/>
          <w:b/>
          <w:bCs/>
          <w:sz w:val="24"/>
          <w:szCs w:val="24"/>
        </w:rPr>
      </w:pPr>
    </w:p>
    <w:p w14:paraId="396C73D3" w14:textId="77777777" w:rsidR="001E44E0" w:rsidRDefault="001E44E0" w:rsidP="001E44E0">
      <w:pPr>
        <w:spacing w:line="360" w:lineRule="auto"/>
        <w:jc w:val="both"/>
        <w:rPr>
          <w:rFonts w:ascii="Arial" w:hAnsi="Arial" w:cs="Arial"/>
          <w:b/>
          <w:bCs/>
          <w:sz w:val="24"/>
          <w:szCs w:val="24"/>
        </w:rPr>
      </w:pPr>
    </w:p>
    <w:p w14:paraId="05617643" w14:textId="77777777" w:rsidR="001E44E0" w:rsidRDefault="001E44E0" w:rsidP="001E44E0">
      <w:pPr>
        <w:spacing w:line="360" w:lineRule="auto"/>
        <w:jc w:val="both"/>
        <w:rPr>
          <w:rFonts w:ascii="Arial" w:hAnsi="Arial" w:cs="Arial"/>
          <w:b/>
          <w:bCs/>
          <w:sz w:val="24"/>
          <w:szCs w:val="24"/>
        </w:rPr>
      </w:pPr>
    </w:p>
    <w:p w14:paraId="0C81D72F" w14:textId="77777777" w:rsidR="001E44E0" w:rsidRDefault="001E44E0" w:rsidP="001E44E0">
      <w:pPr>
        <w:spacing w:line="360" w:lineRule="auto"/>
        <w:jc w:val="both"/>
        <w:rPr>
          <w:rFonts w:ascii="Arial" w:hAnsi="Arial" w:cs="Arial"/>
          <w:b/>
          <w:bCs/>
          <w:sz w:val="24"/>
          <w:szCs w:val="24"/>
        </w:rPr>
      </w:pPr>
    </w:p>
    <w:p w14:paraId="776AF9AA" w14:textId="77777777" w:rsidR="001E44E0" w:rsidRDefault="001E44E0" w:rsidP="001E44E0">
      <w:pPr>
        <w:spacing w:line="360" w:lineRule="auto"/>
        <w:jc w:val="both"/>
        <w:rPr>
          <w:rFonts w:ascii="Arial" w:hAnsi="Arial" w:cs="Arial"/>
          <w:b/>
          <w:bCs/>
          <w:sz w:val="24"/>
          <w:szCs w:val="24"/>
        </w:rPr>
      </w:pPr>
    </w:p>
    <w:p w14:paraId="32F119BC" w14:textId="77777777" w:rsidR="001E44E0" w:rsidRDefault="001E44E0" w:rsidP="001E44E0">
      <w:pPr>
        <w:spacing w:line="360" w:lineRule="auto"/>
        <w:jc w:val="both"/>
        <w:rPr>
          <w:rFonts w:ascii="Arial" w:hAnsi="Arial" w:cs="Arial"/>
          <w:b/>
          <w:bCs/>
          <w:sz w:val="24"/>
          <w:szCs w:val="24"/>
        </w:rPr>
      </w:pPr>
    </w:p>
    <w:p w14:paraId="33FE1224" w14:textId="77777777" w:rsidR="001E44E0" w:rsidRDefault="001E44E0" w:rsidP="001E44E0">
      <w:pPr>
        <w:spacing w:line="360" w:lineRule="auto"/>
        <w:jc w:val="both"/>
        <w:rPr>
          <w:rFonts w:ascii="Arial" w:hAnsi="Arial" w:cs="Arial"/>
          <w:b/>
          <w:bCs/>
          <w:sz w:val="24"/>
          <w:szCs w:val="24"/>
        </w:rPr>
      </w:pPr>
    </w:p>
    <w:p w14:paraId="6112A450" w14:textId="77777777" w:rsidR="00871D4D" w:rsidRPr="00871D4D" w:rsidRDefault="00871D4D" w:rsidP="00871D4D">
      <w:pPr>
        <w:spacing w:line="360" w:lineRule="auto"/>
        <w:jc w:val="both"/>
        <w:rPr>
          <w:rFonts w:ascii="Arial" w:hAnsi="Arial" w:cs="Arial"/>
          <w:b/>
          <w:bCs/>
          <w:sz w:val="24"/>
          <w:szCs w:val="24"/>
        </w:rPr>
      </w:pPr>
      <w:r w:rsidRPr="00871D4D">
        <w:rPr>
          <w:rFonts w:ascii="Arial" w:hAnsi="Arial" w:cs="Arial"/>
          <w:b/>
          <w:bCs/>
          <w:sz w:val="24"/>
          <w:szCs w:val="24"/>
        </w:rPr>
        <w:t>Introduction</w:t>
      </w:r>
    </w:p>
    <w:p w14:paraId="23366A28" w14:textId="77777777" w:rsidR="00871D4D" w:rsidRPr="00871D4D" w:rsidRDefault="00871D4D" w:rsidP="00871D4D">
      <w:pPr>
        <w:spacing w:line="360" w:lineRule="auto"/>
        <w:jc w:val="both"/>
        <w:rPr>
          <w:rFonts w:ascii="Arial" w:hAnsi="Arial" w:cs="Arial"/>
          <w:sz w:val="24"/>
          <w:szCs w:val="24"/>
        </w:rPr>
      </w:pPr>
      <w:r w:rsidRPr="00871D4D">
        <w:rPr>
          <w:rFonts w:ascii="Arial" w:hAnsi="Arial" w:cs="Arial"/>
          <w:sz w:val="24"/>
          <w:szCs w:val="24"/>
        </w:rPr>
        <w:t>This reflection evaluates what I learned from studying Genting UK’s development and the entrepreneurial approach behind its growth. It considers the company’s progress from its early foundations to its current position as part of a large multinational group. It also explains which aspects of Genting’s approach I would follow and what I would do differently when developing my own company.</w:t>
      </w:r>
    </w:p>
    <w:p w14:paraId="064994F2" w14:textId="77777777" w:rsidR="00871D4D" w:rsidRDefault="00871D4D" w:rsidP="001E44E0">
      <w:pPr>
        <w:spacing w:line="360" w:lineRule="auto"/>
        <w:jc w:val="both"/>
        <w:rPr>
          <w:rFonts w:ascii="Arial" w:hAnsi="Arial" w:cs="Arial"/>
          <w:b/>
          <w:bCs/>
          <w:sz w:val="24"/>
          <w:szCs w:val="24"/>
        </w:rPr>
      </w:pPr>
    </w:p>
    <w:p w14:paraId="49F45E2B" w14:textId="3205097B" w:rsidR="001E44E0" w:rsidRPr="001E44E0" w:rsidRDefault="001E44E0" w:rsidP="001E44E0">
      <w:pPr>
        <w:spacing w:line="360" w:lineRule="auto"/>
        <w:jc w:val="both"/>
        <w:rPr>
          <w:rFonts w:ascii="Arial" w:hAnsi="Arial" w:cs="Arial"/>
          <w:b/>
          <w:bCs/>
          <w:sz w:val="24"/>
          <w:szCs w:val="24"/>
        </w:rPr>
      </w:pPr>
      <w:r w:rsidRPr="001E44E0">
        <w:rPr>
          <w:rFonts w:ascii="Arial" w:hAnsi="Arial" w:cs="Arial"/>
          <w:b/>
          <w:bCs/>
          <w:sz w:val="24"/>
          <w:szCs w:val="24"/>
        </w:rPr>
        <w:t>Critical Reflection</w:t>
      </w:r>
    </w:p>
    <w:p w14:paraId="16240381" w14:textId="0AD2A393"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 xml:space="preserve">Completing this business plan has strengthened my understanding of Genting UK as part of a major multinational organisation. Although I was already aware of the company’s international scale, the research helped me </w:t>
      </w:r>
      <w:r>
        <w:rPr>
          <w:rFonts w:ascii="Arial" w:hAnsi="Arial" w:cs="Arial"/>
          <w:sz w:val="24"/>
          <w:szCs w:val="24"/>
        </w:rPr>
        <w:t>better understand how it developed through entrepreneurial vision, international expansion, acquisitions,</w:t>
      </w:r>
      <w:r w:rsidRPr="001E44E0">
        <w:rPr>
          <w:rFonts w:ascii="Arial" w:hAnsi="Arial" w:cs="Arial"/>
          <w:sz w:val="24"/>
          <w:szCs w:val="24"/>
        </w:rPr>
        <w:t xml:space="preserve"> and diversification.</w:t>
      </w:r>
    </w:p>
    <w:p w14:paraId="6CC573AC" w14:textId="0662C4C9"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The Genting Group was created through the vision of its founder, Tan Sri Lim Goh Tong, who identified an opportunity to develop a major leisure destination in Malaysia. What I find most impressive is not only the originality of the idea, but also the determination required to turn it into a successful business. The founder demonstrated important entrepreneurial qualities, including ambition, persistence, calculated risk-taking and the ability to think long term. This has shown me that a successful entrepreneur must be prepared to continue developing an idea even when progress is difficult or uncertain.</w:t>
      </w:r>
    </w:p>
    <w:p w14:paraId="6DF37AA7" w14:textId="2EED0A55"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Genting’s later development also shows that entrepreneurship does not end when a company becomes established. Its entry into the UK market was achieved mainly through acquisition rather than by building a casino network from the beginning. In 2006, Genting acquired the remaining 80 per cent of Stanley Leisure for the equivalent of RM</w:t>
      </w:r>
      <w:r>
        <w:rPr>
          <w:rFonts w:ascii="Arial" w:hAnsi="Arial" w:cs="Arial"/>
          <w:sz w:val="24"/>
          <w:szCs w:val="24"/>
        </w:rPr>
        <w:t xml:space="preserve"> </w:t>
      </w:r>
      <w:r w:rsidRPr="001E44E0">
        <w:rPr>
          <w:rFonts w:ascii="Arial" w:hAnsi="Arial" w:cs="Arial"/>
          <w:sz w:val="24"/>
          <w:szCs w:val="24"/>
        </w:rPr>
        <w:t xml:space="preserve">3.5 billion, supported by a £297 million loan for the acquisition and working capital. This gave the company immediate access to existing venues, employees, casino licences and customers. </w:t>
      </w:r>
    </w:p>
    <w:p w14:paraId="30B54B89"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lastRenderedPageBreak/>
        <w:t>I consider this a strong growth decision because it allowed Genting to enter the UK market quickly and at a meaningful scale. However, it also involved considerable financial risk. Acquiring an established company does not automatically guarantee success because the new owner must manage costs, integrate employees and maintain customer trust. This made me understand that business growth should not be judged only by the number of venues or the size of the investment. The quality of the operation after the acquisition is equally important.</w:t>
      </w:r>
    </w:p>
    <w:p w14:paraId="361F8BC8"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 xml:space="preserve">At its current stage, Genting UK is a mature company that combines casinos with online gaming, hospitality, food, drink and entertainment. This wider offer helps the company create a complete customer experience rather than depending only on gaming. However, the company must continue adapting because digital competitors offer greater convenience, while physical venues involve significant staffing, property, security and regulatory costs. Genting’s future success therefore depends on how effectively it combines its venues, digital services and customer experience. Its competitive position also depends on consistent service and responsible customer protection, not simply the availability of casino games. </w:t>
      </w:r>
    </w:p>
    <w:p w14:paraId="7342364B"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If I were starting my own company, I would follow Genting’s example by having a clear long-term vision and developing more than one source of customer value. I would also focus on creating an experience rather than offering only a basic product or service. I would use customer feedback and performance information to improve the business and would reinvest carefully as the company developed.</w:t>
      </w:r>
    </w:p>
    <w:p w14:paraId="4E29D5C1"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However, one area where I would place even greater importance is investment in employees. In a customer-facing business such as casinos and hospitality, front-line staff are one of the most important parts of the company. Employees interact directly with customers and strongly influence whether customers feel welcomed, respected and comfortable. A modern venue, strong brand and attractive promotions can bring customers through the door, but the attitude and professionalism of staff often determine whether those customers return.</w:t>
      </w:r>
    </w:p>
    <w:p w14:paraId="35FA265B"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 xml:space="preserve">I would therefore invest more in training, career development and employee wellbeing. Training would not only cover technical skills, but also customer service, communication, conflict management and responsible business practices. I would </w:t>
      </w:r>
      <w:r w:rsidRPr="001E44E0">
        <w:rPr>
          <w:rFonts w:ascii="Arial" w:hAnsi="Arial" w:cs="Arial"/>
          <w:sz w:val="24"/>
          <w:szCs w:val="24"/>
        </w:rPr>
        <w:lastRenderedPageBreak/>
        <w:t>also create clearer opportunities for progression so employees could see a future within the company.</w:t>
      </w:r>
    </w:p>
    <w:p w14:paraId="589E3159"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In addition, I would look for different ways to motivate and appreciate staff. This could include regular recognition, rewards for strong performance, development opportunities, team celebrations and simple appreciation from managers. I would also involve front-line employees in decisions that affect daily operations because they often understand customer needs and operational problems better than senior management. Recognition should not be limited to financial rewards. Listening to employees, thanking them and acknowledging their contribution can also improve motivation and loyalty.</w:t>
      </w:r>
    </w:p>
    <w:p w14:paraId="47D7F754"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 xml:space="preserve">I would also avoid measuring performance only through revenue. My company would monitor customer satisfaction, employee engagement, staff retention, service quality and financial performance. Genting’s own model shows that customer relationships and loyalty are important, but these cannot be separated from the people delivering the service. </w:t>
      </w:r>
    </w:p>
    <w:p w14:paraId="43381CBE" w14:textId="77777777" w:rsidR="001E44E0" w:rsidRPr="001E44E0" w:rsidRDefault="001E44E0" w:rsidP="001E44E0">
      <w:pPr>
        <w:spacing w:line="360" w:lineRule="auto"/>
        <w:jc w:val="both"/>
        <w:rPr>
          <w:rFonts w:ascii="Arial" w:hAnsi="Arial" w:cs="Arial"/>
          <w:sz w:val="24"/>
          <w:szCs w:val="24"/>
        </w:rPr>
      </w:pPr>
      <w:r w:rsidRPr="001E44E0">
        <w:rPr>
          <w:rFonts w:ascii="Arial" w:hAnsi="Arial" w:cs="Arial"/>
          <w:sz w:val="24"/>
          <w:szCs w:val="24"/>
        </w:rPr>
        <w:t>Overall, Genting’s development demonstrates the importance of vision, investment and adaptation. The main lesson I would take into my own company is that long-term success depends on both customers and employees. I would adopt Genting’s ambition and focus on customer experience, but I would place greater emphasis on motivating, developing and appreciating front-line staff because they are essential to how customers experience the business.</w:t>
      </w:r>
    </w:p>
    <w:p w14:paraId="1382E36C" w14:textId="77777777" w:rsidR="007A630F" w:rsidRPr="001E44E0" w:rsidRDefault="007A630F" w:rsidP="001E44E0">
      <w:pPr>
        <w:spacing w:line="360" w:lineRule="auto"/>
        <w:jc w:val="both"/>
        <w:rPr>
          <w:rFonts w:ascii="Arial" w:hAnsi="Arial" w:cs="Arial"/>
          <w:sz w:val="24"/>
          <w:szCs w:val="24"/>
        </w:rPr>
      </w:pPr>
    </w:p>
    <w:sectPr w:rsidR="007A630F" w:rsidRPr="001E44E0" w:rsidSect="00871D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B0D3A"/>
    <w:rsid w:val="00000D3B"/>
    <w:rsid w:val="00006A45"/>
    <w:rsid w:val="0002026A"/>
    <w:rsid w:val="0002069F"/>
    <w:rsid w:val="000213B9"/>
    <w:rsid w:val="0002509C"/>
    <w:rsid w:val="0002706F"/>
    <w:rsid w:val="0003618B"/>
    <w:rsid w:val="00037252"/>
    <w:rsid w:val="00042C8C"/>
    <w:rsid w:val="00042FAC"/>
    <w:rsid w:val="00043591"/>
    <w:rsid w:val="00050CF5"/>
    <w:rsid w:val="00052148"/>
    <w:rsid w:val="00061ECD"/>
    <w:rsid w:val="00070786"/>
    <w:rsid w:val="00070D45"/>
    <w:rsid w:val="0007449F"/>
    <w:rsid w:val="000747FD"/>
    <w:rsid w:val="00081537"/>
    <w:rsid w:val="00083E33"/>
    <w:rsid w:val="00084C12"/>
    <w:rsid w:val="00085FC3"/>
    <w:rsid w:val="00087D44"/>
    <w:rsid w:val="000916B5"/>
    <w:rsid w:val="000917E3"/>
    <w:rsid w:val="00093115"/>
    <w:rsid w:val="00094833"/>
    <w:rsid w:val="000953A4"/>
    <w:rsid w:val="000A6CED"/>
    <w:rsid w:val="000B1DD7"/>
    <w:rsid w:val="000C1FE1"/>
    <w:rsid w:val="000C2104"/>
    <w:rsid w:val="000C612C"/>
    <w:rsid w:val="000D0BF7"/>
    <w:rsid w:val="000D2E63"/>
    <w:rsid w:val="000D776F"/>
    <w:rsid w:val="000E5A62"/>
    <w:rsid w:val="000F16C4"/>
    <w:rsid w:val="001029A4"/>
    <w:rsid w:val="00103923"/>
    <w:rsid w:val="00111620"/>
    <w:rsid w:val="001243B5"/>
    <w:rsid w:val="00135F15"/>
    <w:rsid w:val="00137EFE"/>
    <w:rsid w:val="001405F8"/>
    <w:rsid w:val="001471BE"/>
    <w:rsid w:val="00157F55"/>
    <w:rsid w:val="00165ECC"/>
    <w:rsid w:val="001820A0"/>
    <w:rsid w:val="00187C7D"/>
    <w:rsid w:val="00196778"/>
    <w:rsid w:val="001A27A3"/>
    <w:rsid w:val="001B0885"/>
    <w:rsid w:val="001B2B7F"/>
    <w:rsid w:val="001B5BE0"/>
    <w:rsid w:val="001C3464"/>
    <w:rsid w:val="001C34B6"/>
    <w:rsid w:val="001D191E"/>
    <w:rsid w:val="001D1C17"/>
    <w:rsid w:val="001E44E0"/>
    <w:rsid w:val="001E6C97"/>
    <w:rsid w:val="001E6F7C"/>
    <w:rsid w:val="001E7CAB"/>
    <w:rsid w:val="001F0169"/>
    <w:rsid w:val="001F1EC8"/>
    <w:rsid w:val="002013D0"/>
    <w:rsid w:val="0020447A"/>
    <w:rsid w:val="002107B9"/>
    <w:rsid w:val="002119FF"/>
    <w:rsid w:val="00212884"/>
    <w:rsid w:val="0021384F"/>
    <w:rsid w:val="00216B54"/>
    <w:rsid w:val="00220D3F"/>
    <w:rsid w:val="00222913"/>
    <w:rsid w:val="00224F72"/>
    <w:rsid w:val="002251EE"/>
    <w:rsid w:val="002319FE"/>
    <w:rsid w:val="0023394F"/>
    <w:rsid w:val="002368BB"/>
    <w:rsid w:val="00240A5A"/>
    <w:rsid w:val="002479E9"/>
    <w:rsid w:val="00264FE6"/>
    <w:rsid w:val="0026528F"/>
    <w:rsid w:val="00273B50"/>
    <w:rsid w:val="002A2D6C"/>
    <w:rsid w:val="002A4FB2"/>
    <w:rsid w:val="002A6C09"/>
    <w:rsid w:val="002B0409"/>
    <w:rsid w:val="002B6D21"/>
    <w:rsid w:val="002C109F"/>
    <w:rsid w:val="002C1CCF"/>
    <w:rsid w:val="002C29BC"/>
    <w:rsid w:val="002C6F27"/>
    <w:rsid w:val="002E0319"/>
    <w:rsid w:val="002E1B7F"/>
    <w:rsid w:val="002E4DDA"/>
    <w:rsid w:val="002E632C"/>
    <w:rsid w:val="00303651"/>
    <w:rsid w:val="0030565E"/>
    <w:rsid w:val="003133BD"/>
    <w:rsid w:val="00320900"/>
    <w:rsid w:val="003278DB"/>
    <w:rsid w:val="00335EB8"/>
    <w:rsid w:val="00336B3D"/>
    <w:rsid w:val="003405C7"/>
    <w:rsid w:val="00351DAC"/>
    <w:rsid w:val="003544CA"/>
    <w:rsid w:val="00354CF8"/>
    <w:rsid w:val="0035556A"/>
    <w:rsid w:val="0035631C"/>
    <w:rsid w:val="00361229"/>
    <w:rsid w:val="00365E32"/>
    <w:rsid w:val="00382501"/>
    <w:rsid w:val="00385368"/>
    <w:rsid w:val="00385E69"/>
    <w:rsid w:val="00387852"/>
    <w:rsid w:val="0039019F"/>
    <w:rsid w:val="00394689"/>
    <w:rsid w:val="003A24D1"/>
    <w:rsid w:val="003A6F63"/>
    <w:rsid w:val="003B1E68"/>
    <w:rsid w:val="003B7816"/>
    <w:rsid w:val="003D2774"/>
    <w:rsid w:val="003D438F"/>
    <w:rsid w:val="003D5039"/>
    <w:rsid w:val="003E1174"/>
    <w:rsid w:val="003E160A"/>
    <w:rsid w:val="003E69A8"/>
    <w:rsid w:val="00402714"/>
    <w:rsid w:val="00412D05"/>
    <w:rsid w:val="00413E36"/>
    <w:rsid w:val="00432BE8"/>
    <w:rsid w:val="00435F34"/>
    <w:rsid w:val="0043624E"/>
    <w:rsid w:val="00437F7D"/>
    <w:rsid w:val="00445BD6"/>
    <w:rsid w:val="004505A0"/>
    <w:rsid w:val="00450EFE"/>
    <w:rsid w:val="004515C2"/>
    <w:rsid w:val="00451B0E"/>
    <w:rsid w:val="004556D2"/>
    <w:rsid w:val="00455D3C"/>
    <w:rsid w:val="00457570"/>
    <w:rsid w:val="00464072"/>
    <w:rsid w:val="0046698D"/>
    <w:rsid w:val="00470659"/>
    <w:rsid w:val="00480791"/>
    <w:rsid w:val="00480AB6"/>
    <w:rsid w:val="004813A7"/>
    <w:rsid w:val="00486320"/>
    <w:rsid w:val="004908E2"/>
    <w:rsid w:val="00491703"/>
    <w:rsid w:val="004A50B1"/>
    <w:rsid w:val="004A5B7A"/>
    <w:rsid w:val="004A5C46"/>
    <w:rsid w:val="004B0576"/>
    <w:rsid w:val="004B2E6C"/>
    <w:rsid w:val="004B3B44"/>
    <w:rsid w:val="004B43D2"/>
    <w:rsid w:val="004B5621"/>
    <w:rsid w:val="004B59FD"/>
    <w:rsid w:val="004C0802"/>
    <w:rsid w:val="004C1F0D"/>
    <w:rsid w:val="004C372F"/>
    <w:rsid w:val="004C3CCE"/>
    <w:rsid w:val="004C6C62"/>
    <w:rsid w:val="004C7025"/>
    <w:rsid w:val="004C7297"/>
    <w:rsid w:val="004D4EB0"/>
    <w:rsid w:val="004D6225"/>
    <w:rsid w:val="004D62C4"/>
    <w:rsid w:val="004E5016"/>
    <w:rsid w:val="004E677C"/>
    <w:rsid w:val="004F1B62"/>
    <w:rsid w:val="004F1DC2"/>
    <w:rsid w:val="004F40CF"/>
    <w:rsid w:val="004F4A86"/>
    <w:rsid w:val="004F55D2"/>
    <w:rsid w:val="005028E6"/>
    <w:rsid w:val="00505B23"/>
    <w:rsid w:val="00512F25"/>
    <w:rsid w:val="00513903"/>
    <w:rsid w:val="00520035"/>
    <w:rsid w:val="005212D9"/>
    <w:rsid w:val="00521B47"/>
    <w:rsid w:val="00524C91"/>
    <w:rsid w:val="00545022"/>
    <w:rsid w:val="00546F8F"/>
    <w:rsid w:val="00553B73"/>
    <w:rsid w:val="0055717A"/>
    <w:rsid w:val="0055786F"/>
    <w:rsid w:val="00563E9B"/>
    <w:rsid w:val="00566CD3"/>
    <w:rsid w:val="005702B1"/>
    <w:rsid w:val="005861B7"/>
    <w:rsid w:val="00594523"/>
    <w:rsid w:val="00594693"/>
    <w:rsid w:val="005963EF"/>
    <w:rsid w:val="005A0D78"/>
    <w:rsid w:val="005A24AB"/>
    <w:rsid w:val="005A3365"/>
    <w:rsid w:val="005A657D"/>
    <w:rsid w:val="005B0D3A"/>
    <w:rsid w:val="005B401D"/>
    <w:rsid w:val="005C35A2"/>
    <w:rsid w:val="005C3DB4"/>
    <w:rsid w:val="005D02EB"/>
    <w:rsid w:val="005D243A"/>
    <w:rsid w:val="005E5136"/>
    <w:rsid w:val="005E5AA1"/>
    <w:rsid w:val="005E7025"/>
    <w:rsid w:val="005F1EE2"/>
    <w:rsid w:val="00604959"/>
    <w:rsid w:val="00606752"/>
    <w:rsid w:val="00610A0F"/>
    <w:rsid w:val="00611DC6"/>
    <w:rsid w:val="0061221E"/>
    <w:rsid w:val="00617342"/>
    <w:rsid w:val="00617775"/>
    <w:rsid w:val="00617982"/>
    <w:rsid w:val="00620883"/>
    <w:rsid w:val="00620B49"/>
    <w:rsid w:val="00622D9B"/>
    <w:rsid w:val="00623E7D"/>
    <w:rsid w:val="00625C69"/>
    <w:rsid w:val="0063213E"/>
    <w:rsid w:val="0064470C"/>
    <w:rsid w:val="00644C8B"/>
    <w:rsid w:val="00647762"/>
    <w:rsid w:val="006541A7"/>
    <w:rsid w:val="0065583B"/>
    <w:rsid w:val="006662E7"/>
    <w:rsid w:val="00670CC2"/>
    <w:rsid w:val="00671C20"/>
    <w:rsid w:val="00683A21"/>
    <w:rsid w:val="00687096"/>
    <w:rsid w:val="00690015"/>
    <w:rsid w:val="006945BE"/>
    <w:rsid w:val="006A64E2"/>
    <w:rsid w:val="006A701F"/>
    <w:rsid w:val="006B271E"/>
    <w:rsid w:val="006B3398"/>
    <w:rsid w:val="006B4C54"/>
    <w:rsid w:val="006D1275"/>
    <w:rsid w:val="006D1FB3"/>
    <w:rsid w:val="006D2FF0"/>
    <w:rsid w:val="006D75C2"/>
    <w:rsid w:val="006E2F83"/>
    <w:rsid w:val="006E78A6"/>
    <w:rsid w:val="0070725E"/>
    <w:rsid w:val="00721089"/>
    <w:rsid w:val="0074408C"/>
    <w:rsid w:val="007509A5"/>
    <w:rsid w:val="007565A2"/>
    <w:rsid w:val="00770DFB"/>
    <w:rsid w:val="00774548"/>
    <w:rsid w:val="00776653"/>
    <w:rsid w:val="007803FE"/>
    <w:rsid w:val="0078191E"/>
    <w:rsid w:val="00790C7C"/>
    <w:rsid w:val="007926AA"/>
    <w:rsid w:val="007A18B0"/>
    <w:rsid w:val="007A630F"/>
    <w:rsid w:val="007A77FA"/>
    <w:rsid w:val="007B1B23"/>
    <w:rsid w:val="007B2D11"/>
    <w:rsid w:val="007B68BE"/>
    <w:rsid w:val="007C0032"/>
    <w:rsid w:val="007D429C"/>
    <w:rsid w:val="007D4EC3"/>
    <w:rsid w:val="007E0054"/>
    <w:rsid w:val="007F0850"/>
    <w:rsid w:val="007F250A"/>
    <w:rsid w:val="007F3EBD"/>
    <w:rsid w:val="00812B13"/>
    <w:rsid w:val="00812DBE"/>
    <w:rsid w:val="00814C07"/>
    <w:rsid w:val="00820990"/>
    <w:rsid w:val="00833A57"/>
    <w:rsid w:val="00834A5E"/>
    <w:rsid w:val="008463BF"/>
    <w:rsid w:val="00856A5A"/>
    <w:rsid w:val="00856ED0"/>
    <w:rsid w:val="00863981"/>
    <w:rsid w:val="008662CB"/>
    <w:rsid w:val="008702AC"/>
    <w:rsid w:val="00870866"/>
    <w:rsid w:val="00871D4D"/>
    <w:rsid w:val="008738D2"/>
    <w:rsid w:val="00882752"/>
    <w:rsid w:val="008851EE"/>
    <w:rsid w:val="00886A4F"/>
    <w:rsid w:val="00890114"/>
    <w:rsid w:val="00893D14"/>
    <w:rsid w:val="00894E82"/>
    <w:rsid w:val="0089698C"/>
    <w:rsid w:val="008C079A"/>
    <w:rsid w:val="008C098D"/>
    <w:rsid w:val="008C22FD"/>
    <w:rsid w:val="008C7F33"/>
    <w:rsid w:val="008D0B77"/>
    <w:rsid w:val="008D2CBC"/>
    <w:rsid w:val="008E3B22"/>
    <w:rsid w:val="008E6296"/>
    <w:rsid w:val="008F0B01"/>
    <w:rsid w:val="008F4A6F"/>
    <w:rsid w:val="008F77CD"/>
    <w:rsid w:val="009013B6"/>
    <w:rsid w:val="009015A6"/>
    <w:rsid w:val="0090176B"/>
    <w:rsid w:val="00906FA7"/>
    <w:rsid w:val="0091533F"/>
    <w:rsid w:val="00923298"/>
    <w:rsid w:val="00926295"/>
    <w:rsid w:val="00926860"/>
    <w:rsid w:val="009309B8"/>
    <w:rsid w:val="009324BD"/>
    <w:rsid w:val="00937C5A"/>
    <w:rsid w:val="00937C6C"/>
    <w:rsid w:val="00943DED"/>
    <w:rsid w:val="009475F9"/>
    <w:rsid w:val="00951D0D"/>
    <w:rsid w:val="0095756E"/>
    <w:rsid w:val="00957677"/>
    <w:rsid w:val="00964A3C"/>
    <w:rsid w:val="00971D1D"/>
    <w:rsid w:val="00982D71"/>
    <w:rsid w:val="0098456E"/>
    <w:rsid w:val="00995CF6"/>
    <w:rsid w:val="009A5438"/>
    <w:rsid w:val="009B07DC"/>
    <w:rsid w:val="009B3370"/>
    <w:rsid w:val="009B4F9A"/>
    <w:rsid w:val="009C0A67"/>
    <w:rsid w:val="009D662F"/>
    <w:rsid w:val="009D6C67"/>
    <w:rsid w:val="009D7520"/>
    <w:rsid w:val="009E4492"/>
    <w:rsid w:val="009F05DD"/>
    <w:rsid w:val="009F4E85"/>
    <w:rsid w:val="00A01A55"/>
    <w:rsid w:val="00A12A73"/>
    <w:rsid w:val="00A31334"/>
    <w:rsid w:val="00A33213"/>
    <w:rsid w:val="00A3489E"/>
    <w:rsid w:val="00A36F16"/>
    <w:rsid w:val="00A40D60"/>
    <w:rsid w:val="00A4499C"/>
    <w:rsid w:val="00A4586E"/>
    <w:rsid w:val="00A50311"/>
    <w:rsid w:val="00A50483"/>
    <w:rsid w:val="00A53D67"/>
    <w:rsid w:val="00A60F7B"/>
    <w:rsid w:val="00A64946"/>
    <w:rsid w:val="00A654C2"/>
    <w:rsid w:val="00A72998"/>
    <w:rsid w:val="00A74539"/>
    <w:rsid w:val="00A95E2B"/>
    <w:rsid w:val="00A96006"/>
    <w:rsid w:val="00A976E0"/>
    <w:rsid w:val="00AA19F7"/>
    <w:rsid w:val="00AB6B53"/>
    <w:rsid w:val="00AC3C2F"/>
    <w:rsid w:val="00AC73D6"/>
    <w:rsid w:val="00AD3F7C"/>
    <w:rsid w:val="00AD7239"/>
    <w:rsid w:val="00AD7FBB"/>
    <w:rsid w:val="00AE1912"/>
    <w:rsid w:val="00AE5F58"/>
    <w:rsid w:val="00AF4719"/>
    <w:rsid w:val="00B10E29"/>
    <w:rsid w:val="00B15B7B"/>
    <w:rsid w:val="00B24610"/>
    <w:rsid w:val="00B24E0B"/>
    <w:rsid w:val="00B26CE9"/>
    <w:rsid w:val="00B315E5"/>
    <w:rsid w:val="00B320E9"/>
    <w:rsid w:val="00B456FA"/>
    <w:rsid w:val="00B457D8"/>
    <w:rsid w:val="00B465A3"/>
    <w:rsid w:val="00B47511"/>
    <w:rsid w:val="00B53F6F"/>
    <w:rsid w:val="00B60BCA"/>
    <w:rsid w:val="00B64318"/>
    <w:rsid w:val="00B64D82"/>
    <w:rsid w:val="00B71592"/>
    <w:rsid w:val="00B71AE7"/>
    <w:rsid w:val="00B7289F"/>
    <w:rsid w:val="00B737E5"/>
    <w:rsid w:val="00B74954"/>
    <w:rsid w:val="00B84AA9"/>
    <w:rsid w:val="00B85D19"/>
    <w:rsid w:val="00BA0336"/>
    <w:rsid w:val="00BA10AF"/>
    <w:rsid w:val="00BA6C2A"/>
    <w:rsid w:val="00BC57C4"/>
    <w:rsid w:val="00BD044D"/>
    <w:rsid w:val="00BD1CD9"/>
    <w:rsid w:val="00BD6BBB"/>
    <w:rsid w:val="00BE089D"/>
    <w:rsid w:val="00BE2029"/>
    <w:rsid w:val="00BE2FBB"/>
    <w:rsid w:val="00BE3BD9"/>
    <w:rsid w:val="00BE42E9"/>
    <w:rsid w:val="00BE45E2"/>
    <w:rsid w:val="00BE7BED"/>
    <w:rsid w:val="00BF0327"/>
    <w:rsid w:val="00BF7373"/>
    <w:rsid w:val="00BF79ED"/>
    <w:rsid w:val="00C03DCC"/>
    <w:rsid w:val="00C16ECC"/>
    <w:rsid w:val="00C23541"/>
    <w:rsid w:val="00C4733C"/>
    <w:rsid w:val="00C5207F"/>
    <w:rsid w:val="00C5488C"/>
    <w:rsid w:val="00C55804"/>
    <w:rsid w:val="00C62202"/>
    <w:rsid w:val="00C671E1"/>
    <w:rsid w:val="00C77BEA"/>
    <w:rsid w:val="00C8181F"/>
    <w:rsid w:val="00C81C83"/>
    <w:rsid w:val="00C83FDD"/>
    <w:rsid w:val="00C94932"/>
    <w:rsid w:val="00C976D2"/>
    <w:rsid w:val="00CA18E7"/>
    <w:rsid w:val="00CA52DF"/>
    <w:rsid w:val="00CA5DFD"/>
    <w:rsid w:val="00CB1883"/>
    <w:rsid w:val="00CC0F76"/>
    <w:rsid w:val="00CC50AC"/>
    <w:rsid w:val="00CC6BBD"/>
    <w:rsid w:val="00CC75E4"/>
    <w:rsid w:val="00CC7ED2"/>
    <w:rsid w:val="00CF4CFE"/>
    <w:rsid w:val="00D00FA2"/>
    <w:rsid w:val="00D13A14"/>
    <w:rsid w:val="00D15B01"/>
    <w:rsid w:val="00D1751A"/>
    <w:rsid w:val="00D21C5C"/>
    <w:rsid w:val="00D25364"/>
    <w:rsid w:val="00D311D2"/>
    <w:rsid w:val="00D3542A"/>
    <w:rsid w:val="00D37424"/>
    <w:rsid w:val="00D37BB5"/>
    <w:rsid w:val="00D46CB3"/>
    <w:rsid w:val="00D5273E"/>
    <w:rsid w:val="00D56276"/>
    <w:rsid w:val="00D6177F"/>
    <w:rsid w:val="00D6236A"/>
    <w:rsid w:val="00D62E6D"/>
    <w:rsid w:val="00D6662E"/>
    <w:rsid w:val="00D80145"/>
    <w:rsid w:val="00D93FC6"/>
    <w:rsid w:val="00D945AE"/>
    <w:rsid w:val="00D95395"/>
    <w:rsid w:val="00D95C3D"/>
    <w:rsid w:val="00D965B3"/>
    <w:rsid w:val="00DA6D99"/>
    <w:rsid w:val="00DB04A4"/>
    <w:rsid w:val="00DB2517"/>
    <w:rsid w:val="00DB32C7"/>
    <w:rsid w:val="00DB349C"/>
    <w:rsid w:val="00DB55C9"/>
    <w:rsid w:val="00DB5E13"/>
    <w:rsid w:val="00DD0956"/>
    <w:rsid w:val="00DD2EA7"/>
    <w:rsid w:val="00DD5825"/>
    <w:rsid w:val="00E03016"/>
    <w:rsid w:val="00E0519E"/>
    <w:rsid w:val="00E06747"/>
    <w:rsid w:val="00E06D4D"/>
    <w:rsid w:val="00E072B0"/>
    <w:rsid w:val="00E10CF6"/>
    <w:rsid w:val="00E16103"/>
    <w:rsid w:val="00E36E2F"/>
    <w:rsid w:val="00E3774D"/>
    <w:rsid w:val="00E45954"/>
    <w:rsid w:val="00E524C4"/>
    <w:rsid w:val="00E66011"/>
    <w:rsid w:val="00E8551C"/>
    <w:rsid w:val="00E85EF2"/>
    <w:rsid w:val="00E86790"/>
    <w:rsid w:val="00EA0B7C"/>
    <w:rsid w:val="00EA2632"/>
    <w:rsid w:val="00EA3052"/>
    <w:rsid w:val="00EB180E"/>
    <w:rsid w:val="00EC6E70"/>
    <w:rsid w:val="00EC70AC"/>
    <w:rsid w:val="00EE4246"/>
    <w:rsid w:val="00EE52F1"/>
    <w:rsid w:val="00EF1C44"/>
    <w:rsid w:val="00EF7540"/>
    <w:rsid w:val="00F050E0"/>
    <w:rsid w:val="00F1056D"/>
    <w:rsid w:val="00F21FB3"/>
    <w:rsid w:val="00F37463"/>
    <w:rsid w:val="00F4168D"/>
    <w:rsid w:val="00F57416"/>
    <w:rsid w:val="00F66997"/>
    <w:rsid w:val="00F71EC4"/>
    <w:rsid w:val="00F76848"/>
    <w:rsid w:val="00F92E24"/>
    <w:rsid w:val="00F94A39"/>
    <w:rsid w:val="00F9744D"/>
    <w:rsid w:val="00FA34F2"/>
    <w:rsid w:val="00FB0116"/>
    <w:rsid w:val="00FB0B8E"/>
    <w:rsid w:val="00FC5EB1"/>
    <w:rsid w:val="00FD5DFB"/>
    <w:rsid w:val="00FE0783"/>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002AD610"/>
  <w15:chartTrackingRefBased/>
  <w15:docId w15:val="{05AE6DD5-55D1-4B13-A7D4-4A973C6A0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D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0D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D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D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D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D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D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D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D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D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0D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D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D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D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D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D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D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D3A"/>
    <w:rPr>
      <w:rFonts w:eastAsiaTheme="majorEastAsia" w:cstheme="majorBidi"/>
      <w:color w:val="272727" w:themeColor="text1" w:themeTint="D8"/>
    </w:rPr>
  </w:style>
  <w:style w:type="paragraph" w:styleId="Title">
    <w:name w:val="Title"/>
    <w:basedOn w:val="Normal"/>
    <w:next w:val="Normal"/>
    <w:link w:val="TitleChar"/>
    <w:uiPriority w:val="10"/>
    <w:qFormat/>
    <w:rsid w:val="005B0D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D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D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D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D3A"/>
    <w:pPr>
      <w:spacing w:before="160"/>
      <w:jc w:val="center"/>
    </w:pPr>
    <w:rPr>
      <w:i/>
      <w:iCs/>
      <w:color w:val="404040" w:themeColor="text1" w:themeTint="BF"/>
    </w:rPr>
  </w:style>
  <w:style w:type="character" w:customStyle="1" w:styleId="QuoteChar">
    <w:name w:val="Quote Char"/>
    <w:basedOn w:val="DefaultParagraphFont"/>
    <w:link w:val="Quote"/>
    <w:uiPriority w:val="29"/>
    <w:rsid w:val="005B0D3A"/>
    <w:rPr>
      <w:i/>
      <w:iCs/>
      <w:color w:val="404040" w:themeColor="text1" w:themeTint="BF"/>
    </w:rPr>
  </w:style>
  <w:style w:type="paragraph" w:styleId="ListParagraph">
    <w:name w:val="List Paragraph"/>
    <w:basedOn w:val="Normal"/>
    <w:uiPriority w:val="34"/>
    <w:qFormat/>
    <w:rsid w:val="005B0D3A"/>
    <w:pPr>
      <w:ind w:left="720"/>
      <w:contextualSpacing/>
    </w:pPr>
  </w:style>
  <w:style w:type="character" w:styleId="IntenseEmphasis">
    <w:name w:val="Intense Emphasis"/>
    <w:basedOn w:val="DefaultParagraphFont"/>
    <w:uiPriority w:val="21"/>
    <w:qFormat/>
    <w:rsid w:val="005B0D3A"/>
    <w:rPr>
      <w:i/>
      <w:iCs/>
      <w:color w:val="0F4761" w:themeColor="accent1" w:themeShade="BF"/>
    </w:rPr>
  </w:style>
  <w:style w:type="paragraph" w:styleId="IntenseQuote">
    <w:name w:val="Intense Quote"/>
    <w:basedOn w:val="Normal"/>
    <w:next w:val="Normal"/>
    <w:link w:val="IntenseQuoteChar"/>
    <w:uiPriority w:val="30"/>
    <w:qFormat/>
    <w:rsid w:val="005B0D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D3A"/>
    <w:rPr>
      <w:i/>
      <w:iCs/>
      <w:color w:val="0F4761" w:themeColor="accent1" w:themeShade="BF"/>
    </w:rPr>
  </w:style>
  <w:style w:type="character" w:styleId="IntenseReference">
    <w:name w:val="Intense Reference"/>
    <w:basedOn w:val="DefaultParagraphFont"/>
    <w:uiPriority w:val="32"/>
    <w:qFormat/>
    <w:rsid w:val="005B0D3A"/>
    <w:rPr>
      <w:b/>
      <w:bCs/>
      <w:smallCaps/>
      <w:color w:val="0F4761" w:themeColor="accent1" w:themeShade="BF"/>
      <w:spacing w:val="5"/>
    </w:rPr>
  </w:style>
  <w:style w:type="paragraph" w:styleId="NoSpacing">
    <w:name w:val="No Spacing"/>
    <w:link w:val="NoSpacingChar"/>
    <w:uiPriority w:val="1"/>
    <w:qFormat/>
    <w:rsid w:val="00871D4D"/>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871D4D"/>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critical reflection on Genting UK’s development, its founders’ entrepreneurial approach, and the lessons I would apply when starting my own company.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D8FF6E-CCF9-4922-A411-3EFA283BD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902</Words>
  <Characters>5142</Characters>
  <Application>Microsoft Office Word</Application>
  <DocSecurity>0</DocSecurity>
  <Lines>42</Lines>
  <Paragraphs>12</Paragraphs>
  <ScaleCrop>false</ScaleCrop>
  <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Reflection</dc:subject>
  <dc:creator>Adrian Neacsu</dc:creator>
  <cp:keywords/>
  <dc:description/>
  <cp:lastModifiedBy>adrian neacsu</cp:lastModifiedBy>
  <cp:revision>2</cp:revision>
  <dcterms:created xsi:type="dcterms:W3CDTF">2026-07-30T10:11:00Z</dcterms:created>
  <dcterms:modified xsi:type="dcterms:W3CDTF">2026-07-30T10:27:00Z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86e59b3b-4a75-44d6-88f3-9fa2e983f87e</vt:lpwstr>
  </property>
</Properties>
</file>