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7152" w:rsidRDefault="00507152">
      <w:bookmarkStart w:id="0" w:name="_TOCRange"/>
    </w:p>
    <w:p w:rsidR="00507152" w:rsidRDefault="00164147">
      <w:pPr>
        <w:pStyle w:val="Title"/>
      </w:pPr>
      <w:bookmarkStart w:id="1" w:name="_Toc"/>
      <w:r w:rsidRPr="00E75FE0">
        <w:rPr>
          <w:rFonts w:eastAsia="Arial Unicode MS" w:cs="Arial Unicode MS"/>
          <w:sz w:val="52"/>
          <w:szCs w:val="52"/>
          <w:lang w:val="en-US"/>
        </w:rPr>
        <w:t>An analysis of the effectiveness of marketin</w:t>
      </w:r>
      <w:r w:rsidR="00E75FE0">
        <w:rPr>
          <w:rFonts w:eastAsia="Arial Unicode MS" w:cs="Arial Unicode MS"/>
          <w:sz w:val="52"/>
          <w:szCs w:val="52"/>
          <w:lang w:val="en-US"/>
        </w:rPr>
        <w:t>g techniques used in the M</w:t>
      </w:r>
      <w:r w:rsidR="00E75FE0" w:rsidRPr="00E75FE0">
        <w:rPr>
          <w:rFonts w:eastAsia="Arial Unicode MS" w:cs="Arial Unicode MS"/>
          <w:sz w:val="52"/>
          <w:szCs w:val="52"/>
          <w:lang w:val="en-US"/>
        </w:rPr>
        <w:t>usic</w:t>
      </w:r>
      <w:r w:rsidR="00E75FE0">
        <w:rPr>
          <w:rFonts w:eastAsia="Arial Unicode MS" w:cs="Arial Unicode MS"/>
          <w:lang w:val="en-US"/>
        </w:rPr>
        <w:t xml:space="preserve"> </w:t>
      </w:r>
      <w:r w:rsidR="00E75FE0">
        <w:rPr>
          <w:rFonts w:eastAsia="Arial Unicode MS" w:cs="Arial Unicode MS"/>
          <w:sz w:val="52"/>
          <w:szCs w:val="52"/>
          <w:lang w:val="en-US"/>
        </w:rPr>
        <w:t>I</w:t>
      </w:r>
      <w:r w:rsidRPr="00E75FE0">
        <w:rPr>
          <w:rFonts w:eastAsia="Arial Unicode MS" w:cs="Arial Unicode MS"/>
          <w:sz w:val="52"/>
          <w:szCs w:val="52"/>
          <w:lang w:val="en-US"/>
        </w:rPr>
        <w:t>ndustry.</w:t>
      </w:r>
      <w:bookmarkEnd w:id="1"/>
    </w:p>
    <w:p w:rsidR="00507152" w:rsidRDefault="00164147">
      <w:pPr>
        <w:pStyle w:val="Body"/>
      </w:pPr>
      <w:r>
        <w:t>P</w:t>
      </w:r>
      <w:r>
        <w:rPr>
          <w:noProof/>
          <w:lang w:val="en-GB"/>
        </w:rPr>
        <w:drawing>
          <wp:anchor distT="215900" distB="215900" distL="215900" distR="215900" simplePos="0" relativeHeight="251659264" behindDoc="0" locked="0" layoutInCell="1" allowOverlap="1">
            <wp:simplePos x="0" y="0"/>
            <wp:positionH relativeFrom="page">
              <wp:posOffset>920522</wp:posOffset>
            </wp:positionH>
            <wp:positionV relativeFrom="page">
              <wp:posOffset>3340099</wp:posOffset>
            </wp:positionV>
            <wp:extent cx="5712699" cy="2233712"/>
            <wp:effectExtent l="0" t="0" r="0" b="0"/>
            <wp:wrapTopAndBottom distT="215900" distB="2159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7-11-09 at 20.40.44.png"/>
                    <pic:cNvPicPr>
                      <a:picLocks noChangeAspect="1"/>
                    </pic:cNvPicPr>
                  </pic:nvPicPr>
                  <pic:blipFill>
                    <a:blip r:embed="rId6">
                      <a:extLst/>
                    </a:blip>
                    <a:srcRect/>
                    <a:stretch>
                      <a:fillRect/>
                    </a:stretch>
                  </pic:blipFill>
                  <pic:spPr>
                    <a:xfrm>
                      <a:off x="0" y="0"/>
                      <a:ext cx="5712699" cy="2233712"/>
                    </a:xfrm>
                    <a:prstGeom prst="rect">
                      <a:avLst/>
                    </a:prstGeom>
                    <a:ln w="3175" cap="flat">
                      <a:solidFill>
                        <a:srgbClr val="000000"/>
                      </a:solidFill>
                      <a:prstDash val="solid"/>
                      <a:miter lim="400000"/>
                    </a:ln>
                    <a:effectLst/>
                  </pic:spPr>
                </pic:pic>
              </a:graphicData>
            </a:graphic>
          </wp:anchor>
        </w:drawing>
      </w:r>
      <w:r>
        <w:t>repared for: University Wales Trinity Saint David</w:t>
      </w:r>
    </w:p>
    <w:p w:rsidR="00507152" w:rsidRDefault="00164147">
      <w:pPr>
        <w:pStyle w:val="Body"/>
      </w:pPr>
      <w:r>
        <w:t>Prepared by: Ben Brooks, P146386</w:t>
      </w:r>
    </w:p>
    <w:p w:rsidR="00507152" w:rsidRDefault="00164147">
      <w:pPr>
        <w:pStyle w:val="Body"/>
      </w:pPr>
      <w:r>
        <w:fldChar w:fldCharType="begin" w:fldLock="1"/>
      </w:r>
      <w:r>
        <w:instrText xml:space="preserve"> DATE \@ "d MMMM y" </w:instrText>
      </w:r>
      <w:r>
        <w:fldChar w:fldCharType="separate"/>
      </w:r>
      <w:r>
        <w:t>20 November 2017</w:t>
      </w:r>
      <w:r>
        <w:fldChar w:fldCharType="end"/>
      </w:r>
    </w:p>
    <w:p w:rsidR="00507152" w:rsidRDefault="00164147">
      <w:pPr>
        <w:pStyle w:val="Body"/>
      </w:pPr>
      <w:r>
        <w:t xml:space="preserve"> </w:t>
      </w:r>
    </w:p>
    <w:p w:rsidR="00507152" w:rsidRDefault="00164147">
      <w:pPr>
        <w:pStyle w:val="Body"/>
      </w:pPr>
      <w:r>
        <w:rPr>
          <w:rFonts w:ascii="Arial Unicode MS" w:hAnsi="Arial Unicode MS"/>
        </w:rPr>
        <w:br w:type="page"/>
      </w:r>
    </w:p>
    <w:p w:rsidR="00507152" w:rsidRDefault="00164147">
      <w:pPr>
        <w:pStyle w:val="Heading"/>
        <w:rPr>
          <w:noProof/>
        </w:rPr>
      </w:pPr>
      <w:r>
        <w:lastRenderedPageBreak/>
        <w:fldChar w:fldCharType="begin"/>
      </w:r>
      <w:r>
        <w:instrText xml:space="preserve"> TOC \o 2-2 \t "Heading, 3,Title, 4"</w:instrText>
      </w:r>
      <w:r>
        <w:instrText xml:space="preserve">\b _TOCRange </w:instrText>
      </w:r>
      <w:r>
        <w:fldChar w:fldCharType="separate"/>
      </w:r>
    </w:p>
    <w:p w:rsidR="00507152" w:rsidRDefault="00164147">
      <w:pPr>
        <w:pStyle w:val="TOC4"/>
        <w:rPr>
          <w:noProof/>
        </w:rPr>
      </w:pPr>
      <w:r>
        <w:rPr>
          <w:rFonts w:eastAsia="Arial Unicode MS" w:cs="Arial Unicode MS"/>
          <w:noProof/>
          <w:lang w:val="en-US"/>
        </w:rPr>
        <w:t xml:space="preserve">An analysis of the effectiveness of </w:t>
      </w:r>
      <w:bookmarkStart w:id="2" w:name="_GoBack"/>
      <w:bookmarkEnd w:id="2"/>
      <w:r>
        <w:rPr>
          <w:rFonts w:eastAsia="Arial Unicode MS" w:cs="Arial Unicode MS"/>
          <w:noProof/>
          <w:lang w:val="en-US"/>
        </w:rPr>
        <w:t>marketing techniques used in the music industry.</w:t>
      </w:r>
      <w:r>
        <w:rPr>
          <w:rFonts w:eastAsia="Arial Unicode MS" w:cs="Arial Unicode MS"/>
          <w:noProof/>
          <w:lang w:val="en-US"/>
        </w:rPr>
        <w:tab/>
      </w:r>
      <w:r>
        <w:rPr>
          <w:noProof/>
        </w:rPr>
        <w:fldChar w:fldCharType="begin"/>
      </w:r>
      <w:r>
        <w:rPr>
          <w:noProof/>
        </w:rPr>
        <w:instrText xml:space="preserve"> PAGEREF _Toc \h </w:instrText>
      </w:r>
      <w:r>
        <w:rPr>
          <w:noProof/>
        </w:rPr>
      </w:r>
      <w:r>
        <w:rPr>
          <w:noProof/>
        </w:rPr>
        <w:fldChar w:fldCharType="separate"/>
      </w:r>
      <w:r w:rsidR="00273E02">
        <w:rPr>
          <w:noProof/>
        </w:rPr>
        <w:t>1</w:t>
      </w:r>
      <w:r>
        <w:rPr>
          <w:noProof/>
        </w:rPr>
        <w:fldChar w:fldCharType="end"/>
      </w:r>
    </w:p>
    <w:p w:rsidR="00507152" w:rsidRDefault="00164147">
      <w:pPr>
        <w:tabs>
          <w:tab w:val="right" w:pos="8928"/>
        </w:tabs>
        <w:spacing w:after="120"/>
        <w:ind w:left="240" w:hanging="240"/>
        <w:rPr>
          <w:rFonts w:ascii="Helvetica Neue Medium" w:eastAsia="Helvetica Neue Medium" w:hAnsi="Helvetica Neue Medium" w:cs="Helvetica Neue Medium"/>
          <w:noProof/>
          <w:color w:val="000000"/>
          <w:spacing w:val="6"/>
          <w:sz w:val="32"/>
          <w:szCs w:val="32"/>
        </w:rPr>
      </w:pPr>
      <w:r>
        <w:rPr>
          <w:rFonts w:ascii="Helvetica Neue Medium" w:hAnsi="Helvetica Neue Medium" w:cs="Arial Unicode MS"/>
          <w:noProof/>
          <w:color w:val="000000"/>
          <w:spacing w:val="6"/>
          <w:sz w:val="32"/>
          <w:szCs w:val="32"/>
          <w:lang w:val="fr-FR"/>
        </w:rPr>
        <w:t>1. Introduction</w:t>
      </w:r>
      <w:r>
        <w:rPr>
          <w:rFonts w:ascii="Helvetica Neue Medium" w:hAnsi="Helvetica Neue Medium" w:cs="Arial Unicode MS"/>
          <w:noProof/>
          <w:color w:val="000000"/>
          <w:spacing w:val="6"/>
          <w:sz w:val="32"/>
          <w:szCs w:val="32"/>
          <w:lang w:val="fr-FR"/>
        </w:rPr>
        <w:tab/>
      </w:r>
      <w:r>
        <w:rPr>
          <w:rFonts w:ascii="Helvetica Neue Medium" w:eastAsia="Helvetica Neue Medium" w:hAnsi="Helvetica Neue Medium" w:cs="Helvetica Neue Medium"/>
          <w:noProof/>
          <w:color w:val="000000"/>
          <w:spacing w:val="6"/>
          <w:sz w:val="32"/>
          <w:szCs w:val="32"/>
        </w:rPr>
        <w:fldChar w:fldCharType="begin"/>
      </w:r>
      <w:r>
        <w:rPr>
          <w:rFonts w:ascii="Helvetica Neue Medium" w:eastAsia="Helvetica Neue Medium" w:hAnsi="Helvetica Neue Medium" w:cs="Helvetica Neue Medium"/>
          <w:noProof/>
          <w:color w:val="000000"/>
          <w:spacing w:val="6"/>
          <w:sz w:val="32"/>
          <w:szCs w:val="32"/>
        </w:rPr>
        <w:instrText xml:space="preserve"> PAGEREF _Toc1 \h </w:instrText>
      </w:r>
      <w:r>
        <w:rPr>
          <w:rFonts w:ascii="Helvetica Neue Medium" w:eastAsia="Helvetica Neue Medium" w:hAnsi="Helvetica Neue Medium" w:cs="Helvetica Neue Medium"/>
          <w:noProof/>
          <w:color w:val="000000"/>
          <w:spacing w:val="6"/>
          <w:sz w:val="32"/>
          <w:szCs w:val="32"/>
        </w:rPr>
      </w:r>
      <w:r>
        <w:rPr>
          <w:rFonts w:ascii="Helvetica Neue Medium" w:eastAsia="Helvetica Neue Medium" w:hAnsi="Helvetica Neue Medium" w:cs="Helvetica Neue Medium"/>
          <w:noProof/>
          <w:color w:val="000000"/>
          <w:spacing w:val="6"/>
          <w:sz w:val="32"/>
          <w:szCs w:val="32"/>
        </w:rPr>
        <w:fldChar w:fldCharType="separate"/>
      </w:r>
      <w:r w:rsidR="00273E02">
        <w:rPr>
          <w:rFonts w:ascii="Helvetica Neue Medium" w:eastAsia="Helvetica Neue Medium" w:hAnsi="Helvetica Neue Medium" w:cs="Helvetica Neue Medium"/>
          <w:noProof/>
          <w:color w:val="000000"/>
          <w:spacing w:val="6"/>
          <w:sz w:val="32"/>
          <w:szCs w:val="32"/>
        </w:rPr>
        <w:t>3</w:t>
      </w:r>
      <w:r>
        <w:rPr>
          <w:rFonts w:ascii="Helvetica Neue Medium" w:eastAsia="Helvetica Neue Medium" w:hAnsi="Helvetica Neue Medium" w:cs="Helvetica Neue Medium"/>
          <w:noProof/>
          <w:color w:val="000000"/>
          <w:spacing w:val="6"/>
          <w:sz w:val="32"/>
          <w:szCs w:val="32"/>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lang w:val="fr-FR"/>
        </w:rPr>
        <w:t>1.1 Rationale</w:t>
      </w:r>
      <w:r>
        <w:rPr>
          <w:rFonts w:ascii="Helvetica Neue Light" w:hAnsi="Helvetica Neue Light" w:cs="Arial Unicode MS"/>
          <w:caps/>
          <w:noProof/>
          <w:color w:val="000000"/>
          <w:spacing w:val="5"/>
          <w:sz w:val="28"/>
          <w:szCs w:val="28"/>
          <w:lang w:val="fr-FR"/>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_Toc2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3</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1.2 Background</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_Toc3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3</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1.3 Aims &amp; Objectives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_Toc4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4</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left="240" w:hanging="240"/>
        <w:rPr>
          <w:rFonts w:ascii="Helvetica Neue Medium" w:eastAsia="Helvetica Neue Medium" w:hAnsi="Helvetica Neue Medium" w:cs="Helvetica Neue Medium"/>
          <w:noProof/>
          <w:color w:val="000000"/>
          <w:spacing w:val="6"/>
          <w:sz w:val="32"/>
          <w:szCs w:val="32"/>
        </w:rPr>
      </w:pPr>
      <w:r>
        <w:rPr>
          <w:rFonts w:ascii="Helvetica Neue Medium" w:hAnsi="Helvetica Neue Medium" w:cs="Arial Unicode MS"/>
          <w:noProof/>
          <w:color w:val="000000"/>
          <w:spacing w:val="6"/>
          <w:sz w:val="32"/>
          <w:szCs w:val="32"/>
        </w:rPr>
        <w:t>2. Research design</w:t>
      </w:r>
      <w:r>
        <w:rPr>
          <w:rFonts w:ascii="Helvetica Neue Medium" w:hAnsi="Helvetica Neue Medium" w:cs="Arial Unicode MS"/>
          <w:noProof/>
          <w:color w:val="000000"/>
          <w:spacing w:val="6"/>
          <w:sz w:val="32"/>
          <w:szCs w:val="32"/>
        </w:rPr>
        <w:tab/>
      </w:r>
      <w:r>
        <w:rPr>
          <w:rFonts w:ascii="Helvetica Neue Medium" w:eastAsia="Helvetica Neue Medium" w:hAnsi="Helvetica Neue Medium" w:cs="Helvetica Neue Medium"/>
          <w:noProof/>
          <w:color w:val="000000"/>
          <w:spacing w:val="6"/>
          <w:sz w:val="32"/>
          <w:szCs w:val="32"/>
        </w:rPr>
        <w:fldChar w:fldCharType="begin"/>
      </w:r>
      <w:r>
        <w:rPr>
          <w:rFonts w:ascii="Helvetica Neue Medium" w:eastAsia="Helvetica Neue Medium" w:hAnsi="Helvetica Neue Medium" w:cs="Helvetica Neue Medium"/>
          <w:noProof/>
          <w:color w:val="000000"/>
          <w:spacing w:val="6"/>
          <w:sz w:val="32"/>
          <w:szCs w:val="32"/>
        </w:rPr>
        <w:instrText xml:space="preserve"> PAGEREF _Toc5 \h </w:instrText>
      </w:r>
      <w:r>
        <w:rPr>
          <w:rFonts w:ascii="Helvetica Neue Medium" w:eastAsia="Helvetica Neue Medium" w:hAnsi="Helvetica Neue Medium" w:cs="Helvetica Neue Medium"/>
          <w:noProof/>
          <w:color w:val="000000"/>
          <w:spacing w:val="6"/>
          <w:sz w:val="32"/>
          <w:szCs w:val="32"/>
        </w:rPr>
      </w:r>
      <w:r>
        <w:rPr>
          <w:rFonts w:ascii="Helvetica Neue Medium" w:eastAsia="Helvetica Neue Medium" w:hAnsi="Helvetica Neue Medium" w:cs="Helvetica Neue Medium"/>
          <w:noProof/>
          <w:color w:val="000000"/>
          <w:spacing w:val="6"/>
          <w:sz w:val="32"/>
          <w:szCs w:val="32"/>
        </w:rPr>
        <w:fldChar w:fldCharType="separate"/>
      </w:r>
      <w:r w:rsidR="00273E02">
        <w:rPr>
          <w:rFonts w:ascii="Helvetica Neue Medium" w:eastAsia="Helvetica Neue Medium" w:hAnsi="Helvetica Neue Medium" w:cs="Helvetica Neue Medium"/>
          <w:noProof/>
          <w:color w:val="000000"/>
          <w:spacing w:val="6"/>
          <w:sz w:val="32"/>
          <w:szCs w:val="32"/>
        </w:rPr>
        <w:t>4</w:t>
      </w:r>
      <w:r>
        <w:rPr>
          <w:rFonts w:ascii="Helvetica Neue Medium" w:eastAsia="Helvetica Neue Medium" w:hAnsi="Helvetica Neue Medium" w:cs="Helvetica Neue Medium"/>
          <w:noProof/>
          <w:color w:val="000000"/>
          <w:spacing w:val="6"/>
          <w:sz w:val="32"/>
          <w:szCs w:val="32"/>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2.1 Methodology</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_Toc6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4</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lang w:val="de-DE"/>
        </w:rPr>
        <w:t>2.2 Philosophy</w:t>
      </w:r>
      <w:r>
        <w:rPr>
          <w:rFonts w:ascii="Helvetica Neue Light" w:hAnsi="Helvetica Neue Light" w:cs="Arial Unicode MS"/>
          <w:caps/>
          <w:noProof/>
          <w:color w:val="000000"/>
          <w:spacing w:val="5"/>
          <w:sz w:val="28"/>
          <w:szCs w:val="28"/>
          <w:lang w:val="de-DE"/>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_Toc7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5</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2.3 Research approaches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_Toc8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6</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2.4 Research method and strategy</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_Toc9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6</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2.5 Sample</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_Toc10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6</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lang w:val="fr-FR"/>
        </w:rPr>
        <w:t>2.6 Data collection</w:t>
      </w:r>
      <w:r>
        <w:rPr>
          <w:rFonts w:ascii="Helvetica Neue Light" w:hAnsi="Helvetica Neue Light" w:cs="Arial Unicode MS"/>
          <w:caps/>
          <w:noProof/>
          <w:color w:val="000000"/>
          <w:spacing w:val="5"/>
          <w:sz w:val="28"/>
          <w:szCs w:val="28"/>
          <w:lang w:val="fr-FR"/>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_Toc11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7</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2.7 Data analysis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_Toc12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7</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2.8 Limitations and ethical considerations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_Toc13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7</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lang w:val="fr-FR"/>
        </w:rPr>
        <w:t>2.8.1 Time management</w:t>
      </w:r>
      <w:r>
        <w:rPr>
          <w:rFonts w:ascii="Helvetica Neue Light" w:hAnsi="Helvetica Neue Light" w:cs="Arial Unicode MS"/>
          <w:caps/>
          <w:noProof/>
          <w:color w:val="000000"/>
          <w:spacing w:val="5"/>
          <w:sz w:val="28"/>
          <w:szCs w:val="28"/>
          <w:lang w:val="fr-FR"/>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_Toc14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7</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2.8.2 ethical considerations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_Toc15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7</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2.9 Reliability and validity</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_Toc16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8</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left="240" w:hanging="240"/>
        <w:rPr>
          <w:rFonts w:ascii="Helvetica Neue Medium" w:eastAsia="Helvetica Neue Medium" w:hAnsi="Helvetica Neue Medium" w:cs="Helvetica Neue Medium"/>
          <w:noProof/>
          <w:color w:val="000000"/>
          <w:spacing w:val="6"/>
          <w:sz w:val="32"/>
          <w:szCs w:val="32"/>
        </w:rPr>
      </w:pPr>
      <w:r>
        <w:rPr>
          <w:rFonts w:ascii="Helvetica Neue Medium" w:hAnsi="Helvetica Neue Medium" w:cs="Arial Unicode MS"/>
          <w:noProof/>
          <w:color w:val="000000"/>
          <w:spacing w:val="6"/>
          <w:sz w:val="32"/>
          <w:szCs w:val="32"/>
        </w:rPr>
        <w:t>3 Resources and planning</w:t>
      </w:r>
      <w:r>
        <w:rPr>
          <w:rFonts w:ascii="Helvetica Neue Medium" w:hAnsi="Helvetica Neue Medium" w:cs="Arial Unicode MS"/>
          <w:noProof/>
          <w:color w:val="000000"/>
          <w:spacing w:val="6"/>
          <w:sz w:val="32"/>
          <w:szCs w:val="32"/>
        </w:rPr>
        <w:tab/>
      </w:r>
      <w:r>
        <w:rPr>
          <w:rFonts w:ascii="Helvetica Neue Medium" w:eastAsia="Helvetica Neue Medium" w:hAnsi="Helvetica Neue Medium" w:cs="Helvetica Neue Medium"/>
          <w:noProof/>
          <w:color w:val="000000"/>
          <w:spacing w:val="6"/>
          <w:sz w:val="32"/>
          <w:szCs w:val="32"/>
        </w:rPr>
        <w:fldChar w:fldCharType="begin"/>
      </w:r>
      <w:r>
        <w:rPr>
          <w:rFonts w:ascii="Helvetica Neue Medium" w:eastAsia="Helvetica Neue Medium" w:hAnsi="Helvetica Neue Medium" w:cs="Helvetica Neue Medium"/>
          <w:noProof/>
          <w:color w:val="000000"/>
          <w:spacing w:val="6"/>
          <w:sz w:val="32"/>
          <w:szCs w:val="32"/>
        </w:rPr>
        <w:instrText xml:space="preserve"> PAGEREF _Toc17 \h </w:instrText>
      </w:r>
      <w:r>
        <w:rPr>
          <w:rFonts w:ascii="Helvetica Neue Medium" w:eastAsia="Helvetica Neue Medium" w:hAnsi="Helvetica Neue Medium" w:cs="Helvetica Neue Medium"/>
          <w:noProof/>
          <w:color w:val="000000"/>
          <w:spacing w:val="6"/>
          <w:sz w:val="32"/>
          <w:szCs w:val="32"/>
        </w:rPr>
      </w:r>
      <w:r>
        <w:rPr>
          <w:rFonts w:ascii="Helvetica Neue Medium" w:eastAsia="Helvetica Neue Medium" w:hAnsi="Helvetica Neue Medium" w:cs="Helvetica Neue Medium"/>
          <w:noProof/>
          <w:color w:val="000000"/>
          <w:spacing w:val="6"/>
          <w:sz w:val="32"/>
          <w:szCs w:val="32"/>
        </w:rPr>
        <w:fldChar w:fldCharType="separate"/>
      </w:r>
      <w:r w:rsidR="00273E02">
        <w:rPr>
          <w:rFonts w:ascii="Helvetica Neue Medium" w:eastAsia="Helvetica Neue Medium" w:hAnsi="Helvetica Neue Medium" w:cs="Helvetica Neue Medium"/>
          <w:noProof/>
          <w:color w:val="000000"/>
          <w:spacing w:val="6"/>
          <w:sz w:val="32"/>
          <w:szCs w:val="32"/>
        </w:rPr>
        <w:t>8</w:t>
      </w:r>
      <w:r>
        <w:rPr>
          <w:rFonts w:ascii="Helvetica Neue Medium" w:eastAsia="Helvetica Neue Medium" w:hAnsi="Helvetica Neue Medium" w:cs="Helvetica Neue Medium"/>
          <w:noProof/>
          <w:color w:val="000000"/>
          <w:spacing w:val="6"/>
          <w:sz w:val="32"/>
          <w:szCs w:val="32"/>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rPr>
        <w:t>3.1 Resources</w:t>
      </w:r>
      <w:r>
        <w:rPr>
          <w:rFonts w:ascii="Helvetica Neue Light" w:hAnsi="Helvetica Neue Light" w:cs="Arial Unicode MS"/>
          <w:caps/>
          <w:noProof/>
          <w:color w:val="000000"/>
          <w:spacing w:val="5"/>
          <w:sz w:val="28"/>
          <w:szCs w:val="28"/>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_Toc18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8</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firstLine="567"/>
        <w:rPr>
          <w:rFonts w:ascii="Helvetica Neue Light" w:eastAsia="Helvetica Neue Light" w:hAnsi="Helvetica Neue Light" w:cs="Helvetica Neue Light"/>
          <w:caps/>
          <w:noProof/>
          <w:color w:val="000000"/>
          <w:spacing w:val="5"/>
          <w:sz w:val="28"/>
          <w:szCs w:val="28"/>
        </w:rPr>
      </w:pPr>
      <w:r>
        <w:rPr>
          <w:rFonts w:ascii="Helvetica Neue Light" w:hAnsi="Helvetica Neue Light" w:cs="Arial Unicode MS"/>
          <w:caps/>
          <w:noProof/>
          <w:color w:val="000000"/>
          <w:spacing w:val="5"/>
          <w:sz w:val="28"/>
          <w:szCs w:val="28"/>
          <w:lang w:val="nl-NL"/>
        </w:rPr>
        <w:t>3.2 Gantt chart</w:t>
      </w:r>
      <w:r>
        <w:rPr>
          <w:rFonts w:ascii="Helvetica Neue Light" w:hAnsi="Helvetica Neue Light" w:cs="Arial Unicode MS"/>
          <w:caps/>
          <w:noProof/>
          <w:color w:val="000000"/>
          <w:spacing w:val="5"/>
          <w:sz w:val="28"/>
          <w:szCs w:val="28"/>
          <w:lang w:val="nl-NL"/>
        </w:rPr>
        <w:tab/>
      </w:r>
      <w:r>
        <w:rPr>
          <w:rFonts w:ascii="Helvetica Neue Light" w:eastAsia="Helvetica Neue Light" w:hAnsi="Helvetica Neue Light" w:cs="Helvetica Neue Light"/>
          <w:caps/>
          <w:noProof/>
          <w:color w:val="000000"/>
          <w:spacing w:val="5"/>
          <w:sz w:val="28"/>
          <w:szCs w:val="28"/>
        </w:rPr>
        <w:fldChar w:fldCharType="begin"/>
      </w:r>
      <w:r>
        <w:rPr>
          <w:rFonts w:ascii="Helvetica Neue Light" w:eastAsia="Helvetica Neue Light" w:hAnsi="Helvetica Neue Light" w:cs="Helvetica Neue Light"/>
          <w:caps/>
          <w:noProof/>
          <w:color w:val="000000"/>
          <w:spacing w:val="5"/>
          <w:sz w:val="28"/>
          <w:szCs w:val="28"/>
        </w:rPr>
        <w:instrText xml:space="preserve"> PAGEREF _Toc19 \h </w:instrText>
      </w:r>
      <w:r>
        <w:rPr>
          <w:rFonts w:ascii="Helvetica Neue Light" w:eastAsia="Helvetica Neue Light" w:hAnsi="Helvetica Neue Light" w:cs="Helvetica Neue Light"/>
          <w:caps/>
          <w:noProof/>
          <w:color w:val="000000"/>
          <w:spacing w:val="5"/>
          <w:sz w:val="28"/>
          <w:szCs w:val="28"/>
        </w:rPr>
      </w:r>
      <w:r>
        <w:rPr>
          <w:rFonts w:ascii="Helvetica Neue Light" w:eastAsia="Helvetica Neue Light" w:hAnsi="Helvetica Neue Light" w:cs="Helvetica Neue Light"/>
          <w:caps/>
          <w:noProof/>
          <w:color w:val="000000"/>
          <w:spacing w:val="5"/>
          <w:sz w:val="28"/>
          <w:szCs w:val="28"/>
        </w:rPr>
        <w:fldChar w:fldCharType="separate"/>
      </w:r>
      <w:r w:rsidR="00273E02">
        <w:rPr>
          <w:rFonts w:ascii="Helvetica Neue Light" w:eastAsia="Helvetica Neue Light" w:hAnsi="Helvetica Neue Light" w:cs="Helvetica Neue Light"/>
          <w:caps/>
          <w:noProof/>
          <w:color w:val="000000"/>
          <w:spacing w:val="5"/>
          <w:sz w:val="28"/>
          <w:szCs w:val="28"/>
        </w:rPr>
        <w:t>8</w:t>
      </w:r>
      <w:r>
        <w:rPr>
          <w:rFonts w:ascii="Helvetica Neue Light" w:eastAsia="Helvetica Neue Light" w:hAnsi="Helvetica Neue Light" w:cs="Helvetica Neue Light"/>
          <w:caps/>
          <w:noProof/>
          <w:color w:val="000000"/>
          <w:spacing w:val="5"/>
          <w:sz w:val="28"/>
          <w:szCs w:val="28"/>
        </w:rPr>
        <w:fldChar w:fldCharType="end"/>
      </w:r>
    </w:p>
    <w:p w:rsidR="00507152" w:rsidRDefault="00164147">
      <w:pPr>
        <w:tabs>
          <w:tab w:val="right" w:pos="8928"/>
        </w:tabs>
        <w:spacing w:after="120"/>
        <w:ind w:left="240" w:hanging="240"/>
        <w:rPr>
          <w:noProof/>
        </w:rPr>
      </w:pPr>
      <w:r>
        <w:rPr>
          <w:rFonts w:ascii="Helvetica Neue Medium" w:hAnsi="Helvetica Neue Medium" w:cs="Arial Unicode MS"/>
          <w:noProof/>
          <w:color w:val="000000"/>
          <w:spacing w:val="6"/>
          <w:sz w:val="32"/>
          <w:szCs w:val="32"/>
          <w:lang w:val="fr-FR"/>
        </w:rPr>
        <w:t>4 References</w:t>
      </w:r>
      <w:r>
        <w:rPr>
          <w:rFonts w:ascii="Helvetica Neue Medium" w:hAnsi="Helvetica Neue Medium" w:cs="Arial Unicode MS"/>
          <w:noProof/>
          <w:color w:val="000000"/>
          <w:spacing w:val="6"/>
          <w:sz w:val="32"/>
          <w:szCs w:val="32"/>
          <w:lang w:val="fr-FR"/>
        </w:rPr>
        <w:tab/>
      </w:r>
      <w:r>
        <w:rPr>
          <w:rFonts w:ascii="Helvetica Neue Medium" w:eastAsia="Helvetica Neue Medium" w:hAnsi="Helvetica Neue Medium" w:cs="Helvetica Neue Medium"/>
          <w:noProof/>
          <w:color w:val="000000"/>
          <w:spacing w:val="6"/>
          <w:sz w:val="32"/>
          <w:szCs w:val="32"/>
        </w:rPr>
        <w:fldChar w:fldCharType="begin"/>
      </w:r>
      <w:r>
        <w:rPr>
          <w:rFonts w:ascii="Helvetica Neue Medium" w:eastAsia="Helvetica Neue Medium" w:hAnsi="Helvetica Neue Medium" w:cs="Helvetica Neue Medium"/>
          <w:noProof/>
          <w:color w:val="000000"/>
          <w:spacing w:val="6"/>
          <w:sz w:val="32"/>
          <w:szCs w:val="32"/>
        </w:rPr>
        <w:instrText xml:space="preserve"> PAGEREF _Toc20 \h </w:instrText>
      </w:r>
      <w:r>
        <w:rPr>
          <w:rFonts w:ascii="Helvetica Neue Medium" w:eastAsia="Helvetica Neue Medium" w:hAnsi="Helvetica Neue Medium" w:cs="Helvetica Neue Medium"/>
          <w:noProof/>
          <w:color w:val="000000"/>
          <w:spacing w:val="6"/>
          <w:sz w:val="32"/>
          <w:szCs w:val="32"/>
        </w:rPr>
      </w:r>
      <w:r>
        <w:rPr>
          <w:rFonts w:ascii="Helvetica Neue Medium" w:eastAsia="Helvetica Neue Medium" w:hAnsi="Helvetica Neue Medium" w:cs="Helvetica Neue Medium"/>
          <w:noProof/>
          <w:color w:val="000000"/>
          <w:spacing w:val="6"/>
          <w:sz w:val="32"/>
          <w:szCs w:val="32"/>
        </w:rPr>
        <w:fldChar w:fldCharType="separate"/>
      </w:r>
      <w:r w:rsidR="00273E02">
        <w:rPr>
          <w:rFonts w:ascii="Helvetica Neue Medium" w:eastAsia="Helvetica Neue Medium" w:hAnsi="Helvetica Neue Medium" w:cs="Helvetica Neue Medium"/>
          <w:noProof/>
          <w:color w:val="000000"/>
          <w:spacing w:val="6"/>
          <w:sz w:val="32"/>
          <w:szCs w:val="32"/>
        </w:rPr>
        <w:t>9</w:t>
      </w:r>
      <w:r>
        <w:rPr>
          <w:rFonts w:ascii="Helvetica Neue Medium" w:eastAsia="Helvetica Neue Medium" w:hAnsi="Helvetica Neue Medium" w:cs="Helvetica Neue Medium"/>
          <w:noProof/>
          <w:color w:val="000000"/>
          <w:spacing w:val="6"/>
          <w:sz w:val="32"/>
          <w:szCs w:val="32"/>
        </w:rPr>
        <w:fldChar w:fldCharType="end"/>
      </w:r>
    </w:p>
    <w:p w:rsidR="00507152" w:rsidRDefault="00164147">
      <w:pPr>
        <w:pStyle w:val="Heading"/>
      </w:pPr>
      <w:r>
        <w:fldChar w:fldCharType="end"/>
      </w:r>
      <w:r>
        <w:rPr>
          <w:rFonts w:ascii="Arial Unicode MS" w:eastAsia="Arial Unicode MS" w:hAnsi="Arial Unicode MS" w:cs="Arial Unicode MS"/>
        </w:rPr>
        <w:br w:type="page"/>
      </w:r>
    </w:p>
    <w:p w:rsidR="00507152" w:rsidRDefault="00507152">
      <w:pPr>
        <w:pStyle w:val="Body"/>
      </w:pPr>
    </w:p>
    <w:p w:rsidR="00507152" w:rsidRDefault="00164147">
      <w:pPr>
        <w:pStyle w:val="Heading"/>
      </w:pPr>
      <w:bookmarkStart w:id="3" w:name="_Toc1"/>
      <w:r>
        <w:rPr>
          <w:rFonts w:eastAsia="Arial Unicode MS" w:cs="Arial Unicode MS"/>
          <w:lang w:val="en-US"/>
        </w:rPr>
        <w:t>1. Introduction</w:t>
      </w:r>
      <w:bookmarkEnd w:id="3"/>
    </w:p>
    <w:p w:rsidR="00507152" w:rsidRDefault="00507152">
      <w:pPr>
        <w:pStyle w:val="Heading2"/>
      </w:pPr>
    </w:p>
    <w:p w:rsidR="00507152" w:rsidRDefault="00164147">
      <w:pPr>
        <w:pStyle w:val="Heading2"/>
      </w:pPr>
      <w:bookmarkStart w:id="4" w:name="_Toc2"/>
      <w:r>
        <w:rPr>
          <w:rFonts w:eastAsia="Arial Unicode MS" w:cs="Arial Unicode MS"/>
          <w:lang w:val="en-US"/>
        </w:rPr>
        <w:t>1.1 Rationale</w:t>
      </w:r>
      <w:bookmarkEnd w:id="4"/>
    </w:p>
    <w:p w:rsidR="00507152" w:rsidRDefault="00164147">
      <w:pPr>
        <w:pStyle w:val="Body"/>
      </w:pPr>
      <w:r>
        <w:t>The researcher has an interest in the music industry, how advertising aff</w:t>
      </w:r>
      <w:r w:rsidR="0020434D">
        <w:t>ects consumers of music and t</w:t>
      </w:r>
      <w:r>
        <w:t>he process of c</w:t>
      </w:r>
      <w:r w:rsidR="0020434D">
        <w:t xml:space="preserve">ompleting a marketing degree </w:t>
      </w:r>
      <w:r>
        <w:t>has given</w:t>
      </w:r>
      <w:r>
        <w:t xml:space="preserve"> the opportunity to research topics related to this. Based on research into the chosen area it is apparent that there is not enough study into this area considering the music industry is one of the </w:t>
      </w:r>
      <w:r w:rsidR="0020434D">
        <w:t xml:space="preserve">largest industries in the world, </w:t>
      </w:r>
      <w:r>
        <w:t>bringing in almost sixteen</w:t>
      </w:r>
      <w:r>
        <w:t xml:space="preserve"> </w:t>
      </w:r>
      <w:r w:rsidR="00E75FE0">
        <w:t>billio</w:t>
      </w:r>
      <w:r w:rsidR="00E75FE0">
        <w:rPr>
          <w:rFonts w:hint="eastAsia"/>
        </w:rPr>
        <w:t>n</w:t>
      </w:r>
      <w:r>
        <w:t xml:space="preserve"> dollars in sales every year (International Federation of the Phonographic Industry, 2017). Marketing is becoming increasingly important every year with more and more music b</w:t>
      </w:r>
      <w:r w:rsidR="0020434D">
        <w:t>eing released on a yearly basis. T</w:t>
      </w:r>
      <w:r>
        <w:t>his is due to the introduction of more str</w:t>
      </w:r>
      <w:r>
        <w:t>eaming platforms where everyone can listen to more music on a more regular basis. At the end of 2016, there were 112 million paid music subscribers worldwide, according to the IFPI. When users of ad-supported streaming services are factored in, that number</w:t>
      </w:r>
      <w:r>
        <w:t xml:space="preserve"> rises to 212 million, with total streaming revenues climbing 60 percent year-on-year to just over $3.9 billion. Streaming now makes up the majority (59 percent) of digital revenues, while digital (downloads and streaming) accounts for more than half of al</w:t>
      </w:r>
      <w:r>
        <w:t>l record sales in 25 markets (Smirke, 2017).</w:t>
      </w:r>
    </w:p>
    <w:p w:rsidR="00507152" w:rsidRDefault="00164147">
      <w:pPr>
        <w:pStyle w:val="Heading2"/>
      </w:pPr>
      <w:bookmarkStart w:id="5" w:name="_Toc3"/>
      <w:r>
        <w:rPr>
          <w:rFonts w:eastAsia="Arial Unicode MS" w:cs="Arial Unicode MS"/>
          <w:lang w:val="en-US"/>
        </w:rPr>
        <w:t>1.2 Background</w:t>
      </w:r>
      <w:bookmarkEnd w:id="5"/>
    </w:p>
    <w:p w:rsidR="00507152" w:rsidRDefault="00164147">
      <w:pPr>
        <w:pStyle w:val="Body"/>
      </w:pPr>
      <w:r>
        <w:t xml:space="preserve"> There does not exist a great deal of literature relating to the role of marketing in the music industry, especially scant are scientifically relevant data relating to this interesting area. Resea</w:t>
      </w:r>
      <w:r>
        <w:t xml:space="preserve">rch by (Gamble and Gilmore, 2012) has explored the relevance of co-creational marketing in the music industry and states that “consumer marketing for the music industry has indeed entered a new era, one in which consumer control and involvement will drive </w:t>
      </w:r>
      <w:r>
        <w:t>future marketing campaigns.” This work outlines the fact that consumers aren’t only to be marketed at but a</w:t>
      </w:r>
      <w:r w:rsidR="0020434D">
        <w:t xml:space="preserve">lso involved in the process in order to </w:t>
      </w:r>
      <w:r>
        <w:t xml:space="preserve">help the marketers push the </w:t>
      </w:r>
      <w:r w:rsidR="00E75FE0">
        <w:t>artist’</w:t>
      </w:r>
      <w:r w:rsidR="00E75FE0">
        <w:rPr>
          <w:rFonts w:hint="eastAsia"/>
        </w:rPr>
        <w:t>s</w:t>
      </w:r>
      <w:r>
        <w:t xml:space="preserve"> projects. It has been said that in 1939, Alex Steinweiss, a designer at Columbia </w:t>
      </w:r>
      <w:r>
        <w:t xml:space="preserve">Records had the “crazy” idea of exchanging standardised labels on vinyl records for original artistic works (Tycun, 2013).  That would be recognised as the first important step of marketing in the music industry </w:t>
      </w:r>
      <w:r>
        <w:rPr>
          <w:lang w:val="it-IT"/>
        </w:rPr>
        <w:t>(Skoro, 2013).</w:t>
      </w:r>
      <w:r>
        <w:t xml:space="preserve"> The music industry has change</w:t>
      </w:r>
      <w:r>
        <w:t>d multiple time due to technology too, which then poses new challenges to the professionals responsible for example; the many changes of the medium, from Vinyl to Cassette tape to CD to digital downloads to finally streaming. Every new iteration of the mus</w:t>
      </w:r>
      <w:r>
        <w:t xml:space="preserve">ic format has forced professionals try bring the music consumers over to said format. Not only does advertising have a big role in music but music has a big role in advertising “Music is kind of the unsung hero </w:t>
      </w:r>
      <w:r>
        <w:lastRenderedPageBreak/>
        <w:t xml:space="preserve">of advertising,” says Daniel Jackson, CEO of </w:t>
      </w:r>
      <w:r>
        <w:t>London-based Cord Worldwide, a music licensing firm specialising in music in branding, and co-author of Hit Brands: How Music Builds Value for the</w:t>
      </w:r>
      <w:r w:rsidR="0020434D">
        <w:t xml:space="preserve"> </w:t>
      </w:r>
      <w:r>
        <w:t xml:space="preserve">World’s Smartest Brands. “It’s in the background and it’s kind of an afterthought, but when you get it right, </w:t>
      </w:r>
      <w:r>
        <w:t>it creates a halo of engagement that delivers way more than the budget for it should say.” Songs help marketers connect with their customers on an emotional level, which can lead to purchase, and different types of music can elicit different audience respo</w:t>
      </w:r>
      <w:r>
        <w:t>nses, according to “</w:t>
      </w:r>
      <w:hyperlink r:id="rId7" w:history="1">
        <w:r>
          <w:t>I Second That Emotion: The Emotive Power of Music in Advertising</w:t>
        </w:r>
      </w:hyperlink>
      <w:r>
        <w:t>,” a study published by New York-based N</w:t>
      </w:r>
      <w:r>
        <w:t>ielsen Holdings N.V. in July 2015 (Birkner, 2015) (Jackson, Jankovich and Sheinkop, 2014).</w:t>
      </w:r>
    </w:p>
    <w:p w:rsidR="00507152" w:rsidRDefault="00507152">
      <w:pPr>
        <w:pStyle w:val="Body"/>
      </w:pPr>
    </w:p>
    <w:p w:rsidR="00507152" w:rsidRDefault="00164147">
      <w:pPr>
        <w:pStyle w:val="Heading2"/>
      </w:pPr>
      <w:bookmarkStart w:id="6" w:name="_Toc4"/>
      <w:r>
        <w:rPr>
          <w:rFonts w:eastAsia="Arial Unicode MS" w:cs="Arial Unicode MS"/>
          <w:lang w:val="en-US"/>
        </w:rPr>
        <w:t>1.3 Aims &amp; Objectives</w:t>
      </w:r>
      <w:bookmarkEnd w:id="6"/>
    </w:p>
    <w:p w:rsidR="00507152" w:rsidRDefault="00164147">
      <w:pPr>
        <w:pStyle w:val="Body"/>
      </w:pPr>
      <w:r>
        <w:t>The aim of this study is to explore the effectiveness of marketing used in the music industry. To achieve this aim the objectives are; to revi</w:t>
      </w:r>
      <w:r>
        <w:t>ew existing literature on marketing in the music industry using data that has already been collected by professionals and government agencies. This will be done to help understand what current professionals believe about the subject. Another objective is t</w:t>
      </w:r>
      <w:r>
        <w:t xml:space="preserve">o gather and analyse consumers opinions on the effectiveness of marketing techniques used in music. </w:t>
      </w:r>
    </w:p>
    <w:p w:rsidR="00507152" w:rsidRDefault="00507152">
      <w:pPr>
        <w:pStyle w:val="Body"/>
      </w:pPr>
    </w:p>
    <w:p w:rsidR="00507152" w:rsidRDefault="00164147">
      <w:pPr>
        <w:pStyle w:val="Heading"/>
      </w:pPr>
      <w:bookmarkStart w:id="7" w:name="_Toc5"/>
      <w:r>
        <w:rPr>
          <w:rFonts w:eastAsia="Arial Unicode MS" w:cs="Arial Unicode MS"/>
          <w:lang w:val="en-US"/>
        </w:rPr>
        <w:t>2. Research design</w:t>
      </w:r>
      <w:bookmarkEnd w:id="7"/>
    </w:p>
    <w:p w:rsidR="00507152" w:rsidRDefault="00164147">
      <w:pPr>
        <w:pStyle w:val="Heading2"/>
      </w:pPr>
      <w:bookmarkStart w:id="8" w:name="_Toc6"/>
      <w:r>
        <w:rPr>
          <w:rFonts w:eastAsia="Arial Unicode MS" w:cs="Arial Unicode MS"/>
          <w:lang w:val="en-US"/>
        </w:rPr>
        <w:t>2.1 Methodology</w:t>
      </w:r>
      <w:bookmarkEnd w:id="8"/>
    </w:p>
    <w:p w:rsidR="00507152" w:rsidRDefault="00164147">
      <w:pPr>
        <w:pStyle w:val="Body"/>
      </w:pPr>
      <w:r>
        <w:t>Research has been defined by (Collins &amp; Hussey, 2009, p.3) as “A process of enquiry and investigation, it is systematic</w:t>
      </w:r>
      <w:r>
        <w:t>, methodical and ethical and can help solve practical problems and increase knowledge.” in order to collect valuable and accurate research which can achieve the outlined aims and objectives, a suitable research method must be adopted” (King et al. 1995).</w:t>
      </w:r>
    </w:p>
    <w:p w:rsidR="00507152" w:rsidRDefault="00164147">
      <w:pPr>
        <w:pStyle w:val="Body"/>
      </w:pPr>
      <w:r>
        <w:t>(Saunders et al, 2009) developed the ‘research onion’ which is a model that revealed the areas that must be considered when conducting research. For the model to work an aspect of each area must be chosen to create route. The onion is made up of Philosophi</w:t>
      </w:r>
      <w:r>
        <w:t xml:space="preserve">cal stances, Approaches, </w:t>
      </w:r>
      <w:r w:rsidR="00E75FE0">
        <w:t xml:space="preserve">Strategies </w:t>
      </w:r>
      <w:r>
        <w:lastRenderedPageBreak/>
        <w:t xml:space="preserve">Choices, Time Horizons and Techniques and procedures. Figure 1 shows the research onion and </w:t>
      </w:r>
      <w:r w:rsidR="00E75FE0">
        <w:rPr>
          <w:noProof/>
          <w:lang w:val="en-GB"/>
        </w:rPr>
        <w:drawing>
          <wp:anchor distT="152400" distB="152400" distL="152400" distR="152400" simplePos="0" relativeHeight="251660288" behindDoc="0" locked="0" layoutInCell="1" allowOverlap="1">
            <wp:simplePos x="0" y="0"/>
            <wp:positionH relativeFrom="margin">
              <wp:posOffset>-123825</wp:posOffset>
            </wp:positionH>
            <wp:positionV relativeFrom="line">
              <wp:posOffset>372110</wp:posOffset>
            </wp:positionV>
            <wp:extent cx="6031865" cy="4019550"/>
            <wp:effectExtent l="0" t="0" r="6985"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7-11-17 at 17.09.47.png"/>
                    <pic:cNvPicPr>
                      <a:picLocks noChangeAspect="1"/>
                    </pic:cNvPicPr>
                  </pic:nvPicPr>
                  <pic:blipFill>
                    <a:blip r:embed="rId8">
                      <a:extLst/>
                    </a:blip>
                    <a:stretch>
                      <a:fillRect/>
                    </a:stretch>
                  </pic:blipFill>
                  <pic:spPr>
                    <a:xfrm>
                      <a:off x="0" y="0"/>
                      <a:ext cx="6031865" cy="4019550"/>
                    </a:xfrm>
                    <a:prstGeom prst="rect">
                      <a:avLst/>
                    </a:prstGeom>
                    <a:ln w="12700" cap="flat">
                      <a:noFill/>
                      <a:miter lim="400000"/>
                    </a:ln>
                    <a:effectLst/>
                  </pic:spPr>
                </pic:pic>
              </a:graphicData>
            </a:graphic>
            <wp14:sizeRelV relativeFrom="margin">
              <wp14:pctHeight>0</wp14:pctHeight>
            </wp14:sizeRelV>
          </wp:anchor>
        </w:drawing>
      </w:r>
      <w:r>
        <w:t>all of the choices available.</w:t>
      </w:r>
    </w:p>
    <w:p w:rsidR="00507152" w:rsidRDefault="00507152">
      <w:pPr>
        <w:pStyle w:val="Body"/>
      </w:pPr>
    </w:p>
    <w:p w:rsidR="00507152" w:rsidRDefault="00164147">
      <w:pPr>
        <w:pStyle w:val="Heading2"/>
      </w:pPr>
      <w:bookmarkStart w:id="9" w:name="_Toc7"/>
      <w:r>
        <w:rPr>
          <w:rFonts w:eastAsia="Arial Unicode MS" w:cs="Arial Unicode MS"/>
          <w:lang w:val="en-US"/>
        </w:rPr>
        <w:t>2.2 Philosophy</w:t>
      </w:r>
      <w:bookmarkEnd w:id="9"/>
    </w:p>
    <w:p w:rsidR="00507152" w:rsidRDefault="00164147">
      <w:pPr>
        <w:pStyle w:val="Body"/>
      </w:pPr>
      <w:r>
        <w:t>Each of the possible choices at the philosophies level require careful thought a</w:t>
      </w:r>
      <w:r>
        <w:t>s they provide structure, guidance and possible limitations to following decisions and ultimately the way a researcher can collect and analyse data to create valid findings (University of Derby, 2017). Regarding how quality in interpretivist entrepreneursh</w:t>
      </w:r>
      <w:r>
        <w:t>ip research can be established and assessed, a critical issue to be borne in mind is the aim of such research. As Cope (2005) reminds us, ontologically no assumptions are made about what is and is not real—descriptions of phenomena begin with people’s expe</w:t>
      </w:r>
      <w:r>
        <w:t>riences of them (leitch, Hill and Harrison, 2009).</w:t>
      </w:r>
    </w:p>
    <w:p w:rsidR="00E75FE0" w:rsidRDefault="00E75FE0">
      <w:pPr>
        <w:pStyle w:val="Heading2"/>
        <w:rPr>
          <w:rFonts w:eastAsia="Arial Unicode MS" w:cs="Arial Unicode MS"/>
          <w:lang w:val="en-US"/>
        </w:rPr>
      </w:pPr>
      <w:bookmarkStart w:id="10" w:name="_Toc8"/>
    </w:p>
    <w:p w:rsidR="00E75FE0" w:rsidRDefault="00E75FE0">
      <w:pPr>
        <w:pStyle w:val="Heading2"/>
        <w:rPr>
          <w:rFonts w:eastAsia="Arial Unicode MS" w:cs="Arial Unicode MS"/>
          <w:lang w:val="en-US"/>
        </w:rPr>
      </w:pPr>
    </w:p>
    <w:p w:rsidR="00E75FE0" w:rsidRDefault="00E75FE0">
      <w:pPr>
        <w:pStyle w:val="Heading2"/>
        <w:rPr>
          <w:rFonts w:eastAsia="Arial Unicode MS" w:cs="Arial Unicode MS"/>
          <w:lang w:val="en-US"/>
        </w:rPr>
      </w:pPr>
    </w:p>
    <w:p w:rsidR="00507152" w:rsidRDefault="00164147">
      <w:pPr>
        <w:pStyle w:val="Heading2"/>
      </w:pPr>
      <w:r>
        <w:rPr>
          <w:rFonts w:eastAsia="Arial Unicode MS" w:cs="Arial Unicode MS"/>
          <w:lang w:val="en-US"/>
        </w:rPr>
        <w:lastRenderedPageBreak/>
        <w:t>2.3 Research approaches</w:t>
      </w:r>
      <w:bookmarkEnd w:id="10"/>
    </w:p>
    <w:p w:rsidR="00507152" w:rsidRDefault="00164147" w:rsidP="00E75FE0">
      <w:pPr>
        <w:pStyle w:val="Body"/>
      </w:pPr>
      <w:r>
        <w:t>This study will use an inductive approach. This approach has been chosen because this study will be collecting data, and then analysing the data to develop a theory (Fereday, J. and</w:t>
      </w:r>
      <w:r>
        <w:t xml:space="preserve"> Muir-Cochrane, E., 2006). </w:t>
      </w:r>
    </w:p>
    <w:p w:rsidR="00507152" w:rsidRDefault="00164147">
      <w:pPr>
        <w:pStyle w:val="Heading2"/>
      </w:pPr>
      <w:bookmarkStart w:id="11" w:name="_Toc9"/>
      <w:r>
        <w:rPr>
          <w:rFonts w:eastAsia="Arial Unicode MS" w:cs="Arial Unicode MS"/>
          <w:lang w:val="en-US"/>
        </w:rPr>
        <w:t>2.4 Research method and strategy</w:t>
      </w:r>
      <w:bookmarkEnd w:id="11"/>
    </w:p>
    <w:p w:rsidR="00507152" w:rsidRDefault="00164147">
      <w:pPr>
        <w:pStyle w:val="Body"/>
        <w:rPr>
          <w:lang w:val="it-IT"/>
        </w:rPr>
      </w:pPr>
      <w:r>
        <w:t>The most widely used research strategy are surveys. There are multiple benefits of using surveys</w:t>
      </w:r>
      <w:r w:rsidR="0020434D">
        <w:t>,</w:t>
      </w:r>
      <w:r>
        <w:t xml:space="preserve"> such as being relatively easy</w:t>
      </w:r>
      <w:r w:rsidR="0020434D">
        <w:t xml:space="preserve"> to administer, cost-effective (although cost depends on survey mode), the ability to be</w:t>
      </w:r>
      <w:r>
        <w:t xml:space="preserve"> administered remotely via online, mobile devices, mail, </w:t>
      </w:r>
      <w:r w:rsidR="0020434D">
        <w:t>email, kiosk, or telephone and, w</w:t>
      </w:r>
      <w:r>
        <w:t>ith survey software, advanced statistical techniques can be utilised to analyse survey data to determine validity, reliability, and statistical significance, includi</w:t>
      </w:r>
      <w:r>
        <w:t>ng the ability to analyse</w:t>
      </w:r>
      <w:r>
        <w:rPr>
          <w:lang w:val="fr-FR"/>
        </w:rPr>
        <w:t xml:space="preserve"> multiple variables</w:t>
      </w:r>
      <w:r w:rsidR="0020434D">
        <w:t>. Surveys do have draw</w:t>
      </w:r>
      <w:r>
        <w:t>backs</w:t>
      </w:r>
      <w:r w:rsidR="0020434D">
        <w:t>. T</w:t>
      </w:r>
      <w:r>
        <w:t xml:space="preserve">hese include </w:t>
      </w:r>
      <w:r w:rsidR="0020434D">
        <w:t xml:space="preserve">the fact that </w:t>
      </w:r>
      <w:r>
        <w:t>respondents may not feel encouraged to provide accurate, honest answers, respondents may not feel comfortable providing answers that present themselves in a unfavourable</w:t>
      </w:r>
      <w:r>
        <w:t xml:space="preserve"> manner and survey question answer opt</w:t>
      </w:r>
      <w:r w:rsidR="0020434D">
        <w:t xml:space="preserve">ions could lead to unclear data, </w:t>
      </w:r>
      <w:r>
        <w:t>because certain answer options may be interpreted differently by respondents. For example, the answer option “somewhat agree” may represent different things to different subjects, and ha</w:t>
      </w:r>
      <w:r>
        <w:t xml:space="preserve">ve its own meaning to each individual respondent.  ‘Yes’ or ‘no’ answer options can also be problematic. Respondents may answer “no” if the option “only once” is not available </w:t>
      </w:r>
      <w:r>
        <w:rPr>
          <w:lang w:val="it-IT"/>
        </w:rPr>
        <w:t>(DeFranzo, 2012).</w:t>
      </w:r>
    </w:p>
    <w:p w:rsidR="0020434D" w:rsidRDefault="0020434D">
      <w:pPr>
        <w:pStyle w:val="Body"/>
      </w:pPr>
    </w:p>
    <w:p w:rsidR="00507152" w:rsidRDefault="00164147">
      <w:pPr>
        <w:pStyle w:val="Body"/>
      </w:pPr>
      <w:r>
        <w:t xml:space="preserve">Another reason that this </w:t>
      </w:r>
      <w:r w:rsidR="0020434D">
        <w:t xml:space="preserve">study will be using surveys is </w:t>
      </w:r>
      <w:r>
        <w:t>becau</w:t>
      </w:r>
      <w:r>
        <w:t>se the question requires quantitative data to gain the information that is needed. Neil, (2006) states “A quantitative researcher knows clearly in advance what he/she is looking for, and in aspects of the study are carefully designed before data are collec</w:t>
      </w:r>
      <w:r>
        <w:t>ted. Tools such as questionnaires, surveys, or equipment are used to collect numerical data.” This data will allow research into the perceptions of the general public about the music industry and whether marketing music works.</w:t>
      </w:r>
    </w:p>
    <w:p w:rsidR="00507152" w:rsidRDefault="00164147">
      <w:pPr>
        <w:pStyle w:val="Heading2"/>
      </w:pPr>
      <w:bookmarkStart w:id="12" w:name="_Toc10"/>
      <w:r>
        <w:rPr>
          <w:rFonts w:eastAsia="Arial Unicode MS" w:cs="Arial Unicode MS"/>
          <w:lang w:val="en-US"/>
        </w:rPr>
        <w:t>2.5 Sample</w:t>
      </w:r>
      <w:bookmarkEnd w:id="12"/>
    </w:p>
    <w:p w:rsidR="00507152" w:rsidRDefault="00164147">
      <w:pPr>
        <w:pStyle w:val="Body"/>
      </w:pPr>
      <w:r>
        <w:t>The sample for thi</w:t>
      </w:r>
      <w:r>
        <w:t>s study will be a convenience sample also known as an opportunity sample. Convenience sampling involves selecting haphazardly those cases that are easiest to obtain for your sample, such as the person interviewed at random in a shopping centre for a televi</w:t>
      </w:r>
      <w:r>
        <w:t>sion programme or the book about entrepreneurship you find at the airport. The sample selection process is continued until your required sample size has been reached. Although this technique of sampling is used widely, it is prone to bias and influences th</w:t>
      </w:r>
      <w:r w:rsidR="00273E02">
        <w:t xml:space="preserve">at are beyond one’s </w:t>
      </w:r>
      <w:r>
        <w:t xml:space="preserve">control, as the cases appear in the sample only because of the ease of obtaining them (Saunders, M.N., 2011). </w:t>
      </w:r>
    </w:p>
    <w:p w:rsidR="00E75FE0" w:rsidRDefault="00E75FE0">
      <w:pPr>
        <w:pStyle w:val="Heading2"/>
        <w:rPr>
          <w:rFonts w:eastAsia="Arial Unicode MS" w:cs="Arial Unicode MS"/>
          <w:lang w:val="en-US"/>
        </w:rPr>
      </w:pPr>
      <w:bookmarkStart w:id="13" w:name="_Toc11"/>
    </w:p>
    <w:p w:rsidR="00507152" w:rsidRDefault="00164147">
      <w:pPr>
        <w:pStyle w:val="Heading2"/>
      </w:pPr>
      <w:r>
        <w:rPr>
          <w:rFonts w:eastAsia="Arial Unicode MS" w:cs="Arial Unicode MS"/>
          <w:lang w:val="en-US"/>
        </w:rPr>
        <w:t>2.6 Data collection</w:t>
      </w:r>
      <w:bookmarkEnd w:id="13"/>
    </w:p>
    <w:p w:rsidR="00507152" w:rsidRDefault="00164147">
      <w:pPr>
        <w:pStyle w:val="Body"/>
      </w:pPr>
      <w:r>
        <w:t xml:space="preserve">This study will use surveys created </w:t>
      </w:r>
      <w:r w:rsidR="00273E02">
        <w:t>in G</w:t>
      </w:r>
      <w:r>
        <w:t>o</w:t>
      </w:r>
      <w:r w:rsidR="00273E02">
        <w:t>ogle forms and surveymonkey.com.  The main type of surveys</w:t>
      </w:r>
      <w:r>
        <w:t xml:space="preserve"> that this s</w:t>
      </w:r>
      <w:r>
        <w:t>tu</w:t>
      </w:r>
      <w:r w:rsidR="00273E02">
        <w:t xml:space="preserve">dy will be using are </w:t>
      </w:r>
      <w:r>
        <w:t>questionnaires. Questionnaires will give the researcher a large amount of data to use, and hopefully answer whether marketing used in the music industry is effective or not. If the need arises interviews will also be condu</w:t>
      </w:r>
      <w:r>
        <w:t>cted to give more detailed answers on the subject. The data collected will be confidential and no names will be used in</w:t>
      </w:r>
      <w:r w:rsidR="00273E02">
        <w:t xml:space="preserve"> </w:t>
      </w:r>
      <w:r>
        <w:t>t</w:t>
      </w:r>
      <w:r>
        <w:t>he final report.</w:t>
      </w:r>
    </w:p>
    <w:p w:rsidR="00507152" w:rsidRDefault="00164147">
      <w:pPr>
        <w:pStyle w:val="Heading2"/>
      </w:pPr>
      <w:bookmarkStart w:id="14" w:name="_Toc12"/>
      <w:r>
        <w:rPr>
          <w:rFonts w:eastAsia="Arial Unicode MS" w:cs="Arial Unicode MS"/>
          <w:lang w:val="en-US"/>
        </w:rPr>
        <w:t>2.7 Data analysis</w:t>
      </w:r>
      <w:bookmarkEnd w:id="14"/>
    </w:p>
    <w:p w:rsidR="00507152" w:rsidRDefault="00164147">
      <w:pPr>
        <w:pStyle w:val="Body"/>
      </w:pPr>
      <w:r>
        <w:t>“Data analysis is a method in which data is collected and organised so that one can derive helpful i</w:t>
      </w:r>
      <w:r>
        <w:t>nformation from it. In other words, the main purpose of data analysis is to look at what the data is trying to tell us. For example, what does the data show or do? What does the data not show or do?” (Whiting, 2015). The findings from the data that has bee</w:t>
      </w:r>
      <w:r>
        <w:t>n collected will be sho</w:t>
      </w:r>
      <w:r w:rsidR="00273E02">
        <w:t xml:space="preserve">wn in spreadsheets and figures; </w:t>
      </w:r>
      <w:r>
        <w:t>this will show the main findings from the data and present them in a manner which is clear and effective.</w:t>
      </w:r>
    </w:p>
    <w:p w:rsidR="00507152" w:rsidRDefault="0020434D">
      <w:pPr>
        <w:pStyle w:val="Heading2"/>
      </w:pPr>
      <w:bookmarkStart w:id="15" w:name="_Toc13"/>
      <w:r>
        <w:rPr>
          <w:rFonts w:eastAsia="Arial Unicode MS" w:cs="Arial Unicode MS"/>
          <w:lang w:val="en-US"/>
        </w:rPr>
        <w:t>2.8 Limitations and E</w:t>
      </w:r>
      <w:r w:rsidR="00164147">
        <w:rPr>
          <w:rFonts w:eastAsia="Arial Unicode MS" w:cs="Arial Unicode MS"/>
          <w:lang w:val="en-US"/>
        </w:rPr>
        <w:t>thical considerations</w:t>
      </w:r>
      <w:bookmarkEnd w:id="15"/>
    </w:p>
    <w:p w:rsidR="00507152" w:rsidRDefault="00164147">
      <w:pPr>
        <w:pStyle w:val="Heading2"/>
      </w:pPr>
      <w:bookmarkStart w:id="16" w:name="_Toc14"/>
      <w:r>
        <w:rPr>
          <w:rFonts w:eastAsia="Arial Unicode MS" w:cs="Arial Unicode MS"/>
          <w:lang w:val="en-US"/>
        </w:rPr>
        <w:t>2.8.1 Time management</w:t>
      </w:r>
      <w:bookmarkEnd w:id="16"/>
    </w:p>
    <w:p w:rsidR="00507152" w:rsidRDefault="00164147">
      <w:pPr>
        <w:pStyle w:val="Body"/>
      </w:pPr>
      <w:r>
        <w:t>There are two different ways t</w:t>
      </w:r>
      <w:r>
        <w:t>o gather research in a time period</w:t>
      </w:r>
      <w:r w:rsidR="00273E02">
        <w:t xml:space="preserve">.  The first </w:t>
      </w:r>
      <w:r>
        <w:t xml:space="preserve">is a </w:t>
      </w:r>
      <w:r w:rsidR="00273E02">
        <w:t>cross-sectional time horizon.  Th</w:t>
      </w:r>
      <w:r>
        <w:t xml:space="preserve">e defining feature of a cross-sectional study is that it can compare different population groups at a single point in time. Think of it in terms of taking a snapshot. Findings are </w:t>
      </w:r>
      <w:r>
        <w:t>drawn from whatever fits into the frame (Institute for wo</w:t>
      </w:r>
      <w:r w:rsidR="00273E02">
        <w:t xml:space="preserve">rk and health, 2015). The second method </w:t>
      </w:r>
      <w:r>
        <w:t>i</w:t>
      </w:r>
      <w:r w:rsidR="0020434D">
        <w:t>s a longitudinal time horizon</w:t>
      </w:r>
      <w:r w:rsidR="00273E02">
        <w:t>.  A</w:t>
      </w:r>
      <w:r>
        <w:t xml:space="preserve"> longitudinal study is an observational research method in which data is gathered for the same subjects repeatedly over a period of ti</w:t>
      </w:r>
      <w:r>
        <w:t>me. Longitudinal research projects can extend over years or even decades (Rouse, 2013). This study will be using a cross-sectional time horizon due to the constraints of the dissertation.</w:t>
      </w:r>
    </w:p>
    <w:p w:rsidR="00507152" w:rsidRDefault="0020434D">
      <w:pPr>
        <w:pStyle w:val="Heading2"/>
      </w:pPr>
      <w:bookmarkStart w:id="17" w:name="_Toc15"/>
      <w:r>
        <w:rPr>
          <w:rFonts w:eastAsia="Arial Unicode MS" w:cs="Arial Unicode MS"/>
          <w:lang w:val="en-US"/>
        </w:rPr>
        <w:t>2.8.2 Et</w:t>
      </w:r>
      <w:r w:rsidR="00164147">
        <w:rPr>
          <w:rFonts w:eastAsia="Arial Unicode MS" w:cs="Arial Unicode MS"/>
          <w:lang w:val="en-US"/>
        </w:rPr>
        <w:t>hical considerations</w:t>
      </w:r>
      <w:bookmarkEnd w:id="17"/>
    </w:p>
    <w:p w:rsidR="00507152" w:rsidRDefault="00164147">
      <w:pPr>
        <w:pStyle w:val="Body"/>
      </w:pPr>
      <w:r>
        <w:t xml:space="preserve">The participants of this study will be </w:t>
      </w:r>
      <w:r>
        <w:t>over the age of 18. The topic will be of an exploratory nature only, to make sure not to cause any ethical concerns. This research is extremely unlikely to cause any psychological harm.</w:t>
      </w:r>
    </w:p>
    <w:p w:rsidR="00273E02" w:rsidRDefault="00273E02">
      <w:pPr>
        <w:pStyle w:val="Heading2"/>
        <w:rPr>
          <w:rFonts w:eastAsia="Arial Unicode MS" w:cs="Arial Unicode MS"/>
          <w:lang w:val="en-US"/>
        </w:rPr>
      </w:pPr>
      <w:bookmarkStart w:id="18" w:name="_Toc16"/>
    </w:p>
    <w:p w:rsidR="00273E02" w:rsidRDefault="00273E02">
      <w:pPr>
        <w:pStyle w:val="Heading2"/>
        <w:rPr>
          <w:rFonts w:eastAsia="Arial Unicode MS" w:cs="Arial Unicode MS"/>
          <w:lang w:val="en-US"/>
        </w:rPr>
      </w:pPr>
    </w:p>
    <w:p w:rsidR="00507152" w:rsidRDefault="00164147">
      <w:pPr>
        <w:pStyle w:val="Heading2"/>
      </w:pPr>
      <w:r>
        <w:rPr>
          <w:rFonts w:eastAsia="Arial Unicode MS" w:cs="Arial Unicode MS"/>
          <w:lang w:val="en-US"/>
        </w:rPr>
        <w:lastRenderedPageBreak/>
        <w:t>2.9 Reliability and validity</w:t>
      </w:r>
      <w:bookmarkEnd w:id="18"/>
    </w:p>
    <w:p w:rsidR="00507152" w:rsidRDefault="00164147">
      <w:pPr>
        <w:pStyle w:val="Body"/>
      </w:pPr>
      <w:r>
        <w:t>Reliability refers to the extent to which</w:t>
      </w:r>
      <w:r>
        <w:t xml:space="preserve"> your data collection techniques or analysis procedures will yield consistent findings. It can be assessed by posing the following three questions; </w:t>
      </w:r>
      <w:r w:rsidR="0020434D">
        <w:t>will</w:t>
      </w:r>
      <w:r>
        <w:t xml:space="preserve"> the measures yield the same results on other occasions? Will similar observations be reached by other </w:t>
      </w:r>
      <w:r>
        <w:t>o</w:t>
      </w:r>
      <w:r>
        <w:t>bservers? Is there transparency in how sense was made from the raw data? (Easterby-Smith et al. 2008:109). It is critical that the results from the stu</w:t>
      </w:r>
      <w:r w:rsidR="00273E02">
        <w:t xml:space="preserve">dy are both reliable and valid; </w:t>
      </w:r>
      <w:r>
        <w:t xml:space="preserve">this can be </w:t>
      </w:r>
      <w:r>
        <w:t xml:space="preserve">ensured by making the study consistent for all participants. </w:t>
      </w:r>
      <w:r>
        <w:t xml:space="preserve">This will limit the amount of variables </w:t>
      </w:r>
      <w:r>
        <w:t>that could occur.</w:t>
      </w:r>
    </w:p>
    <w:p w:rsidR="00507152" w:rsidRDefault="00507152">
      <w:pPr>
        <w:pStyle w:val="Body"/>
      </w:pPr>
    </w:p>
    <w:p w:rsidR="00507152" w:rsidRDefault="00164147">
      <w:pPr>
        <w:pStyle w:val="Heading"/>
      </w:pPr>
      <w:bookmarkStart w:id="19" w:name="_Toc17"/>
      <w:r>
        <w:rPr>
          <w:rFonts w:eastAsia="Arial Unicode MS" w:cs="Arial Unicode MS"/>
          <w:lang w:val="en-US"/>
        </w:rPr>
        <w:t>3 Resources and planning</w:t>
      </w:r>
      <w:bookmarkEnd w:id="19"/>
    </w:p>
    <w:p w:rsidR="00507152" w:rsidRDefault="00507152">
      <w:pPr>
        <w:pStyle w:val="Body2"/>
      </w:pPr>
    </w:p>
    <w:p w:rsidR="00507152" w:rsidRDefault="00164147">
      <w:pPr>
        <w:pStyle w:val="Heading2"/>
      </w:pPr>
      <w:bookmarkStart w:id="20" w:name="_Toc18"/>
      <w:r>
        <w:rPr>
          <w:rFonts w:eastAsia="Arial Unicode MS" w:cs="Arial Unicode MS"/>
          <w:lang w:val="en-US"/>
        </w:rPr>
        <w:t>3.1 Resourc</w:t>
      </w:r>
      <w:bookmarkEnd w:id="20"/>
      <w:r w:rsidR="00273E02">
        <w:rPr>
          <w:rFonts w:eastAsia="Arial Unicode MS" w:cs="Arial Unicode MS"/>
          <w:lang w:val="en-US"/>
        </w:rPr>
        <w:t>es</w:t>
      </w:r>
    </w:p>
    <w:p w:rsidR="00507152" w:rsidRDefault="00164147">
      <w:pPr>
        <w:pStyle w:val="Body"/>
      </w:pPr>
      <w:r>
        <w:t>To conduct the study ther</w:t>
      </w:r>
      <w:r w:rsidR="00273E02">
        <w:t xml:space="preserve">e are resources that are needed, </w:t>
      </w:r>
      <w:r>
        <w:t>such</w:t>
      </w:r>
      <w:r w:rsidR="00273E02">
        <w:t xml:space="preserve"> as a computer able to process W</w:t>
      </w:r>
      <w:r>
        <w:t xml:space="preserve">ord documents </w:t>
      </w:r>
      <w:r w:rsidR="00273E02">
        <w:t xml:space="preserve">in order </w:t>
      </w:r>
      <w:r>
        <w:t xml:space="preserve">to produce the dissertation, surveys and </w:t>
      </w:r>
      <w:r w:rsidR="00273E02">
        <w:t xml:space="preserve">a </w:t>
      </w:r>
      <w:r>
        <w:t>connect</w:t>
      </w:r>
      <w:r w:rsidR="00273E02">
        <w:t>ion</w:t>
      </w:r>
      <w:r>
        <w:t xml:space="preserve"> t</w:t>
      </w:r>
      <w:r w:rsidR="00273E02">
        <w:t xml:space="preserve">o the internet in order to carry out the </w:t>
      </w:r>
      <w:r>
        <w:t xml:space="preserve">research. The </w:t>
      </w:r>
      <w:r w:rsidR="00273E02">
        <w:t>study will also need Microsoft E</w:t>
      </w:r>
      <w:r>
        <w:t>xcel or the equivalent to enter data and the</w:t>
      </w:r>
      <w:r w:rsidR="0020434D">
        <w:t>n</w:t>
      </w:r>
      <w:r>
        <w:t xml:space="preserve"> analyse the said dat</w:t>
      </w:r>
      <w:r>
        <w:t>a.</w:t>
      </w:r>
    </w:p>
    <w:p w:rsidR="00507152" w:rsidRDefault="00273E02" w:rsidP="00273E02">
      <w:pPr>
        <w:pStyle w:val="Heading2"/>
      </w:pPr>
      <w:bookmarkStart w:id="21" w:name="_Toc19"/>
      <w:r>
        <w:rPr>
          <w:noProof/>
        </w:rPr>
        <w:drawing>
          <wp:anchor distT="152400" distB="152400" distL="152400" distR="152400" simplePos="0" relativeHeight="251661312" behindDoc="0" locked="0" layoutInCell="1" allowOverlap="1">
            <wp:simplePos x="0" y="0"/>
            <wp:positionH relativeFrom="margin">
              <wp:align>left</wp:align>
            </wp:positionH>
            <wp:positionV relativeFrom="margin">
              <wp:posOffset>4274820</wp:posOffset>
            </wp:positionV>
            <wp:extent cx="5641340" cy="3665855"/>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17-11-20 at 17.15.22.png"/>
                    <pic:cNvPicPr>
                      <a:picLocks noChangeAspect="1"/>
                    </pic:cNvPicPr>
                  </pic:nvPicPr>
                  <pic:blipFill>
                    <a:blip r:embed="rId9">
                      <a:extLst/>
                    </a:blip>
                    <a:stretch>
                      <a:fillRect/>
                    </a:stretch>
                  </pic:blipFill>
                  <pic:spPr>
                    <a:xfrm>
                      <a:off x="0" y="0"/>
                      <a:ext cx="5641340" cy="3665855"/>
                    </a:xfrm>
                    <a:prstGeom prst="rect">
                      <a:avLst/>
                    </a:prstGeom>
                    <a:ln w="12700" cap="flat">
                      <a:noFill/>
                      <a:miter lim="400000"/>
                    </a:ln>
                    <a:effectLst/>
                  </pic:spPr>
                </pic:pic>
              </a:graphicData>
            </a:graphic>
          </wp:anchor>
        </w:drawing>
      </w:r>
      <w:r w:rsidR="00164147">
        <w:rPr>
          <w:rFonts w:eastAsia="Arial Unicode MS" w:cs="Arial Unicode MS"/>
          <w:lang w:val="en-US"/>
        </w:rPr>
        <w:t>3.2 Gantt cha</w:t>
      </w:r>
      <w:bookmarkEnd w:id="21"/>
      <w:r>
        <w:rPr>
          <w:rFonts w:eastAsia="Arial Unicode MS" w:cs="Arial Unicode MS"/>
          <w:lang w:val="en-US"/>
        </w:rPr>
        <w:t>rt</w:t>
      </w:r>
    </w:p>
    <w:p w:rsidR="00507152" w:rsidRDefault="00164147">
      <w:pPr>
        <w:pStyle w:val="Heading"/>
      </w:pPr>
      <w:bookmarkStart w:id="22" w:name="_Toc20"/>
      <w:r>
        <w:rPr>
          <w:rFonts w:eastAsia="Arial Unicode MS" w:cs="Arial Unicode MS"/>
          <w:lang w:val="en-US"/>
        </w:rPr>
        <w:lastRenderedPageBreak/>
        <w:t>4</w:t>
      </w:r>
      <w:r>
        <w:rPr>
          <w:rFonts w:eastAsia="Arial Unicode MS" w:cs="Arial Unicode MS"/>
          <w:lang w:val="en-US"/>
        </w:rPr>
        <w:t xml:space="preserve"> References</w:t>
      </w:r>
      <w:bookmarkEnd w:id="22"/>
    </w:p>
    <w:p w:rsidR="00507152" w:rsidRDefault="00507152">
      <w:pPr>
        <w:pStyle w:val="Body"/>
      </w:pPr>
    </w:p>
    <w:p w:rsidR="00507152" w:rsidRDefault="00164147">
      <w:pPr>
        <w:pStyle w:val="Body"/>
      </w:pPr>
      <w:r>
        <w:t xml:space="preserve">International Federation of the Phonographic Industry (2017). </w:t>
      </w:r>
      <w:r>
        <w:rPr>
          <w:rFonts w:ascii="Helvetica Neue" w:hAnsi="Helvetica Neue"/>
          <w:i/>
          <w:iCs/>
        </w:rPr>
        <w:t xml:space="preserve">Global music industry </w:t>
      </w:r>
      <w:r>
        <w:rPr>
          <w:rFonts w:ascii="Helvetica Neue" w:hAnsi="Helvetica Neue"/>
          <w:i/>
          <w:iCs/>
        </w:rPr>
        <w:t>report 2017</w:t>
      </w:r>
      <w:r>
        <w:t>. [online] London: International Federation of the Phonographic Industry, p.11. Available at: http://www.ifpi.org/downloads/GMR2017.pdf [Accessed 14 Nov. 2017].</w:t>
      </w:r>
    </w:p>
    <w:p w:rsidR="00507152" w:rsidRDefault="00507152">
      <w:pPr>
        <w:pStyle w:val="Body"/>
      </w:pPr>
    </w:p>
    <w:p w:rsidR="00507152" w:rsidRDefault="00164147">
      <w:pPr>
        <w:pStyle w:val="Body"/>
      </w:pPr>
      <w:r>
        <w:t xml:space="preserve">Smirke, R. (2017). </w:t>
      </w:r>
      <w:r>
        <w:rPr>
          <w:rFonts w:ascii="Helvetica Neue" w:hAnsi="Helvetica Neue"/>
          <w:i/>
          <w:iCs/>
        </w:rPr>
        <w:t>IFPI Global Report 2017: Industry Sees Highest Revenue Growth in</w:t>
      </w:r>
      <w:r>
        <w:rPr>
          <w:rFonts w:ascii="Helvetica Neue" w:hAnsi="Helvetica Neue"/>
          <w:i/>
          <w:iCs/>
        </w:rPr>
        <w:t xml:space="preserve"> Decades, But the YouTube Issue Remains</w:t>
      </w:r>
      <w:r>
        <w:t>. [online] Billboard. Available at: http://www.billboard.com/articles/business/7775019/ifpi-global-report-2017-music-industry-highest-revenue-growth-decades [Accessed 15 Nov. 2017].</w:t>
      </w:r>
    </w:p>
    <w:p w:rsidR="00507152" w:rsidRDefault="00507152">
      <w:pPr>
        <w:pStyle w:val="Body"/>
      </w:pPr>
    </w:p>
    <w:p w:rsidR="00507152" w:rsidRDefault="00164147">
      <w:pPr>
        <w:pStyle w:val="Body"/>
      </w:pPr>
      <w:r>
        <w:t>King, G., Keohane, R.O. and Verba,</w:t>
      </w:r>
      <w:r>
        <w:t xml:space="preserve"> S., 1995. The importance of research design in political science.</w:t>
      </w:r>
    </w:p>
    <w:p w:rsidR="00507152" w:rsidRDefault="00507152">
      <w:pPr>
        <w:pStyle w:val="Body"/>
      </w:pPr>
    </w:p>
    <w:p w:rsidR="00507152" w:rsidRDefault="00164147">
      <w:pPr>
        <w:pStyle w:val="Body"/>
      </w:pPr>
      <w:r>
        <w:t>Collins, J., Hussey, R., 2009. Business research; a practical guide for undergraduate and postgraduate students. 3rd ed. London: SAGE publications Ltd.</w:t>
      </w:r>
    </w:p>
    <w:p w:rsidR="00507152" w:rsidRDefault="00507152">
      <w:pPr>
        <w:pStyle w:val="Body"/>
      </w:pPr>
    </w:p>
    <w:p w:rsidR="00507152" w:rsidRDefault="00164147">
      <w:pPr>
        <w:pStyle w:val="Body"/>
      </w:pPr>
      <w:r>
        <w:t>Saunders, M., Lewis, P., Thornhill,</w:t>
      </w:r>
      <w:r>
        <w:t xml:space="preserve"> A. (2009). Research methods for business students. 5th edition. Harlow: Pearson Education</w:t>
      </w:r>
    </w:p>
    <w:p w:rsidR="00507152" w:rsidRDefault="00507152">
      <w:pPr>
        <w:pStyle w:val="Body"/>
      </w:pPr>
    </w:p>
    <w:p w:rsidR="00507152" w:rsidRDefault="00164147">
      <w:pPr>
        <w:pStyle w:val="Body"/>
      </w:pPr>
      <w:r>
        <w:t>Research onion diagram. (2017). [ebook] Derby: University of Derby. Available at: https://onion.derby.ac.uk/ [Accessed 17 Nov. 2017].</w:t>
      </w:r>
    </w:p>
    <w:p w:rsidR="00507152" w:rsidRDefault="00507152">
      <w:pPr>
        <w:pStyle w:val="Body"/>
      </w:pPr>
    </w:p>
    <w:p w:rsidR="00507152" w:rsidRDefault="00164147">
      <w:pPr>
        <w:pStyle w:val="Body"/>
      </w:pPr>
      <w:r>
        <w:t xml:space="preserve">Cope, J. (2005). Researching </w:t>
      </w:r>
      <w:r>
        <w:t xml:space="preserve">entrepreneurship through phenomenological inquiry. International Small Business </w:t>
      </w:r>
      <w:r>
        <w:rPr>
          <w:lang w:val="fr-FR"/>
        </w:rPr>
        <w:t>Journal, 23, 159-183</w:t>
      </w:r>
    </w:p>
    <w:p w:rsidR="00507152" w:rsidRDefault="00507152">
      <w:pPr>
        <w:pStyle w:val="Body"/>
      </w:pPr>
    </w:p>
    <w:p w:rsidR="00507152" w:rsidRDefault="00164147">
      <w:pPr>
        <w:pStyle w:val="Body"/>
      </w:pPr>
      <w:r>
        <w:t xml:space="preserve">leitch, C., Hill, F. and Harrison, R. (2009). </w:t>
      </w:r>
      <w:r>
        <w:rPr>
          <w:rFonts w:ascii="Helvetica Neue" w:hAnsi="Helvetica Neue"/>
          <w:i/>
          <w:iCs/>
        </w:rPr>
        <w:t>The Philosophy and Practice of Interpretivist Research in Entrepreneurship</w:t>
      </w:r>
      <w:r>
        <w:t>. [ebook] SAGE Publications, p.73.</w:t>
      </w:r>
      <w:r>
        <w:t xml:space="preserve"> Available at: http://eprints.lancs.ac.uk/55480/1/10.pdf [Accessed 18 Nov. 2017].</w:t>
      </w:r>
    </w:p>
    <w:p w:rsidR="00507152" w:rsidRDefault="00507152">
      <w:pPr>
        <w:pStyle w:val="Body"/>
      </w:pPr>
    </w:p>
    <w:p w:rsidR="00507152" w:rsidRDefault="00164147">
      <w:pPr>
        <w:pStyle w:val="Body"/>
      </w:pPr>
      <w:r>
        <w:t xml:space="preserve">Fereday, J. and Muir-Cochrane, E., 2006. Demonstrating rigor using thematic analysis: A hybrid approach of inductive and deductive coding and theme development. </w:t>
      </w:r>
      <w:r>
        <w:rPr>
          <w:rFonts w:ascii="Helvetica Neue" w:hAnsi="Helvetica Neue"/>
          <w:i/>
          <w:iCs/>
        </w:rPr>
        <w:t>Internationa</w:t>
      </w:r>
      <w:r>
        <w:rPr>
          <w:rFonts w:ascii="Helvetica Neue" w:hAnsi="Helvetica Neue"/>
          <w:i/>
          <w:iCs/>
        </w:rPr>
        <w:t>l journal of qualitative methods</w:t>
      </w:r>
      <w:r>
        <w:t xml:space="preserve">, </w:t>
      </w:r>
      <w:r>
        <w:rPr>
          <w:rFonts w:ascii="Helvetica Neue" w:hAnsi="Helvetica Neue"/>
          <w:i/>
          <w:iCs/>
        </w:rPr>
        <w:t>5</w:t>
      </w:r>
      <w:r>
        <w:t>(1), pp.80-92.</w:t>
      </w:r>
    </w:p>
    <w:p w:rsidR="00507152" w:rsidRDefault="00507152">
      <w:pPr>
        <w:pStyle w:val="Body"/>
      </w:pPr>
    </w:p>
    <w:p w:rsidR="00507152" w:rsidRDefault="00164147">
      <w:pPr>
        <w:pStyle w:val="Body"/>
      </w:pPr>
      <w:r>
        <w:lastRenderedPageBreak/>
        <w:t>Bogdan, R. and Biklen, S.K., 1992. Qualitative research for education.</w:t>
      </w:r>
    </w:p>
    <w:p w:rsidR="00507152" w:rsidRDefault="00507152">
      <w:pPr>
        <w:pStyle w:val="Body"/>
      </w:pPr>
    </w:p>
    <w:p w:rsidR="00507152" w:rsidRDefault="00164147">
      <w:pPr>
        <w:pStyle w:val="Body"/>
      </w:pPr>
      <w:r>
        <w:rPr>
          <w:lang w:val="it-IT"/>
        </w:rPr>
        <w:t xml:space="preserve">DeFranzo, S. (2012). </w:t>
      </w:r>
      <w:r>
        <w:rPr>
          <w:rFonts w:ascii="Helvetica Neue" w:hAnsi="Helvetica Neue"/>
          <w:i/>
          <w:iCs/>
        </w:rPr>
        <w:t>Advantages and Disadvantages of Surveys</w:t>
      </w:r>
      <w:r>
        <w:t xml:space="preserve">. [online] Snap Surveys Blog. Available at: </w:t>
      </w:r>
      <w:r>
        <w:t>https://www.snapsurveys.com/blog/advantages-disadvantages-surveys/ [Accessed 18 Nov. 2017].</w:t>
      </w:r>
    </w:p>
    <w:p w:rsidR="00507152" w:rsidRDefault="00507152">
      <w:pPr>
        <w:pStyle w:val="FreeForm"/>
        <w:rPr>
          <w:rFonts w:ascii="Helvetica" w:eastAsia="Helvetica" w:hAnsi="Helvetica" w:cs="Helvetica"/>
          <w:color w:val="666666"/>
          <w:sz w:val="26"/>
          <w:szCs w:val="26"/>
          <w:shd w:val="clear" w:color="auto" w:fill="FFF4AA"/>
        </w:rPr>
      </w:pPr>
    </w:p>
    <w:p w:rsidR="00507152" w:rsidRDefault="00164147">
      <w:pPr>
        <w:pStyle w:val="Body"/>
      </w:pPr>
      <w:r>
        <w:t xml:space="preserve">Saunders, M.N., 2011. </w:t>
      </w:r>
      <w:r>
        <w:t>Research methods for business students, 5/e</w:t>
      </w:r>
      <w:r>
        <w:t xml:space="preserve">. Pearson Education India. </w:t>
      </w:r>
    </w:p>
    <w:p w:rsidR="00507152" w:rsidRDefault="00507152">
      <w:pPr>
        <w:pStyle w:val="Body"/>
      </w:pPr>
    </w:p>
    <w:p w:rsidR="00507152" w:rsidRDefault="00164147">
      <w:pPr>
        <w:pStyle w:val="Body"/>
      </w:pPr>
      <w:r>
        <w:t xml:space="preserve">Whiting, B. (2015). </w:t>
      </w:r>
      <w:r>
        <w:rPr>
          <w:rFonts w:ascii="Helvetica Neue" w:hAnsi="Helvetica Neue"/>
          <w:i/>
          <w:iCs/>
        </w:rPr>
        <w:t xml:space="preserve">What is Data Analysis? - Definition &amp; Overview - </w:t>
      </w:r>
      <w:r>
        <w:rPr>
          <w:rFonts w:ascii="Helvetica Neue" w:hAnsi="Helvetica Neue"/>
          <w:i/>
          <w:iCs/>
        </w:rPr>
        <w:t>Video &amp; Lesson Transcript</w:t>
      </w:r>
      <w:r>
        <w:t>. [online] Study.com. Available at: http://study.com/academy/lesson/what-is-data-analysis-definition-overview.html [Accessed 19 Nov. 2017].</w:t>
      </w:r>
    </w:p>
    <w:p w:rsidR="00507152" w:rsidRDefault="00507152">
      <w:pPr>
        <w:pStyle w:val="Body"/>
      </w:pPr>
    </w:p>
    <w:p w:rsidR="00507152" w:rsidRDefault="00164147">
      <w:pPr>
        <w:pStyle w:val="Body"/>
      </w:pPr>
      <w:r>
        <w:t xml:space="preserve">Institute for work and health. (2015). </w:t>
      </w:r>
      <w:r>
        <w:rPr>
          <w:rFonts w:ascii="Helvetica Neue" w:hAnsi="Helvetica Neue"/>
          <w:i/>
          <w:iCs/>
        </w:rPr>
        <w:t>What researchers mean by...cross-sectional vs. long</w:t>
      </w:r>
      <w:r>
        <w:rPr>
          <w:rFonts w:ascii="Helvetica Neue" w:hAnsi="Helvetica Neue"/>
          <w:i/>
          <w:iCs/>
        </w:rPr>
        <w:t>itudinal studies</w:t>
      </w:r>
      <w:r>
        <w:t>. [online] Available at: https://www.iwh.on.ca/wrmb/cross-sectional-vs-longitudinal-studies [Accessed 19 Nov. 2017].</w:t>
      </w:r>
    </w:p>
    <w:p w:rsidR="00507152" w:rsidRDefault="00507152">
      <w:pPr>
        <w:pStyle w:val="FreeForm"/>
        <w:rPr>
          <w:rFonts w:ascii="Arial" w:eastAsia="Arial" w:hAnsi="Arial" w:cs="Arial"/>
          <w:i/>
          <w:iCs/>
          <w:color w:val="212121"/>
          <w:sz w:val="26"/>
          <w:szCs w:val="26"/>
        </w:rPr>
      </w:pPr>
    </w:p>
    <w:p w:rsidR="00507152" w:rsidRDefault="00164147">
      <w:pPr>
        <w:pStyle w:val="Body"/>
      </w:pPr>
      <w:r>
        <w:t xml:space="preserve">Rouse, M. (2013). </w:t>
      </w:r>
      <w:r>
        <w:rPr>
          <w:rFonts w:ascii="Helvetica Neue" w:hAnsi="Helvetica Neue"/>
          <w:i/>
          <w:iCs/>
        </w:rPr>
        <w:t>What is longitudinal study? - Definition from WhatIs.com</w:t>
      </w:r>
      <w:r>
        <w:t>. [online] WhatIs.com. Available at: http://what</w:t>
      </w:r>
      <w:r>
        <w:t>is.techtarget.com/definition/longitudinal-study [Accessed 19 Nov. 2017].</w:t>
      </w:r>
    </w:p>
    <w:p w:rsidR="00507152" w:rsidRDefault="00507152">
      <w:pPr>
        <w:pStyle w:val="Body"/>
      </w:pPr>
    </w:p>
    <w:p w:rsidR="00507152" w:rsidRDefault="00164147">
      <w:pPr>
        <w:pStyle w:val="Body"/>
      </w:pPr>
      <w:r>
        <w:t>Easterby-Smith, M., Thorpe, R. Jackson, P. and Lowe, A. (2008) Management Research (3rd edn). London: Sage.</w:t>
      </w:r>
    </w:p>
    <w:p w:rsidR="00507152" w:rsidRDefault="00507152">
      <w:pPr>
        <w:pStyle w:val="Body"/>
      </w:pPr>
    </w:p>
    <w:p w:rsidR="00507152" w:rsidRDefault="00164147">
      <w:pPr>
        <w:pStyle w:val="Body"/>
      </w:pPr>
      <w:r>
        <w:rPr>
          <w:lang w:val="it-IT"/>
        </w:rPr>
        <w:t xml:space="preserve">Skoro, M. (2013). </w:t>
      </w:r>
      <w:r>
        <w:t xml:space="preserve">THE ROLE OF MARKETING IN THE EVOLUTION OF THE MUSIC </w:t>
      </w:r>
      <w:r>
        <w:t>INDUSTRY. Osijek, p.784.</w:t>
      </w:r>
    </w:p>
    <w:p w:rsidR="00507152" w:rsidRDefault="00507152">
      <w:pPr>
        <w:pStyle w:val="Body"/>
      </w:pPr>
    </w:p>
    <w:p w:rsidR="00507152" w:rsidRDefault="00164147">
      <w:pPr>
        <w:pStyle w:val="Body"/>
      </w:pPr>
      <w:r>
        <w:t>Armstrong, G. and Kotler, P., 2010. Principles of marketing. 13th edition. London: Pearson education</w:t>
      </w:r>
    </w:p>
    <w:p w:rsidR="00507152" w:rsidRDefault="00164147">
      <w:pPr>
        <w:pStyle w:val="Body"/>
      </w:pPr>
      <w:r>
        <w:t>Turcyn, C., Collecting the album cover art of not -so-famous designers, [online] Available at: http:// www.popcultmag.com/oddglim</w:t>
      </w:r>
      <w:r>
        <w:t>pses/albumcovers/werdalbums/weird1.html</w:t>
      </w:r>
    </w:p>
    <w:p w:rsidR="00507152" w:rsidRDefault="00507152">
      <w:pPr>
        <w:pStyle w:val="FreeForm"/>
      </w:pPr>
    </w:p>
    <w:p w:rsidR="00507152" w:rsidRDefault="00164147">
      <w:pPr>
        <w:pStyle w:val="Body"/>
      </w:pPr>
      <w:r>
        <w:t xml:space="preserve">Birkner, C. (2015). </w:t>
      </w:r>
      <w:r>
        <w:rPr>
          <w:rFonts w:ascii="Helvetica Neue" w:hAnsi="Helvetica Neue"/>
          <w:i/>
          <w:iCs/>
        </w:rPr>
        <w:t>Music: The Unsung Hero of Advertising</w:t>
      </w:r>
      <w:r>
        <w:t>. [online] Ama.org. Available at: https://www.ama.org/publications/MarketingNews/Pages/music-advertising-marketing.aspx [Accessed 20 Nov. 2017].</w:t>
      </w:r>
    </w:p>
    <w:p w:rsidR="00507152" w:rsidRDefault="00507152">
      <w:pPr>
        <w:pStyle w:val="Body"/>
      </w:pPr>
    </w:p>
    <w:p w:rsidR="00507152" w:rsidRDefault="00164147">
      <w:pPr>
        <w:pStyle w:val="Body"/>
      </w:pPr>
      <w:r>
        <w:rPr>
          <w:lang w:val="de-DE"/>
        </w:rPr>
        <w:lastRenderedPageBreak/>
        <w:t>Schiffer, J.</w:t>
      </w:r>
      <w:r>
        <w:rPr>
          <w:lang w:val="de-DE"/>
        </w:rPr>
        <w:t xml:space="preserve"> (2015). </w:t>
      </w:r>
      <w:r>
        <w:rPr>
          <w:rFonts w:ascii="Helvetica Neue" w:hAnsi="Helvetica Neue"/>
          <w:i/>
          <w:iCs/>
        </w:rPr>
        <w:t>I Second that Emotion: The Emotive Power of Music in Advertising</w:t>
      </w:r>
      <w:r>
        <w:t>. [online] Nielsen.com. Available at: http://www.nielsen.com/us/en/insights/news/2015/i-second-that-emotion-the-emotive-power-of-music-in-advertising.html [Accessed 20 Nov. 2017].</w:t>
      </w:r>
    </w:p>
    <w:p w:rsidR="00507152" w:rsidRDefault="00507152">
      <w:pPr>
        <w:pStyle w:val="Body"/>
      </w:pPr>
    </w:p>
    <w:p w:rsidR="00507152" w:rsidRDefault="00164147">
      <w:pPr>
        <w:pStyle w:val="Body"/>
      </w:pPr>
      <w:r>
        <w:t>Ja</w:t>
      </w:r>
      <w:r>
        <w:t xml:space="preserve">ckson, D., Jankovich, R. and Sheinkop, E. (2014). </w:t>
      </w:r>
      <w:r>
        <w:rPr>
          <w:rFonts w:ascii="Helvetica Neue" w:hAnsi="Helvetica Neue"/>
          <w:i/>
          <w:iCs/>
          <w:lang w:val="nl-NL"/>
        </w:rPr>
        <w:t>Hit brands</w:t>
      </w:r>
      <w:r>
        <w:rPr>
          <w:lang w:val="it-IT"/>
        </w:rPr>
        <w:t>. Palgrave Macmillan.</w:t>
      </w:r>
      <w:bookmarkEnd w:id="0"/>
    </w:p>
    <w:sectPr w:rsidR="00507152">
      <w:headerReference w:type="default" r:id="rId10"/>
      <w:footerReference w:type="default" r:id="rId11"/>
      <w:pgSz w:w="11900" w:h="16840"/>
      <w:pgMar w:top="2520" w:right="1200" w:bottom="1800" w:left="1200" w:header="720" w:footer="104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64147" w:rsidRDefault="00164147">
      <w:r>
        <w:separator/>
      </w:r>
    </w:p>
  </w:endnote>
  <w:endnote w:type="continuationSeparator" w:id="0">
    <w:p w:rsidR="00164147" w:rsidRDefault="001641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Helvetica Neue Medium">
    <w:altName w:val="Times New Roman"/>
    <w:charset w:val="00"/>
    <w:family w:val="roman"/>
    <w:pitch w:val="default"/>
  </w:font>
  <w:font w:name="Helvetica Neue UltraLight">
    <w:altName w:val="Times New Roman"/>
    <w:charset w:val="00"/>
    <w:family w:val="roman"/>
    <w:pitch w:val="default"/>
  </w:font>
  <w:font w:name="Helvetica Neue Light">
    <w:altName w:val="Times New Roman"/>
    <w:charset w:val="00"/>
    <w:family w:val="roman"/>
    <w:pitch w:val="default"/>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152" w:rsidRDefault="00507152"/>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64147" w:rsidRDefault="00164147">
      <w:r>
        <w:separator/>
      </w:r>
    </w:p>
  </w:footnote>
  <w:footnote w:type="continuationSeparator" w:id="0">
    <w:p w:rsidR="00164147" w:rsidRDefault="0016414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7152" w:rsidRDefault="00164147">
    <w:pPr>
      <w:pStyle w:val="HeaderFooter"/>
      <w:tabs>
        <w:tab w:val="clear" w:pos="9020"/>
        <w:tab w:val="center" w:pos="4750"/>
        <w:tab w:val="right" w:pos="9500"/>
      </w:tabs>
    </w:pPr>
    <w:r>
      <w:rPr>
        <w:noProof/>
        <w:lang w:val="en-GB"/>
      </w:rPr>
      <mc:AlternateContent>
        <mc:Choice Requires="wps">
          <w:drawing>
            <wp:anchor distT="152400" distB="152400" distL="152400" distR="152400" simplePos="0" relativeHeight="251658240" behindDoc="1" locked="0" layoutInCell="1" allowOverlap="1">
              <wp:simplePos x="0" y="0"/>
              <wp:positionH relativeFrom="page">
                <wp:posOffset>762000</wp:posOffset>
              </wp:positionH>
              <wp:positionV relativeFrom="page">
                <wp:posOffset>723881</wp:posOffset>
              </wp:positionV>
              <wp:extent cx="6029665" cy="19"/>
              <wp:effectExtent l="0" t="0" r="0" b="0"/>
              <wp:wrapNone/>
              <wp:docPr id="1073741825" name="officeArt object"/>
              <wp:cNvGraphicFramePr/>
              <a:graphic xmlns:a="http://schemas.openxmlformats.org/drawingml/2006/main">
                <a:graphicData uri="http://schemas.microsoft.com/office/word/2010/wordprocessingShape">
                  <wps:wsp>
                    <wps:cNvCnPr/>
                    <wps:spPr>
                      <a:xfrm flipV="1">
                        <a:off x="0" y="0"/>
                        <a:ext cx="6029665" cy="19"/>
                      </a:xfrm>
                      <a:prstGeom prst="line">
                        <a:avLst/>
                      </a:prstGeom>
                      <a:noFill/>
                      <a:ln w="38100" cap="flat">
                        <a:solidFill>
                          <a:schemeClr val="accent1">
                            <a:hueOff val="366345"/>
                            <a:satOff val="11385"/>
                            <a:lumOff val="-23239"/>
                          </a:schemeClr>
                        </a:solidFill>
                        <a:prstDash val="solid"/>
                        <a:miter lim="400000"/>
                      </a:ln>
                      <a:effectLst/>
                    </wps:spPr>
                    <wps:bodyPr/>
                  </wps:wsp>
                </a:graphicData>
              </a:graphic>
            </wp:anchor>
          </w:drawing>
        </mc:Choice>
        <mc:Fallback>
          <w:pict>
            <v:line id="_x0000_s1026" style="visibility:visible;position:absolute;margin-left:60.0pt;margin-top:57.0pt;width:474.8pt;height:0.0pt;z-index:-251658240;mso-position-horizontal:absolute;mso-position-horizontal-relative:page;mso-position-vertical:absolute;mso-position-vertical-relative:page;mso-wrap-distance-left:12.0pt;mso-wrap-distance-top:12.0pt;mso-wrap-distance-right:12.0pt;mso-wrap-distance-bottom:12.0pt;flip:y;">
              <v:fill on="f"/>
              <v:stroke filltype="solid" color="#367DA2" opacity="100.0%" weight="3.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rPr>
        <w:noProof/>
        <w:lang w:val="en-GB"/>
      </w:rPr>
      <mc:AlternateContent>
        <mc:Choice Requires="wps">
          <w:drawing>
            <wp:anchor distT="152400" distB="152400" distL="152400" distR="152400" simplePos="0" relativeHeight="251659264" behindDoc="1" locked="0" layoutInCell="1" allowOverlap="1">
              <wp:simplePos x="0" y="0"/>
              <wp:positionH relativeFrom="page">
                <wp:posOffset>762000</wp:posOffset>
              </wp:positionH>
              <wp:positionV relativeFrom="page">
                <wp:posOffset>9804400</wp:posOffset>
              </wp:positionV>
              <wp:extent cx="6030791" cy="3"/>
              <wp:effectExtent l="0" t="0" r="0" b="0"/>
              <wp:wrapNone/>
              <wp:docPr id="1073741826" name="officeArt object"/>
              <wp:cNvGraphicFramePr/>
              <a:graphic xmlns:a="http://schemas.openxmlformats.org/drawingml/2006/main">
                <a:graphicData uri="http://schemas.microsoft.com/office/word/2010/wordprocessingShape">
                  <wps:wsp>
                    <wps:cNvCnPr/>
                    <wps:spPr>
                      <a:xfrm>
                        <a:off x="0" y="0"/>
                        <a:ext cx="6030791" cy="3"/>
                      </a:xfrm>
                      <a:prstGeom prst="line">
                        <a:avLst/>
                      </a:prstGeom>
                      <a:noFill/>
                      <a:ln w="12700" cap="flat">
                        <a:solidFill>
                          <a:schemeClr val="accent1">
                            <a:hueOff val="366345"/>
                            <a:satOff val="11385"/>
                            <a:lumOff val="-23239"/>
                          </a:schemeClr>
                        </a:solidFill>
                        <a:prstDash val="solid"/>
                        <a:miter lim="400000"/>
                      </a:ln>
                      <a:effectLst/>
                    </wps:spPr>
                    <wps:bodyPr/>
                  </wps:wsp>
                </a:graphicData>
              </a:graphic>
            </wp:anchor>
          </w:drawing>
        </mc:Choice>
        <mc:Fallback>
          <w:pict>
            <v:line id="_x0000_s1027" style="visibility:visible;position:absolute;margin-left:60.0pt;margin-top:772.0pt;width:474.9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367DA2" opacity="100.0%" weight="1.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t>DISSERTATION PROPOSAL</w:t>
    </w:r>
    <w:r>
      <w:tab/>
    </w:r>
    <w:r>
      <w:tab/>
    </w:r>
    <w:r>
      <w:t xml:space="preserve">Page </w:t>
    </w:r>
    <w:r>
      <w:fldChar w:fldCharType="begin"/>
    </w:r>
    <w:r>
      <w:instrText xml:space="preserve"> PAGE </w:instrText>
    </w:r>
    <w:r>
      <w:fldChar w:fldCharType="separate"/>
    </w:r>
    <w:r w:rsidR="00273E02">
      <w:rPr>
        <w:rFonts w:hint="eastAsia"/>
        <w:noProof/>
      </w:rPr>
      <w:t>2</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152"/>
    <w:rsid w:val="00164147"/>
    <w:rsid w:val="0020434D"/>
    <w:rsid w:val="00273E02"/>
    <w:rsid w:val="00507152"/>
    <w:rsid w:val="00E7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F9FBE7-6BB2-43DC-8027-D06961EF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2">
    <w:name w:val="heading 2"/>
    <w:next w:val="Body2"/>
    <w:pPr>
      <w:spacing w:before="200" w:after="140"/>
      <w:outlineLvl w:val="1"/>
    </w:pPr>
    <w:rPr>
      <w:rFonts w:ascii="Helvetica Neue" w:eastAsia="Helvetica Neue" w:hAnsi="Helvetica Neue" w:cs="Helvetica Neue"/>
      <w:b/>
      <w:bCs/>
      <w:color w:val="357CA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spacing w:line="288" w:lineRule="auto"/>
    </w:pPr>
    <w:rPr>
      <w:rFonts w:ascii="Helvetica Neue Medium" w:hAnsi="Helvetica Neue Medium" w:cs="Arial Unicode MS"/>
      <w:color w:val="5F5F5F"/>
      <w:lang w:val="en-US"/>
    </w:rPr>
  </w:style>
  <w:style w:type="paragraph" w:styleId="Title">
    <w:name w:val="Title"/>
    <w:next w:val="Body2"/>
    <w:pPr>
      <w:keepNext/>
      <w:spacing w:line="288" w:lineRule="auto"/>
      <w:outlineLvl w:val="3"/>
    </w:pPr>
    <w:rPr>
      <w:rFonts w:ascii="Helvetica Neue UltraLight" w:eastAsia="Helvetica Neue UltraLight" w:hAnsi="Helvetica Neue UltraLight" w:cs="Helvetica Neue UltraLight"/>
      <w:color w:val="000000"/>
      <w:spacing w:val="16"/>
      <w:sz w:val="56"/>
      <w:szCs w:val="56"/>
    </w:rPr>
  </w:style>
  <w:style w:type="paragraph" w:customStyle="1" w:styleId="Body2">
    <w:name w:val="Body 2"/>
    <w:pPr>
      <w:suppressAutoHyphens/>
      <w:spacing w:after="180" w:line="288" w:lineRule="auto"/>
    </w:pPr>
    <w:rPr>
      <w:rFonts w:ascii="Helvetica Neue Light" w:eastAsia="Helvetica Neue Light" w:hAnsi="Helvetica Neue Light" w:cs="Helvetica Neue Light"/>
      <w:color w:val="000000"/>
    </w:rPr>
  </w:style>
  <w:style w:type="paragraph" w:customStyle="1" w:styleId="Body">
    <w:name w:val="Body"/>
    <w:pPr>
      <w:spacing w:line="312" w:lineRule="auto"/>
    </w:pPr>
    <w:rPr>
      <w:rFonts w:ascii="Helvetica Neue Light" w:hAnsi="Helvetica Neue Light" w:cs="Arial Unicode MS"/>
      <w:color w:val="000000"/>
      <w:sz w:val="24"/>
      <w:szCs w:val="24"/>
      <w:lang w:val="en-US"/>
    </w:rPr>
  </w:style>
  <w:style w:type="paragraph" w:styleId="TOC2">
    <w:name w:val="toc 2"/>
    <w:pPr>
      <w:tabs>
        <w:tab w:val="right" w:pos="8928"/>
      </w:tabs>
      <w:spacing w:after="120"/>
      <w:ind w:firstLine="567"/>
    </w:pPr>
    <w:rPr>
      <w:rFonts w:ascii="Helvetica Neue Light" w:eastAsia="Helvetica Neue Light" w:hAnsi="Helvetica Neue Light" w:cs="Helvetica Neue Light"/>
      <w:caps/>
      <w:color w:val="000000"/>
      <w:spacing w:val="5"/>
      <w:sz w:val="28"/>
      <w:szCs w:val="28"/>
    </w:rPr>
  </w:style>
  <w:style w:type="paragraph" w:styleId="TOC3">
    <w:name w:val="toc 3"/>
    <w:pPr>
      <w:tabs>
        <w:tab w:val="right" w:pos="8928"/>
      </w:tabs>
      <w:spacing w:after="120"/>
      <w:ind w:left="240" w:hanging="240"/>
    </w:pPr>
    <w:rPr>
      <w:rFonts w:ascii="Helvetica Neue Medium" w:eastAsia="Helvetica Neue Medium" w:hAnsi="Helvetica Neue Medium" w:cs="Helvetica Neue Medium"/>
      <w:color w:val="000000"/>
      <w:spacing w:val="6"/>
      <w:sz w:val="32"/>
      <w:szCs w:val="32"/>
    </w:rPr>
  </w:style>
  <w:style w:type="paragraph" w:customStyle="1" w:styleId="Heading">
    <w:name w:val="Heading"/>
    <w:next w:val="Body"/>
    <w:pPr>
      <w:outlineLvl w:val="2"/>
    </w:pPr>
    <w:rPr>
      <w:rFonts w:ascii="Helvetica Neue Light" w:eastAsia="Helvetica Neue Light" w:hAnsi="Helvetica Neue Light" w:cs="Helvetica Neue Light"/>
      <w:caps/>
      <w:color w:val="434343"/>
      <w:spacing w:val="7"/>
      <w:sz w:val="36"/>
      <w:szCs w:val="36"/>
    </w:rPr>
  </w:style>
  <w:style w:type="paragraph" w:styleId="TOC4">
    <w:name w:val="toc 4"/>
    <w:pPr>
      <w:tabs>
        <w:tab w:val="right" w:pos="8928"/>
      </w:tabs>
      <w:spacing w:after="120"/>
    </w:pPr>
    <w:rPr>
      <w:rFonts w:ascii="Helvetica Neue Light" w:eastAsia="Helvetica Neue Light" w:hAnsi="Helvetica Neue Light" w:cs="Helvetica Neue Light"/>
      <w:caps/>
      <w:color w:val="000000"/>
      <w:spacing w:val="7"/>
      <w:sz w:val="36"/>
      <w:szCs w:val="36"/>
    </w:rPr>
  </w:style>
  <w:style w:type="paragraph" w:customStyle="1" w:styleId="FreeForm">
    <w:name w:val="Free Form"/>
    <w:rPr>
      <w:rFonts w:ascii="Helvetica Neue Light" w:eastAsia="Helvetica Neue Light" w:hAnsi="Helvetica Neue Light" w:cs="Helvetica Neue Light"/>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nielsen.com/us/en/insights/news/2015/i-second-that-emotion-the-emotive-power-of-music-in-advertising.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02_Modern_Business_Project_Proposal">
  <a:themeElements>
    <a:clrScheme name="02_Modern_Business_Project_Proposal">
      <a:dk1>
        <a:srgbClr val="000000"/>
      </a:dk1>
      <a:lt1>
        <a:srgbClr val="FFFFFF"/>
      </a:lt1>
      <a:dk2>
        <a:srgbClr val="535F65"/>
      </a:dk2>
      <a:lt2>
        <a:srgbClr val="F4F2EF"/>
      </a:lt2>
      <a:accent1>
        <a:srgbClr val="85B9C9"/>
      </a:accent1>
      <a:accent2>
        <a:srgbClr val="93B06D"/>
      </a:accent2>
      <a:accent3>
        <a:srgbClr val="FED227"/>
      </a:accent3>
      <a:accent4>
        <a:srgbClr val="F3A14D"/>
      </a:accent4>
      <a:accent5>
        <a:srgbClr val="E67869"/>
      </a:accent5>
      <a:accent6>
        <a:srgbClr val="899FD7"/>
      </a:accent6>
      <a:hlink>
        <a:srgbClr val="0000FF"/>
      </a:hlink>
      <a:folHlink>
        <a:srgbClr val="FF00FF"/>
      </a:folHlink>
    </a:clrScheme>
    <a:fontScheme name="02_Modern_Business_Project_Proposal">
      <a:majorFont>
        <a:latin typeface="Helvetica Neue UltraLight"/>
        <a:ea typeface="Helvetica Neue UltraLight"/>
        <a:cs typeface="Helvetica Neue UltraLight"/>
      </a:majorFont>
      <a:minorFont>
        <a:latin typeface="Helvetica Neue UltraLight"/>
        <a:ea typeface="Helvetica Neue UltraLight"/>
        <a:cs typeface="Helvetica Neue UltraLight"/>
      </a:minorFont>
    </a:fontScheme>
    <a:fmtScheme name="02_Modern_Business_Project_Proposal">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hueOff val="366345"/>
            <a:satOff val="11385"/>
            <a:lumOff val="-23239"/>
          </a:schemeClr>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20000"/>
          </a:lnSpc>
          <a:spcBef>
            <a:spcPts val="900"/>
          </a:spcBef>
          <a:spcAft>
            <a:spcPts val="0"/>
          </a:spcAft>
          <a:buClrTx/>
          <a:buSzTx/>
          <a:buFontTx/>
          <a:buNone/>
          <a:tabLst/>
          <a:defRPr kumimoji="0" sz="1200" b="0" i="0" u="none" strike="noStrike" cap="none" spc="0" normalizeH="0" baseline="0">
            <a:ln>
              <a:noFill/>
            </a:ln>
            <a:solidFill>
              <a:srgbClr val="FFFFFF"/>
            </a:solidFill>
            <a:effectLst/>
            <a:uFillTx/>
            <a:latin typeface="Helvetica Neue"/>
            <a:ea typeface="Helvetica Neue"/>
            <a:cs typeface="Helvetica Neue"/>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hueOff val="366345"/>
              <a:satOff val="11385"/>
              <a:lumOff val="-23239"/>
            </a:schemeClr>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20000"/>
          </a:lnSpc>
          <a:spcBef>
            <a:spcPts val="900"/>
          </a:spcBef>
          <a:spcAft>
            <a:spcPts val="0"/>
          </a:spcAft>
          <a:buClrTx/>
          <a:buSzTx/>
          <a:buFontTx/>
          <a:buNone/>
          <a:tabLst/>
          <a:defRPr kumimoji="0" sz="1000" b="0" i="0" u="none" strike="noStrike" cap="none" spc="0" normalizeH="0" baseline="0">
            <a:ln>
              <a:noFill/>
            </a:ln>
            <a:solidFill>
              <a:srgbClr val="000000"/>
            </a:solidFill>
            <a:effectLst/>
            <a:uFillTx/>
            <a:latin typeface="Helvetica Neue Light"/>
            <a:ea typeface="Helvetica Neue Light"/>
            <a:cs typeface="Helvetica Neue Light"/>
            <a:sym typeface="Helvetica Neue Light"/>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Careers Wales</dc:creator>
  <cp:lastModifiedBy>Careers Wales</cp:lastModifiedBy>
  <cp:revision>2</cp:revision>
  <dcterms:created xsi:type="dcterms:W3CDTF">2017-11-19T21:10:00Z</dcterms:created>
  <dcterms:modified xsi:type="dcterms:W3CDTF">2017-11-19T21:10:00Z</dcterms:modified>
</cp:coreProperties>
</file>