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before="1540" w:after="240"/>
        <w:jc w:val="center"/>
        <w:rPr>
          <w:color w:val="5B9BD5"/>
          <w:kern w:val="2"/>
          <w:sz w:val="21"/>
          <w:szCs w:val="21"/>
        </w:rPr>
      </w:pPr>
    </w:p>
    <w:p>
      <w:pPr>
        <w:pStyle w:val="20"/>
        <w:spacing w:before="1540" w:after="240"/>
        <w:jc w:val="center"/>
        <w:rPr>
          <w:color w:val="5B9BD5"/>
        </w:rPr>
      </w:pPr>
      <w:r>
        <w:drawing>
          <wp:inline distT="0" distB="0" distL="0" distR="0">
            <wp:extent cx="1773555" cy="942340"/>
            <wp:effectExtent l="0" t="0" r="9525" b="2540"/>
            <wp:docPr id="3" name="图片 3" descr="C:\Users\FEC5~1\AppData\Local\Temp\ksohtml\wps8B15.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FEC5~1\AppData\Local\Temp\ksohtml\wps8B15.tm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73555" cy="942340"/>
                    </a:xfrm>
                    <a:prstGeom prst="rect">
                      <a:avLst/>
                    </a:prstGeom>
                    <a:noFill/>
                    <a:ln>
                      <a:noFill/>
                    </a:ln>
                  </pic:spPr>
                </pic:pic>
              </a:graphicData>
            </a:graphic>
          </wp:inline>
        </w:drawing>
      </w:r>
      <w:r>
        <w:rPr>
          <w:color w:val="5B9BD5"/>
        </w:rPr>
        <w:t xml:space="preserve"> </w:t>
      </w:r>
    </w:p>
    <w:p>
      <w:pPr>
        <w:pStyle w:val="20"/>
        <w:jc w:val="center"/>
        <w:rPr>
          <w:color w:val="5B9BD5"/>
          <w:sz w:val="28"/>
          <w:szCs w:val="28"/>
        </w:rPr>
      </w:pPr>
      <w:r>
        <w:rPr>
          <w:rFonts w:ascii="Calibri Light" w:hAnsi="Calibri Light"/>
          <w:caps/>
          <w:color w:val="5B9BD5"/>
          <w:sz w:val="72"/>
          <w:szCs w:val="72"/>
        </w:rPr>
        <w:t xml:space="preserve">International </w:t>
      </w:r>
      <w:r>
        <w:rPr>
          <w:rFonts w:hint="eastAsia" w:ascii="Calibri Light" w:hAnsi="Calibri Light"/>
          <w:caps/>
          <w:color w:val="5B9BD5"/>
          <w:sz w:val="72"/>
          <w:szCs w:val="72"/>
          <w:lang w:val="en-US" w:eastAsia="zh-CN"/>
        </w:rPr>
        <w:t>business communication</w:t>
      </w:r>
      <w:r>
        <w:rPr>
          <w:color w:val="5B9BD5"/>
          <w:sz w:val="28"/>
          <w:szCs w:val="28"/>
        </w:rPr>
        <w:t xml:space="preserve"> </w:t>
      </w:r>
    </w:p>
    <w:p>
      <w:pPr>
        <w:pStyle w:val="20"/>
        <w:spacing w:before="480"/>
        <w:jc w:val="center"/>
        <w:rPr>
          <w:color w:val="5B9BD5"/>
        </w:rPr>
      </w:pPr>
      <w:r>
        <w:drawing>
          <wp:inline distT="0" distB="0" distL="0" distR="0">
            <wp:extent cx="949325" cy="602615"/>
            <wp:effectExtent l="0" t="0" r="10795" b="6985"/>
            <wp:docPr id="2" name="图片 2" descr="C:\Users\FEC5~1\AppData\Local\Temp\ksohtml\wps8B25.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FEC5~1\AppData\Local\Temp\ksohtml\wps8B25.tm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949325" cy="602615"/>
                    </a:xfrm>
                    <a:prstGeom prst="rect">
                      <a:avLst/>
                    </a:prstGeom>
                    <a:noFill/>
                    <a:ln>
                      <a:noFill/>
                    </a:ln>
                  </pic:spPr>
                </pic:pic>
              </a:graphicData>
            </a:graphic>
          </wp:inline>
        </w:drawing>
      </w:r>
      <w:r>
        <w:rPr>
          <w:color w:val="5B9BD5"/>
        </w:rPr>
        <w:t xml:space="preserve"> </w:t>
      </w:r>
    </w:p>
    <w:p>
      <w:pPr>
        <w:rPr>
          <w:rFonts w:hint="eastAsia" w:ascii="Times New Roman" w:hAnsi="Times New Roman" w:eastAsia="SimSun" w:cs="Times New Roman"/>
          <w:b/>
          <w:color w:val="000000" w:themeColor="text1"/>
          <w:sz w:val="24"/>
          <w:szCs w:val="24"/>
          <w:lang w:eastAsia="zh-CN"/>
          <w14:textFill>
            <w14:solidFill>
              <w14:schemeClr w14:val="tx1"/>
            </w14:solidFill>
          </w14:textFill>
        </w:rPr>
      </w:pPr>
      <w:r>
        <w:rPr>
          <w:rFonts w:ascii="Times New Roman" w:hAnsi="Times New Roman"/>
          <w:sz w:val="24"/>
          <w:szCs w:val="24"/>
        </w:rPr>
        <mc:AlternateContent>
          <mc:Choice Requires="wps">
            <w:drawing>
              <wp:anchor distT="45720" distB="45720" distL="114300" distR="114300" simplePos="0" relativeHeight="251659264" behindDoc="0" locked="0" layoutInCell="1" allowOverlap="1">
                <wp:simplePos x="0" y="0"/>
                <wp:positionH relativeFrom="column">
                  <wp:posOffset>1212215</wp:posOffset>
                </wp:positionH>
                <wp:positionV relativeFrom="paragraph">
                  <wp:posOffset>997585</wp:posOffset>
                </wp:positionV>
                <wp:extent cx="2694305" cy="1404620"/>
                <wp:effectExtent l="4445" t="4445" r="13970" b="8255"/>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694305" cy="1404620"/>
                        </a:xfrm>
                        <a:prstGeom prst="rect">
                          <a:avLst/>
                        </a:prstGeom>
                        <a:solidFill>
                          <a:srgbClr val="FFFFFF"/>
                        </a:solidFill>
                        <a:ln w="9525">
                          <a:solidFill>
                            <a:schemeClr val="bg1"/>
                          </a:solidFill>
                          <a:miter lim="800000"/>
                        </a:ln>
                      </wps:spPr>
                      <wps:txbx>
                        <w:txbxContent>
                          <w:p>
                            <w:pPr>
                              <w:jc w:val="center"/>
                              <w:rPr>
                                <w:rFonts w:ascii="Times New Roman" w:hAnsi="Times New Roman"/>
                                <w:sz w:val="30"/>
                                <w:szCs w:val="30"/>
                              </w:rPr>
                            </w:pPr>
                            <w:r>
                              <w:rPr>
                                <w:rFonts w:ascii="Times New Roman" w:hAnsi="Times New Roman"/>
                                <w:sz w:val="30"/>
                                <w:szCs w:val="30"/>
                              </w:rPr>
                              <w:t>Created on:1</w:t>
                            </w:r>
                            <w:r>
                              <w:rPr>
                                <w:rFonts w:hint="eastAsia" w:ascii="Times New Roman" w:hAnsi="Times New Roman"/>
                                <w:sz w:val="30"/>
                                <w:szCs w:val="30"/>
                                <w:lang w:val="en-US" w:eastAsia="zh-CN"/>
                              </w:rPr>
                              <w:t>9</w:t>
                            </w:r>
                            <w:r>
                              <w:rPr>
                                <w:rFonts w:ascii="Times New Roman" w:hAnsi="Times New Roman"/>
                                <w:sz w:val="30"/>
                                <w:szCs w:val="30"/>
                              </w:rPr>
                              <w:t xml:space="preserve">th </w:t>
                            </w:r>
                            <w:r>
                              <w:rPr>
                                <w:rFonts w:hint="default" w:ascii="Times New Roman" w:hAnsi="Times New Roman"/>
                                <w:sz w:val="30"/>
                                <w:szCs w:val="30"/>
                              </w:rPr>
                              <w:t>January</w:t>
                            </w:r>
                            <w:r>
                              <w:rPr>
                                <w:rFonts w:ascii="Times New Roman" w:hAnsi="Times New Roman"/>
                                <w:sz w:val="30"/>
                                <w:szCs w:val="30"/>
                              </w:rPr>
                              <w:t xml:space="preserve"> 201</w:t>
                            </w:r>
                            <w:r>
                              <w:rPr>
                                <w:rFonts w:hint="eastAsia" w:ascii="Times New Roman" w:hAnsi="Times New Roman"/>
                                <w:sz w:val="30"/>
                                <w:szCs w:val="30"/>
                                <w:lang w:val="en-US" w:eastAsia="zh-CN"/>
                              </w:rPr>
                              <w:t>8</w:t>
                            </w:r>
                          </w:p>
                          <w:p>
                            <w:pPr>
                              <w:jc w:val="center"/>
                              <w:rPr>
                                <w:rFonts w:ascii="Times New Roman" w:hAnsi="Times New Roman"/>
                                <w:sz w:val="30"/>
                                <w:szCs w:val="30"/>
                              </w:rPr>
                            </w:pPr>
                            <w:r>
                              <w:rPr>
                                <w:rFonts w:ascii="Times New Roman" w:hAnsi="Times New Roman"/>
                                <w:sz w:val="30"/>
                                <w:szCs w:val="30"/>
                              </w:rPr>
                              <w:t>Author: Gaoyu Lin</w:t>
                            </w:r>
                          </w:p>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95.45pt;margin-top:78.55pt;height:110.6pt;width:212.15pt;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Cgn6&#10;H9wAAAALAQAADwAAAAAAAAABACAAAAAiAAAAZHJzL2Rvd25yZXYueG1sUEsBAhQAFAAAAAgAh07i&#10;QAXrWPIeAgAAMAQAAA4AAAAAAAAAAQAgAAAAKwEAAGRycy9lMm9Eb2MueG1sUEsFBgAAAAAGAAYA&#10;WQEAALsFAAAAAA==&#10;">
                <v:fill on="t" focussize="0,0"/>
                <v:stroke color="#FFFFFF [3212]" miterlimit="8" joinstyle="miter"/>
                <v:imagedata o:title=""/>
                <o:lock v:ext="edit" aspectratio="f"/>
                <v:textbox style="mso-fit-shape-to-text:t;">
                  <w:txbxContent>
                    <w:p>
                      <w:pPr>
                        <w:jc w:val="center"/>
                        <w:rPr>
                          <w:rFonts w:ascii="Times New Roman" w:hAnsi="Times New Roman"/>
                          <w:sz w:val="30"/>
                          <w:szCs w:val="30"/>
                        </w:rPr>
                      </w:pPr>
                      <w:r>
                        <w:rPr>
                          <w:rFonts w:ascii="Times New Roman" w:hAnsi="Times New Roman"/>
                          <w:sz w:val="30"/>
                          <w:szCs w:val="30"/>
                        </w:rPr>
                        <w:t>Created on:1</w:t>
                      </w:r>
                      <w:r>
                        <w:rPr>
                          <w:rFonts w:hint="eastAsia" w:ascii="Times New Roman" w:hAnsi="Times New Roman"/>
                          <w:sz w:val="30"/>
                          <w:szCs w:val="30"/>
                          <w:lang w:val="en-US" w:eastAsia="zh-CN"/>
                        </w:rPr>
                        <w:t>9</w:t>
                      </w:r>
                      <w:r>
                        <w:rPr>
                          <w:rFonts w:ascii="Times New Roman" w:hAnsi="Times New Roman"/>
                          <w:sz w:val="30"/>
                          <w:szCs w:val="30"/>
                        </w:rPr>
                        <w:t xml:space="preserve">th </w:t>
                      </w:r>
                      <w:r>
                        <w:rPr>
                          <w:rFonts w:hint="default" w:ascii="Times New Roman" w:hAnsi="Times New Roman"/>
                          <w:sz w:val="30"/>
                          <w:szCs w:val="30"/>
                        </w:rPr>
                        <w:t>January</w:t>
                      </w:r>
                      <w:r>
                        <w:rPr>
                          <w:rFonts w:ascii="Times New Roman" w:hAnsi="Times New Roman"/>
                          <w:sz w:val="30"/>
                          <w:szCs w:val="30"/>
                        </w:rPr>
                        <w:t xml:space="preserve"> 201</w:t>
                      </w:r>
                      <w:r>
                        <w:rPr>
                          <w:rFonts w:hint="eastAsia" w:ascii="Times New Roman" w:hAnsi="Times New Roman"/>
                          <w:sz w:val="30"/>
                          <w:szCs w:val="30"/>
                          <w:lang w:val="en-US" w:eastAsia="zh-CN"/>
                        </w:rPr>
                        <w:t>8</w:t>
                      </w:r>
                    </w:p>
                    <w:p>
                      <w:pPr>
                        <w:jc w:val="center"/>
                        <w:rPr>
                          <w:rFonts w:ascii="Times New Roman" w:hAnsi="Times New Roman"/>
                          <w:sz w:val="30"/>
                          <w:szCs w:val="30"/>
                        </w:rPr>
                      </w:pPr>
                      <w:r>
                        <w:rPr>
                          <w:rFonts w:ascii="Times New Roman" w:hAnsi="Times New Roman"/>
                          <w:sz w:val="30"/>
                          <w:szCs w:val="30"/>
                        </w:rPr>
                        <w:t>Author: Gaoyu Lin</w:t>
                      </w:r>
                    </w:p>
                    <w:p/>
                  </w:txbxContent>
                </v:textbox>
                <w10:wrap type="square"/>
              </v:shape>
            </w:pict>
          </mc:Fallback>
        </mc:AlternateContent>
      </w:r>
      <w:r>
        <w:rPr>
          <w:rFonts w:ascii="Times New Roman" w:hAnsi="Times New Roman"/>
          <w:sz w:val="24"/>
          <w:szCs w:val="24"/>
        </w:rPr>
        <w:br w:type="page"/>
      </w:r>
    </w:p>
    <w:p>
      <w:pPr>
        <w:spacing w:line="360" w:lineRule="auto"/>
        <w:rPr>
          <w:rFonts w:hint="default" w:ascii="Times New Roman" w:hAnsi="Times New Roman" w:eastAsia="SimSun" w:cs="Times New Roman"/>
          <w:b/>
          <w:color w:val="000000" w:themeColor="text1"/>
          <w:sz w:val="24"/>
          <w:szCs w:val="24"/>
          <w14:textFill>
            <w14:solidFill>
              <w14:schemeClr w14:val="tx1"/>
            </w14:solidFill>
          </w14:textFill>
        </w:rPr>
      </w:pPr>
      <w:r>
        <w:rPr>
          <w:rFonts w:hint="default" w:ascii="Times New Roman" w:hAnsi="Times New Roman" w:eastAsia="SimSun" w:cs="Times New Roman"/>
          <w:b/>
          <w:color w:val="000000" w:themeColor="text1"/>
          <w:sz w:val="24"/>
          <w:szCs w:val="24"/>
          <w14:textFill>
            <w14:solidFill>
              <w14:schemeClr w14:val="tx1"/>
            </w14:solidFill>
          </w14:textFill>
        </w:rPr>
        <w:t>Executive Summary</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 xml:space="preserve">The improvements in science and technology change business from a narrow, national one to a wide, international one by cutting down costs as well as lifting efficiency, which, in turn, arises another problem namely international business communication. This report addresses the matters needing attention during communicating with Italians for British. A literature review is provided to show what has been acknowledged before over international business communication, including Hall’s high context versus low context framework, Geert Hofstede’s six cultural dimensions model and Fons Trompenaar’s seven-dimension model, which is followed by a detailed discussion over cultural differences between Italy and Britain. The discussion shows that both Italian and British prefer to communicate more than normal and formal expressions through words and sentences. The body language, smiling face, facial expression, silence, eye contact and even intonation can be used to or be considered to contain some information. Despite the similarity, the point of Italian is closer to the highest point than British in Hall’s high context versus low context framework. Thus, the boundary spanning employee from the British firm should observe more carefully the partner employee’s other communication forms except verbal expression. In addition, British are typical collectivism, universalism, neutral and ascription-orientation. On the other hand, Italians are neither collectivism nor individualism, neither universalism nor particularism, neither achievement-orientation nor ascription-orientation, yet emotional. Thus, for British, Italians are less collectivism, less universalism, less ascription-orientation and more emotional. Based on the cultural differences, the British employee should express more about what they are thinking to come up with the Italian, no matter in which forms of communication, talk less about the group or the firm, but more about particular situations.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p>
    <w:p>
      <w:pPr>
        <w:tabs>
          <w:tab w:val="left" w:pos="1035"/>
        </w:tabs>
        <w:spacing w:line="360" w:lineRule="auto"/>
        <w:rPr>
          <w:rFonts w:hint="default" w:ascii="Times New Roman" w:hAnsi="Times New Roman" w:eastAsia="SimSun" w:cs="Times New Roman"/>
          <w:color w:val="000000" w:themeColor="text1"/>
          <w:sz w:val="24"/>
          <w:szCs w:val="24"/>
          <w14:textFill>
            <w14:solidFill>
              <w14:schemeClr w14:val="tx1"/>
            </w14:solidFill>
          </w14:textFill>
        </w:rPr>
        <w:sectPr>
          <w:headerReference r:id="rId3" w:type="default"/>
          <w:footerReference r:id="rId4" w:type="default"/>
          <w:footerReference r:id="rId5" w:type="even"/>
          <w:pgSz w:w="11906" w:h="16838"/>
          <w:pgMar w:top="1440" w:right="1797" w:bottom="1440" w:left="1797" w:header="851" w:footer="992" w:gutter="0"/>
          <w:cols w:space="420" w:num="1"/>
          <w:docGrid w:type="lines" w:linePitch="312" w:charSpace="-2381"/>
        </w:sectPr>
      </w:pPr>
    </w:p>
    <w:sdt>
      <w:sdtPr>
        <w:rPr>
          <w:rFonts w:hint="default" w:ascii="Times New Roman" w:hAnsi="Times New Roman" w:eastAsia="SimSun" w:cs="Times New Roman"/>
          <w:sz w:val="24"/>
          <w:szCs w:val="24"/>
          <w:lang w:val="en-US"/>
        </w:rPr>
        <w:id w:val="147469811"/>
        <w:docPartObj>
          <w:docPartGallery w:val="Table of Contents"/>
          <w:docPartUnique/>
        </w:docPartObj>
      </w:sdtPr>
      <w:sdtEndPr>
        <w:rPr>
          <w:rFonts w:hint="default" w:ascii="Times New Roman" w:hAnsi="Times New Roman" w:cs="Times New Roman"/>
          <w:b/>
          <w:bCs/>
          <w:sz w:val="24"/>
          <w:szCs w:val="24"/>
        </w:rPr>
      </w:sdtEndPr>
      <w:sdtContent>
        <w:p>
          <w:pPr>
            <w:jc w:val="center"/>
            <w:rPr>
              <w:rFonts w:hint="default" w:ascii="Times New Roman" w:hAnsi="Times New Roman" w:eastAsia="SimSun" w:cs="Times New Roman"/>
              <w:sz w:val="24"/>
              <w:szCs w:val="24"/>
              <w:lang w:val="en-US" w:eastAsia="zh-CN"/>
            </w:rPr>
          </w:pPr>
          <w:r>
            <w:rPr>
              <w:rFonts w:hint="default" w:ascii="Times New Roman" w:hAnsi="Times New Roman" w:eastAsia="SimSun" w:cs="Times New Roman"/>
              <w:sz w:val="24"/>
              <w:szCs w:val="24"/>
              <w:lang w:val="en-US" w:eastAsia="zh-CN"/>
            </w:rPr>
            <w:t>contents</w:t>
          </w:r>
        </w:p>
        <w:p>
          <w:pPr>
            <w:jc w:val="both"/>
            <w:rPr>
              <w:rFonts w:hint="default" w:ascii="Times New Roman" w:hAnsi="Times New Roman" w:eastAsia="SimSun" w:cs="Times New Roman"/>
              <w:sz w:val="24"/>
              <w:szCs w:val="24"/>
              <w:lang w:val="en-US" w:eastAsia="zh-CN"/>
            </w:rPr>
          </w:pP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_Toc4526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be567a99-2ae4-4f5b-b27a-1e0c59a2a26b}"/>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1. Introduction</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_Toc31853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93c17a82-8d8d-499e-b8eb-990f91f2cc77}"/>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2. Literature review</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_Toc2833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8120b522-6a0f-4d6e-a428-64c1ac1ac4ba}"/>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2.1 Hall’s high context versus low context frameworks</w:t>
              </w:r>
            </w:sdtContent>
          </w:sdt>
          <w:r>
            <w:rPr>
              <w:rFonts w:hint="default" w:ascii="Times New Roman" w:hAnsi="Times New Roman" w:cs="Times New Roman"/>
              <w:sz w:val="24"/>
              <w:szCs w:val="24"/>
            </w:rPr>
            <w:tab/>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_Toc12286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6d9696ac-75c5-4958-9be4-3f03d9b0499e}"/>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2.2 Geert Hofstede’s six cultural dimensions</w:t>
              </w:r>
            </w:sdtContent>
          </w:sdt>
          <w:r>
            <w:rPr>
              <w:rFonts w:hint="default" w:ascii="Times New Roman" w:hAnsi="Times New Roman" w:cs="Times New Roman"/>
              <w:sz w:val="24"/>
              <w:szCs w:val="24"/>
            </w:rPr>
            <w:tab/>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_Toc11292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aea8a4d1-5020-42c6-8744-c5b15b73032e}"/>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2.3Fons Trompenaar’s seven dimensions</w:t>
              </w:r>
            </w:sdtContent>
          </w:sdt>
          <w:r>
            <w:rPr>
              <w:rFonts w:hint="default" w:ascii="Times New Roman" w:hAnsi="Times New Roman" w:cs="Times New Roman"/>
              <w:sz w:val="24"/>
              <w:szCs w:val="24"/>
            </w:rPr>
            <w:tab/>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_Toc7871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97390c7f-f6f5-4a64-88a9-14994e65c4da}"/>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3. Case study</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_Toc23247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0912cd9d-c3e8-4811-bc02-25de3c5d5f55}"/>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4. Discussion</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_Toc20457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9bf7c940-2778-4f88-acac-8686c8b297c3}"/>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4.1Cultural differences between Italy and Britain</w:t>
              </w:r>
            </w:sdtContent>
          </w:sdt>
          <w:r>
            <w:rPr>
              <w:rFonts w:hint="default" w:ascii="Times New Roman" w:hAnsi="Times New Roman" w:cs="Times New Roman"/>
              <w:sz w:val="24"/>
              <w:szCs w:val="24"/>
            </w:rPr>
            <w:tab/>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_Toc1326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941f9f8f-a058-4ad9-8855-e360f9251334}"/>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4.2Communication skills</w:t>
              </w:r>
            </w:sdtContent>
          </w:sdt>
          <w:r>
            <w:rPr>
              <w:rFonts w:hint="default" w:ascii="Times New Roman" w:hAnsi="Times New Roman" w:cs="Times New Roman"/>
              <w:sz w:val="24"/>
              <w:szCs w:val="24"/>
            </w:rPr>
            <w:tab/>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p>
        <w:p>
          <w:pPr>
            <w:pStyle w:val="23"/>
            <w:tabs>
              <w:tab w:val="right" w:leader="dot" w:pos="8312"/>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_Toc13908 </w:instrText>
          </w:r>
          <w:r>
            <w:rPr>
              <w:rFonts w:hint="default" w:ascii="Times New Roman" w:hAnsi="Times New Roman" w:cs="Times New Roman"/>
              <w:sz w:val="24"/>
              <w:szCs w:val="24"/>
            </w:rPr>
            <w:fldChar w:fldCharType="separate"/>
          </w:r>
          <w:sdt>
            <w:sdtPr>
              <w:rPr>
                <w:rFonts w:hint="default" w:ascii="Times New Roman" w:hAnsi="Times New Roman" w:eastAsia="DengXian" w:cs="Times New Roman"/>
                <w:kern w:val="2"/>
                <w:sz w:val="24"/>
                <w:szCs w:val="24"/>
                <w:lang w:val="en-US" w:eastAsia="zh-CN" w:bidi="ar-SA"/>
              </w:rPr>
              <w:id w:val="147469811"/>
              <w:placeholder>
                <w:docPart w:val="{138311da-536a-4834-8acc-03e3d170e3c0}"/>
              </w:placeholder>
            </w:sdtPr>
            <w:sdtEndPr>
              <w:rPr>
                <w:rFonts w:hint="default" w:ascii="Times New Roman" w:hAnsi="Times New Roman" w:eastAsia="DengXian" w:cs="Times New Roman"/>
                <w:kern w:val="2"/>
                <w:sz w:val="24"/>
                <w:szCs w:val="24"/>
                <w:lang w:val="en-US" w:eastAsia="zh-CN" w:bidi="ar-SA"/>
              </w:rPr>
            </w:sdtEndPr>
            <w:sdtContent>
              <w:r>
                <w:rPr>
                  <w:rFonts w:hint="default" w:ascii="Times New Roman" w:hAnsi="Times New Roman" w:eastAsia="SimHei" w:cs="Times New Roman"/>
                  <w:sz w:val="24"/>
                  <w:szCs w:val="24"/>
                </w:rPr>
                <w:t>4.3Gift giving and language</w:t>
              </w:r>
            </w:sdtContent>
          </w:sdt>
          <w:r>
            <w:rPr>
              <w:rFonts w:hint="default" w:ascii="Times New Roman" w:hAnsi="Times New Roman" w:cs="Times New Roman"/>
              <w:sz w:val="24"/>
              <w:szCs w:val="24"/>
            </w:rPr>
            <w:tab/>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_Toc17398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141e3566-6930-4f43-9646-05aa7b5e6700}"/>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5. Conclusions</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p>
        <w:p>
          <w:pPr>
            <w:pStyle w:val="22"/>
            <w:tabs>
              <w:tab w:val="right" w:leader="dot" w:pos="8312"/>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sz w:val="24"/>
              <w:szCs w:val="24"/>
            </w:rPr>
            <w:instrText xml:space="preserve"> HYPERLINK \l _Toc15365 </w:instrText>
          </w:r>
          <w:r>
            <w:rPr>
              <w:rFonts w:hint="default" w:ascii="Times New Roman" w:hAnsi="Times New Roman" w:cs="Times New Roman"/>
              <w:b/>
              <w:bCs/>
              <w:sz w:val="24"/>
              <w:szCs w:val="24"/>
            </w:rPr>
            <w:fldChar w:fldCharType="separate"/>
          </w:r>
          <w:sdt>
            <w:sdtPr>
              <w:rPr>
                <w:rFonts w:hint="default" w:ascii="Times New Roman" w:hAnsi="Times New Roman" w:eastAsia="DengXian" w:cs="Times New Roman"/>
                <w:b/>
                <w:bCs/>
                <w:kern w:val="2"/>
                <w:sz w:val="24"/>
                <w:szCs w:val="24"/>
                <w:lang w:val="en-US" w:eastAsia="zh-CN" w:bidi="ar-SA"/>
              </w:rPr>
              <w:id w:val="147469811"/>
              <w:placeholder>
                <w:docPart w:val="{804562c4-7d63-4f61-80fa-b2a3f1062bfd}"/>
              </w:placeholder>
            </w:sdtPr>
            <w:sdtEndPr>
              <w:rPr>
                <w:rFonts w:hint="default" w:ascii="Times New Roman" w:hAnsi="Times New Roman" w:eastAsia="DengXian" w:cs="Times New Roman"/>
                <w:b/>
                <w:bCs/>
                <w:kern w:val="2"/>
                <w:sz w:val="24"/>
                <w:szCs w:val="24"/>
                <w:lang w:val="en-US" w:eastAsia="zh-CN" w:bidi="ar-SA"/>
              </w:rPr>
            </w:sdtEndPr>
            <w:sdtContent>
              <w:r>
                <w:rPr>
                  <w:rFonts w:hint="default" w:ascii="Times New Roman" w:hAnsi="Times New Roman" w:eastAsia="DengXian" w:cs="Times New Roman"/>
                  <w:b/>
                  <w:bCs/>
                  <w:sz w:val="24"/>
                  <w:szCs w:val="24"/>
                </w:rPr>
                <w:t>References</w:t>
              </w:r>
            </w:sdtContent>
          </w:sdt>
          <w:r>
            <w:rPr>
              <w:rFonts w:hint="default" w:ascii="Times New Roman" w:hAnsi="Times New Roman" w:cs="Times New Roman"/>
              <w:b/>
              <w:bCs/>
              <w:sz w:val="24"/>
              <w:szCs w:val="24"/>
            </w:rPr>
            <w:tab/>
          </w:r>
          <w:r>
            <w:rPr>
              <w:rFonts w:hint="default" w:ascii="Times New Roman" w:hAnsi="Times New Roman" w:cs="Times New Roman"/>
              <w:b/>
              <w:bCs/>
              <w:sz w:val="24"/>
              <w:szCs w:val="24"/>
            </w:rPr>
            <w:t>11</w:t>
          </w:r>
          <w:r>
            <w:rPr>
              <w:rFonts w:hint="default" w:ascii="Times New Roman" w:hAnsi="Times New Roman" w:cs="Times New Roman"/>
              <w:b/>
              <w:bCs/>
              <w:sz w:val="24"/>
              <w:szCs w:val="24"/>
            </w:rPr>
            <w:fldChar w:fldCharType="end"/>
          </w:r>
        </w:p>
      </w:sdtContent>
    </w:sdt>
    <w:p>
      <w:pPr>
        <w:spacing w:line="360" w:lineRule="auto"/>
        <w:rPr>
          <w:rFonts w:hint="default" w:ascii="Times New Roman" w:hAnsi="Times New Roman" w:eastAsia="SimSun" w:cs="Times New Roman"/>
          <w:b/>
          <w:color w:val="000000" w:themeColor="text1"/>
          <w:sz w:val="24"/>
          <w:szCs w:val="24"/>
          <w14:textFill>
            <w14:solidFill>
              <w14:schemeClr w14:val="tx1"/>
            </w14:solidFill>
          </w14:textFill>
        </w:rPr>
      </w:pPr>
      <w:bookmarkStart w:id="21" w:name="_GoBack"/>
      <w:bookmarkEnd w:id="21"/>
      <w:r>
        <w:rPr>
          <w:rFonts w:hint="default" w:ascii="Times New Roman" w:hAnsi="Times New Roman" w:eastAsia="SimSun" w:cs="Times New Roman"/>
          <w:b/>
          <w:color w:val="000000" w:themeColor="text1"/>
          <w:sz w:val="24"/>
          <w:szCs w:val="24"/>
          <w14:textFill>
            <w14:solidFill>
              <w14:schemeClr w14:val="tx1"/>
            </w14:solidFill>
          </w14:textFill>
        </w:rPr>
        <w:br w:type="page"/>
      </w:r>
      <w:bookmarkStart w:id="0" w:name="_Toc4526"/>
      <w:r>
        <w:rPr>
          <w:rStyle w:val="21"/>
          <w:rFonts w:hint="default" w:ascii="Times New Roman" w:hAnsi="Times New Roman" w:cs="Times New Roman"/>
          <w:sz w:val="24"/>
          <w:szCs w:val="24"/>
        </w:rPr>
        <w:t>1. Introduction</w:t>
      </w:r>
      <w:bookmarkEnd w:id="0"/>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International business is much more different from national one mainly owing to cultural differences which influence communications (</w:t>
      </w:r>
      <w:r>
        <w:rPr>
          <w:rFonts w:hint="default" w:ascii="Times New Roman" w:hAnsi="Times New Roman" w:cs="Times New Roman"/>
          <w:color w:val="000000" w:themeColor="text1"/>
          <w:sz w:val="24"/>
          <w:szCs w:val="24"/>
          <w:shd w:val="clear" w:color="auto" w:fill="FFFFFF"/>
          <w14:textFill>
            <w14:solidFill>
              <w14:schemeClr w14:val="tx1"/>
            </w14:solidFill>
          </w14:textFill>
        </w:rPr>
        <w:t>Luo and Shenkar, 2011</w:t>
      </w:r>
      <w:r>
        <w:rPr>
          <w:rFonts w:hint="default" w:ascii="Times New Roman" w:hAnsi="Times New Roman" w:eastAsia="SimSun" w:cs="Times New Roman"/>
          <w:color w:val="000000" w:themeColor="text1"/>
          <w:sz w:val="24"/>
          <w:szCs w:val="24"/>
          <w14:textFill>
            <w14:solidFill>
              <w14:schemeClr w14:val="tx1"/>
            </w14:solidFill>
          </w14:textFill>
        </w:rPr>
        <w:t>). This is because the economic exchanges (or what we call businesses) are carried out by people, especially boundary spanners, such as sourcing managers, selling managers, CEOs, and so on (</w:t>
      </w:r>
      <w:r>
        <w:rPr>
          <w:rFonts w:hint="default" w:ascii="Times New Roman" w:hAnsi="Times New Roman" w:cs="Times New Roman"/>
          <w:color w:val="000000" w:themeColor="text1"/>
          <w:sz w:val="24"/>
          <w:szCs w:val="24"/>
          <w:shd w:val="clear" w:color="auto" w:fill="FFFFFF"/>
          <w14:textFill>
            <w14:solidFill>
              <w14:schemeClr w14:val="tx1"/>
            </w14:solidFill>
          </w14:textFill>
        </w:rPr>
        <w:t>Stamper and Johlke, 2015)</w:t>
      </w:r>
      <w:r>
        <w:rPr>
          <w:rFonts w:hint="default" w:ascii="Times New Roman" w:hAnsi="Times New Roman" w:eastAsia="SimSun" w:cs="Times New Roman"/>
          <w:color w:val="000000" w:themeColor="text1"/>
          <w:sz w:val="24"/>
          <w:szCs w:val="24"/>
          <w14:textFill>
            <w14:solidFill>
              <w14:schemeClr w14:val="tx1"/>
            </w14:solidFill>
          </w14:textFill>
        </w:rPr>
        <w:t>. And they are no longer rational-economic men assumed by traditional classic economy, but socialized people who bring their distinctive value and beliefs to the process of economic exchange, which are behavioral expressed as communication forms and other interactions (</w:t>
      </w:r>
      <w:r>
        <w:rPr>
          <w:rFonts w:hint="default" w:ascii="Times New Roman" w:hAnsi="Times New Roman" w:cs="Times New Roman"/>
          <w:color w:val="000000" w:themeColor="text1"/>
          <w:sz w:val="24"/>
          <w:szCs w:val="24"/>
          <w:shd w:val="clear" w:color="auto" w:fill="FFFFFF"/>
          <w14:textFill>
            <w14:solidFill>
              <w14:schemeClr w14:val="tx1"/>
            </w14:solidFill>
          </w14:textFill>
        </w:rPr>
        <w:t>Aral and Walker, 2014)</w:t>
      </w:r>
      <w:r>
        <w:rPr>
          <w:rFonts w:hint="default" w:ascii="Times New Roman" w:hAnsi="Times New Roman" w:eastAsia="SimSun" w:cs="Times New Roman"/>
          <w:color w:val="000000" w:themeColor="text1"/>
          <w:sz w:val="24"/>
          <w:szCs w:val="24"/>
          <w14:textFill>
            <w14:solidFill>
              <w14:schemeClr w14:val="tx1"/>
            </w14:solidFill>
          </w14:textFill>
        </w:rPr>
        <w:t>. However, differences often bring conflicts, because an action accepted or even supported in one culture may be improper or impolite in another. Thus, firms or organizations dealing with international business should attach importance to interpersonal communications between boundary spanners in case of business failure caused by cultural misunderstanding (</w:t>
      </w:r>
      <w:r>
        <w:rPr>
          <w:rFonts w:hint="default" w:ascii="Times New Roman" w:hAnsi="Times New Roman" w:cs="Times New Roman"/>
          <w:color w:val="000000" w:themeColor="text1"/>
          <w:sz w:val="24"/>
          <w:szCs w:val="24"/>
          <w:shd w:val="clear" w:color="auto" w:fill="FFFFFF"/>
          <w14:textFill>
            <w14:solidFill>
              <w14:schemeClr w14:val="tx1"/>
            </w14:solidFill>
          </w14:textFill>
        </w:rPr>
        <w:t>Fleming and Waguespack, 2016)</w:t>
      </w:r>
      <w:r>
        <w:rPr>
          <w:rFonts w:hint="default" w:ascii="Times New Roman" w:hAnsi="Times New Roman" w:eastAsia="SimSun" w:cs="Times New Roman"/>
          <w:color w:val="000000" w:themeColor="text1"/>
          <w:sz w:val="24"/>
          <w:szCs w:val="24"/>
          <w14:textFill>
            <w14:solidFill>
              <w14:schemeClr w14:val="tx1"/>
            </w14:solidFill>
          </w14:textFill>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The aim of this report is to explore the challenges for British to do business with Italians by clarifying the cultural differences as well as how to cope with them. First, a literature review is provided to show what has been acknowledged before over international business communication, including the theoretical analysis frameworks as well as their developments. Then, a specific case is presented, which will be discussed later about the challenges and solutions relevant to it. Finally, we arrive at a conclusion where the main ideas and suggestions will be summarized.</w:t>
      </w:r>
    </w:p>
    <w:p>
      <w:pPr>
        <w:pStyle w:val="2"/>
        <w:rPr>
          <w:rFonts w:hint="default" w:ascii="Times New Roman" w:hAnsi="Times New Roman" w:cs="Times New Roman"/>
          <w:sz w:val="24"/>
          <w:szCs w:val="24"/>
        </w:rPr>
      </w:pPr>
      <w:bookmarkStart w:id="1" w:name="_Toc31853"/>
      <w:r>
        <w:rPr>
          <w:rFonts w:hint="default" w:ascii="Times New Roman" w:hAnsi="Times New Roman" w:cs="Times New Roman"/>
          <w:sz w:val="24"/>
          <w:szCs w:val="24"/>
        </w:rPr>
        <w:t>2. Literature review</w:t>
      </w:r>
      <w:bookmarkEnd w:id="1"/>
    </w:p>
    <w:p>
      <w:pPr>
        <w:pStyle w:val="3"/>
        <w:rPr>
          <w:rFonts w:hint="default" w:ascii="Times New Roman" w:hAnsi="Times New Roman" w:cs="Times New Roman"/>
          <w:sz w:val="24"/>
          <w:szCs w:val="24"/>
        </w:rPr>
      </w:pPr>
      <w:bookmarkStart w:id="2" w:name="_Toc2833"/>
      <w:r>
        <w:rPr>
          <w:rFonts w:hint="default" w:ascii="Times New Roman" w:hAnsi="Times New Roman" w:cs="Times New Roman"/>
          <w:sz w:val="24"/>
          <w:szCs w:val="24"/>
        </w:rPr>
        <w:t>2.1 Hall’s high context versus low context frameworks</w:t>
      </w:r>
      <w:bookmarkEnd w:id="2"/>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Several analysis models have been created by scholars to capture the cultural differences, one of which is Hall’s high context versus low context model (</w:t>
      </w:r>
      <w:bookmarkStart w:id="3" w:name="_Hlk503798072"/>
      <w:r>
        <w:rPr>
          <w:rFonts w:hint="default" w:ascii="Times New Roman" w:hAnsi="Times New Roman" w:cs="Times New Roman"/>
          <w:color w:val="000000" w:themeColor="text1"/>
          <w:sz w:val="24"/>
          <w:szCs w:val="24"/>
          <w:shd w:val="clear" w:color="auto" w:fill="FFFFFF"/>
          <w14:textFill>
            <w14:solidFill>
              <w14:schemeClr w14:val="tx1"/>
            </w14:solidFill>
          </w14:textFill>
        </w:rPr>
        <w:t>Kittler, Rygl and Mackinnon, 2011</w:t>
      </w:r>
      <w:bookmarkEnd w:id="3"/>
      <w:r>
        <w:rPr>
          <w:rFonts w:hint="default" w:ascii="Times New Roman" w:hAnsi="Times New Roman" w:cs="Times New Roman"/>
          <w:color w:val="000000" w:themeColor="text1"/>
          <w:sz w:val="24"/>
          <w:szCs w:val="24"/>
          <w:shd w:val="clear" w:color="auto" w:fill="FFFFFF"/>
          <w14:textFill>
            <w14:solidFill>
              <w14:schemeClr w14:val="tx1"/>
            </w14:solidFill>
          </w14:textFill>
        </w:rPr>
        <w:t>)</w:t>
      </w:r>
      <w:r>
        <w:rPr>
          <w:rFonts w:hint="default" w:ascii="Times New Roman" w:hAnsi="Times New Roman" w:eastAsia="SimSun" w:cs="Times New Roman"/>
          <w:color w:val="000000" w:themeColor="text1"/>
          <w:sz w:val="24"/>
          <w:szCs w:val="24"/>
          <w14:textFill>
            <w14:solidFill>
              <w14:schemeClr w14:val="tx1"/>
            </w14:solidFill>
          </w14:textFill>
        </w:rPr>
        <w:t>. In this framework, cultural difference is depicted in a line, one extreme of which refers to the highest context where the way of the communication weighs more than the content of the communication, and the other refers to the lowest context where the content of the communication is all of what is being expressed (</w:t>
      </w:r>
      <w:r>
        <w:rPr>
          <w:rFonts w:hint="default" w:ascii="Times New Roman" w:hAnsi="Times New Roman" w:cs="Times New Roman"/>
          <w:color w:val="000000" w:themeColor="text1"/>
          <w:sz w:val="24"/>
          <w:szCs w:val="24"/>
          <w:shd w:val="clear" w:color="auto" w:fill="FFFFFF"/>
          <w14:textFill>
            <w14:solidFill>
              <w14:schemeClr w14:val="tx1"/>
            </w14:solidFill>
          </w14:textFill>
        </w:rPr>
        <w:t>Koo, Patten and Creed, 2011)</w:t>
      </w:r>
      <w:r>
        <w:rPr>
          <w:rFonts w:hint="default" w:ascii="Times New Roman" w:hAnsi="Times New Roman" w:eastAsia="SimSun" w:cs="Times New Roman"/>
          <w:color w:val="000000" w:themeColor="text1"/>
          <w:sz w:val="24"/>
          <w:szCs w:val="24"/>
          <w14:textFill>
            <w14:solidFill>
              <w14:schemeClr w14:val="tx1"/>
            </w14:solidFill>
          </w14:textFill>
        </w:rPr>
        <w:t>. Every culture can be represented by a specific point along the line, indicating the extent of the relative importance of the way and the content of the communication. The closer the point is to the highest context extreme, the more the way of communication is stressed in the cultures represented by the point. Under this circumstance, the contextual factors, such as body language, eye contact, facial expression, contain more information which will not expresses explicated through words and sentences. In the contrast, the closer the point is to the lowest context extreme, the less the way of communication is stressed in the cultures represented by the point. Thus, how you communicate, whether in interrogative sentence or declarative sentence, in silence or not, be summarized or not, is not important. All of the information needed to be conveyed is expressed by what is being said. For example, in German, someone says no means no, not or no need. But in China, it depends largely on the context. In fact, he who says no may means yes according to his eager eyes.</w:t>
      </w:r>
    </w:p>
    <w:p>
      <w:pPr>
        <w:pStyle w:val="3"/>
        <w:rPr>
          <w:rFonts w:hint="default" w:ascii="Times New Roman" w:hAnsi="Times New Roman" w:cs="Times New Roman"/>
          <w:sz w:val="24"/>
          <w:szCs w:val="24"/>
        </w:rPr>
      </w:pPr>
      <w:bookmarkStart w:id="4" w:name="_Toc12286"/>
      <w:r>
        <w:rPr>
          <w:rFonts w:hint="default" w:ascii="Times New Roman" w:hAnsi="Times New Roman" w:cs="Times New Roman"/>
          <w:sz w:val="24"/>
          <w:szCs w:val="24"/>
        </w:rPr>
        <w:t>2.2 Geert Hofstede’s six cultural dimensions</w:t>
      </w:r>
      <w:bookmarkEnd w:id="4"/>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bookmarkStart w:id="5" w:name="_Hlk503505320"/>
      <w:r>
        <w:rPr>
          <w:rFonts w:hint="default" w:ascii="Times New Roman" w:hAnsi="Times New Roman" w:eastAsia="SimSun" w:cs="Times New Roman"/>
          <w:color w:val="000000" w:themeColor="text1"/>
          <w:sz w:val="24"/>
          <w:szCs w:val="24"/>
          <w14:textFill>
            <w14:solidFill>
              <w14:schemeClr w14:val="tx1"/>
            </w14:solidFill>
          </w14:textFill>
        </w:rPr>
        <w:t>Geert Hofstede’s six cultural dimensions model is another useful tool to analysis cultural differences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This framework provides six criteria to assess the cultures which can distinguish different cultures from each other, including the focus of responsibility, power distance, and attitude toward uncertainty, masculinity, time orientation and man orientation (</w:t>
      </w:r>
      <w:r>
        <w:rPr>
          <w:rFonts w:hint="default" w:ascii="Times New Roman" w:hAnsi="Times New Roman" w:cs="Times New Roman"/>
          <w:color w:val="000000" w:themeColor="text1"/>
          <w:sz w:val="24"/>
          <w:szCs w:val="24"/>
          <w:shd w:val="clear" w:color="auto" w:fill="FFFFFF"/>
          <w14:textFill>
            <w14:solidFill>
              <w14:schemeClr w14:val="tx1"/>
            </w14:solidFill>
          </w14:textFill>
        </w:rPr>
        <w:t>Venaik and Brewer, 2013; Mooij and Hofstede, 2011)</w:t>
      </w:r>
      <w:r>
        <w:rPr>
          <w:rFonts w:hint="default" w:ascii="Times New Roman" w:hAnsi="Times New Roman" w:eastAsia="SimSun" w:cs="Times New Roman"/>
          <w:color w:val="000000" w:themeColor="text1"/>
          <w:sz w:val="24"/>
          <w:szCs w:val="24"/>
          <w14:textFill>
            <w14:solidFill>
              <w14:schemeClr w14:val="tx1"/>
            </w14:solidFill>
          </w14:textFill>
        </w:rPr>
        <w:t>.</w:t>
      </w:r>
      <w:bookmarkEnd w:id="5"/>
      <w:r>
        <w:rPr>
          <w:rFonts w:hint="default" w:ascii="Times New Roman" w:hAnsi="Times New Roman" w:eastAsia="SimSun" w:cs="Times New Roman"/>
          <w:color w:val="000000" w:themeColor="text1"/>
          <w:sz w:val="24"/>
          <w:szCs w:val="24"/>
          <w14:textFill>
            <w14:solidFill>
              <w14:schemeClr w14:val="tx1"/>
            </w14:solidFill>
          </w14:textFill>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The dimension of the focus of responsibility classifies the cultures into individualism and collectivism according to the degree of dependence on which people define their happiness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In the cultures of individualism, people define themselves by their own accomplishments or traits. For example, Americans take the responsibility to take care of themselves rather than the families, or other organizational members. However, in the cultures of collectivism, people pay more attention to the collective accomplishments or traits, such as harmony and general prosperity. A typical example is Chinese.</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The dimension of power distance refers to the attitude toward human inequity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The cultures with high power distance is more tolerant to human inequity, which often leads to hierarchical structures where the status and power are explicit and accepted largely. In contrast, the cultures with low power distance are less tolerant to human inequity and pursuits the situation where all men are equal without superiority or priority. Malaysia is a typical representation for the cultures of low power distance while Britain represents the opposite.</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The dimension of the attitude toward uncertainty indicates how people look at and cope with uncertainty and risk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People in the context of risk-avoiding cultures hate to put themselves in the situations with high uncertainty. They prefer certainty or predictable circumstances under which they can act according to their plans and schedules without surprises. On the contrary, people in the context of risk-taking cultures welcome or even like uncertainty, such as gamble, which may bring them more benefit than as planned. Americans are apparent risk-taking while Chinese are apparent risk-avoiding, which can be told through their attitude toward buying a house.</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Masculinity and feminism are two extremes representing the main focus of the group or collection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Masculinity gives priority to men and advocates a society governed by men where women are considered as objectivities. In the opposite, feminism gives priority to women and advocates a society governed by women where men are considered as objectivities. Of course, there are still middle way where men and women are given equal chances and power. Take China for instance, it has gone through the era of both feminism and masculinity, and is pursuing a society where men and women are equally treated.</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Time orientation indicates the attention of a kind of cultures: the past, present, or future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In the context of western cultures, time is taken seriously and it is shameful to waste time. Therefore, Americans cherish every moment at present or the near future. This can be proved by the form of performance evaluation. For instance, many organizations organize an evaluation for their employees less than a year. The Japanese, in contrary, treat time in a more long-term perspective, which can also be proved by their form of performance evaluation. Many Japanese firms organize an evaluation for their employees more than 10 years.</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Man orientation regards people as good or evil, or a mixture of both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In some countries, people think themselves essentially integrity and kind-hearted, however, some think that the essence of man is hollow hearted. The views of the others tend to be between them, they think that people are essentially good, but have to be careful to not be used. This dimension of culture can be proved by the forms of leadership of managers in the organizations. Authoritarian or hierarchical forms of leadership may be found in the culture believed in hollow hearted essence. The cultures with emphasis on values of trust, involved-in or laissez-faire leadership are dominant. In mixed cultures, leadership style may emphasize on participation, but also has strict control systems to quickly identify irregularities.</w:t>
      </w:r>
    </w:p>
    <w:p>
      <w:pPr>
        <w:pStyle w:val="3"/>
        <w:rPr>
          <w:rFonts w:hint="default" w:ascii="Times New Roman" w:hAnsi="Times New Roman" w:cs="Times New Roman"/>
          <w:sz w:val="24"/>
          <w:szCs w:val="24"/>
        </w:rPr>
      </w:pPr>
      <w:bookmarkStart w:id="6" w:name="_Toc11292"/>
      <w:r>
        <w:rPr>
          <w:rFonts w:hint="default" w:ascii="Times New Roman" w:hAnsi="Times New Roman" w:cs="Times New Roman"/>
          <w:sz w:val="24"/>
          <w:szCs w:val="24"/>
        </w:rPr>
        <w:t>2.3</w:t>
      </w:r>
      <w:bookmarkStart w:id="7" w:name="_Hlk503505359"/>
      <w:r>
        <w:rPr>
          <w:rFonts w:hint="default" w:ascii="Times New Roman" w:hAnsi="Times New Roman" w:cs="Times New Roman"/>
          <w:sz w:val="24"/>
          <w:szCs w:val="24"/>
        </w:rPr>
        <w:t>Fons Trompenaar’s seven dimension</w:t>
      </w:r>
      <w:bookmarkEnd w:id="7"/>
      <w:r>
        <w:rPr>
          <w:rFonts w:hint="default" w:ascii="Times New Roman" w:hAnsi="Times New Roman" w:cs="Times New Roman"/>
          <w:sz w:val="24"/>
          <w:szCs w:val="24"/>
        </w:rPr>
        <w:t>s</w:t>
      </w:r>
      <w:bookmarkEnd w:id="6"/>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Similarly, Fons Trompenaar’s seven cultural dimensions model is also a useful tool to analysis cultural differences (</w:t>
      </w:r>
      <w:r>
        <w:rPr>
          <w:rFonts w:hint="default" w:ascii="Times New Roman" w:hAnsi="Times New Roman" w:cs="Times New Roman"/>
          <w:color w:val="000000" w:themeColor="text1"/>
          <w:sz w:val="24"/>
          <w:szCs w:val="24"/>
          <w:shd w:val="clear" w:color="auto" w:fill="FFFFFF"/>
          <w14:textFill>
            <w14:solidFill>
              <w14:schemeClr w14:val="tx1"/>
            </w14:solidFill>
          </w14:textFill>
        </w:rPr>
        <w:t>Bãlan and Vreja, 2013)</w:t>
      </w:r>
      <w:r>
        <w:rPr>
          <w:rFonts w:hint="default" w:ascii="Times New Roman" w:hAnsi="Times New Roman" w:eastAsia="SimSun" w:cs="Times New Roman"/>
          <w:color w:val="000000" w:themeColor="text1"/>
          <w:sz w:val="24"/>
          <w:szCs w:val="24"/>
          <w14:textFill>
            <w14:solidFill>
              <w14:schemeClr w14:val="tx1"/>
            </w14:solidFill>
          </w14:textFill>
        </w:rPr>
        <w:t>. This framework provides seven criteria to assess the cultures which can distinguish different cultures from each other, three of which is equal to Geert Hofstede’s six cultural dimensions: the focus of responsibility, time orientation and man orientation; and the other four of which include universalism or particularism, neutral or emotional, defuse or specific cultures and achievement or ascription (</w:t>
      </w:r>
      <w:r>
        <w:rPr>
          <w:rFonts w:hint="default" w:ascii="Times New Roman" w:hAnsi="Times New Roman" w:cs="Times New Roman"/>
          <w:color w:val="000000" w:themeColor="text1"/>
          <w:sz w:val="24"/>
          <w:szCs w:val="24"/>
          <w:shd w:val="clear" w:color="auto" w:fill="FFFFFF"/>
          <w14:textFill>
            <w14:solidFill>
              <w14:schemeClr w14:val="tx1"/>
            </w14:solidFill>
          </w14:textFill>
        </w:rPr>
        <w:t>Chen and Ha, 2010)</w:t>
      </w:r>
      <w:r>
        <w:rPr>
          <w:rFonts w:hint="default" w:ascii="Times New Roman" w:hAnsi="Times New Roman" w:eastAsia="SimSun" w:cs="Times New Roman"/>
          <w:color w:val="000000" w:themeColor="text1"/>
          <w:sz w:val="24"/>
          <w:szCs w:val="24"/>
          <w14:textFill>
            <w14:solidFill>
              <w14:schemeClr w14:val="tx1"/>
            </w14:solidFill>
          </w14:textFill>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Universalism stresses to guide behavior with laws and regulations. It can’t vary from person to person. Particularism emphasizes on particular analysis on particular case, which is more flexible. The dimension of neutralization or emotional classifies the cultures according to the extent of emotional expression. Neutralization represents the cultures with weak emotional expression while emotional represents the opposite. The dimension of defuse or specific cultures is used to describe and explain the huge difference in terms of interpersonal communication. In the culture of achievement-orientation, a person's social status and evaluation by others mainly result from his recent performance and achievements. Yet, in the context of ascription-orientation, these may come from the person's birth, blood relationship, gender, age and education background.</w:t>
      </w:r>
    </w:p>
    <w:p>
      <w:pPr>
        <w:pStyle w:val="2"/>
        <w:rPr>
          <w:rFonts w:hint="default" w:ascii="Times New Roman" w:hAnsi="Times New Roman" w:cs="Times New Roman"/>
          <w:sz w:val="24"/>
          <w:szCs w:val="24"/>
        </w:rPr>
      </w:pPr>
      <w:bookmarkStart w:id="8" w:name="_Toc7871"/>
      <w:r>
        <w:rPr>
          <w:rFonts w:hint="default" w:ascii="Times New Roman" w:hAnsi="Times New Roman" w:cs="Times New Roman"/>
          <w:sz w:val="24"/>
          <w:szCs w:val="24"/>
        </w:rPr>
        <w:t>3. Case study</w:t>
      </w:r>
      <w:bookmarkEnd w:id="8"/>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Given the theoretical basement, this report aims at analyzing the challenges for British to do business with Italians by clarifying the cultural differences as well as how to cope with them. Specifically, image a boundary spanning employee of a British firm is assigned to discuss the cooperation with an Italian firm. Considering the cultural differences, which aspects should the British employee pay attention and how should he or she communicate with the partner employee? This report centers on the communication skills as well as gift giving and the language. Thus, the following discussion part will first clarify the cultural differences between Italy and Britain, taking advantage of the theoretical models described above including Hall’s high context versus low context frameworks and Geert Hofstede’s six cultural dimensions model. Then a specified solution will be given at the aspects of communication skills, gift giving and the language.</w:t>
      </w:r>
    </w:p>
    <w:p>
      <w:pPr>
        <w:pStyle w:val="2"/>
        <w:rPr>
          <w:rFonts w:hint="default" w:ascii="Times New Roman" w:hAnsi="Times New Roman" w:cs="Times New Roman"/>
          <w:sz w:val="24"/>
          <w:szCs w:val="24"/>
        </w:rPr>
      </w:pPr>
      <w:bookmarkStart w:id="9" w:name="_Toc23247"/>
      <w:r>
        <w:rPr>
          <w:rFonts w:hint="default" w:ascii="Times New Roman" w:hAnsi="Times New Roman" w:cs="Times New Roman"/>
          <w:sz w:val="24"/>
          <w:szCs w:val="24"/>
        </w:rPr>
        <w:t>4. Discussion</w:t>
      </w:r>
      <w:bookmarkEnd w:id="9"/>
    </w:p>
    <w:p>
      <w:pPr>
        <w:pStyle w:val="3"/>
        <w:rPr>
          <w:rFonts w:hint="default" w:ascii="Times New Roman" w:hAnsi="Times New Roman" w:cs="Times New Roman"/>
          <w:sz w:val="24"/>
          <w:szCs w:val="24"/>
        </w:rPr>
      </w:pPr>
      <w:bookmarkStart w:id="10" w:name="_Toc20457"/>
      <w:r>
        <w:rPr>
          <w:rFonts w:hint="default" w:ascii="Times New Roman" w:hAnsi="Times New Roman" w:cs="Times New Roman"/>
          <w:sz w:val="24"/>
          <w:szCs w:val="24"/>
        </w:rPr>
        <w:t>4.1</w:t>
      </w:r>
      <w:bookmarkStart w:id="11" w:name="_Hlk503892982"/>
      <w:r>
        <w:rPr>
          <w:rFonts w:hint="default" w:ascii="Times New Roman" w:hAnsi="Times New Roman" w:cs="Times New Roman"/>
          <w:sz w:val="24"/>
          <w:szCs w:val="24"/>
        </w:rPr>
        <w:t>Cultural differences between Italy and Britain</w:t>
      </w:r>
      <w:bookmarkEnd w:id="10"/>
      <w:bookmarkEnd w:id="11"/>
      <w:r>
        <w:rPr>
          <w:rFonts w:hint="default" w:ascii="Times New Roman" w:hAnsi="Times New Roman" w:cs="Times New Roman"/>
          <w:sz w:val="24"/>
          <w:szCs w:val="24"/>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In Hall’s framework, cultural difference is depicted in a line, one extreme of which refers to the highest context where the way of the communication weighs more than the content of the communication, and the other refers to the lowest context where the content of the communication is all of what is being expressed (</w:t>
      </w:r>
      <w:r>
        <w:rPr>
          <w:rFonts w:hint="default" w:ascii="Times New Roman" w:hAnsi="Times New Roman" w:cs="Times New Roman"/>
          <w:color w:val="000000" w:themeColor="text1"/>
          <w:sz w:val="24"/>
          <w:szCs w:val="24"/>
          <w:shd w:val="clear" w:color="auto" w:fill="FFFFFF"/>
          <w14:textFill>
            <w14:solidFill>
              <w14:schemeClr w14:val="tx1"/>
            </w14:solidFill>
          </w14:textFill>
        </w:rPr>
        <w:t>Kittler, Rygl and Mackinnon, 2011)</w:t>
      </w:r>
      <w:r>
        <w:rPr>
          <w:rFonts w:hint="default" w:ascii="Times New Roman" w:hAnsi="Times New Roman" w:eastAsia="SimSun" w:cs="Times New Roman"/>
          <w:color w:val="000000" w:themeColor="text1"/>
          <w:sz w:val="24"/>
          <w:szCs w:val="24"/>
          <w14:textFill>
            <w14:solidFill>
              <w14:schemeClr w14:val="tx1"/>
            </w14:solidFill>
          </w14:textFill>
        </w:rPr>
        <w:t xml:space="preserve">. Every culture can be represented by a specific point along the line, indicating the extent of the relative importance of the way and the content of the communication. According to this framework, Italian and British are both at the middle-high level. That is, they both prefer to communicate more than normal and formal expressions through words and sentences. The body language, smiling face, facial expression, silence, eye contact and even intonation can be used to or be considered to contain some information. For example, the silent moment may express dissatisfaction or disagreement. Despite the similarity, the point of Italian is closer to the highest point than British. Especially in the context of business, Italy emphases more on the style of conversation and behavior. Thus, the boundary spanning employee from the British firm should observe more carefully the partner employee’s other communication forms except verbal expression.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Geert Hofstede’s six cultural dimensions model is another useful tool to analysis cultural differences (</w:t>
      </w:r>
      <w:r>
        <w:rPr>
          <w:rFonts w:hint="default" w:ascii="Times New Roman" w:hAnsi="Times New Roman" w:cs="Times New Roman"/>
          <w:color w:val="000000" w:themeColor="text1"/>
          <w:sz w:val="24"/>
          <w:szCs w:val="24"/>
          <w:shd w:val="clear" w:color="auto" w:fill="FFFFFF"/>
          <w14:textFill>
            <w14:solidFill>
              <w14:schemeClr w14:val="tx1"/>
            </w14:solidFill>
          </w14:textFill>
        </w:rPr>
        <w:t>Jobs and Gilfoi, 2012)</w:t>
      </w:r>
      <w:r>
        <w:rPr>
          <w:rFonts w:hint="default" w:ascii="Times New Roman" w:hAnsi="Times New Roman" w:eastAsia="SimSun" w:cs="Times New Roman"/>
          <w:color w:val="000000" w:themeColor="text1"/>
          <w:sz w:val="24"/>
          <w:szCs w:val="24"/>
          <w14:textFill>
            <w14:solidFill>
              <w14:schemeClr w14:val="tx1"/>
            </w14:solidFill>
          </w14:textFill>
        </w:rPr>
        <w:t>. This framework provides six criteria to assess the cultures which can distinguish different cultures from each other, including the focus of responsibility, power distance, attitude toward uncertainty, masculinity, time orientation and man orientation. Similarly, Fons Trompenaar’s seven cultural dimensions model is also a useful tool to analysis cultural differences (</w:t>
      </w:r>
      <w:r>
        <w:rPr>
          <w:rFonts w:hint="default" w:ascii="Times New Roman" w:hAnsi="Times New Roman" w:cs="Times New Roman"/>
          <w:color w:val="000000" w:themeColor="text1"/>
          <w:sz w:val="24"/>
          <w:szCs w:val="24"/>
          <w:shd w:val="clear" w:color="auto" w:fill="FFFFFF"/>
          <w14:textFill>
            <w14:solidFill>
              <w14:schemeClr w14:val="tx1"/>
            </w14:solidFill>
          </w14:textFill>
        </w:rPr>
        <w:t>Chen and Ha, 2010)</w:t>
      </w:r>
      <w:r>
        <w:rPr>
          <w:rFonts w:hint="default" w:ascii="Times New Roman" w:hAnsi="Times New Roman" w:eastAsia="SimSun" w:cs="Times New Roman"/>
          <w:color w:val="000000" w:themeColor="text1"/>
          <w:sz w:val="24"/>
          <w:szCs w:val="24"/>
          <w14:textFill>
            <w14:solidFill>
              <w14:schemeClr w14:val="tx1"/>
            </w14:solidFill>
          </w14:textFill>
        </w:rPr>
        <w:t>. This framework provides seven criteria to assess the cultures which can distinguish different cultures from each other, three of which is equal to Geert Hofstede’s six cultural dimensions: the focus of responsibility, time orientation and man orientation; and the other four of which include universalism or particularism, neutral or emotional, defuse or specific cultures and achievement or ascription. For Italian and British, they are similar in some dimensions while different in the others. This report focuses on their differences only. For British, they are typical collectivism, universalism, neutral and ascription-orientation. On the other hand, Italians are neither collectivism nor individualism, neither universalism nor particularism, neither achievement-orientation nor ascription-orientation, yet emotional. Thus, for British, Italians are less collectivism, less universalism, less ascription-orientation and more emotional (see Table 1). For instance, Italians are willing to argue upon terms of cooperation in the business context. But they are more causal at other aspects.</w:t>
      </w:r>
    </w:p>
    <w:p>
      <w:pPr>
        <w:spacing w:line="24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Table1 Cultural differences between Italy and Britain</w:t>
      </w:r>
    </w:p>
    <w:tbl>
      <w:tblPr>
        <w:tblStyle w:val="13"/>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3544"/>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0"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p>
        </w:tc>
        <w:tc>
          <w:tcPr>
            <w:tcW w:w="3544"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Italians</w:t>
            </w:r>
          </w:p>
        </w:tc>
        <w:tc>
          <w:tcPr>
            <w:tcW w:w="3118"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British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0" w:type="dxa"/>
          </w:tcPr>
          <w:p>
            <w:pPr>
              <w:spacing w:after="0" w:line="360" w:lineRule="auto"/>
              <w:jc w:val="center"/>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Hall’s framework</w:t>
            </w:r>
          </w:p>
        </w:tc>
        <w:tc>
          <w:tcPr>
            <w:tcW w:w="3544"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Middle-high context (higher)</w:t>
            </w:r>
          </w:p>
        </w:tc>
        <w:tc>
          <w:tcPr>
            <w:tcW w:w="3118"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Middle-high context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0" w:type="dxa"/>
          </w:tcPr>
          <w:p>
            <w:pPr>
              <w:spacing w:after="0" w:line="360" w:lineRule="auto"/>
              <w:jc w:val="center"/>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Geert Hofstede’s</w:t>
            </w:r>
          </w:p>
        </w:tc>
        <w:tc>
          <w:tcPr>
            <w:tcW w:w="3544"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neither collectivism nor individualism</w:t>
            </w:r>
          </w:p>
        </w:tc>
        <w:tc>
          <w:tcPr>
            <w:tcW w:w="3118"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 xml:space="preserve">collectivism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0" w:type="dxa"/>
          </w:tcPr>
          <w:p>
            <w:pPr>
              <w:spacing w:after="0" w:line="360" w:lineRule="auto"/>
              <w:jc w:val="center"/>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Trompenaar’s</w:t>
            </w:r>
          </w:p>
        </w:tc>
        <w:tc>
          <w:tcPr>
            <w:tcW w:w="3544"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neither universalism nor particularism, neither achievement-orientation nor ascription-orientation, emotional</w:t>
            </w:r>
          </w:p>
        </w:tc>
        <w:tc>
          <w:tcPr>
            <w:tcW w:w="3118" w:type="dxa"/>
          </w:tcPr>
          <w:p>
            <w:pPr>
              <w:spacing w:after="0"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universalism, neutral, ascription-orientation</w:t>
            </w:r>
          </w:p>
        </w:tc>
      </w:tr>
    </w:tbl>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p>
    <w:p>
      <w:pPr>
        <w:pStyle w:val="3"/>
        <w:rPr>
          <w:rFonts w:hint="default" w:ascii="Times New Roman" w:hAnsi="Times New Roman" w:cs="Times New Roman"/>
          <w:sz w:val="24"/>
          <w:szCs w:val="24"/>
        </w:rPr>
      </w:pPr>
      <w:bookmarkStart w:id="12" w:name="_Toc1326"/>
      <w:r>
        <w:rPr>
          <w:rFonts w:hint="default" w:ascii="Times New Roman" w:hAnsi="Times New Roman" w:cs="Times New Roman"/>
          <w:sz w:val="24"/>
          <w:szCs w:val="24"/>
        </w:rPr>
        <w:t>4.2Communication skills</w:t>
      </w:r>
      <w:bookmarkEnd w:id="12"/>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Under the circumstance of existing cultural differences, British should take distinctive forms of communication with Italians. As we all know, there are some forms of communication which are usually used during people’s daily or commercial lives, including speaking, writing, body language, listening, facial expression and touch (Vladutescu et al.</w:t>
      </w:r>
      <w:r>
        <w:rPr>
          <w:rFonts w:hint="default" w:ascii="Times New Roman" w:hAnsi="Times New Roman" w:cs="Times New Roman"/>
          <w:color w:val="000000" w:themeColor="text1"/>
          <w:sz w:val="24"/>
          <w:szCs w:val="24"/>
          <w:shd w:val="clear" w:color="auto" w:fill="FFFFFF"/>
          <w14:textFill>
            <w14:solidFill>
              <w14:schemeClr w14:val="tx1"/>
            </w14:solidFill>
          </w14:textFill>
        </w:rPr>
        <w:t>, 2015)</w:t>
      </w:r>
      <w:r>
        <w:rPr>
          <w:rFonts w:hint="default" w:ascii="Times New Roman" w:hAnsi="Times New Roman" w:eastAsia="SimSun" w:cs="Times New Roman"/>
          <w:color w:val="000000" w:themeColor="text1"/>
          <w:sz w:val="24"/>
          <w:szCs w:val="24"/>
          <w14:textFill>
            <w14:solidFill>
              <w14:schemeClr w14:val="tx1"/>
            </w14:solidFill>
          </w14:textFill>
        </w:rPr>
        <w:t>. Then turn back to the case of this report, which forms of communication should the British employee take and how to put them into effect? Based on the cultural differences analyzed above, the British employee should express more about what they are thinking to come up with the Italian, no matter in which forms of communication. In consideration of their less collectivism, less universalism and less ascription-orientation, the British should talk less about the group or the firm, but more about particular situations. In addition, he or she should observe more carefully about the partner employee’s gestures, facial expression, touch or something else, because these may contain more information.</w:t>
      </w:r>
    </w:p>
    <w:p>
      <w:pPr>
        <w:pStyle w:val="3"/>
        <w:rPr>
          <w:rFonts w:hint="default" w:ascii="Times New Roman" w:hAnsi="Times New Roman" w:cs="Times New Roman"/>
          <w:sz w:val="24"/>
          <w:szCs w:val="24"/>
        </w:rPr>
      </w:pPr>
      <w:bookmarkStart w:id="13" w:name="_Toc13908"/>
      <w:r>
        <w:rPr>
          <w:rFonts w:hint="default" w:ascii="Times New Roman" w:hAnsi="Times New Roman" w:cs="Times New Roman"/>
          <w:sz w:val="24"/>
          <w:szCs w:val="24"/>
        </w:rPr>
        <w:t>4.3Gift giving and language</w:t>
      </w:r>
      <w:bookmarkEnd w:id="13"/>
      <w:r>
        <w:rPr>
          <w:rFonts w:hint="default" w:ascii="Times New Roman" w:hAnsi="Times New Roman" w:cs="Times New Roman"/>
          <w:sz w:val="24"/>
          <w:szCs w:val="24"/>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The extent to which gift giving is accepted depends largely on the cultural environment (Ward and Broniarczyk</w:t>
      </w:r>
      <w:r>
        <w:rPr>
          <w:rFonts w:hint="default" w:ascii="Times New Roman" w:hAnsi="Times New Roman" w:cs="Times New Roman"/>
          <w:color w:val="000000" w:themeColor="text1"/>
          <w:sz w:val="24"/>
          <w:szCs w:val="24"/>
          <w:shd w:val="clear" w:color="auto" w:fill="FFFFFF"/>
          <w14:textFill>
            <w14:solidFill>
              <w14:schemeClr w14:val="tx1"/>
            </w14:solidFill>
          </w14:textFill>
        </w:rPr>
        <w:t>, 2011)</w:t>
      </w:r>
      <w:r>
        <w:rPr>
          <w:rFonts w:hint="default" w:ascii="Times New Roman" w:hAnsi="Times New Roman" w:eastAsia="SimSun" w:cs="Times New Roman"/>
          <w:color w:val="000000" w:themeColor="text1"/>
          <w:sz w:val="24"/>
          <w:szCs w:val="24"/>
          <w14:textFill>
            <w14:solidFill>
              <w14:schemeClr w14:val="tx1"/>
            </w14:solidFill>
          </w14:textFill>
        </w:rPr>
        <w:t xml:space="preserve">. For British, gift represents some meaningful moments or values, it should not be related to other purposes such as business. Thus, gifts are often not expensive but memorable. For Italy, however, gift giving </w:t>
      </w:r>
      <w:r>
        <w:rPr>
          <w:rFonts w:hint="default" w:ascii="Times New Roman" w:hAnsi="Times New Roman" w:eastAsia="SimSun" w:cs="Times New Roman"/>
          <w:color w:val="000000" w:themeColor="text1"/>
          <w:sz w:val="24"/>
          <w:szCs w:val="24"/>
          <w:lang w:val="en-GB"/>
          <w14:textFill>
            <w14:solidFill>
              <w14:schemeClr w14:val="tx1"/>
            </w14:solidFill>
          </w14:textFill>
        </w:rPr>
        <w:t>is a part of the social traditions. They are keen on exchanging gifts to maintain relationships. Therefore, the British employee should bring some gifts to show his or her respect and goodwill.</w:t>
      </w:r>
    </w:p>
    <w:p>
      <w:pPr>
        <w:spacing w:line="360" w:lineRule="auto"/>
        <w:rPr>
          <w:rFonts w:hint="default" w:ascii="Times New Roman" w:hAnsi="Times New Roman" w:eastAsia="SimSun" w:cs="Times New Roman"/>
          <w:color w:val="000000" w:themeColor="text1"/>
          <w:sz w:val="24"/>
          <w:szCs w:val="24"/>
          <w:lang w:val="en-GB"/>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 xml:space="preserve">As for language, English has long been the </w:t>
      </w:r>
      <w:r>
        <w:rPr>
          <w:rFonts w:hint="default" w:ascii="Times New Roman" w:hAnsi="Times New Roman" w:eastAsia="SimSun" w:cs="Times New Roman"/>
          <w:color w:val="000000" w:themeColor="text1"/>
          <w:sz w:val="24"/>
          <w:szCs w:val="24"/>
          <w:lang w:val="en-GB"/>
          <w14:textFill>
            <w14:solidFill>
              <w14:schemeClr w14:val="tx1"/>
            </w14:solidFill>
          </w14:textFill>
        </w:rPr>
        <w:t>lingua franca which makes it more convenient for international business (</w:t>
      </w:r>
      <w:r>
        <w:rPr>
          <w:rFonts w:hint="default" w:ascii="Times New Roman" w:hAnsi="Times New Roman" w:cs="Times New Roman"/>
          <w:color w:val="000000" w:themeColor="text1"/>
          <w:sz w:val="24"/>
          <w:szCs w:val="24"/>
          <w:shd w:val="clear" w:color="auto" w:fill="FFFFFF"/>
          <w14:textFill>
            <w14:solidFill>
              <w14:schemeClr w14:val="tx1"/>
            </w14:solidFill>
          </w14:textFill>
        </w:rPr>
        <w:t>Lockwood, 2012)</w:t>
      </w:r>
      <w:r>
        <w:rPr>
          <w:rFonts w:hint="default" w:ascii="Times New Roman" w:hAnsi="Times New Roman" w:eastAsia="SimSun" w:cs="Times New Roman"/>
          <w:color w:val="000000" w:themeColor="text1"/>
          <w:sz w:val="24"/>
          <w:szCs w:val="24"/>
          <w:lang w:val="en-GB"/>
          <w14:textFill>
            <w14:solidFill>
              <w14:schemeClr w14:val="tx1"/>
            </w14:solidFill>
          </w14:textFill>
        </w:rPr>
        <w:t>. However, English is not pure any more. There is no denying that the British employee will speak British. But, as for the Italian, whose mother tongue is not English, may speak American English or British or both of them. Thus, the British employee should listen carefully and be more tolerant to the partner’s speaking.</w:t>
      </w:r>
    </w:p>
    <w:p>
      <w:pPr>
        <w:pStyle w:val="2"/>
        <w:rPr>
          <w:rFonts w:hint="default" w:ascii="Times New Roman" w:hAnsi="Times New Roman" w:cs="Times New Roman"/>
          <w:sz w:val="24"/>
          <w:szCs w:val="24"/>
          <w:lang w:val="en-GB"/>
        </w:rPr>
      </w:pPr>
      <w:bookmarkStart w:id="14" w:name="_Toc17398"/>
      <w:r>
        <w:rPr>
          <w:rFonts w:hint="default" w:ascii="Times New Roman" w:hAnsi="Times New Roman" w:cs="Times New Roman"/>
          <w:sz w:val="24"/>
          <w:szCs w:val="24"/>
          <w:lang w:val="en-GB"/>
        </w:rPr>
        <w:t>5. Conclusions</w:t>
      </w:r>
      <w:bookmarkEnd w:id="14"/>
      <w:r>
        <w:rPr>
          <w:rFonts w:hint="default" w:ascii="Times New Roman" w:hAnsi="Times New Roman" w:cs="Times New Roman"/>
          <w:sz w:val="24"/>
          <w:szCs w:val="24"/>
          <w:lang w:val="en-GB"/>
        </w:rPr>
        <w:t xml:space="preserve"> </w:t>
      </w:r>
    </w:p>
    <w:p>
      <w:pPr>
        <w:spacing w:line="360" w:lineRule="auto"/>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 xml:space="preserve">Firms or organizations dealing with international business should attach importance to interpersonal communications between boundary spanners in case of business failure caused by cultural misunderstanding. This report aims at exploring the challenges for British to do business with Italians by clarifying the cultural differences as well as how to cope with them. The report addresses some do’s and don’ts while doing business with Italians for British. According to the cultural differences on the basis of </w:t>
      </w:r>
      <w:bookmarkStart w:id="15" w:name="_Hlk503893805"/>
      <w:r>
        <w:rPr>
          <w:rFonts w:hint="default" w:ascii="Times New Roman" w:hAnsi="Times New Roman" w:eastAsia="SimSun" w:cs="Times New Roman"/>
          <w:color w:val="000000" w:themeColor="text1"/>
          <w:sz w:val="24"/>
          <w:szCs w:val="24"/>
          <w14:textFill>
            <w14:solidFill>
              <w14:schemeClr w14:val="tx1"/>
            </w14:solidFill>
          </w14:textFill>
        </w:rPr>
        <w:t>Hall’s high context versus low context framework, Geert Hofstede’s six cultural dimensions model and Fons Trompenaar’s seven-dimension model</w:t>
      </w:r>
      <w:bookmarkEnd w:id="15"/>
      <w:r>
        <w:rPr>
          <w:rFonts w:hint="default" w:ascii="Times New Roman" w:hAnsi="Times New Roman" w:eastAsia="SimSun" w:cs="Times New Roman"/>
          <w:color w:val="000000" w:themeColor="text1"/>
          <w:sz w:val="24"/>
          <w:szCs w:val="24"/>
          <w14:textFill>
            <w14:solidFill>
              <w14:schemeClr w14:val="tx1"/>
            </w14:solidFill>
          </w14:textFill>
        </w:rPr>
        <w:t xml:space="preserve">, this report turns to a conclusion as follows. First, British should express more about what they are thinking to come up with the Italian, no matter in which forms of communication, talk more about particular situations. Then, they shouldn’t always talk about the group or firm. In addition, they </w:t>
      </w:r>
      <w:r>
        <w:rPr>
          <w:rFonts w:hint="default" w:ascii="Times New Roman" w:hAnsi="Times New Roman" w:eastAsia="SimSun" w:cs="Times New Roman"/>
          <w:color w:val="000000" w:themeColor="text1"/>
          <w:sz w:val="24"/>
          <w:szCs w:val="24"/>
          <w:lang w:val="en-GB"/>
          <w14:textFill>
            <w14:solidFill>
              <w14:schemeClr w14:val="tx1"/>
            </w14:solidFill>
          </w14:textFill>
        </w:rPr>
        <w:t>should bring some gifts to show his or her respect and goodwill as well as listen carefully and be more tolerant to the partner’s speaking. Finally, always be careful about the cultural differences which can reduce conflicts.</w:t>
      </w:r>
    </w:p>
    <w:p>
      <w:pPr>
        <w:widowControl/>
        <w:jc w:val="left"/>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br w:type="page"/>
      </w:r>
    </w:p>
    <w:p>
      <w:pPr>
        <w:pStyle w:val="2"/>
        <w:rPr>
          <w:rFonts w:hint="default" w:ascii="Times New Roman" w:hAnsi="Times New Roman" w:cs="Times New Roman"/>
          <w:sz w:val="24"/>
          <w:szCs w:val="24"/>
        </w:rPr>
      </w:pPr>
      <w:bookmarkStart w:id="16" w:name="_Toc15365"/>
      <w:r>
        <w:rPr>
          <w:rFonts w:hint="default" w:ascii="Times New Roman" w:hAnsi="Times New Roman" w:cs="Times New Roman"/>
          <w:sz w:val="24"/>
          <w:szCs w:val="24"/>
          <w:lang w:val="en-US" w:eastAsia="zh-CN"/>
        </w:rPr>
        <w:t>Re</w:t>
      </w:r>
      <w:r>
        <w:rPr>
          <w:rFonts w:hint="default" w:ascii="Times New Roman" w:hAnsi="Times New Roman" w:cs="Times New Roman"/>
          <w:sz w:val="24"/>
          <w:szCs w:val="24"/>
        </w:rPr>
        <w:t>ferences</w:t>
      </w:r>
      <w:bookmarkEnd w:id="16"/>
      <w:r>
        <w:rPr>
          <w:rFonts w:hint="default" w:ascii="Times New Roman" w:hAnsi="Times New Roman" w:cs="Times New Roman"/>
          <w:sz w:val="24"/>
          <w:szCs w:val="24"/>
        </w:rPr>
        <w:t xml:space="preserve"> </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bookmarkStart w:id="17" w:name="_Hlk503796917"/>
      <w:r>
        <w:rPr>
          <w:rFonts w:hint="default" w:ascii="Times New Roman" w:hAnsi="Times New Roman" w:cs="Times New Roman"/>
          <w:color w:val="000000" w:themeColor="text1"/>
          <w:sz w:val="24"/>
          <w:szCs w:val="24"/>
          <w:shd w:val="clear" w:color="auto" w:fill="FFFFFF"/>
          <w14:textFill>
            <w14:solidFill>
              <w14:schemeClr w14:val="tx1"/>
            </w14:solidFill>
          </w14:textFill>
        </w:rPr>
        <w:t>Aral S, Walker</w:t>
      </w:r>
      <w:bookmarkEnd w:id="17"/>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D. (2014) ‘Tie Strength, Embeddedness, and Social Influence: A Large-Scale Networked Experiment’. </w:t>
      </w:r>
      <w:r>
        <w:rPr>
          <w:rFonts w:hint="default" w:ascii="Times New Roman" w:hAnsi="Times New Roman" w:cs="Times New Roman"/>
          <w:i/>
          <w:color w:val="000000" w:themeColor="text1"/>
          <w:sz w:val="24"/>
          <w:szCs w:val="24"/>
          <w:shd w:val="clear" w:color="auto" w:fill="FFFFFF"/>
          <w14:textFill>
            <w14:solidFill>
              <w14:schemeClr w14:val="tx1"/>
            </w14:solidFill>
          </w14:textFill>
        </w:rPr>
        <w:t>Management Science</w:t>
      </w:r>
      <w:r>
        <w:rPr>
          <w:rFonts w:hint="default" w:ascii="Times New Roman" w:hAnsi="Times New Roman" w:cs="Times New Roman"/>
          <w:color w:val="000000" w:themeColor="text1"/>
          <w:sz w:val="24"/>
          <w:szCs w:val="24"/>
          <w:shd w:val="clear" w:color="auto" w:fill="FFFFFF"/>
          <w14:textFill>
            <w14:solidFill>
              <w14:schemeClr w14:val="tx1"/>
            </w14:solidFill>
          </w14:textFill>
        </w:rPr>
        <w:t>, 60(6), pp. 1352-1370.</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bookmarkStart w:id="18" w:name="_Hlk503799139"/>
      <w:r>
        <w:rPr>
          <w:rFonts w:hint="default" w:ascii="Times New Roman" w:hAnsi="Times New Roman" w:cs="Times New Roman"/>
          <w:color w:val="000000" w:themeColor="text1"/>
          <w:sz w:val="24"/>
          <w:szCs w:val="24"/>
          <w:shd w:val="clear" w:color="auto" w:fill="FFFFFF"/>
          <w14:textFill>
            <w14:solidFill>
              <w14:schemeClr w14:val="tx1"/>
            </w14:solidFill>
          </w14:textFill>
        </w:rPr>
        <w:t>Bãlan, S, Vreja</w:t>
      </w:r>
      <w:bookmarkEnd w:id="18"/>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L O. (2013). ‘The Trompenaars’ Seven-Dimension Cultural Model and Cultural Orientations of Romanian Students in Management’. </w:t>
      </w:r>
      <w:r>
        <w:rPr>
          <w:rFonts w:hint="default" w:ascii="Times New Roman" w:hAnsi="Times New Roman" w:cs="Times New Roman"/>
          <w:i/>
          <w:color w:val="000000" w:themeColor="text1"/>
          <w:sz w:val="24"/>
          <w:szCs w:val="24"/>
          <w:shd w:val="clear" w:color="auto" w:fill="FFFFFF"/>
          <w14:textFill>
            <w14:solidFill>
              <w14:schemeClr w14:val="tx1"/>
            </w14:solidFill>
          </w14:textFill>
        </w:rPr>
        <w:t>International Management Conference</w:t>
      </w:r>
      <w:r>
        <w:rPr>
          <w:rFonts w:hint="default" w:ascii="Times New Roman" w:hAnsi="Times New Roman" w:cs="Times New Roman"/>
          <w:color w:val="000000" w:themeColor="text1"/>
          <w:sz w:val="24"/>
          <w:szCs w:val="24"/>
          <w:shd w:val="clear" w:color="auto" w:fill="FFFFFF"/>
          <w14:textFill>
            <w14:solidFill>
              <w14:schemeClr w14:val="tx1"/>
            </w14:solidFill>
          </w14:textFill>
        </w:rPr>
        <w:t>, 7, pp. 95-107.</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Chen I C L, Ha J W. (2010) ‘A comparison of Cultural Impact on Asian MNC's Merge with Western MNC’, </w:t>
      </w:r>
      <w:r>
        <w:rPr>
          <w:rFonts w:hint="default" w:ascii="Times New Roman" w:hAnsi="Times New Roman" w:cs="Times New Roman"/>
          <w:i/>
          <w:color w:val="000000" w:themeColor="text1"/>
          <w:sz w:val="24"/>
          <w:szCs w:val="24"/>
          <w:shd w:val="clear" w:color="auto" w:fill="FFFFFF"/>
          <w14:textFill>
            <w14:solidFill>
              <w14:schemeClr w14:val="tx1"/>
            </w14:solidFill>
          </w14:textFill>
        </w:rPr>
        <w:t>Journal of the Academy of Business &amp; Economics</w:t>
      </w:r>
      <w:r>
        <w:rPr>
          <w:rFonts w:hint="default" w:ascii="Times New Roman" w:hAnsi="Times New Roman" w:cs="Times New Roman"/>
          <w:color w:val="000000" w:themeColor="text1"/>
          <w:sz w:val="24"/>
          <w:szCs w:val="24"/>
          <w:shd w:val="clear" w:color="auto" w:fill="FFFFFF"/>
          <w14:textFill>
            <w14:solidFill>
              <w14:schemeClr w14:val="tx1"/>
            </w14:solidFill>
          </w14:textFill>
        </w:rPr>
        <w:t>, 10(4), pp. 93-109.</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Fleming L, Waguespack D M. (2016) ‘Brokerage, Boundary Spanning, and Leadership in Open Innovation Communities’. </w:t>
      </w:r>
      <w:r>
        <w:rPr>
          <w:rFonts w:hint="default" w:ascii="Times New Roman" w:hAnsi="Times New Roman" w:cs="Times New Roman"/>
          <w:i/>
          <w:color w:val="000000" w:themeColor="text1"/>
          <w:sz w:val="24"/>
          <w:szCs w:val="24"/>
          <w:shd w:val="clear" w:color="auto" w:fill="FFFFFF"/>
          <w14:textFill>
            <w14:solidFill>
              <w14:schemeClr w14:val="tx1"/>
            </w14:solidFill>
          </w14:textFill>
        </w:rPr>
        <w:t>Organization Science</w:t>
      </w:r>
      <w:r>
        <w:rPr>
          <w:rFonts w:hint="default" w:ascii="Times New Roman" w:hAnsi="Times New Roman" w:cs="Times New Roman"/>
          <w:color w:val="000000" w:themeColor="text1"/>
          <w:sz w:val="24"/>
          <w:szCs w:val="24"/>
          <w:shd w:val="clear" w:color="auto" w:fill="FFFFFF"/>
          <w14:textFill>
            <w14:solidFill>
              <w14:schemeClr w14:val="tx1"/>
            </w14:solidFill>
          </w14:textFill>
        </w:rPr>
        <w:t>, 18(2), pp. 165-180.</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Jobs C, Gilfoil D M. (2012). ‘Less is More for Online Marcom in Emerging Markets: Linking Hofstede's Cultural Dimensions and Higher Relative Preferences for Microblogging in Developing Nations’. </w:t>
      </w:r>
      <w:r>
        <w:rPr>
          <w:rFonts w:hint="default" w:ascii="Times New Roman" w:hAnsi="Times New Roman" w:cs="Times New Roman"/>
          <w:i/>
          <w:color w:val="000000" w:themeColor="text1"/>
          <w:sz w:val="24"/>
          <w:szCs w:val="24"/>
          <w:shd w:val="clear" w:color="auto" w:fill="FFFFFF"/>
          <w14:textFill>
            <w14:solidFill>
              <w14:schemeClr w14:val="tx1"/>
            </w14:solidFill>
          </w14:textFill>
        </w:rPr>
        <w:t>Academy of Marketing Studies Journal,</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16(2), pp. 79-96.</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Kittler M G, Rygl D, Mackinnon A. (2011) ‘Special Review Article: Beyond culture or beyond control? Reviewing the use of Hall’s high-/low-context concept’. </w:t>
      </w:r>
      <w:r>
        <w:rPr>
          <w:rFonts w:hint="default" w:ascii="Times New Roman" w:hAnsi="Times New Roman" w:cs="Times New Roman"/>
          <w:i/>
          <w:color w:val="000000" w:themeColor="text1"/>
          <w:sz w:val="24"/>
          <w:szCs w:val="24"/>
          <w:shd w:val="clear" w:color="auto" w:fill="FFFFFF"/>
          <w14:textFill>
            <w14:solidFill>
              <w14:schemeClr w14:val="tx1"/>
            </w14:solidFill>
          </w14:textFill>
        </w:rPr>
        <w:t>International Journal of Cross Cultural Management</w:t>
      </w:r>
      <w:r>
        <w:rPr>
          <w:rFonts w:hint="default" w:ascii="Times New Roman" w:hAnsi="Times New Roman" w:cs="Times New Roman"/>
          <w:color w:val="000000" w:themeColor="text1"/>
          <w:sz w:val="24"/>
          <w:szCs w:val="24"/>
          <w:shd w:val="clear" w:color="auto" w:fill="FFFFFF"/>
          <w14:textFill>
            <w14:solidFill>
              <w14:schemeClr w14:val="tx1"/>
            </w14:solidFill>
          </w14:textFill>
        </w:rPr>
        <w:t>, 11(1), pp. 63-82.</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bookmarkStart w:id="19" w:name="_Hlk503798453"/>
      <w:r>
        <w:rPr>
          <w:rFonts w:hint="default" w:ascii="Times New Roman" w:hAnsi="Times New Roman" w:cs="Times New Roman"/>
          <w:color w:val="000000" w:themeColor="text1"/>
          <w:sz w:val="24"/>
          <w:szCs w:val="24"/>
          <w:shd w:val="clear" w:color="auto" w:fill="FFFFFF"/>
          <w14:textFill>
            <w14:solidFill>
              <w14:schemeClr w14:val="tx1"/>
            </w14:solidFill>
          </w14:textFill>
        </w:rPr>
        <w:t>Koo K A, Patten B C, Creed</w:t>
      </w:r>
      <w:bookmarkEnd w:id="19"/>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I F. (2011) ‘Picea Rubens Growth at High versus Low Elevations in the Great Smoky Mountains National Park: Evaluation by Systems Modeling’. </w:t>
      </w:r>
      <w:r>
        <w:rPr>
          <w:rFonts w:hint="default" w:ascii="Times New Roman" w:hAnsi="Times New Roman" w:cs="Times New Roman"/>
          <w:i/>
          <w:color w:val="000000" w:themeColor="text1"/>
          <w:sz w:val="24"/>
          <w:szCs w:val="24"/>
          <w:shd w:val="clear" w:color="auto" w:fill="FFFFFF"/>
          <w14:textFill>
            <w14:solidFill>
              <w14:schemeClr w14:val="tx1"/>
            </w14:solidFill>
          </w14:textFill>
        </w:rPr>
        <w:t>Canadian Journal of Forest Research</w:t>
      </w:r>
      <w:r>
        <w:rPr>
          <w:rFonts w:hint="default" w:ascii="Times New Roman" w:hAnsi="Times New Roman" w:cs="Times New Roman"/>
          <w:color w:val="000000" w:themeColor="text1"/>
          <w:sz w:val="24"/>
          <w:szCs w:val="24"/>
          <w:shd w:val="clear" w:color="auto" w:fill="FFFFFF"/>
          <w14:textFill>
            <w14:solidFill>
              <w14:schemeClr w14:val="tx1"/>
            </w14:solidFill>
          </w14:textFill>
        </w:rPr>
        <w:t>, 41(5), pp. 945-962.</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Lockwood J. (2012) ‘Are We Getting the Right People for the Job? A Study of English Language Recruitment Assessment Practices in the Business Processing Outsourcing Sector: India and the Philippines’. </w:t>
      </w:r>
      <w:r>
        <w:rPr>
          <w:rFonts w:hint="default" w:ascii="Times New Roman" w:hAnsi="Times New Roman" w:cs="Times New Roman"/>
          <w:i/>
          <w:color w:val="000000" w:themeColor="text1"/>
          <w:sz w:val="24"/>
          <w:szCs w:val="24"/>
          <w:shd w:val="clear" w:color="auto" w:fill="FFFFFF"/>
          <w14:textFill>
            <w14:solidFill>
              <w14:schemeClr w14:val="tx1"/>
            </w14:solidFill>
          </w14:textFill>
        </w:rPr>
        <w:t>Journal of Business Communication</w:t>
      </w:r>
      <w:r>
        <w:rPr>
          <w:rFonts w:hint="default" w:ascii="Times New Roman" w:hAnsi="Times New Roman" w:cs="Times New Roman"/>
          <w:color w:val="000000" w:themeColor="text1"/>
          <w:sz w:val="24"/>
          <w:szCs w:val="24"/>
          <w:shd w:val="clear" w:color="auto" w:fill="FFFFFF"/>
          <w14:textFill>
            <w14:solidFill>
              <w14:schemeClr w14:val="tx1"/>
            </w14:solidFill>
          </w14:textFill>
        </w:rPr>
        <w:t>, 49(2), pp. 107-127.</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Luo Y, Shenkar O. (2011) ‘Toward a Perspective of Cultural Friction in International Business’. </w:t>
      </w:r>
      <w:r>
        <w:rPr>
          <w:rFonts w:hint="default" w:ascii="Times New Roman" w:hAnsi="Times New Roman" w:cs="Times New Roman"/>
          <w:i/>
          <w:color w:val="000000" w:themeColor="text1"/>
          <w:sz w:val="24"/>
          <w:szCs w:val="24"/>
          <w:shd w:val="clear" w:color="auto" w:fill="FFFFFF"/>
          <w14:textFill>
            <w14:solidFill>
              <w14:schemeClr w14:val="tx1"/>
            </w14:solidFill>
          </w14:textFill>
        </w:rPr>
        <w:t>Journal of International Management,</w:t>
      </w: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 17(1), pp. 1-14.</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 xml:space="preserve">Mooij M, Hofstede G. (2011) ‘Cross-Cultural Consumer Behavior: A Review of Research Findings’. </w:t>
      </w:r>
      <w:r>
        <w:rPr>
          <w:rFonts w:hint="default" w:ascii="Times New Roman" w:hAnsi="Times New Roman" w:cs="Times New Roman"/>
          <w:i/>
          <w:color w:val="000000" w:themeColor="text1"/>
          <w:sz w:val="24"/>
          <w:szCs w:val="24"/>
          <w:shd w:val="clear" w:color="auto" w:fill="FFFFFF"/>
          <w14:textFill>
            <w14:solidFill>
              <w14:schemeClr w14:val="tx1"/>
            </w14:solidFill>
          </w14:textFill>
        </w:rPr>
        <w:t>Journal of International Consumer Marketing</w:t>
      </w:r>
      <w:r>
        <w:rPr>
          <w:rFonts w:hint="default" w:ascii="Times New Roman" w:hAnsi="Times New Roman" w:cs="Times New Roman"/>
          <w:color w:val="000000" w:themeColor="text1"/>
          <w:sz w:val="24"/>
          <w:szCs w:val="24"/>
          <w:shd w:val="clear" w:color="auto" w:fill="FFFFFF"/>
          <w14:textFill>
            <w14:solidFill>
              <w14:schemeClr w14:val="tx1"/>
            </w14:solidFill>
          </w14:textFill>
        </w:rPr>
        <w:t>, 23(3-4), pp. 181-192.</w:t>
      </w:r>
    </w:p>
    <w:p>
      <w:pPr>
        <w:pStyle w:val="17"/>
        <w:spacing w:line="360" w:lineRule="auto"/>
        <w:ind w:firstLine="0" w:firstLineChars="0"/>
        <w:rPr>
          <w:rFonts w:hint="default" w:ascii="Times New Roman" w:hAnsi="Times New Roman" w:cs="Times New Roman"/>
          <w:color w:val="000000" w:themeColor="text1"/>
          <w:sz w:val="24"/>
          <w:szCs w:val="24"/>
          <w:shd w:val="clear" w:color="auto" w:fill="FFFFFF"/>
          <w14:textFill>
            <w14:solidFill>
              <w14:schemeClr w14:val="tx1"/>
            </w14:solidFill>
          </w14:textFill>
        </w:rPr>
      </w:pPr>
      <w:r>
        <w:rPr>
          <w:rFonts w:hint="default" w:ascii="Times New Roman" w:hAnsi="Times New Roman" w:cs="Times New Roman"/>
          <w:color w:val="000000" w:themeColor="text1"/>
          <w:sz w:val="24"/>
          <w:szCs w:val="24"/>
          <w:shd w:val="clear" w:color="auto" w:fill="FFFFFF"/>
          <w14:textFill>
            <w14:solidFill>
              <w14:schemeClr w14:val="tx1"/>
            </w14:solidFill>
          </w14:textFill>
        </w:rPr>
        <w:t>Stamper C L, Johlke M C. (2015). ‘The Impact of Perceived Organizational Support on the Relationship Between Boundary Spanner Role Stress and Work Outcome’</w:t>
      </w:r>
      <w:r>
        <w:rPr>
          <w:rFonts w:hint="default" w:ascii="Times New Roman" w:hAnsi="Times New Roman" w:cs="Times New Roman"/>
          <w:i/>
          <w:color w:val="000000" w:themeColor="text1"/>
          <w:sz w:val="24"/>
          <w:szCs w:val="24"/>
          <w:shd w:val="clear" w:color="auto" w:fill="FFFFFF"/>
          <w14:textFill>
            <w14:solidFill>
              <w14:schemeClr w14:val="tx1"/>
            </w14:solidFill>
          </w14:textFill>
        </w:rPr>
        <w:t>. Journal of Management</w:t>
      </w:r>
      <w:r>
        <w:rPr>
          <w:rFonts w:hint="default" w:ascii="Times New Roman" w:hAnsi="Times New Roman" w:cs="Times New Roman"/>
          <w:color w:val="000000" w:themeColor="text1"/>
          <w:sz w:val="24"/>
          <w:szCs w:val="24"/>
          <w:shd w:val="clear" w:color="auto" w:fill="FFFFFF"/>
          <w14:textFill>
            <w14:solidFill>
              <w14:schemeClr w14:val="tx1"/>
            </w14:solidFill>
          </w14:textFill>
        </w:rPr>
        <w:t>, 29(4), pp. 569-588.</w:t>
      </w:r>
    </w:p>
    <w:p>
      <w:pPr>
        <w:pStyle w:val="17"/>
        <w:spacing w:line="360" w:lineRule="auto"/>
        <w:ind w:firstLine="0" w:firstLineChars="0"/>
        <w:rPr>
          <w:rFonts w:hint="default" w:ascii="Times New Roman" w:hAnsi="Times New Roman" w:eastAsia="SimSun" w:cs="Times New Roman"/>
          <w:color w:val="000000" w:themeColor="text1"/>
          <w:sz w:val="24"/>
          <w:szCs w:val="24"/>
          <w14:textFill>
            <w14:solidFill>
              <w14:schemeClr w14:val="tx1"/>
            </w14:solidFill>
          </w14:textFill>
        </w:rPr>
      </w:pPr>
      <w:bookmarkStart w:id="20" w:name="_Hlk503797527"/>
      <w:r>
        <w:rPr>
          <w:rFonts w:hint="default" w:ascii="Times New Roman" w:hAnsi="Times New Roman" w:eastAsia="SimSun" w:cs="Times New Roman"/>
          <w:color w:val="000000" w:themeColor="text1"/>
          <w:sz w:val="24"/>
          <w:szCs w:val="24"/>
          <w14:textFill>
            <w14:solidFill>
              <w14:schemeClr w14:val="tx1"/>
            </w14:solidFill>
          </w14:textFill>
        </w:rPr>
        <w:t>Venaik S, Brewer</w:t>
      </w:r>
      <w:bookmarkEnd w:id="20"/>
      <w:r>
        <w:rPr>
          <w:rFonts w:hint="default" w:ascii="Times New Roman" w:hAnsi="Times New Roman" w:eastAsia="SimSun" w:cs="Times New Roman"/>
          <w:color w:val="000000" w:themeColor="text1"/>
          <w:sz w:val="24"/>
          <w:szCs w:val="24"/>
          <w14:textFill>
            <w14:solidFill>
              <w14:schemeClr w14:val="tx1"/>
            </w14:solidFill>
          </w14:textFill>
        </w:rPr>
        <w:t xml:space="preserve"> P. (2013) ‘Critical issues in the Hofstede and GLOBE national culture models’. </w:t>
      </w:r>
      <w:r>
        <w:rPr>
          <w:rFonts w:hint="default" w:ascii="Times New Roman" w:hAnsi="Times New Roman" w:eastAsia="SimSun" w:cs="Times New Roman"/>
          <w:i/>
          <w:color w:val="000000" w:themeColor="text1"/>
          <w:sz w:val="24"/>
          <w:szCs w:val="24"/>
          <w14:textFill>
            <w14:solidFill>
              <w14:schemeClr w14:val="tx1"/>
            </w14:solidFill>
          </w14:textFill>
        </w:rPr>
        <w:t>International Marketing Review</w:t>
      </w:r>
      <w:r>
        <w:rPr>
          <w:rFonts w:hint="default" w:ascii="Times New Roman" w:hAnsi="Times New Roman" w:eastAsia="SimSun" w:cs="Times New Roman"/>
          <w:color w:val="000000" w:themeColor="text1"/>
          <w:sz w:val="24"/>
          <w:szCs w:val="24"/>
          <w14:textFill>
            <w14:solidFill>
              <w14:schemeClr w14:val="tx1"/>
            </w14:solidFill>
          </w14:textFill>
        </w:rPr>
        <w:t>, 30(5), pp. 469-482.</w:t>
      </w:r>
    </w:p>
    <w:p>
      <w:pPr>
        <w:pStyle w:val="17"/>
        <w:spacing w:line="360" w:lineRule="auto"/>
        <w:ind w:firstLine="0" w:firstLineChars="0"/>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 xml:space="preserve">Vladutescu S, Budica I, Dumitru A, Stanescu G C. (2015). ‘Functions and Forms of Managerial Communication’. </w:t>
      </w:r>
      <w:r>
        <w:rPr>
          <w:rFonts w:hint="default" w:ascii="Times New Roman" w:hAnsi="Times New Roman" w:eastAsia="SimSun" w:cs="Times New Roman"/>
          <w:i/>
          <w:color w:val="000000" w:themeColor="text1"/>
          <w:sz w:val="24"/>
          <w:szCs w:val="24"/>
          <w14:textFill>
            <w14:solidFill>
              <w14:schemeClr w14:val="tx1"/>
            </w14:solidFill>
          </w14:textFill>
        </w:rPr>
        <w:t>Journal of Neurochemistry</w:t>
      </w:r>
      <w:r>
        <w:rPr>
          <w:rFonts w:hint="default" w:ascii="Times New Roman" w:hAnsi="Times New Roman" w:eastAsia="SimSun" w:cs="Times New Roman"/>
          <w:color w:val="000000" w:themeColor="text1"/>
          <w:sz w:val="24"/>
          <w:szCs w:val="24"/>
          <w14:textFill>
            <w14:solidFill>
              <w14:schemeClr w14:val="tx1"/>
            </w14:solidFill>
          </w14:textFill>
        </w:rPr>
        <w:t>, 54(1), pp. 248–255.</w:t>
      </w:r>
    </w:p>
    <w:p>
      <w:pPr>
        <w:pStyle w:val="17"/>
        <w:spacing w:line="360" w:lineRule="auto"/>
        <w:ind w:firstLine="0" w:firstLineChars="0"/>
        <w:rPr>
          <w:rFonts w:hint="default" w:ascii="Times New Roman" w:hAnsi="Times New Roman" w:eastAsia="SimSun" w:cs="Times New Roman"/>
          <w:color w:val="000000" w:themeColor="text1"/>
          <w:sz w:val="24"/>
          <w:szCs w:val="24"/>
          <w14:textFill>
            <w14:solidFill>
              <w14:schemeClr w14:val="tx1"/>
            </w14:solidFill>
          </w14:textFill>
        </w:rPr>
      </w:pPr>
      <w:r>
        <w:rPr>
          <w:rFonts w:hint="default" w:ascii="Times New Roman" w:hAnsi="Times New Roman" w:eastAsia="SimSun" w:cs="Times New Roman"/>
          <w:color w:val="000000" w:themeColor="text1"/>
          <w:sz w:val="24"/>
          <w:szCs w:val="24"/>
          <w14:textFill>
            <w14:solidFill>
              <w14:schemeClr w14:val="tx1"/>
            </w14:solidFill>
          </w14:textFill>
        </w:rPr>
        <w:t>Ward M K, Broniarczyk S M. (2011). ‘It’s Not Me, It’s You: How Gift Giving Creates Giver Identity Threat as a Function of Social Closeness’. J</w:t>
      </w:r>
      <w:r>
        <w:rPr>
          <w:rFonts w:hint="default" w:ascii="Times New Roman" w:hAnsi="Times New Roman" w:eastAsia="SimSun" w:cs="Times New Roman"/>
          <w:i/>
          <w:color w:val="000000" w:themeColor="text1"/>
          <w:sz w:val="24"/>
          <w:szCs w:val="24"/>
          <w14:textFill>
            <w14:solidFill>
              <w14:schemeClr w14:val="tx1"/>
            </w14:solidFill>
          </w14:textFill>
        </w:rPr>
        <w:t>ournal of Consumer Research</w:t>
      </w:r>
      <w:r>
        <w:rPr>
          <w:rFonts w:hint="default" w:ascii="Times New Roman" w:hAnsi="Times New Roman" w:eastAsia="SimSun" w:cs="Times New Roman"/>
          <w:color w:val="000000" w:themeColor="text1"/>
          <w:sz w:val="24"/>
          <w:szCs w:val="24"/>
          <w14:textFill>
            <w14:solidFill>
              <w14:schemeClr w14:val="tx1"/>
            </w14:solidFill>
          </w14:textFill>
        </w:rPr>
        <w:t>, 38(1), pp. 164-181.</w:t>
      </w:r>
    </w:p>
    <w:p>
      <w:pPr>
        <w:pStyle w:val="17"/>
        <w:spacing w:line="360" w:lineRule="auto"/>
        <w:ind w:firstLine="0" w:firstLineChars="0"/>
        <w:rPr>
          <w:rFonts w:ascii="Times New Roman" w:hAnsi="Times New Roman" w:eastAsia="SimSun" w:cs="Times New Roman"/>
          <w:color w:val="000000" w:themeColor="text1"/>
          <w:sz w:val="24"/>
          <w:szCs w:val="24"/>
          <w14:textFill>
            <w14:solidFill>
              <w14:schemeClr w14:val="tx1"/>
            </w14:solidFill>
          </w14:textFill>
        </w:rPr>
      </w:pPr>
    </w:p>
    <w:sectPr>
      <w:footerReference r:id="rId6" w:type="default"/>
      <w:pgSz w:w="11906" w:h="16838"/>
      <w:pgMar w:top="1440" w:right="1797" w:bottom="1440" w:left="1797" w:header="851" w:footer="992" w:gutter="0"/>
      <w:pgNumType w:fmt="decimal" w:start="1"/>
      <w:cols w:space="420" w:num="1"/>
      <w:docGrid w:type="lines" w:linePitch="312" w:charSpace="-2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43" w:usb2="00000009" w:usb3="00000000" w:csb0="400001FF" w:csb1="FFFF0000"/>
  </w:font>
  <w:font w:name="Microsoft YaHei">
    <w:panose1 w:val="020B0503020204020204"/>
    <w:charset w:val="86"/>
    <w:family w:val="auto"/>
    <w:pitch w:val="default"/>
    <w:sig w:usb0="80000287" w:usb1="2ACF3C50" w:usb2="00000016" w:usb3="00000000" w:csb0="0004001F" w:csb1="00000000"/>
  </w:font>
  <w:font w:name="DengXian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2260" w:h="346" w:hRule="exact" w:wrap="around" w:vAnchor="text" w:hAnchor="page" w:x="4867" w:y="-56"/>
      <w:rPr>
        <w:rStyle w:val="10"/>
        <w:rFonts w:cs="SimSun"/>
      </w:rPr>
    </w:pPr>
  </w:p>
  <w:p>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0"/>
        <w:rFonts w:cs="SimSun"/>
      </w:rPr>
    </w:pPr>
    <w:r>
      <w:rPr>
        <w:rStyle w:val="10"/>
        <w:rFonts w:cs="SimSun"/>
      </w:rPr>
      <w:fldChar w:fldCharType="begin"/>
    </w:r>
    <w:r>
      <w:rPr>
        <w:rStyle w:val="10"/>
        <w:rFonts w:cs="SimSun"/>
      </w:rPr>
      <w:instrText xml:space="preserve">PAGE  </w:instrText>
    </w:r>
    <w:r>
      <w:rPr>
        <w:rStyle w:val="10"/>
        <w:rFonts w:cs="SimSun"/>
      </w:rPr>
      <w:fldChar w:fldCharType="end"/>
    </w:r>
  </w:p>
  <w:p>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-36195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Style w:val="10"/>
                              <w:rFonts w:cs="SimSun"/>
                            </w:rPr>
                          </w:pPr>
                          <w:r>
                            <w:rPr>
                              <w:rStyle w:val="10"/>
                              <w:rFonts w:cs="SimSun"/>
                            </w:rPr>
                            <w:fldChar w:fldCharType="begin"/>
                          </w:r>
                          <w:r>
                            <w:rPr>
                              <w:rStyle w:val="10"/>
                              <w:rFonts w:cs="SimSun"/>
                            </w:rPr>
                            <w:instrText xml:space="preserve">PAGE  </w:instrText>
                          </w:r>
                          <w:r>
                            <w:rPr>
                              <w:rStyle w:val="10"/>
                              <w:rFonts w:cs="SimSun"/>
                            </w:rPr>
                            <w:fldChar w:fldCharType="separate"/>
                          </w:r>
                          <w:r>
                            <w:rPr>
                              <w:rStyle w:val="10"/>
                              <w:rFonts w:cs="SimSun"/>
                            </w:rPr>
                            <w:t>12</w:t>
                          </w:r>
                          <w:r>
                            <w:rPr>
                              <w:rStyle w:val="10"/>
                              <w:rFonts w:cs="SimSu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85pt;height:144pt;width:144pt;mso-position-horizontal:center;mso-position-horizontal-relative:margin;mso-wrap-style:none;z-index:251658240;mso-width-relative:page;mso-height-relative:page;" filled="f" stroked="f" coordsize="21600,21600" o:gfxdata="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HiHAHrVAAAABwEAAA8AAAAA&#10;AAAAAQAgAAAAIgAAAGRycy9kb3ducmV2LnhtbFBLAQIUABQAAAAIAIdO4kDks6ajwgIAANYFAAAO&#10;AAAAAAAAAAEAIAAAACQBAABkcnMvZTJvRG9jLnhtbFBLBQYAAAAABgAGAFkBAABYBgAAAAA=&#10;">
              <v:fill on="f" focussize="0,0"/>
              <v:stroke on="f" weight="0.5pt"/>
              <v:imagedata o:title=""/>
              <o:lock v:ext="edit" aspectratio="f"/>
              <v:textbox inset="0mm,0mm,0mm,0mm" style="mso-fit-shape-to-text:t;">
                <w:txbxContent>
                  <w:p>
                    <w:pPr>
                      <w:pStyle w:val="7"/>
                      <w:rPr>
                        <w:rStyle w:val="10"/>
                        <w:rFonts w:cs="SimSun"/>
                      </w:rPr>
                    </w:pPr>
                    <w:r>
                      <w:rPr>
                        <w:rStyle w:val="10"/>
                        <w:rFonts w:cs="SimSun"/>
                      </w:rPr>
                      <w:fldChar w:fldCharType="begin"/>
                    </w:r>
                    <w:r>
                      <w:rPr>
                        <w:rStyle w:val="10"/>
                        <w:rFonts w:cs="SimSun"/>
                      </w:rPr>
                      <w:instrText xml:space="preserve">PAGE  </w:instrText>
                    </w:r>
                    <w:r>
                      <w:rPr>
                        <w:rStyle w:val="10"/>
                        <w:rFonts w:cs="SimSun"/>
                      </w:rPr>
                      <w:fldChar w:fldCharType="separate"/>
                    </w:r>
                    <w:r>
                      <w:rPr>
                        <w:rStyle w:val="10"/>
                        <w:rFonts w:cs="SimSun"/>
                      </w:rPr>
                      <w:t>12</w:t>
                    </w:r>
                    <w:r>
                      <w:rPr>
                        <w:rStyle w:val="10"/>
                        <w:rFonts w:cs="SimSu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eastAsia="DengXian"/>
        <w:lang w:val="en-US" w:eastAsia="zh-CN"/>
      </w:rPr>
    </w:pPr>
    <w:r>
      <w:rPr>
        <w:rFonts w:hint="eastAsia"/>
        <w:lang w:val="en-US" w:eastAsia="zh-CN"/>
      </w:rPr>
      <w:t xml:space="preserve">                                                                           1700932 Lin Gaoyu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99"/>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120"/>
    <w:rsid w:val="00020E8C"/>
    <w:rsid w:val="0002352C"/>
    <w:rsid w:val="00076B88"/>
    <w:rsid w:val="001219C0"/>
    <w:rsid w:val="00141274"/>
    <w:rsid w:val="001A1E40"/>
    <w:rsid w:val="002267B9"/>
    <w:rsid w:val="00252CAA"/>
    <w:rsid w:val="002673E9"/>
    <w:rsid w:val="002E616F"/>
    <w:rsid w:val="002E7F4F"/>
    <w:rsid w:val="0030451D"/>
    <w:rsid w:val="003220B0"/>
    <w:rsid w:val="00382793"/>
    <w:rsid w:val="00432272"/>
    <w:rsid w:val="0049503B"/>
    <w:rsid w:val="00504A53"/>
    <w:rsid w:val="00543856"/>
    <w:rsid w:val="00586AD9"/>
    <w:rsid w:val="005D1930"/>
    <w:rsid w:val="005D54B3"/>
    <w:rsid w:val="007B61F8"/>
    <w:rsid w:val="00816BB0"/>
    <w:rsid w:val="00920D7C"/>
    <w:rsid w:val="009235D9"/>
    <w:rsid w:val="009301BB"/>
    <w:rsid w:val="009E5754"/>
    <w:rsid w:val="009E7164"/>
    <w:rsid w:val="00A772E7"/>
    <w:rsid w:val="00A93757"/>
    <w:rsid w:val="00AD2DC7"/>
    <w:rsid w:val="00BA163E"/>
    <w:rsid w:val="00BB52D7"/>
    <w:rsid w:val="00BE001A"/>
    <w:rsid w:val="00C526D1"/>
    <w:rsid w:val="00CD1120"/>
    <w:rsid w:val="00CD52DD"/>
    <w:rsid w:val="00D4680E"/>
    <w:rsid w:val="00D82D1C"/>
    <w:rsid w:val="00DD74B6"/>
    <w:rsid w:val="00E01385"/>
    <w:rsid w:val="00F02508"/>
    <w:rsid w:val="00F64C3B"/>
    <w:rsid w:val="0F223E86"/>
    <w:rsid w:val="5E1454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DengXian" w:hAnsi="DengXian" w:eastAsia="DengXian" w:cs="SimSu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99" w:semiHidden="0" w:name="annotation text"/>
    <w:lsdException w:qFormat="1"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nhideWhenUsed="0"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DengXian" w:hAnsi="DengXian" w:eastAsia="DengXian" w:cs="SimSun"/>
      <w:kern w:val="2"/>
      <w:sz w:val="21"/>
      <w:szCs w:val="22"/>
      <w:lang w:val="en-US" w:eastAsia="zh-CN" w:bidi="ar-SA"/>
    </w:rPr>
  </w:style>
  <w:style w:type="paragraph" w:styleId="2">
    <w:name w:val="heading 1"/>
    <w:basedOn w:val="1"/>
    <w:next w:val="1"/>
    <w:link w:val="2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SimHei"/>
      <w:b/>
      <w:sz w:val="32"/>
    </w:rPr>
  </w:style>
  <w:style w:type="character" w:default="1" w:styleId="9">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4">
    <w:name w:val="annotation subject"/>
    <w:basedOn w:val="5"/>
    <w:next w:val="5"/>
    <w:link w:val="15"/>
    <w:uiPriority w:val="99"/>
    <w:rPr>
      <w:b/>
      <w:bCs/>
    </w:rPr>
  </w:style>
  <w:style w:type="paragraph" w:styleId="5">
    <w:name w:val="annotation text"/>
    <w:basedOn w:val="1"/>
    <w:link w:val="14"/>
    <w:uiPriority w:val="99"/>
    <w:pPr>
      <w:jc w:val="left"/>
    </w:pPr>
  </w:style>
  <w:style w:type="paragraph" w:styleId="6">
    <w:name w:val="Balloon Text"/>
    <w:basedOn w:val="1"/>
    <w:link w:val="16"/>
    <w:uiPriority w:val="99"/>
    <w:rPr>
      <w:sz w:val="18"/>
      <w:szCs w:val="18"/>
    </w:rPr>
  </w:style>
  <w:style w:type="paragraph" w:styleId="7">
    <w:name w:val="footer"/>
    <w:basedOn w:val="1"/>
    <w:link w:val="18"/>
    <w:uiPriority w:val="99"/>
    <w:pPr>
      <w:tabs>
        <w:tab w:val="center" w:pos="4153"/>
        <w:tab w:val="right" w:pos="8306"/>
      </w:tabs>
      <w:snapToGrid w:val="0"/>
      <w:jc w:val="left"/>
    </w:pPr>
    <w:rPr>
      <w:sz w:val="18"/>
      <w:szCs w:val="18"/>
    </w:rPr>
  </w:style>
  <w:style w:type="paragraph" w:styleId="8">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qFormat/>
    <w:uiPriority w:val="99"/>
    <w:rPr>
      <w:rFonts w:cs="Times New Roman"/>
    </w:rPr>
  </w:style>
  <w:style w:type="character" w:styleId="11">
    <w:name w:val="annotation reference"/>
    <w:uiPriority w:val="99"/>
    <w:rPr>
      <w:rFonts w:cs="Times New Roman"/>
      <w:sz w:val="21"/>
      <w:szCs w:val="21"/>
    </w:rPr>
  </w:style>
  <w:style w:type="table" w:styleId="13">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4">
    <w:name w:val="批注文字 字符"/>
    <w:link w:val="5"/>
    <w:qFormat/>
    <w:uiPriority w:val="99"/>
    <w:rPr>
      <w:rFonts w:cs="Times New Roman"/>
    </w:rPr>
  </w:style>
  <w:style w:type="character" w:customStyle="1" w:styleId="15">
    <w:name w:val="批注主题 字符"/>
    <w:link w:val="4"/>
    <w:uiPriority w:val="99"/>
    <w:rPr>
      <w:rFonts w:cs="Times New Roman"/>
      <w:b/>
      <w:bCs/>
    </w:rPr>
  </w:style>
  <w:style w:type="character" w:customStyle="1" w:styleId="16">
    <w:name w:val="批注框文本 字符"/>
    <w:link w:val="6"/>
    <w:qFormat/>
    <w:uiPriority w:val="99"/>
    <w:rPr>
      <w:rFonts w:cs="Times New Roman"/>
      <w:sz w:val="18"/>
      <w:szCs w:val="18"/>
    </w:rPr>
  </w:style>
  <w:style w:type="paragraph" w:styleId="17">
    <w:name w:val="List Paragraph"/>
    <w:basedOn w:val="1"/>
    <w:qFormat/>
    <w:uiPriority w:val="99"/>
    <w:pPr>
      <w:ind w:firstLine="420" w:firstLineChars="200"/>
    </w:pPr>
  </w:style>
  <w:style w:type="character" w:customStyle="1" w:styleId="18">
    <w:name w:val="页脚 字符"/>
    <w:link w:val="7"/>
    <w:qFormat/>
    <w:uiPriority w:val="99"/>
    <w:rPr>
      <w:sz w:val="18"/>
      <w:szCs w:val="18"/>
    </w:rPr>
  </w:style>
  <w:style w:type="character" w:customStyle="1" w:styleId="19">
    <w:name w:val="页眉 字符"/>
    <w:link w:val="8"/>
    <w:uiPriority w:val="99"/>
    <w:rPr>
      <w:sz w:val="18"/>
      <w:szCs w:val="18"/>
    </w:rPr>
  </w:style>
  <w:style w:type="paragraph" w:customStyle="1" w:styleId="20">
    <w:name w:val="无间隔1"/>
    <w:basedOn w:val="1"/>
    <w:qFormat/>
    <w:uiPriority w:val="0"/>
    <w:pPr>
      <w:widowControl/>
      <w:jc w:val="left"/>
    </w:pPr>
    <w:rPr>
      <w:kern w:val="0"/>
      <w:sz w:val="22"/>
      <w:szCs w:val="22"/>
    </w:rPr>
  </w:style>
  <w:style w:type="character" w:customStyle="1" w:styleId="21">
    <w:name w:val="标题 1 Char"/>
    <w:link w:val="2"/>
    <w:uiPriority w:val="0"/>
    <w:rPr>
      <w:b/>
      <w:kern w:val="44"/>
      <w:sz w:val="44"/>
    </w:rPr>
  </w:style>
  <w:style w:type="paragraph" w:customStyle="1" w:styleId="22">
    <w:name w:val="WPSOffice手动目录 1"/>
    <w:uiPriority w:val="0"/>
    <w:pPr>
      <w:ind w:leftChars="0"/>
    </w:pPr>
    <w:rPr>
      <w:sz w:val="20"/>
      <w:szCs w:val="20"/>
    </w:rPr>
  </w:style>
  <w:style w:type="paragraph" w:customStyle="1" w:styleId="23">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e567a99-2ae4-4f5b-b27a-1e0c59a2a26b}"/>
        <w:style w:val=""/>
        <w:category>
          <w:name w:val="常规"/>
          <w:gallery w:val="placeholder"/>
        </w:category>
        <w:types>
          <w:type w:val="bbPlcHdr"/>
        </w:types>
        <w:behaviors>
          <w:behavior w:val="content"/>
        </w:behaviors>
        <w:description w:val=""/>
        <w:guid w:val="{be567a99-2ae4-4f5b-b27a-1e0c59a2a26b}"/>
      </w:docPartPr>
      <w:docPartBody>
        <w:p>
          <w:r>
            <w:rPr>
              <w:color w:val="808080"/>
            </w:rPr>
            <w:t>单击此处输入文字。</w:t>
          </w:r>
        </w:p>
      </w:docPartBody>
    </w:docPart>
    <w:docPart>
      <w:docPartPr>
        <w:name w:val="{93c17a82-8d8d-499e-b8eb-990f91f2cc77}"/>
        <w:style w:val=""/>
        <w:category>
          <w:name w:val="常规"/>
          <w:gallery w:val="placeholder"/>
        </w:category>
        <w:types>
          <w:type w:val="bbPlcHdr"/>
        </w:types>
        <w:behaviors>
          <w:behavior w:val="content"/>
        </w:behaviors>
        <w:description w:val=""/>
        <w:guid w:val="{93c17a82-8d8d-499e-b8eb-990f91f2cc77}"/>
      </w:docPartPr>
      <w:docPartBody>
        <w:p>
          <w:r>
            <w:rPr>
              <w:color w:val="808080"/>
            </w:rPr>
            <w:t>单击此处输入文字。</w:t>
          </w:r>
        </w:p>
      </w:docPartBody>
    </w:docPart>
    <w:docPart>
      <w:docPartPr>
        <w:name w:val="{8120b522-6a0f-4d6e-a428-64c1ac1ac4ba}"/>
        <w:style w:val=""/>
        <w:category>
          <w:name w:val="常规"/>
          <w:gallery w:val="placeholder"/>
        </w:category>
        <w:types>
          <w:type w:val="bbPlcHdr"/>
        </w:types>
        <w:behaviors>
          <w:behavior w:val="content"/>
        </w:behaviors>
        <w:description w:val=""/>
        <w:guid w:val="{8120b522-6a0f-4d6e-a428-64c1ac1ac4ba}"/>
      </w:docPartPr>
      <w:docPartBody>
        <w:p>
          <w:r>
            <w:rPr>
              <w:color w:val="808080"/>
            </w:rPr>
            <w:t>单击此处输入文字。</w:t>
          </w:r>
        </w:p>
      </w:docPartBody>
    </w:docPart>
    <w:docPart>
      <w:docPartPr>
        <w:name w:val="{6d9696ac-75c5-4958-9be4-3f03d9b0499e}"/>
        <w:style w:val=""/>
        <w:category>
          <w:name w:val="常规"/>
          <w:gallery w:val="placeholder"/>
        </w:category>
        <w:types>
          <w:type w:val="bbPlcHdr"/>
        </w:types>
        <w:behaviors>
          <w:behavior w:val="content"/>
        </w:behaviors>
        <w:description w:val=""/>
        <w:guid w:val="{6d9696ac-75c5-4958-9be4-3f03d9b0499e}"/>
      </w:docPartPr>
      <w:docPartBody>
        <w:p>
          <w:r>
            <w:rPr>
              <w:color w:val="808080"/>
            </w:rPr>
            <w:t>单击此处输入文字。</w:t>
          </w:r>
        </w:p>
      </w:docPartBody>
    </w:docPart>
    <w:docPart>
      <w:docPartPr>
        <w:name w:val="{aea8a4d1-5020-42c6-8744-c5b15b73032e}"/>
        <w:style w:val=""/>
        <w:category>
          <w:name w:val="常规"/>
          <w:gallery w:val="placeholder"/>
        </w:category>
        <w:types>
          <w:type w:val="bbPlcHdr"/>
        </w:types>
        <w:behaviors>
          <w:behavior w:val="content"/>
        </w:behaviors>
        <w:description w:val=""/>
        <w:guid w:val="{aea8a4d1-5020-42c6-8744-c5b15b73032e}"/>
      </w:docPartPr>
      <w:docPartBody>
        <w:p>
          <w:r>
            <w:rPr>
              <w:color w:val="808080"/>
            </w:rPr>
            <w:t>单击此处输入文字。</w:t>
          </w:r>
        </w:p>
      </w:docPartBody>
    </w:docPart>
    <w:docPart>
      <w:docPartPr>
        <w:name w:val="{97390c7f-f6f5-4a64-88a9-14994e65c4da}"/>
        <w:style w:val=""/>
        <w:category>
          <w:name w:val="常规"/>
          <w:gallery w:val="placeholder"/>
        </w:category>
        <w:types>
          <w:type w:val="bbPlcHdr"/>
        </w:types>
        <w:behaviors>
          <w:behavior w:val="content"/>
        </w:behaviors>
        <w:description w:val=""/>
        <w:guid w:val="{97390c7f-f6f5-4a64-88a9-14994e65c4da}"/>
      </w:docPartPr>
      <w:docPartBody>
        <w:p>
          <w:r>
            <w:rPr>
              <w:color w:val="808080"/>
            </w:rPr>
            <w:t>单击此处输入文字。</w:t>
          </w:r>
        </w:p>
      </w:docPartBody>
    </w:docPart>
    <w:docPart>
      <w:docPartPr>
        <w:name w:val="{0912cd9d-c3e8-4811-bc02-25de3c5d5f55}"/>
        <w:style w:val=""/>
        <w:category>
          <w:name w:val="常规"/>
          <w:gallery w:val="placeholder"/>
        </w:category>
        <w:types>
          <w:type w:val="bbPlcHdr"/>
        </w:types>
        <w:behaviors>
          <w:behavior w:val="content"/>
        </w:behaviors>
        <w:description w:val=""/>
        <w:guid w:val="{0912cd9d-c3e8-4811-bc02-25de3c5d5f55}"/>
      </w:docPartPr>
      <w:docPartBody>
        <w:p>
          <w:r>
            <w:rPr>
              <w:color w:val="808080"/>
            </w:rPr>
            <w:t>单击此处输入文字。</w:t>
          </w:r>
        </w:p>
      </w:docPartBody>
    </w:docPart>
    <w:docPart>
      <w:docPartPr>
        <w:name w:val="{9bf7c940-2778-4f88-acac-8686c8b297c3}"/>
        <w:style w:val=""/>
        <w:category>
          <w:name w:val="常规"/>
          <w:gallery w:val="placeholder"/>
        </w:category>
        <w:types>
          <w:type w:val="bbPlcHdr"/>
        </w:types>
        <w:behaviors>
          <w:behavior w:val="content"/>
        </w:behaviors>
        <w:description w:val=""/>
        <w:guid w:val="{9bf7c940-2778-4f88-acac-8686c8b297c3}"/>
      </w:docPartPr>
      <w:docPartBody>
        <w:p>
          <w:r>
            <w:rPr>
              <w:color w:val="808080"/>
            </w:rPr>
            <w:t>单击此处输入文字。</w:t>
          </w:r>
        </w:p>
      </w:docPartBody>
    </w:docPart>
    <w:docPart>
      <w:docPartPr>
        <w:name w:val="{941f9f8f-a058-4ad9-8855-e360f9251334}"/>
        <w:style w:val=""/>
        <w:category>
          <w:name w:val="常规"/>
          <w:gallery w:val="placeholder"/>
        </w:category>
        <w:types>
          <w:type w:val="bbPlcHdr"/>
        </w:types>
        <w:behaviors>
          <w:behavior w:val="content"/>
        </w:behaviors>
        <w:description w:val=""/>
        <w:guid w:val="{941f9f8f-a058-4ad9-8855-e360f9251334}"/>
      </w:docPartPr>
      <w:docPartBody>
        <w:p>
          <w:r>
            <w:rPr>
              <w:color w:val="808080"/>
            </w:rPr>
            <w:t>单击此处输入文字。</w:t>
          </w:r>
        </w:p>
      </w:docPartBody>
    </w:docPart>
    <w:docPart>
      <w:docPartPr>
        <w:name w:val="{138311da-536a-4834-8acc-03e3d170e3c0}"/>
        <w:style w:val=""/>
        <w:category>
          <w:name w:val="常规"/>
          <w:gallery w:val="placeholder"/>
        </w:category>
        <w:types>
          <w:type w:val="bbPlcHdr"/>
        </w:types>
        <w:behaviors>
          <w:behavior w:val="content"/>
        </w:behaviors>
        <w:description w:val=""/>
        <w:guid w:val="{138311da-536a-4834-8acc-03e3d170e3c0}"/>
      </w:docPartPr>
      <w:docPartBody>
        <w:p>
          <w:r>
            <w:rPr>
              <w:color w:val="808080"/>
            </w:rPr>
            <w:t>单击此处输入文字。</w:t>
          </w:r>
        </w:p>
      </w:docPartBody>
    </w:docPart>
    <w:docPart>
      <w:docPartPr>
        <w:name w:val="{141e3566-6930-4f43-9646-05aa7b5e6700}"/>
        <w:style w:val=""/>
        <w:category>
          <w:name w:val="常规"/>
          <w:gallery w:val="placeholder"/>
        </w:category>
        <w:types>
          <w:type w:val="bbPlcHdr"/>
        </w:types>
        <w:behaviors>
          <w:behavior w:val="content"/>
        </w:behaviors>
        <w:description w:val=""/>
        <w:guid w:val="{141e3566-6930-4f43-9646-05aa7b5e6700}"/>
      </w:docPartPr>
      <w:docPartBody>
        <w:p>
          <w:r>
            <w:rPr>
              <w:color w:val="808080"/>
            </w:rPr>
            <w:t>单击此处输入文字。</w:t>
          </w:r>
        </w:p>
      </w:docPartBody>
    </w:docPart>
    <w:docPart>
      <w:docPartPr>
        <w:name w:val="{804562c4-7d63-4f61-80fa-b2a3f1062bfd}"/>
        <w:style w:val=""/>
        <w:category>
          <w:name w:val="常规"/>
          <w:gallery w:val="placeholder"/>
        </w:category>
        <w:types>
          <w:type w:val="bbPlcHdr"/>
        </w:types>
        <w:behaviors>
          <w:behavior w:val="content"/>
        </w:behaviors>
        <w:description w:val=""/>
        <w:guid w:val="{804562c4-7d63-4f61-80fa-b2a3f1062bf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3306</Words>
  <Characters>18850</Characters>
  <Lines>157</Lines>
  <Paragraphs>44</Paragraphs>
  <TotalTime>0</TotalTime>
  <ScaleCrop>false</ScaleCrop>
  <LinksUpToDate>false</LinksUpToDate>
  <CharactersWithSpaces>22112</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2018-01-15T15:20:00Z</dcterms:created>
  <dc:creator>zhoujing0822@163.com</dc:creator>
  <cp:lastModifiedBy>林高宇</cp:lastModifiedBy>
  <dcterms:modified xsi:type="dcterms:W3CDTF">2018-01-18T20:16:08Z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