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3281ADCB">
      <w:r w:rsidR="2F4E1BDC">
        <w:rPr/>
        <w:t>Student Name: Saba Ansar</w:t>
      </w:r>
    </w:p>
    <w:p w:rsidR="2F4E1BDC" w:rsidRDefault="2F4E1BDC" w14:paraId="5829AEE1" w14:textId="0599CF85">
      <w:r w:rsidR="2F4E1BDC">
        <w:rPr/>
        <w:t xml:space="preserve">Student ID: </w:t>
      </w:r>
      <w:r w:rsidR="1618B5F9">
        <w:rPr/>
        <w:t>242</w:t>
      </w:r>
      <w:r w:rsidR="27D18BEE">
        <w:rPr/>
        <w:t>6</w:t>
      </w:r>
      <w:r w:rsidR="1618B5F9">
        <w:rPr/>
        <w:t>467</w:t>
      </w:r>
    </w:p>
    <w:p w:rsidR="2F4E1BDC" w:rsidP="35E4B630" w:rsidRDefault="2F4E1BDC" w14:paraId="4341B9DE" w14:textId="116B69C4">
      <w:pPr>
        <w:pStyle w:val="Normal"/>
        <w:rPr>
          <w:rFonts w:ascii="Arial" w:hAnsi="Arial" w:eastAsia="Arial" w:cs="Arial"/>
          <w:b w:val="0"/>
          <w:bCs w:val="0"/>
          <w:noProof w:val="0"/>
          <w:color w:val="000000" w:themeColor="text1" w:themeTint="FF" w:themeShade="FF"/>
          <w:sz w:val="24"/>
          <w:szCs w:val="24"/>
          <w:lang w:val="en-GB"/>
        </w:rPr>
      </w:pPr>
      <w:r w:rsidR="2F4E1BDC">
        <w:rPr/>
        <w:t xml:space="preserve">Module code </w:t>
      </w:r>
      <w:r w:rsidRPr="35E4B630" w:rsidR="39441D41">
        <w:rPr>
          <w:rFonts w:ascii="Arial" w:hAnsi="Arial" w:eastAsia="Arial" w:cs="Arial"/>
          <w:b w:val="0"/>
          <w:bCs w:val="0"/>
          <w:noProof w:val="0"/>
          <w:color w:val="000000" w:themeColor="text1" w:themeTint="FF" w:themeShade="FF"/>
          <w:sz w:val="24"/>
          <w:szCs w:val="24"/>
          <w:lang w:val="en-GB"/>
        </w:rPr>
        <w:t>BMHP5023</w:t>
      </w:r>
    </w:p>
    <w:p w:rsidR="2F4E1BDC" w:rsidP="35E4B630" w:rsidRDefault="2F4E1BDC" w14:paraId="18556F7B" w14:textId="3AFE9598">
      <w:pPr>
        <w:spacing w:before="322" w:beforeAutospacing="off" w:after="322" w:afterAutospacing="off"/>
        <w:rPr>
          <w:rFonts w:ascii="Arial" w:hAnsi="Arial" w:eastAsia="Arial" w:cs="Arial"/>
          <w:b w:val="0"/>
          <w:bCs w:val="0"/>
          <w:noProof w:val="0"/>
          <w:color w:val="000000" w:themeColor="text1" w:themeTint="FF" w:themeShade="FF"/>
          <w:sz w:val="24"/>
          <w:szCs w:val="24"/>
          <w:lang w:val="en-GB"/>
        </w:rPr>
      </w:pPr>
      <w:r w:rsidR="2F4E1BDC">
        <w:rPr/>
        <w:t xml:space="preserve">Assignment </w:t>
      </w:r>
      <w:r w:rsidR="2F4E1BDC">
        <w:rPr/>
        <w:t>Title</w:t>
      </w:r>
      <w:r w:rsidR="6FCD54DE">
        <w:rPr/>
        <w:t xml:space="preserve"> </w:t>
      </w:r>
      <w:r w:rsidRPr="35E4B630" w:rsidR="43C84960">
        <w:rPr>
          <w:rFonts w:ascii="Arial" w:hAnsi="Arial" w:eastAsia="Arial" w:cs="Arial"/>
          <w:b w:val="0"/>
          <w:bCs w:val="0"/>
          <w:noProof w:val="0"/>
          <w:color w:val="000000" w:themeColor="text1" w:themeTint="FF" w:themeShade="FF"/>
          <w:sz w:val="24"/>
          <w:szCs w:val="24"/>
          <w:lang w:val="en-GB"/>
        </w:rPr>
        <w:t>Introduction</w:t>
      </w:r>
      <w:r w:rsidRPr="35E4B630" w:rsidR="43C84960">
        <w:rPr>
          <w:rFonts w:ascii="Arial" w:hAnsi="Arial" w:eastAsia="Arial" w:cs="Arial"/>
          <w:b w:val="0"/>
          <w:bCs w:val="0"/>
          <w:noProof w:val="0"/>
          <w:color w:val="000000" w:themeColor="text1" w:themeTint="FF" w:themeShade="FF"/>
          <w:sz w:val="24"/>
          <w:szCs w:val="24"/>
          <w:lang w:val="en-GB"/>
        </w:rPr>
        <w:t xml:space="preserve"> to Physiology</w:t>
      </w:r>
    </w:p>
    <w:p w:rsidR="43C84960" w:rsidP="35E4B630" w:rsidRDefault="43C84960" w14:paraId="3D5F0A05" w14:textId="288E475B">
      <w:pPr>
        <w:pStyle w:val="Heading2"/>
        <w:spacing w:before="299" w:beforeAutospacing="off" w:after="299" w:afterAutospacing="off"/>
        <w:rPr>
          <w:rFonts w:ascii="Arial" w:hAnsi="Arial" w:eastAsia="Arial" w:cs="Arial"/>
          <w:b w:val="0"/>
          <w:bCs w:val="0"/>
          <w:noProof w:val="0"/>
          <w:color w:val="000000" w:themeColor="text1" w:themeTint="FF" w:themeShade="FF"/>
          <w:sz w:val="24"/>
          <w:szCs w:val="24"/>
          <w:lang w:val="en-GB"/>
        </w:rPr>
      </w:pPr>
      <w:r w:rsidRPr="35E4B630" w:rsidR="43C84960">
        <w:rPr>
          <w:rFonts w:ascii="Arial" w:hAnsi="Arial" w:eastAsia="Arial" w:cs="Arial"/>
          <w:b w:val="0"/>
          <w:bCs w:val="0"/>
          <w:noProof w:val="0"/>
          <w:color w:val="000000" w:themeColor="text1" w:themeTint="FF" w:themeShade="FF"/>
          <w:sz w:val="24"/>
          <w:szCs w:val="24"/>
          <w:lang w:val="en-GB"/>
        </w:rPr>
        <w:t>Case Study Report: Type 2 Diabetes Mellitus</w:t>
      </w:r>
    </w:p>
    <w:p w:rsidR="6026F267" w:rsidP="35E4B630" w:rsidRDefault="6026F267" w14:paraId="49357CA9" w14:textId="7BECDC5E">
      <w:pPr>
        <w:rPr>
          <w:rFonts w:ascii="Arial" w:hAnsi="Arial" w:eastAsia="Arial" w:cs="Arial"/>
          <w:b w:val="0"/>
          <w:bCs w:val="0"/>
          <w:color w:val="000000" w:themeColor="text1" w:themeTint="FF" w:themeShade="FF"/>
          <w:sz w:val="24"/>
          <w:szCs w:val="24"/>
        </w:rPr>
      </w:pPr>
      <w:r w:rsidRPr="35E4B630" w:rsidR="6026F267">
        <w:rPr>
          <w:rFonts w:ascii="Arial" w:hAnsi="Arial" w:eastAsia="Arial" w:cs="Arial"/>
          <w:b w:val="0"/>
          <w:bCs w:val="0"/>
          <w:color w:val="000000" w:themeColor="text1" w:themeTint="FF" w:themeShade="FF"/>
          <w:sz w:val="24"/>
          <w:szCs w:val="24"/>
        </w:rPr>
        <w:t>Lecturer Name: Parese Ahmed</w:t>
      </w:r>
    </w:p>
    <w:p w:rsidR="35E4B630" w:rsidRDefault="35E4B630" w14:paraId="533C9199" w14:textId="676FD53D"/>
    <w:p w:rsidR="35E4B630" w:rsidRDefault="35E4B630" w14:paraId="2E884FB2" w14:textId="692D7BE4"/>
    <w:p w:rsidR="35E4B630" w:rsidRDefault="35E4B630" w14:paraId="2AB73AF1" w14:textId="609DF0DA"/>
    <w:p w:rsidR="35E4B630" w:rsidRDefault="35E4B630" w14:paraId="68741CB5" w14:textId="05D8674E"/>
    <w:p w:rsidR="35E4B630" w:rsidP="35E4B630" w:rsidRDefault="35E4B630" w14:paraId="685A01A5" w14:textId="1122AD2E">
      <w:pPr>
        <w:pStyle w:val="Heading1"/>
        <w:spacing w:before="322" w:beforeAutospacing="off" w:after="322" w:afterAutospacing="off"/>
        <w:rPr>
          <w:rFonts w:ascii="Aptos" w:hAnsi="Aptos" w:eastAsia="Aptos" w:cs="Aptos"/>
          <w:b w:val="1"/>
          <w:bCs w:val="1"/>
          <w:noProof w:val="0"/>
          <w:sz w:val="48"/>
          <w:szCs w:val="48"/>
          <w:lang w:val="en-GB"/>
        </w:rPr>
      </w:pPr>
    </w:p>
    <w:p w:rsidR="35E4B630" w:rsidP="35E4B630" w:rsidRDefault="35E4B630" w14:paraId="3EE0F053" w14:textId="75410F14">
      <w:pPr>
        <w:pStyle w:val="Heading1"/>
        <w:spacing w:before="322" w:beforeAutospacing="off" w:after="322" w:afterAutospacing="off"/>
        <w:rPr>
          <w:rFonts w:ascii="Aptos" w:hAnsi="Aptos" w:eastAsia="Aptos" w:cs="Aptos"/>
          <w:b w:val="1"/>
          <w:bCs w:val="1"/>
          <w:noProof w:val="0"/>
          <w:sz w:val="48"/>
          <w:szCs w:val="48"/>
          <w:lang w:val="en-GB"/>
        </w:rPr>
      </w:pPr>
    </w:p>
    <w:p w:rsidR="35E4B630" w:rsidP="35E4B630" w:rsidRDefault="35E4B630" w14:paraId="05D61435" w14:textId="2CF04CF8">
      <w:pPr>
        <w:pStyle w:val="Heading1"/>
        <w:spacing w:before="322" w:beforeAutospacing="off" w:after="322" w:afterAutospacing="off"/>
        <w:rPr>
          <w:rFonts w:ascii="Aptos" w:hAnsi="Aptos" w:eastAsia="Aptos" w:cs="Aptos"/>
          <w:b w:val="1"/>
          <w:bCs w:val="1"/>
          <w:noProof w:val="0"/>
          <w:sz w:val="48"/>
          <w:szCs w:val="48"/>
          <w:lang w:val="en-GB"/>
        </w:rPr>
      </w:pPr>
    </w:p>
    <w:p w:rsidR="35E4B630" w:rsidP="35E4B630" w:rsidRDefault="35E4B630" w14:paraId="73F690BD" w14:textId="613EF974">
      <w:pPr>
        <w:pStyle w:val="Heading1"/>
        <w:spacing w:before="322" w:beforeAutospacing="off" w:after="322" w:afterAutospacing="off"/>
        <w:rPr>
          <w:rFonts w:ascii="Aptos" w:hAnsi="Aptos" w:eastAsia="Aptos" w:cs="Aptos"/>
          <w:b w:val="1"/>
          <w:bCs w:val="1"/>
          <w:noProof w:val="0"/>
          <w:sz w:val="48"/>
          <w:szCs w:val="48"/>
          <w:lang w:val="en-GB"/>
        </w:rPr>
      </w:pPr>
    </w:p>
    <w:p w:rsidR="35E4B630" w:rsidP="35E4B630" w:rsidRDefault="35E4B630" w14:paraId="49AD21C9" w14:textId="4619D7DC">
      <w:pPr>
        <w:pStyle w:val="Heading1"/>
        <w:spacing w:before="322" w:beforeAutospacing="off" w:after="322" w:afterAutospacing="off"/>
        <w:rPr>
          <w:rFonts w:ascii="Aptos" w:hAnsi="Aptos" w:eastAsia="Aptos" w:cs="Aptos"/>
          <w:b w:val="1"/>
          <w:bCs w:val="1"/>
          <w:noProof w:val="0"/>
          <w:sz w:val="48"/>
          <w:szCs w:val="48"/>
          <w:lang w:val="en-GB"/>
        </w:rPr>
      </w:pPr>
    </w:p>
    <w:p w:rsidR="35E4B630" w:rsidRDefault="35E4B630" w14:paraId="01891FCC" w14:textId="6AF1C988"/>
    <w:p w:rsidR="35E4B630" w:rsidP="35E4B630" w:rsidRDefault="35E4B630" w14:paraId="1AC48560" w14:textId="47F1115A">
      <w:pPr>
        <w:pStyle w:val="Heading1"/>
        <w:spacing w:before="322" w:beforeAutospacing="off" w:after="322" w:afterAutospacing="off"/>
        <w:rPr>
          <w:rFonts w:ascii="Aptos" w:hAnsi="Aptos" w:eastAsia="Aptos" w:cs="Aptos"/>
          <w:b w:val="1"/>
          <w:bCs w:val="1"/>
          <w:noProof w:val="0"/>
          <w:sz w:val="48"/>
          <w:szCs w:val="48"/>
          <w:lang w:val="en-GB"/>
        </w:rPr>
      </w:pPr>
    </w:p>
    <w:p w:rsidR="35E4B630" w:rsidP="35E4B630" w:rsidRDefault="35E4B630" w14:paraId="772495DA" w14:textId="517508E1">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lang w:val="en-GB"/>
        </w:rPr>
      </w:pPr>
    </w:p>
    <w:p w:rsidR="5FA63560" w:rsidP="35E4B630" w:rsidRDefault="5FA63560" w14:paraId="658E1C1D" w14:textId="3C649090">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lang w:val="en-GB"/>
        </w:rPr>
      </w:pPr>
      <w:r w:rsidRPr="35E4B630" w:rsidR="5FA63560">
        <w:rPr>
          <w:rFonts w:ascii="Arial" w:hAnsi="Arial" w:eastAsia="Arial" w:cs="Arial"/>
          <w:b w:val="1"/>
          <w:bCs w:val="1"/>
          <w:noProof w:val="0"/>
          <w:color w:val="000000" w:themeColor="text1" w:themeTint="FF" w:themeShade="FF"/>
          <w:sz w:val="24"/>
          <w:szCs w:val="24"/>
          <w:lang w:val="en-GB"/>
        </w:rPr>
        <w:t>Introduction</w:t>
      </w:r>
    </w:p>
    <w:p w:rsidR="5FA63560" w:rsidP="35E4B630" w:rsidRDefault="5FA63560" w14:paraId="10F3D99A" w14:textId="5193AD6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5FA63560">
        <w:rPr>
          <w:rFonts w:ascii="Arial" w:hAnsi="Arial" w:eastAsia="Arial" w:cs="Arial"/>
          <w:noProof w:val="0"/>
          <w:color w:val="000000" w:themeColor="text1" w:themeTint="FF" w:themeShade="FF"/>
          <w:sz w:val="24"/>
          <w:szCs w:val="24"/>
          <w:lang w:val="en-GB"/>
        </w:rPr>
        <w:t xml:space="preserve">Type 2 Diabetes Mellitus (T2DM) is a chronic metabolic disorder characterised by persistently elevated blood glucose levels resulting from insulin resistance and progressive pancreatic beta-cell dysfunction. It accounts for </w:t>
      </w:r>
      <w:r w:rsidRPr="35E4B630" w:rsidR="5FA63560">
        <w:rPr>
          <w:rFonts w:ascii="Arial" w:hAnsi="Arial" w:eastAsia="Arial" w:cs="Arial"/>
          <w:noProof w:val="0"/>
          <w:color w:val="000000" w:themeColor="text1" w:themeTint="FF" w:themeShade="FF"/>
          <w:sz w:val="24"/>
          <w:szCs w:val="24"/>
          <w:lang w:val="en-GB"/>
        </w:rPr>
        <w:t>approximately 90</w:t>
      </w:r>
      <w:r w:rsidRPr="35E4B630" w:rsidR="5FA63560">
        <w:rPr>
          <w:rFonts w:ascii="Arial" w:hAnsi="Arial" w:eastAsia="Arial" w:cs="Arial"/>
          <w:noProof w:val="0"/>
          <w:color w:val="000000" w:themeColor="text1" w:themeTint="FF" w:themeShade="FF"/>
          <w:sz w:val="24"/>
          <w:szCs w:val="24"/>
          <w:lang w:val="en-GB"/>
        </w:rPr>
        <w:t xml:space="preserve">–95% of all diabetes cases worldwide (International Diabetes Federation, 2021). The World Health Organization estimates that more than 500 million adults globally are living with diabetes, and prevalence continues to increase each year. In the United Kingdom, over 4.3 million individuals have been diagnosed with diabetes, with around 90% of these cases classified as Type 2 diabetes (Diabetes UK, 2023). The condition </w:t>
      </w:r>
      <w:r w:rsidRPr="35E4B630" w:rsidR="5FA63560">
        <w:rPr>
          <w:rFonts w:ascii="Arial" w:hAnsi="Arial" w:eastAsia="Arial" w:cs="Arial"/>
          <w:noProof w:val="0"/>
          <w:color w:val="000000" w:themeColor="text1" w:themeTint="FF" w:themeShade="FF"/>
          <w:sz w:val="24"/>
          <w:szCs w:val="24"/>
          <w:lang w:val="en-GB"/>
        </w:rPr>
        <w:t>represents</w:t>
      </w:r>
      <w:r w:rsidRPr="35E4B630" w:rsidR="5FA63560">
        <w:rPr>
          <w:rFonts w:ascii="Arial" w:hAnsi="Arial" w:eastAsia="Arial" w:cs="Arial"/>
          <w:noProof w:val="0"/>
          <w:color w:val="000000" w:themeColor="text1" w:themeTint="FF" w:themeShade="FF"/>
          <w:sz w:val="24"/>
          <w:szCs w:val="24"/>
          <w:lang w:val="en-GB"/>
        </w:rPr>
        <w:t xml:space="preserve"> a significant public health concern because of its strong association with cardiovascular disease, chronic kidney disease, </w:t>
      </w:r>
      <w:r w:rsidRPr="35E4B630" w:rsidR="5FA63560">
        <w:rPr>
          <w:rFonts w:ascii="Arial" w:hAnsi="Arial" w:eastAsia="Arial" w:cs="Arial"/>
          <w:noProof w:val="0"/>
          <w:color w:val="000000" w:themeColor="text1" w:themeTint="FF" w:themeShade="FF"/>
          <w:sz w:val="24"/>
          <w:szCs w:val="24"/>
          <w:lang w:val="en-GB"/>
        </w:rPr>
        <w:t>neuropathy</w:t>
      </w:r>
      <w:r w:rsidRPr="35E4B630" w:rsidR="5FA63560">
        <w:rPr>
          <w:rFonts w:ascii="Arial" w:hAnsi="Arial" w:eastAsia="Arial" w:cs="Arial"/>
          <w:noProof w:val="0"/>
          <w:color w:val="000000" w:themeColor="text1" w:themeTint="FF" w:themeShade="FF"/>
          <w:sz w:val="24"/>
          <w:szCs w:val="24"/>
          <w:lang w:val="en-GB"/>
        </w:rPr>
        <w:t xml:space="preserve"> and visual impairment. National clinical guidance for diagnosis and management is provided by the National Institute for Health and Care Excellence (NICE, 2023).</w:t>
      </w:r>
    </w:p>
    <w:p w:rsidR="5FA63560" w:rsidP="35E4B630" w:rsidRDefault="5FA63560" w14:paraId="08CB8318" w14:textId="31B27C0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5FA63560">
        <w:rPr>
          <w:rFonts w:ascii="Arial" w:hAnsi="Arial" w:eastAsia="Arial" w:cs="Arial"/>
          <w:noProof w:val="0"/>
          <w:color w:val="000000" w:themeColor="text1" w:themeTint="FF" w:themeShade="FF"/>
          <w:sz w:val="24"/>
          <w:szCs w:val="24"/>
          <w:lang w:val="en-GB"/>
        </w:rPr>
        <w:t xml:space="preserve">Type 2 diabetes develops gradually and is strongly associated with modifiable risk factors including obesity, sedentary </w:t>
      </w:r>
      <w:r w:rsidRPr="35E4B630" w:rsidR="5FA63560">
        <w:rPr>
          <w:rFonts w:ascii="Arial" w:hAnsi="Arial" w:eastAsia="Arial" w:cs="Arial"/>
          <w:noProof w:val="0"/>
          <w:color w:val="000000" w:themeColor="text1" w:themeTint="FF" w:themeShade="FF"/>
          <w:sz w:val="24"/>
          <w:szCs w:val="24"/>
          <w:lang w:val="en-GB"/>
        </w:rPr>
        <w:t>behaviour</w:t>
      </w:r>
      <w:r w:rsidRPr="35E4B630" w:rsidR="5FA63560">
        <w:rPr>
          <w:rFonts w:ascii="Arial" w:hAnsi="Arial" w:eastAsia="Arial" w:cs="Arial"/>
          <w:noProof w:val="0"/>
          <w:color w:val="000000" w:themeColor="text1" w:themeTint="FF" w:themeShade="FF"/>
          <w:sz w:val="24"/>
          <w:szCs w:val="24"/>
          <w:lang w:val="en-GB"/>
        </w:rPr>
        <w:t xml:space="preserve"> and poor dietary intake. </w:t>
      </w:r>
      <w:r w:rsidRPr="35E4B630" w:rsidR="5FA63560">
        <w:rPr>
          <w:rFonts w:ascii="Arial" w:hAnsi="Arial" w:eastAsia="Arial" w:cs="Arial"/>
          <w:noProof w:val="0"/>
          <w:color w:val="000000" w:themeColor="text1" w:themeTint="FF" w:themeShade="FF"/>
          <w:sz w:val="24"/>
          <w:szCs w:val="24"/>
          <w:lang w:val="en-GB"/>
        </w:rPr>
        <w:t>Additional</w:t>
      </w:r>
      <w:r w:rsidRPr="35E4B630" w:rsidR="5FA63560">
        <w:rPr>
          <w:rFonts w:ascii="Arial" w:hAnsi="Arial" w:eastAsia="Arial" w:cs="Arial"/>
          <w:noProof w:val="0"/>
          <w:color w:val="000000" w:themeColor="text1" w:themeTint="FF" w:themeShade="FF"/>
          <w:sz w:val="24"/>
          <w:szCs w:val="24"/>
          <w:lang w:val="en-GB"/>
        </w:rPr>
        <w:t xml:space="preserve"> contributing factors include ageing, genetic </w:t>
      </w:r>
      <w:r w:rsidRPr="35E4B630" w:rsidR="5FA63560">
        <w:rPr>
          <w:rFonts w:ascii="Arial" w:hAnsi="Arial" w:eastAsia="Arial" w:cs="Arial"/>
          <w:noProof w:val="0"/>
          <w:color w:val="000000" w:themeColor="text1" w:themeTint="FF" w:themeShade="FF"/>
          <w:sz w:val="24"/>
          <w:szCs w:val="24"/>
          <w:lang w:val="en-GB"/>
        </w:rPr>
        <w:t>predisposition</w:t>
      </w:r>
      <w:r w:rsidRPr="35E4B630" w:rsidR="5FA63560">
        <w:rPr>
          <w:rFonts w:ascii="Arial" w:hAnsi="Arial" w:eastAsia="Arial" w:cs="Arial"/>
          <w:noProof w:val="0"/>
          <w:color w:val="000000" w:themeColor="text1" w:themeTint="FF" w:themeShade="FF"/>
          <w:sz w:val="24"/>
          <w:szCs w:val="24"/>
          <w:lang w:val="en-GB"/>
        </w:rPr>
        <w:t xml:space="preserve"> and certain ethnic backgrounds. The disorder involves dysfunction across multiple interrelated systems, particularly the endocrine system, which regulates insulin secretion; the digestive system, responsible for glucose absorption; and the cardiovascular system, which transports glucose and oxygen to tissues.</w:t>
      </w:r>
    </w:p>
    <w:p w:rsidR="5FA63560" w:rsidP="35E4B630" w:rsidRDefault="5FA63560" w14:paraId="3648CE15" w14:textId="647F2030">
      <w:pPr>
        <w:pStyle w:val="Normal"/>
        <w:spacing w:before="240" w:beforeAutospacing="off" w:after="240" w:afterAutospacing="off" w:line="360" w:lineRule="auto"/>
        <w:rPr>
          <w:rFonts w:ascii="Arial" w:hAnsi="Arial" w:eastAsia="Arial" w:cs="Arial"/>
          <w:noProof w:val="0"/>
          <w:sz w:val="24"/>
          <w:szCs w:val="24"/>
          <w:lang w:val="en-GB"/>
        </w:rPr>
      </w:pPr>
      <w:r w:rsidRPr="35E4B630" w:rsidR="5FA63560">
        <w:rPr>
          <w:rFonts w:ascii="Arial" w:hAnsi="Arial" w:eastAsia="Arial" w:cs="Arial"/>
          <w:noProof w:val="0"/>
          <w:color w:val="000000" w:themeColor="text1" w:themeTint="FF" w:themeShade="FF"/>
          <w:sz w:val="24"/>
          <w:szCs w:val="24"/>
          <w:lang w:val="en-GB"/>
        </w:rPr>
        <w:t>This report will examine the normal physiology of blood glucose regulation, explain how glucose is absorbed and utilised for adenosine triphosphate production, explore the pathophysiology of Type 2 diabetes, and evaluate monitoring and management strategies to support effective long-term disease control</w:t>
      </w:r>
      <w:r w:rsidRPr="35E4B630" w:rsidR="55CA6CCF">
        <w:rPr>
          <w:rFonts w:ascii="Times New Roman" w:hAnsi="Times New Roman" w:eastAsia="Times New Roman" w:cs="Times New Roman"/>
          <w:noProof w:val="0"/>
          <w:sz w:val="24"/>
          <w:szCs w:val="24"/>
          <w:lang w:val="en-GB"/>
        </w:rPr>
        <w:t xml:space="preserve"> (Wu </w:t>
      </w:r>
      <w:r w:rsidRPr="35E4B630" w:rsidR="55CA6CCF">
        <w:rPr>
          <w:rFonts w:ascii="Times New Roman" w:hAnsi="Times New Roman" w:eastAsia="Times New Roman" w:cs="Times New Roman"/>
          <w:i w:val="1"/>
          <w:iCs w:val="1"/>
          <w:noProof w:val="0"/>
          <w:sz w:val="24"/>
          <w:szCs w:val="24"/>
          <w:lang w:val="en-GB"/>
        </w:rPr>
        <w:t>et al</w:t>
      </w:r>
      <w:r w:rsidRPr="35E4B630" w:rsidR="55CA6CCF">
        <w:rPr>
          <w:rFonts w:ascii="Times New Roman" w:hAnsi="Times New Roman" w:eastAsia="Times New Roman" w:cs="Times New Roman"/>
          <w:noProof w:val="0"/>
          <w:sz w:val="24"/>
          <w:szCs w:val="24"/>
          <w:lang w:val="en-GB"/>
        </w:rPr>
        <w:t>., 2014).</w:t>
      </w:r>
    </w:p>
    <w:p w:rsidR="35E4B630" w:rsidP="35E4B630" w:rsidRDefault="35E4B630" w14:paraId="61D5B3E6" w14:textId="4CB7475B">
      <w:pPr>
        <w:spacing w:before="240" w:beforeAutospacing="off" w:after="240" w:afterAutospacing="off" w:line="360" w:lineRule="auto"/>
        <w:rPr>
          <w:rFonts w:ascii="Arial" w:hAnsi="Arial" w:eastAsia="Arial" w:cs="Arial"/>
          <w:b w:val="1"/>
          <w:bCs w:val="1"/>
          <w:noProof w:val="0"/>
          <w:color w:val="000000" w:themeColor="text1" w:themeTint="FF" w:themeShade="FF"/>
          <w:sz w:val="24"/>
          <w:szCs w:val="24"/>
          <w:lang w:val="en-GB"/>
        </w:rPr>
      </w:pPr>
    </w:p>
    <w:p w:rsidR="35E4B630" w:rsidP="35E4B630" w:rsidRDefault="35E4B630" w14:paraId="1E5DB14F" w14:textId="53E29581">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p>
    <w:p w:rsidR="354B8182" w:rsidP="35E4B630" w:rsidRDefault="354B8182" w14:paraId="2AC5F84B" w14:textId="4F0678DF">
      <w:pPr>
        <w:pStyle w:val="Heading2"/>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lang w:val="en-GB"/>
        </w:rPr>
      </w:pPr>
      <w:r w:rsidRPr="35E4B630" w:rsidR="354B8182">
        <w:rPr>
          <w:rFonts w:ascii="Arial" w:hAnsi="Arial" w:eastAsia="Arial" w:cs="Arial"/>
          <w:b w:val="1"/>
          <w:bCs w:val="1"/>
          <w:noProof w:val="0"/>
          <w:color w:val="000000" w:themeColor="text1" w:themeTint="FF" w:themeShade="FF"/>
          <w:sz w:val="24"/>
          <w:szCs w:val="24"/>
          <w:lang w:val="en-GB"/>
        </w:rPr>
        <w:t>Section</w:t>
      </w:r>
      <w:r w:rsidRPr="35E4B630" w:rsidR="419CD964">
        <w:rPr>
          <w:rFonts w:ascii="Arial" w:hAnsi="Arial" w:eastAsia="Arial" w:cs="Arial"/>
          <w:b w:val="1"/>
          <w:bCs w:val="1"/>
          <w:noProof w:val="0"/>
          <w:color w:val="000000" w:themeColor="text1" w:themeTint="FF" w:themeShade="FF"/>
          <w:sz w:val="24"/>
          <w:szCs w:val="24"/>
          <w:lang w:val="en-GB"/>
        </w:rPr>
        <w:t xml:space="preserve"> 1: </w:t>
      </w:r>
      <w:r w:rsidRPr="35E4B630" w:rsidR="419CD964">
        <w:rPr>
          <w:rFonts w:ascii="Arial" w:hAnsi="Arial" w:eastAsia="Arial" w:cs="Arial"/>
          <w:b w:val="1"/>
          <w:bCs w:val="1"/>
          <w:noProof w:val="0"/>
          <w:color w:val="000000" w:themeColor="text1" w:themeTint="FF" w:themeShade="FF"/>
          <w:sz w:val="24"/>
          <w:szCs w:val="24"/>
          <w:lang w:val="en-GB"/>
        </w:rPr>
        <w:t>Anatomy and Physiology</w:t>
      </w:r>
    </w:p>
    <w:p w:rsidR="35E4B630" w:rsidP="35E4B630" w:rsidRDefault="35E4B630" w14:paraId="3B425630" w14:textId="706C0163">
      <w:pPr>
        <w:pStyle w:val="Normal"/>
        <w:rPr>
          <w:noProof w:val="0"/>
          <w:lang w:val="en-GB"/>
        </w:rPr>
      </w:pPr>
    </w:p>
    <w:p w:rsidR="42DE66BC" w:rsidP="35E4B630" w:rsidRDefault="42DE66BC" w14:paraId="77D994B8" w14:textId="39E4AB6C">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35E4B630" w:rsidR="42DE66BC">
        <w:rPr>
          <w:rFonts w:ascii="Arial" w:hAnsi="Arial" w:eastAsia="Arial" w:cs="Arial"/>
          <w:b w:val="1"/>
          <w:bCs w:val="1"/>
          <w:noProof w:val="0"/>
          <w:color w:val="000000" w:themeColor="text1" w:themeTint="FF" w:themeShade="FF"/>
          <w:sz w:val="24"/>
          <w:szCs w:val="24"/>
          <w:lang w:val="en-GB"/>
        </w:rPr>
        <w:t>1.1 The Digestive System: How Glucose Enters the Blood</w:t>
      </w:r>
    </w:p>
    <w:p w:rsidR="42DE66BC" w:rsidP="35E4B630" w:rsidRDefault="42DE66BC" w14:paraId="2D6B6B3B" w14:textId="353BAD73">
      <w:pPr>
        <w:spacing w:before="240" w:beforeAutospacing="off" w:after="240" w:afterAutospacing="off" w:line="360" w:lineRule="auto"/>
        <w:rPr>
          <w:rFonts w:ascii="Arial" w:hAnsi="Arial" w:eastAsia="Arial" w:cs="Arial"/>
          <w:b w:val="1"/>
          <w:bCs w:val="1"/>
          <w:noProof w:val="0"/>
          <w:color w:val="000000" w:themeColor="text1" w:themeTint="FF" w:themeShade="FF"/>
          <w:sz w:val="24"/>
          <w:szCs w:val="24"/>
          <w:lang w:val="en-GB"/>
        </w:rPr>
      </w:pPr>
      <w:r w:rsidRPr="35E4B630" w:rsidR="42DE66BC">
        <w:rPr>
          <w:rFonts w:ascii="Arial" w:hAnsi="Arial" w:eastAsia="Arial" w:cs="Arial"/>
          <w:noProof w:val="0"/>
          <w:color w:val="000000" w:themeColor="text1" w:themeTint="FF" w:themeShade="FF"/>
          <w:sz w:val="24"/>
          <w:szCs w:val="24"/>
          <w:lang w:val="en-GB"/>
        </w:rPr>
        <w:t xml:space="preserve">Carbohydrates consumed in food are broken down into glucose during digestion. Salivary amylase begins carbohydrate digestion in the mouth, and further enzymatic breakdown occurs in the small intestine through the action of pancreatic amylase and brush-border enzymes. Complex carbohydrates are converted into simple sugars, primarily glucose. The final product, glucose, is absorbed through the lining of the small intestine, particularly the villi and microvilli, which increase surface area for absorption. Glucose passes into the bloodstream via specialised transport proteins and is carried through the hepatic portal vein to the liver, where it is either stored as glycogen or released into systemic circulation to </w:t>
      </w:r>
      <w:r w:rsidRPr="35E4B630" w:rsidR="42DE66BC">
        <w:rPr>
          <w:rFonts w:ascii="Arial" w:hAnsi="Arial" w:eastAsia="Arial" w:cs="Arial"/>
          <w:noProof w:val="0"/>
          <w:color w:val="000000" w:themeColor="text1" w:themeTint="FF" w:themeShade="FF"/>
          <w:sz w:val="24"/>
          <w:szCs w:val="24"/>
          <w:lang w:val="en-GB"/>
        </w:rPr>
        <w:t>maintain</w:t>
      </w:r>
      <w:r w:rsidRPr="35E4B630" w:rsidR="42DE66BC">
        <w:rPr>
          <w:rFonts w:ascii="Arial" w:hAnsi="Arial" w:eastAsia="Arial" w:cs="Arial"/>
          <w:noProof w:val="0"/>
          <w:color w:val="000000" w:themeColor="text1" w:themeTint="FF" w:themeShade="FF"/>
          <w:sz w:val="24"/>
          <w:szCs w:val="24"/>
          <w:lang w:val="en-GB"/>
        </w:rPr>
        <w:t xml:space="preserve"> blood glucose levels.</w:t>
      </w:r>
      <w:r w:rsidRPr="35E4B630" w:rsidR="42DE66BC">
        <w:rPr>
          <w:rFonts w:ascii="Arial" w:hAnsi="Arial" w:eastAsia="Arial" w:cs="Arial"/>
          <w:b w:val="1"/>
          <w:bCs w:val="1"/>
          <w:noProof w:val="0"/>
          <w:color w:val="000000" w:themeColor="text1" w:themeTint="FF" w:themeShade="FF"/>
          <w:sz w:val="24"/>
          <w:szCs w:val="24"/>
          <w:lang w:val="en-GB"/>
        </w:rPr>
        <w:t xml:space="preserve"> </w:t>
      </w:r>
    </w:p>
    <w:p w:rsidR="03A5D184" w:rsidP="35E4B630" w:rsidRDefault="03A5D184" w14:paraId="426485D8" w14:textId="7A93F155">
      <w:pPr>
        <w:pStyle w:val="Normal"/>
        <w:spacing w:before="240" w:beforeAutospacing="off" w:after="240" w:afterAutospacing="off"/>
        <w:rPr>
          <w:rFonts w:ascii="Aptos" w:hAnsi="Aptos" w:eastAsia="Aptos" w:cs="Aptos"/>
          <w:noProof w:val="0"/>
          <w:sz w:val="24"/>
          <w:szCs w:val="24"/>
          <w:lang w:val="en-GB"/>
        </w:rPr>
      </w:pPr>
      <w:r w:rsidRPr="35E4B630" w:rsidR="03A5D184">
        <w:rPr>
          <w:rFonts w:ascii="Aptos" w:hAnsi="Aptos" w:eastAsia="Aptos" w:cs="Aptos"/>
          <w:b w:val="1"/>
          <w:bCs w:val="1"/>
          <w:noProof w:val="0"/>
          <w:sz w:val="24"/>
          <w:szCs w:val="24"/>
          <w:lang w:val="en-GB"/>
        </w:rPr>
        <w:t>Diagram 1:</w:t>
      </w:r>
      <w:r w:rsidR="2756AAFE">
        <w:drawing>
          <wp:inline wp14:editId="413370D6" wp14:anchorId="7C4D6426">
            <wp:extent cx="5724525" cy="3219450"/>
            <wp:effectExtent l="0" t="0" r="0" b="0"/>
            <wp:docPr id="15895227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9522781" name="Picture 1589522781"/>
                    <pic:cNvPicPr/>
                  </pic:nvPicPr>
                  <pic:blipFill>
                    <a:blip xmlns:r="http://schemas.openxmlformats.org/officeDocument/2006/relationships" r:embed="rId125020026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35E4B630" w:rsidR="1864026E">
        <w:rPr>
          <w:rFonts w:ascii="Times New Roman" w:hAnsi="Times New Roman" w:eastAsia="Times New Roman" w:cs="Times New Roman"/>
          <w:noProof w:val="0"/>
          <w:sz w:val="24"/>
          <w:szCs w:val="24"/>
          <w:lang w:val="en-GB"/>
        </w:rPr>
        <w:t>(BSc, 2025)</w:t>
      </w:r>
    </w:p>
    <w:p w:rsidR="03A5D184" w:rsidP="35E4B630" w:rsidRDefault="03A5D184" w14:paraId="1B271786" w14:textId="4D490CB4">
      <w:pPr>
        <w:pStyle w:val="Normal"/>
        <w:spacing w:before="240" w:beforeAutospacing="off" w:after="240" w:afterAutospacing="off" w:line="360" w:lineRule="auto"/>
        <w:rPr>
          <w:rFonts w:ascii="Arial" w:hAnsi="Arial" w:eastAsia="Arial" w:cs="Arial"/>
          <w:noProof w:val="0"/>
          <w:sz w:val="24"/>
          <w:szCs w:val="24"/>
          <w:lang w:val="en-GB"/>
        </w:rPr>
      </w:pPr>
      <w:r w:rsidRPr="35E4B630" w:rsidR="03A5D184">
        <w:rPr>
          <w:rFonts w:ascii="Arial" w:hAnsi="Arial" w:eastAsia="Arial" w:cs="Arial"/>
          <w:noProof w:val="0"/>
          <w:sz w:val="24"/>
          <w:szCs w:val="24"/>
          <w:lang w:val="en-GB"/>
        </w:rPr>
        <w:t>Once in circulation, blood glucose concentration rises, stimulating the endocrine response</w:t>
      </w:r>
      <w:r w:rsidRPr="35E4B630" w:rsidR="56891916">
        <w:rPr>
          <w:rFonts w:ascii="Arial" w:hAnsi="Arial" w:eastAsia="Arial" w:cs="Arial"/>
          <w:noProof w:val="0"/>
          <w:sz w:val="24"/>
          <w:szCs w:val="24"/>
          <w:lang w:val="en-GB"/>
        </w:rPr>
        <w:t xml:space="preserve"> (</w:t>
      </w:r>
      <w:r w:rsidRPr="35E4B630" w:rsidR="56891916">
        <w:rPr>
          <w:rFonts w:ascii="Arial" w:hAnsi="Arial" w:eastAsia="Arial" w:cs="Arial"/>
          <w:noProof w:val="0"/>
          <w:sz w:val="24"/>
          <w:szCs w:val="24"/>
          <w:lang w:val="en-GB"/>
        </w:rPr>
        <w:t>Holesh</w:t>
      </w:r>
      <w:r w:rsidRPr="35E4B630" w:rsidR="56891916">
        <w:rPr>
          <w:rFonts w:ascii="Arial" w:hAnsi="Arial" w:eastAsia="Arial" w:cs="Arial"/>
          <w:noProof w:val="0"/>
          <w:sz w:val="24"/>
          <w:szCs w:val="24"/>
          <w:lang w:val="en-GB"/>
        </w:rPr>
        <w:t>, Martin and Aslam, 2023).</w:t>
      </w:r>
    </w:p>
    <w:p w:rsidR="35E4B630" w:rsidP="35E4B630" w:rsidRDefault="35E4B630" w14:paraId="3377FC5D" w14:textId="4C29D474">
      <w:pPr>
        <w:spacing w:line="360" w:lineRule="auto"/>
        <w:rPr>
          <w:rFonts w:ascii="Arial" w:hAnsi="Arial" w:eastAsia="Arial" w:cs="Arial"/>
        </w:rPr>
      </w:pPr>
    </w:p>
    <w:p w:rsidR="03A5D184" w:rsidP="35E4B630" w:rsidRDefault="03A5D184" w14:paraId="1442D216" w14:textId="19B2498D">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35E4B630" w:rsidR="03A5D184">
        <w:rPr>
          <w:rFonts w:ascii="Arial" w:hAnsi="Arial" w:eastAsia="Arial" w:cs="Arial"/>
          <w:b w:val="1"/>
          <w:bCs w:val="1"/>
          <w:noProof w:val="0"/>
          <w:color w:val="000000" w:themeColor="text1" w:themeTint="FF" w:themeShade="FF"/>
          <w:sz w:val="24"/>
          <w:szCs w:val="24"/>
          <w:lang w:val="en-GB"/>
        </w:rPr>
        <w:t>1.2 The Endocrine System: Regulation of Insulin</w:t>
      </w:r>
    </w:p>
    <w:p w:rsidR="03A5D184" w:rsidP="35E4B630" w:rsidRDefault="03A5D184" w14:paraId="7BB98878" w14:textId="4E7806E5">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3A5D184">
        <w:rPr>
          <w:rFonts w:ascii="Arial" w:hAnsi="Arial" w:eastAsia="Arial" w:cs="Arial"/>
          <w:noProof w:val="0"/>
          <w:color w:val="000000" w:themeColor="text1" w:themeTint="FF" w:themeShade="FF"/>
          <w:sz w:val="24"/>
          <w:szCs w:val="24"/>
          <w:lang w:val="en-GB"/>
        </w:rPr>
        <w:t xml:space="preserve">The pancreas </w:t>
      </w:r>
      <w:r w:rsidRPr="35E4B630" w:rsidR="03A5D184">
        <w:rPr>
          <w:rFonts w:ascii="Arial" w:hAnsi="Arial" w:eastAsia="Arial" w:cs="Arial"/>
          <w:noProof w:val="0"/>
          <w:color w:val="000000" w:themeColor="text1" w:themeTint="FF" w:themeShade="FF"/>
          <w:sz w:val="24"/>
          <w:szCs w:val="24"/>
          <w:lang w:val="en-GB"/>
        </w:rPr>
        <w:t>contains</w:t>
      </w:r>
      <w:r w:rsidRPr="35E4B630" w:rsidR="03A5D184">
        <w:rPr>
          <w:rFonts w:ascii="Arial" w:hAnsi="Arial" w:eastAsia="Arial" w:cs="Arial"/>
          <w:noProof w:val="0"/>
          <w:color w:val="000000" w:themeColor="text1" w:themeTint="FF" w:themeShade="FF"/>
          <w:sz w:val="24"/>
          <w:szCs w:val="24"/>
          <w:lang w:val="en-GB"/>
        </w:rPr>
        <w:t xml:space="preserve"> endocrine cells known as the islets of Langerhans. Beta (β) cells release insulin in response to elevated blood glucose. Insulin binds to receptors on muscle and adipose cells, triggering movement of GLUT4 transporters to the cell membrane, allowing glucose entry (Hall, 2021).</w:t>
      </w:r>
    </w:p>
    <w:p w:rsidR="03A5D184" w:rsidP="35E4B630" w:rsidRDefault="03A5D184" w14:paraId="641E502F" w14:textId="7CC8773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3A5D184">
        <w:rPr>
          <w:rFonts w:ascii="Arial" w:hAnsi="Arial" w:eastAsia="Arial" w:cs="Arial"/>
          <w:noProof w:val="0"/>
          <w:color w:val="000000" w:themeColor="text1" w:themeTint="FF" w:themeShade="FF"/>
          <w:sz w:val="24"/>
          <w:szCs w:val="24"/>
          <w:lang w:val="en-GB"/>
        </w:rPr>
        <w:t>In the liver, insulin promotes:</w:t>
      </w:r>
    </w:p>
    <w:p w:rsidR="03A5D184" w:rsidP="35E4B630" w:rsidRDefault="03A5D184" w14:paraId="32E523A1" w14:textId="383BC527">
      <w:pPr>
        <w:pStyle w:val="ListParagraph"/>
        <w:numPr>
          <w:ilvl w:val="0"/>
          <w:numId w:val="15"/>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3A5D184">
        <w:rPr>
          <w:rFonts w:ascii="Arial" w:hAnsi="Arial" w:eastAsia="Arial" w:cs="Arial"/>
          <w:noProof w:val="0"/>
          <w:color w:val="000000" w:themeColor="text1" w:themeTint="FF" w:themeShade="FF"/>
          <w:sz w:val="24"/>
          <w:szCs w:val="24"/>
          <w:lang w:val="en-GB"/>
        </w:rPr>
        <w:t>Glycogenesis (storage of glucose as glycogen)</w:t>
      </w:r>
    </w:p>
    <w:p w:rsidR="03A5D184" w:rsidP="35E4B630" w:rsidRDefault="03A5D184" w14:paraId="11DC1B80" w14:textId="03F14166">
      <w:pPr>
        <w:pStyle w:val="ListParagraph"/>
        <w:numPr>
          <w:ilvl w:val="0"/>
          <w:numId w:val="15"/>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3A5D184">
        <w:rPr>
          <w:rFonts w:ascii="Arial" w:hAnsi="Arial" w:eastAsia="Arial" w:cs="Arial"/>
          <w:noProof w:val="0"/>
          <w:color w:val="000000" w:themeColor="text1" w:themeTint="FF" w:themeShade="FF"/>
          <w:sz w:val="24"/>
          <w:szCs w:val="24"/>
          <w:lang w:val="en-GB"/>
        </w:rPr>
        <w:t>Inhibition of gluconeogenesis (production of new glucose)</w:t>
      </w:r>
    </w:p>
    <w:p w:rsidR="03A5D184" w:rsidP="35E4B630" w:rsidRDefault="03A5D184" w14:paraId="54FDBCCF" w14:textId="35CBCF34">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3A5D184">
        <w:rPr>
          <w:rFonts w:ascii="Arial" w:hAnsi="Arial" w:eastAsia="Arial" w:cs="Arial"/>
          <w:noProof w:val="0"/>
          <w:color w:val="000000" w:themeColor="text1" w:themeTint="FF" w:themeShade="FF"/>
          <w:sz w:val="24"/>
          <w:szCs w:val="24"/>
          <w:lang w:val="en-GB"/>
        </w:rPr>
        <w:t>When blood glucose levels fall, alpha (α) cells release glucagon, stimulating glycogen breakdown.</w:t>
      </w:r>
    </w:p>
    <w:p w:rsidR="03A5D184" w:rsidP="35E4B630" w:rsidRDefault="03A5D184" w14:paraId="5F6D8D44" w14:textId="14560EFE">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3A5D184">
        <w:rPr>
          <w:rFonts w:ascii="Arial" w:hAnsi="Arial" w:eastAsia="Arial" w:cs="Arial"/>
          <w:noProof w:val="0"/>
          <w:color w:val="000000" w:themeColor="text1" w:themeTint="FF" w:themeShade="FF"/>
          <w:sz w:val="24"/>
          <w:szCs w:val="24"/>
          <w:lang w:val="en-GB"/>
        </w:rPr>
        <w:t xml:space="preserve">This negative feedback system </w:t>
      </w:r>
      <w:r w:rsidRPr="35E4B630" w:rsidR="03A5D184">
        <w:rPr>
          <w:rFonts w:ascii="Arial" w:hAnsi="Arial" w:eastAsia="Arial" w:cs="Arial"/>
          <w:noProof w:val="0"/>
          <w:color w:val="000000" w:themeColor="text1" w:themeTint="FF" w:themeShade="FF"/>
          <w:sz w:val="24"/>
          <w:szCs w:val="24"/>
          <w:lang w:val="en-GB"/>
        </w:rPr>
        <w:t>maintains</w:t>
      </w:r>
      <w:r w:rsidRPr="35E4B630" w:rsidR="03A5D184">
        <w:rPr>
          <w:rFonts w:ascii="Arial" w:hAnsi="Arial" w:eastAsia="Arial" w:cs="Arial"/>
          <w:noProof w:val="0"/>
          <w:color w:val="000000" w:themeColor="text1" w:themeTint="FF" w:themeShade="FF"/>
          <w:sz w:val="24"/>
          <w:szCs w:val="24"/>
          <w:lang w:val="en-GB"/>
        </w:rPr>
        <w:t xml:space="preserve"> homeostasis.</w:t>
      </w:r>
    </w:p>
    <w:p w:rsidR="35E4B630" w:rsidRDefault="35E4B630" w14:paraId="34051C8B" w14:textId="6B6D9E96"/>
    <w:p w:rsidR="03A5D184" w:rsidP="35E4B630" w:rsidRDefault="03A5D184" w14:paraId="523DF84F" w14:textId="7F5189FD">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35E4B630" w:rsidR="03A5D184">
        <w:rPr>
          <w:rFonts w:ascii="Arial" w:hAnsi="Arial" w:eastAsia="Arial" w:cs="Arial"/>
          <w:b w:val="1"/>
          <w:bCs w:val="1"/>
          <w:noProof w:val="0"/>
          <w:color w:val="000000" w:themeColor="text1" w:themeTint="FF" w:themeShade="FF"/>
          <w:sz w:val="24"/>
          <w:szCs w:val="24"/>
          <w:lang w:val="en-GB"/>
        </w:rPr>
        <w:t>1.3 Cellular Respiration: How Cells Produce Energy</w:t>
      </w:r>
    </w:p>
    <w:p w:rsidR="03A5D184" w:rsidP="35E4B630" w:rsidRDefault="03A5D184" w14:paraId="146A9141" w14:textId="2781E4D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3A5D184">
        <w:rPr>
          <w:rFonts w:ascii="Arial" w:hAnsi="Arial" w:eastAsia="Arial" w:cs="Arial"/>
          <w:noProof w:val="0"/>
          <w:color w:val="000000" w:themeColor="text1" w:themeTint="FF" w:themeShade="FF"/>
          <w:sz w:val="24"/>
          <w:szCs w:val="24"/>
          <w:lang w:val="en-GB"/>
        </w:rPr>
        <w:t xml:space="preserve">Once inside the cell, glucose undergoes glycolysis in the cytoplasm, producing pyruvate. In the presence of oxygen, pyruvate enters mitochondria and </w:t>
      </w:r>
      <w:r w:rsidRPr="35E4B630" w:rsidR="03A5D184">
        <w:rPr>
          <w:rFonts w:ascii="Arial" w:hAnsi="Arial" w:eastAsia="Arial" w:cs="Arial"/>
          <w:noProof w:val="0"/>
          <w:color w:val="000000" w:themeColor="text1" w:themeTint="FF" w:themeShade="FF"/>
          <w:sz w:val="24"/>
          <w:szCs w:val="24"/>
          <w:lang w:val="en-GB"/>
        </w:rPr>
        <w:t>participates</w:t>
      </w:r>
      <w:r w:rsidRPr="35E4B630" w:rsidR="03A5D184">
        <w:rPr>
          <w:rFonts w:ascii="Arial" w:hAnsi="Arial" w:eastAsia="Arial" w:cs="Arial"/>
          <w:noProof w:val="0"/>
          <w:color w:val="000000" w:themeColor="text1" w:themeTint="FF" w:themeShade="FF"/>
          <w:sz w:val="24"/>
          <w:szCs w:val="24"/>
          <w:lang w:val="en-GB"/>
        </w:rPr>
        <w:t xml:space="preserve"> in aerobic respiration.</w:t>
      </w:r>
    </w:p>
    <w:p w:rsidR="03A5D184" w:rsidP="35E4B630" w:rsidRDefault="03A5D184" w14:paraId="44593071" w14:textId="66430FF6">
      <w:pPr>
        <w:spacing w:before="240" w:beforeAutospacing="off" w:after="240" w:afterAutospacing="off" w:line="360" w:lineRule="auto"/>
        <w:rPr>
          <w:rFonts w:ascii="Arial" w:hAnsi="Arial" w:eastAsia="Arial" w:cs="Arial"/>
          <w:b w:val="1"/>
          <w:bCs w:val="1"/>
          <w:noProof w:val="0"/>
          <w:color w:val="000000" w:themeColor="text1" w:themeTint="FF" w:themeShade="FF"/>
          <w:sz w:val="24"/>
          <w:szCs w:val="24"/>
          <w:lang w:val="en-GB"/>
        </w:rPr>
      </w:pPr>
      <w:r w:rsidRPr="35E4B630" w:rsidR="03A5D184">
        <w:rPr>
          <w:rFonts w:ascii="Arial" w:hAnsi="Arial" w:eastAsia="Arial" w:cs="Arial"/>
          <w:b w:val="1"/>
          <w:bCs w:val="1"/>
          <w:noProof w:val="0"/>
          <w:color w:val="000000" w:themeColor="text1" w:themeTint="FF" w:themeShade="FF"/>
          <w:sz w:val="24"/>
          <w:szCs w:val="24"/>
          <w:lang w:val="en-GB"/>
        </w:rPr>
        <w:t>Diagram 2: Energy Production</w:t>
      </w:r>
    </w:p>
    <w:p w:rsidR="6E8E2174" w:rsidP="35E4B630" w:rsidRDefault="6E8E2174" w14:paraId="3AC91A93" w14:textId="654804C8">
      <w:pPr>
        <w:pStyle w:val="Normal"/>
        <w:spacing w:before="240" w:beforeAutospacing="off" w:after="240" w:afterAutospacing="off" w:line="360" w:lineRule="auto"/>
        <w:rPr>
          <w:rFonts w:ascii="Aptos" w:hAnsi="Aptos" w:eastAsia="Aptos" w:cs="Aptos"/>
          <w:noProof w:val="0"/>
          <w:sz w:val="24"/>
          <w:szCs w:val="24"/>
          <w:lang w:val="en-GB"/>
        </w:rPr>
      </w:pPr>
      <w:r w:rsidR="6E8E2174">
        <w:drawing>
          <wp:inline wp14:editId="18457CC3" wp14:anchorId="00B1FBBD">
            <wp:extent cx="5048250" cy="3989882"/>
            <wp:effectExtent l="0" t="0" r="0" b="0"/>
            <wp:docPr id="13444150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4415029" name="Picture 1344415029"/>
                    <pic:cNvPicPr/>
                  </pic:nvPicPr>
                  <pic:blipFill>
                    <a:blip xmlns:r="http://schemas.openxmlformats.org/officeDocument/2006/relationships" r:embed="rId1776182859">
                      <a:extLst>
                        <a:ext uri="{28A0092B-C50C-407E-A947-70E740481C1C}">
                          <a14:useLocalDpi xmlns:a14="http://schemas.microsoft.com/office/drawing/2010/main"/>
                        </a:ext>
                      </a:extLst>
                    </a:blip>
                    <a:stretch>
                      <a:fillRect/>
                    </a:stretch>
                  </pic:blipFill>
                  <pic:spPr>
                    <a:xfrm rot="0">
                      <a:off x="0" y="0"/>
                      <a:ext cx="5048250" cy="3989882"/>
                    </a:xfrm>
                    <a:prstGeom prst="rect">
                      <a:avLst/>
                    </a:prstGeom>
                  </pic:spPr>
                </pic:pic>
              </a:graphicData>
            </a:graphic>
          </wp:inline>
        </w:drawing>
      </w:r>
      <w:r w:rsidRPr="35E4B630" w:rsidR="5D5B74A0">
        <w:rPr>
          <w:rFonts w:ascii="Times New Roman" w:hAnsi="Times New Roman" w:eastAsia="Times New Roman" w:cs="Times New Roman"/>
          <w:noProof w:val="0"/>
          <w:sz w:val="24"/>
          <w:szCs w:val="24"/>
          <w:lang w:val="en-GB"/>
        </w:rPr>
        <w:t>(Nave, 2019)</w:t>
      </w:r>
    </w:p>
    <w:p w:rsidR="03A5D184" w:rsidP="35E4B630" w:rsidRDefault="03A5D184" w14:paraId="4EA8D2CE" w14:textId="12D1E095">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3A5D184">
        <w:rPr>
          <w:rFonts w:ascii="Arial" w:hAnsi="Arial" w:eastAsia="Arial" w:cs="Arial"/>
          <w:noProof w:val="0"/>
          <w:color w:val="000000" w:themeColor="text1" w:themeTint="FF" w:themeShade="FF"/>
          <w:sz w:val="24"/>
          <w:szCs w:val="24"/>
          <w:lang w:val="en-GB"/>
        </w:rPr>
        <w:t xml:space="preserve">ATP (adenosine triphosphate) is the cell’s energy currency, powering muscle contraction, nerve </w:t>
      </w:r>
      <w:r w:rsidRPr="35E4B630" w:rsidR="03A5D184">
        <w:rPr>
          <w:rFonts w:ascii="Arial" w:hAnsi="Arial" w:eastAsia="Arial" w:cs="Arial"/>
          <w:noProof w:val="0"/>
          <w:color w:val="000000" w:themeColor="text1" w:themeTint="FF" w:themeShade="FF"/>
          <w:sz w:val="24"/>
          <w:szCs w:val="24"/>
          <w:lang w:val="en-GB"/>
        </w:rPr>
        <w:t>transmission</w:t>
      </w:r>
      <w:r w:rsidRPr="35E4B630" w:rsidR="03A5D184">
        <w:rPr>
          <w:rFonts w:ascii="Arial" w:hAnsi="Arial" w:eastAsia="Arial" w:cs="Arial"/>
          <w:noProof w:val="0"/>
          <w:color w:val="000000" w:themeColor="text1" w:themeTint="FF" w:themeShade="FF"/>
          <w:sz w:val="24"/>
          <w:szCs w:val="24"/>
          <w:lang w:val="en-GB"/>
        </w:rPr>
        <w:t xml:space="preserve"> and metabolic reactions (Silverthorn, 2019).</w:t>
      </w:r>
    </w:p>
    <w:p w:rsidR="03A5D184" w:rsidP="35E4B630" w:rsidRDefault="03A5D184" w14:paraId="72EEE3BD" w14:textId="2144B3F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3A5D184">
        <w:rPr>
          <w:rFonts w:ascii="Arial" w:hAnsi="Arial" w:eastAsia="Arial" w:cs="Arial"/>
          <w:noProof w:val="0"/>
          <w:color w:val="000000" w:themeColor="text1" w:themeTint="FF" w:themeShade="FF"/>
          <w:sz w:val="24"/>
          <w:szCs w:val="24"/>
          <w:lang w:val="en-GB"/>
        </w:rPr>
        <w:t>Effective insulin function ensures glucose can enter cells to support ATP production.</w:t>
      </w:r>
    </w:p>
    <w:p w:rsidR="35E4B630" w:rsidRDefault="35E4B630" w14:paraId="49FBCDCE" w14:textId="54D001CB"/>
    <w:p w:rsidR="3FF52B89" w:rsidP="35E4B630" w:rsidRDefault="3FF52B89" w14:paraId="537497EC" w14:textId="754D75A1">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35E4B630" w:rsidR="3FF52B89">
        <w:rPr>
          <w:rFonts w:ascii="Arial" w:hAnsi="Arial" w:eastAsia="Arial" w:cs="Arial"/>
          <w:b w:val="1"/>
          <w:bCs w:val="1"/>
          <w:noProof w:val="0"/>
          <w:color w:val="000000" w:themeColor="text1" w:themeTint="FF" w:themeShade="FF"/>
          <w:sz w:val="24"/>
          <w:szCs w:val="24"/>
          <w:lang w:val="en-GB"/>
        </w:rPr>
        <w:t>1.4 The Cardiovascular System</w:t>
      </w:r>
    </w:p>
    <w:p w:rsidR="3FF52B89" w:rsidP="35E4B630" w:rsidRDefault="3FF52B89" w14:paraId="7E995D01" w14:textId="13FC007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3FF52B89">
        <w:rPr>
          <w:rFonts w:ascii="Arial" w:hAnsi="Arial" w:eastAsia="Arial" w:cs="Arial"/>
          <w:noProof w:val="0"/>
          <w:color w:val="000000" w:themeColor="text1" w:themeTint="FF" w:themeShade="FF"/>
          <w:sz w:val="24"/>
          <w:szCs w:val="24"/>
          <w:lang w:val="en-GB"/>
        </w:rPr>
        <w:t xml:space="preserve">The cardiovascular system transports glucose, </w:t>
      </w:r>
      <w:r w:rsidRPr="35E4B630" w:rsidR="3FF52B89">
        <w:rPr>
          <w:rFonts w:ascii="Arial" w:hAnsi="Arial" w:eastAsia="Arial" w:cs="Arial"/>
          <w:noProof w:val="0"/>
          <w:color w:val="000000" w:themeColor="text1" w:themeTint="FF" w:themeShade="FF"/>
          <w:sz w:val="24"/>
          <w:szCs w:val="24"/>
          <w:lang w:val="en-GB"/>
        </w:rPr>
        <w:t>insulin</w:t>
      </w:r>
      <w:r w:rsidRPr="35E4B630" w:rsidR="3FF52B89">
        <w:rPr>
          <w:rFonts w:ascii="Arial" w:hAnsi="Arial" w:eastAsia="Arial" w:cs="Arial"/>
          <w:noProof w:val="0"/>
          <w:color w:val="000000" w:themeColor="text1" w:themeTint="FF" w:themeShade="FF"/>
          <w:sz w:val="24"/>
          <w:szCs w:val="24"/>
          <w:lang w:val="en-GB"/>
        </w:rPr>
        <w:t xml:space="preserve"> and oxygen throughout the body via an extensive network of arteries, </w:t>
      </w:r>
      <w:r w:rsidRPr="35E4B630" w:rsidR="3FF52B89">
        <w:rPr>
          <w:rFonts w:ascii="Arial" w:hAnsi="Arial" w:eastAsia="Arial" w:cs="Arial"/>
          <w:noProof w:val="0"/>
          <w:color w:val="000000" w:themeColor="text1" w:themeTint="FF" w:themeShade="FF"/>
          <w:sz w:val="24"/>
          <w:szCs w:val="24"/>
          <w:lang w:val="en-GB"/>
        </w:rPr>
        <w:t>veins</w:t>
      </w:r>
      <w:r w:rsidRPr="35E4B630" w:rsidR="3FF52B89">
        <w:rPr>
          <w:rFonts w:ascii="Arial" w:hAnsi="Arial" w:eastAsia="Arial" w:cs="Arial"/>
          <w:noProof w:val="0"/>
          <w:color w:val="000000" w:themeColor="text1" w:themeTint="FF" w:themeShade="FF"/>
          <w:sz w:val="24"/>
          <w:szCs w:val="24"/>
          <w:lang w:val="en-GB"/>
        </w:rPr>
        <w:t xml:space="preserve"> and capillaries. Persistent hyperglycaemia damages blood vessel walls through inflammation and oxidative stress. Elevated glucose levels impair endothelial function, reducing nitric oxide availability and promoting vascular stiffness. Over time, this contributes to atherosclerosis, characterised by plaque formation within arterial walls, narrowing the vessels and restricting blood flow. These changes significantly increase the risk of hypertension, coronary heart </w:t>
      </w:r>
      <w:r w:rsidRPr="35E4B630" w:rsidR="3FF52B89">
        <w:rPr>
          <w:rFonts w:ascii="Arial" w:hAnsi="Arial" w:eastAsia="Arial" w:cs="Arial"/>
          <w:noProof w:val="0"/>
          <w:color w:val="000000" w:themeColor="text1" w:themeTint="FF" w:themeShade="FF"/>
          <w:sz w:val="24"/>
          <w:szCs w:val="24"/>
          <w:lang w:val="en-GB"/>
        </w:rPr>
        <w:t>disease</w:t>
      </w:r>
      <w:r w:rsidRPr="35E4B630" w:rsidR="3FF52B89">
        <w:rPr>
          <w:rFonts w:ascii="Arial" w:hAnsi="Arial" w:eastAsia="Arial" w:cs="Arial"/>
          <w:noProof w:val="0"/>
          <w:color w:val="000000" w:themeColor="text1" w:themeTint="FF" w:themeShade="FF"/>
          <w:sz w:val="24"/>
          <w:szCs w:val="24"/>
          <w:lang w:val="en-GB"/>
        </w:rPr>
        <w:t xml:space="preserve"> and stroke in individuals with Type 2 diabetes (NICE, 2023).</w:t>
      </w:r>
    </w:p>
    <w:p w:rsidR="35E4B630" w:rsidP="35E4B630" w:rsidRDefault="35E4B630" w14:paraId="2B23AA39" w14:textId="77CF3A2A">
      <w:pPr>
        <w:spacing w:line="360" w:lineRule="auto"/>
        <w:rPr>
          <w:sz w:val="24"/>
          <w:szCs w:val="24"/>
        </w:rPr>
      </w:pPr>
    </w:p>
    <w:p w:rsidR="6C417193" w:rsidP="35E4B630" w:rsidRDefault="6C417193" w14:paraId="3D10A8F4" w14:textId="46DAFA57">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lang w:val="en-GB"/>
        </w:rPr>
      </w:pPr>
      <w:r w:rsidRPr="35E4B630" w:rsidR="6C417193">
        <w:rPr>
          <w:rFonts w:ascii="Arial" w:hAnsi="Arial" w:eastAsia="Arial" w:cs="Arial"/>
          <w:b w:val="1"/>
          <w:bCs w:val="1"/>
          <w:noProof w:val="0"/>
          <w:color w:val="000000" w:themeColor="text1" w:themeTint="FF" w:themeShade="FF"/>
          <w:sz w:val="24"/>
          <w:szCs w:val="24"/>
          <w:lang w:val="en-GB"/>
        </w:rPr>
        <w:t>Section 2: Pathophysiology of Type 2 Diabetes</w:t>
      </w:r>
    </w:p>
    <w:p w:rsidR="6C417193" w:rsidP="35E4B630" w:rsidRDefault="6C417193" w14:paraId="4FA588B9" w14:textId="0862FFC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6C417193">
        <w:rPr>
          <w:rFonts w:ascii="Arial" w:hAnsi="Arial" w:eastAsia="Arial" w:cs="Arial"/>
          <w:noProof w:val="0"/>
          <w:color w:val="000000" w:themeColor="text1" w:themeTint="FF" w:themeShade="FF"/>
          <w:sz w:val="24"/>
          <w:szCs w:val="24"/>
          <w:lang w:val="en-GB"/>
        </w:rPr>
        <w:t>In Type 2 Diabetes Mellitus (T2DM), body tissues such as skeletal muscle, adipose tissue and the liver become resistant to insulin. Although insulin is present in the bloodstream, cells respond inadequately, resulting in impaired glucose uptake. To compensate, the pancreas increases insulin production; however, prolonged overstimulation of pancreatic beta cells eventually leads to functional decline and reduced insulin secretion (Rang et al., 2019). This dual effect of insulin resistance and beta-cell dysfunction is central to the progression of T2DM.</w:t>
      </w:r>
    </w:p>
    <w:p w:rsidR="6C417193" w:rsidP="35E4B630" w:rsidRDefault="6C417193" w14:paraId="15C4C3A6" w14:textId="6AF02C8E">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6C417193">
        <w:rPr>
          <w:rFonts w:ascii="Arial" w:hAnsi="Arial" w:eastAsia="Arial" w:cs="Arial"/>
          <w:noProof w:val="0"/>
          <w:color w:val="000000" w:themeColor="text1" w:themeTint="FF" w:themeShade="FF"/>
          <w:sz w:val="24"/>
          <w:szCs w:val="24"/>
          <w:lang w:val="en-GB"/>
        </w:rPr>
        <w:t xml:space="preserve">Skeletal muscle, which normally removes a substantial proportion of circulating glucose, becomes less efficient at uptake due to insulin resistance. Concurrently, the liver continues to produce glucose via gluconeogenesis even when blood glucose levels are already elevated. This inappropriate hepatic glucose output </w:t>
      </w:r>
      <w:r w:rsidRPr="35E4B630" w:rsidR="6C417193">
        <w:rPr>
          <w:rFonts w:ascii="Arial" w:hAnsi="Arial" w:eastAsia="Arial" w:cs="Arial"/>
          <w:noProof w:val="0"/>
          <w:color w:val="000000" w:themeColor="text1" w:themeTint="FF" w:themeShade="FF"/>
          <w:sz w:val="24"/>
          <w:szCs w:val="24"/>
          <w:lang w:val="en-GB"/>
        </w:rPr>
        <w:t>exacerbates</w:t>
      </w:r>
      <w:r w:rsidRPr="35E4B630" w:rsidR="6C417193">
        <w:rPr>
          <w:rFonts w:ascii="Arial" w:hAnsi="Arial" w:eastAsia="Arial" w:cs="Arial"/>
          <w:noProof w:val="0"/>
          <w:color w:val="000000" w:themeColor="text1" w:themeTint="FF" w:themeShade="FF"/>
          <w:sz w:val="24"/>
          <w:szCs w:val="24"/>
          <w:lang w:val="en-GB"/>
        </w:rPr>
        <w:t xml:space="preserve"> hyperglycaemia. Chronic high glucose levels trigger increased formation of advanced glycation end-products (AGEs), which accumulate in blood vessel walls, reduce elasticity and contribute to vascular inflammation and stiffness. These changes promote both microvascular complications, such as diabetic retinopathy and nephropathy, and macrovascular complications including coronary heart disease and peripheral artery disease (NICE, 2023).</w:t>
      </w:r>
    </w:p>
    <w:p w:rsidR="6C417193" w:rsidP="35E4B630" w:rsidRDefault="6C417193" w14:paraId="70A4DC31" w14:textId="5A642568">
      <w:pPr>
        <w:pStyle w:val="Normal"/>
        <w:spacing w:before="240" w:beforeAutospacing="off" w:after="240" w:afterAutospacing="off" w:line="360" w:lineRule="auto"/>
        <w:rPr>
          <w:rFonts w:ascii="Arial" w:hAnsi="Arial" w:eastAsia="Arial" w:cs="Arial"/>
          <w:noProof w:val="0"/>
          <w:sz w:val="24"/>
          <w:szCs w:val="24"/>
          <w:lang w:val="en-GB"/>
        </w:rPr>
      </w:pPr>
      <w:r w:rsidRPr="35E4B630" w:rsidR="6C417193">
        <w:rPr>
          <w:rFonts w:ascii="Arial" w:hAnsi="Arial" w:eastAsia="Arial" w:cs="Arial"/>
          <w:noProof w:val="0"/>
          <w:color w:val="000000" w:themeColor="text1" w:themeTint="FF" w:themeShade="FF"/>
          <w:sz w:val="24"/>
          <w:szCs w:val="24"/>
          <w:lang w:val="en-GB"/>
        </w:rPr>
        <w:t>Excess visceral adipose tissue further worsens insulin resistance through the secretion of inflammatory cytokines and adipokines, which interfere with insulin signalling pathways. Diets high in refined sugars, fried foods and energy-dense snacks cause repeated post-prandial glucose spikes and contribute to weight gain, creating a feedback loop that reinforces metabolic dysfunction. Physical inactivity amplifies these effects, reducing glucose uptake by skeletal muscle and limiting energy utilisation</w:t>
      </w:r>
      <w:r w:rsidRPr="35E4B630" w:rsidR="1671BE87">
        <w:rPr>
          <w:rFonts w:ascii="Times New Roman" w:hAnsi="Times New Roman" w:eastAsia="Times New Roman" w:cs="Times New Roman"/>
          <w:noProof w:val="0"/>
          <w:sz w:val="24"/>
          <w:szCs w:val="24"/>
          <w:lang w:val="en-GB"/>
        </w:rPr>
        <w:t xml:space="preserve"> </w:t>
      </w:r>
      <w:r w:rsidRPr="35E4B630" w:rsidR="1671BE87">
        <w:rPr>
          <w:rFonts w:ascii="Arial" w:hAnsi="Arial" w:eastAsia="Arial" w:cs="Arial"/>
          <w:noProof w:val="0"/>
          <w:sz w:val="24"/>
          <w:szCs w:val="24"/>
          <w:lang w:val="en-GB"/>
        </w:rPr>
        <w:t>(Hardy, Czech and Corvera, 2012).</w:t>
      </w:r>
    </w:p>
    <w:p w:rsidR="6C417193" w:rsidP="35E4B630" w:rsidRDefault="6C417193" w14:paraId="0BB59863" w14:textId="0658710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6C417193">
        <w:rPr>
          <w:rFonts w:ascii="Arial" w:hAnsi="Arial" w:eastAsia="Arial" w:cs="Arial"/>
          <w:noProof w:val="0"/>
          <w:color w:val="000000" w:themeColor="text1" w:themeTint="FF" w:themeShade="FF"/>
          <w:sz w:val="24"/>
          <w:szCs w:val="24"/>
          <w:lang w:val="en-GB"/>
        </w:rPr>
        <w:t xml:space="preserve">Oxidative stress and chronic inflammation are </w:t>
      </w:r>
      <w:r w:rsidRPr="35E4B630" w:rsidR="6C417193">
        <w:rPr>
          <w:rFonts w:ascii="Arial" w:hAnsi="Arial" w:eastAsia="Arial" w:cs="Arial"/>
          <w:noProof w:val="0"/>
          <w:color w:val="000000" w:themeColor="text1" w:themeTint="FF" w:themeShade="FF"/>
          <w:sz w:val="24"/>
          <w:szCs w:val="24"/>
          <w:lang w:val="en-GB"/>
        </w:rPr>
        <w:t>additional</w:t>
      </w:r>
      <w:r w:rsidRPr="35E4B630" w:rsidR="6C417193">
        <w:rPr>
          <w:rFonts w:ascii="Arial" w:hAnsi="Arial" w:eastAsia="Arial" w:cs="Arial"/>
          <w:noProof w:val="0"/>
          <w:color w:val="000000" w:themeColor="text1" w:themeTint="FF" w:themeShade="FF"/>
          <w:sz w:val="24"/>
          <w:szCs w:val="24"/>
          <w:lang w:val="en-GB"/>
        </w:rPr>
        <w:t xml:space="preserve"> consequences of prolonged hyperglycaemia. Reactive oxygen species damage endothelial cells, impairing nitric oxide production and reducing the ability of blood vessels to dilate. This endothelial dysfunction increases the risk of hypertension, </w:t>
      </w:r>
      <w:r w:rsidRPr="35E4B630" w:rsidR="6C417193">
        <w:rPr>
          <w:rFonts w:ascii="Arial" w:hAnsi="Arial" w:eastAsia="Arial" w:cs="Arial"/>
          <w:noProof w:val="0"/>
          <w:color w:val="000000" w:themeColor="text1" w:themeTint="FF" w:themeShade="FF"/>
          <w:sz w:val="24"/>
          <w:szCs w:val="24"/>
          <w:lang w:val="en-GB"/>
        </w:rPr>
        <w:t>atherosclerosis</w:t>
      </w:r>
      <w:r w:rsidRPr="35E4B630" w:rsidR="6C417193">
        <w:rPr>
          <w:rFonts w:ascii="Arial" w:hAnsi="Arial" w:eastAsia="Arial" w:cs="Arial"/>
          <w:noProof w:val="0"/>
          <w:color w:val="000000" w:themeColor="text1" w:themeTint="FF" w:themeShade="FF"/>
          <w:sz w:val="24"/>
          <w:szCs w:val="24"/>
          <w:lang w:val="en-GB"/>
        </w:rPr>
        <w:t xml:space="preserve"> and cardiovascular events, which remain the leading cause of morbidity and mortality in individuals with T2DM (NHS England, 2023).</w:t>
      </w:r>
    </w:p>
    <w:p w:rsidR="6C417193" w:rsidP="35E4B630" w:rsidRDefault="6C417193" w14:paraId="3A9247D0" w14:textId="71E75DE7">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6C417193">
        <w:rPr>
          <w:rFonts w:ascii="Arial" w:hAnsi="Arial" w:eastAsia="Arial" w:cs="Arial"/>
          <w:noProof w:val="0"/>
          <w:color w:val="000000" w:themeColor="text1" w:themeTint="FF" w:themeShade="FF"/>
          <w:sz w:val="24"/>
          <w:szCs w:val="24"/>
          <w:lang w:val="en-GB"/>
        </w:rPr>
        <w:t xml:space="preserve">Overall, T2DM is a progressive systemic disorder affecting multiple organ systems. Insulin resistance, beta-cell failure, chronic hyperglycaemia, vascular </w:t>
      </w:r>
      <w:r w:rsidRPr="35E4B630" w:rsidR="6C417193">
        <w:rPr>
          <w:rFonts w:ascii="Arial" w:hAnsi="Arial" w:eastAsia="Arial" w:cs="Arial"/>
          <w:noProof w:val="0"/>
          <w:color w:val="000000" w:themeColor="text1" w:themeTint="FF" w:themeShade="FF"/>
          <w:sz w:val="24"/>
          <w:szCs w:val="24"/>
          <w:lang w:val="en-GB"/>
        </w:rPr>
        <w:t>damage</w:t>
      </w:r>
      <w:r w:rsidRPr="35E4B630" w:rsidR="6C417193">
        <w:rPr>
          <w:rFonts w:ascii="Arial" w:hAnsi="Arial" w:eastAsia="Arial" w:cs="Arial"/>
          <w:noProof w:val="0"/>
          <w:color w:val="000000" w:themeColor="text1" w:themeTint="FF" w:themeShade="FF"/>
          <w:sz w:val="24"/>
          <w:szCs w:val="24"/>
          <w:lang w:val="en-GB"/>
        </w:rPr>
        <w:t xml:space="preserve"> and inflammation interact to disrupt normal physiological function. Early intervention aimed at improving insulin sensitivity, promoting healthy dietary patterns, increasing physical </w:t>
      </w:r>
      <w:r w:rsidRPr="35E4B630" w:rsidR="6C417193">
        <w:rPr>
          <w:rFonts w:ascii="Arial" w:hAnsi="Arial" w:eastAsia="Arial" w:cs="Arial"/>
          <w:noProof w:val="0"/>
          <w:color w:val="000000" w:themeColor="text1" w:themeTint="FF" w:themeShade="FF"/>
          <w:sz w:val="24"/>
          <w:szCs w:val="24"/>
          <w:lang w:val="en-GB"/>
        </w:rPr>
        <w:t>activity</w:t>
      </w:r>
      <w:r w:rsidRPr="35E4B630" w:rsidR="6C417193">
        <w:rPr>
          <w:rFonts w:ascii="Arial" w:hAnsi="Arial" w:eastAsia="Arial" w:cs="Arial"/>
          <w:noProof w:val="0"/>
          <w:color w:val="000000" w:themeColor="text1" w:themeTint="FF" w:themeShade="FF"/>
          <w:sz w:val="24"/>
          <w:szCs w:val="24"/>
          <w:lang w:val="en-GB"/>
        </w:rPr>
        <w:t xml:space="preserve"> and managing cardiovascular risk is essential to prevent long-term complications and </w:t>
      </w:r>
      <w:r w:rsidRPr="35E4B630" w:rsidR="6C417193">
        <w:rPr>
          <w:rFonts w:ascii="Arial" w:hAnsi="Arial" w:eastAsia="Arial" w:cs="Arial"/>
          <w:noProof w:val="0"/>
          <w:color w:val="000000" w:themeColor="text1" w:themeTint="FF" w:themeShade="FF"/>
          <w:sz w:val="24"/>
          <w:szCs w:val="24"/>
          <w:lang w:val="en-GB"/>
        </w:rPr>
        <w:t>maintain</w:t>
      </w:r>
      <w:r w:rsidRPr="35E4B630" w:rsidR="6C417193">
        <w:rPr>
          <w:rFonts w:ascii="Arial" w:hAnsi="Arial" w:eastAsia="Arial" w:cs="Arial"/>
          <w:noProof w:val="0"/>
          <w:color w:val="000000" w:themeColor="text1" w:themeTint="FF" w:themeShade="FF"/>
          <w:sz w:val="24"/>
          <w:szCs w:val="24"/>
          <w:lang w:val="en-GB"/>
        </w:rPr>
        <w:t xml:space="preserve"> metabolic homeostasis.</w:t>
      </w:r>
    </w:p>
    <w:p w:rsidR="35E4B630" w:rsidP="35E4B630" w:rsidRDefault="35E4B630" w14:paraId="091DA5A7" w14:textId="043B1FBF">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p>
    <w:p w:rsidR="35E4B630" w:rsidRDefault="35E4B630" w14:paraId="1764ABE9" w14:textId="42EC119C"/>
    <w:p w:rsidR="72F6E560" w:rsidP="35E4B630" w:rsidRDefault="72F6E560" w14:paraId="5F64D6A5" w14:textId="02A00BE3">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35E4B630" w:rsidR="72F6E560">
        <w:rPr>
          <w:rFonts w:ascii="Arial" w:hAnsi="Arial" w:eastAsia="Arial" w:cs="Arial"/>
          <w:b w:val="1"/>
          <w:bCs w:val="1"/>
          <w:noProof w:val="0"/>
          <w:color w:val="000000" w:themeColor="text1" w:themeTint="FF" w:themeShade="FF"/>
          <w:sz w:val="24"/>
          <w:szCs w:val="24"/>
          <w:lang w:val="en-GB"/>
        </w:rPr>
        <w:t>Section 3: Monitoring and Use of Health Data</w:t>
      </w:r>
    </w:p>
    <w:p w:rsidR="72F6E560" w:rsidP="35E4B630" w:rsidRDefault="72F6E560" w14:paraId="09699BE6" w14:textId="14117846">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 xml:space="preserve">Effective monitoring enables early intervention and helps prevent complications by allowing </w:t>
      </w:r>
      <w:r w:rsidRPr="35E4B630" w:rsidR="72F6E560">
        <w:rPr>
          <w:rFonts w:ascii="Arial" w:hAnsi="Arial" w:eastAsia="Arial" w:cs="Arial"/>
          <w:noProof w:val="0"/>
          <w:color w:val="000000" w:themeColor="text1" w:themeTint="FF" w:themeShade="FF"/>
          <w:sz w:val="24"/>
          <w:szCs w:val="24"/>
          <w:lang w:val="en-GB"/>
        </w:rPr>
        <w:t>timely</w:t>
      </w:r>
      <w:r w:rsidRPr="35E4B630" w:rsidR="72F6E560">
        <w:rPr>
          <w:rFonts w:ascii="Arial" w:hAnsi="Arial" w:eastAsia="Arial" w:cs="Arial"/>
          <w:noProof w:val="0"/>
          <w:color w:val="000000" w:themeColor="text1" w:themeTint="FF" w:themeShade="FF"/>
          <w:sz w:val="24"/>
          <w:szCs w:val="24"/>
          <w:lang w:val="en-GB"/>
        </w:rPr>
        <w:t xml:space="preserve"> adjustments to lifestyle and treatment. Understanding glucose patterns empowers individuals to make informed decisions and </w:t>
      </w:r>
      <w:r w:rsidRPr="35E4B630" w:rsidR="72F6E560">
        <w:rPr>
          <w:rFonts w:ascii="Arial" w:hAnsi="Arial" w:eastAsia="Arial" w:cs="Arial"/>
          <w:noProof w:val="0"/>
          <w:color w:val="000000" w:themeColor="text1" w:themeTint="FF" w:themeShade="FF"/>
          <w:sz w:val="24"/>
          <w:szCs w:val="24"/>
          <w:lang w:val="en-GB"/>
        </w:rPr>
        <w:t>maintain</w:t>
      </w:r>
      <w:r w:rsidRPr="35E4B630" w:rsidR="72F6E560">
        <w:rPr>
          <w:rFonts w:ascii="Arial" w:hAnsi="Arial" w:eastAsia="Arial" w:cs="Arial"/>
          <w:noProof w:val="0"/>
          <w:color w:val="000000" w:themeColor="text1" w:themeTint="FF" w:themeShade="FF"/>
          <w:sz w:val="24"/>
          <w:szCs w:val="24"/>
          <w:lang w:val="en-GB"/>
        </w:rPr>
        <w:t xml:space="preserve"> better control over their health.</w:t>
      </w:r>
    </w:p>
    <w:p w:rsidR="72F6E560" w:rsidP="35E4B630" w:rsidRDefault="72F6E560" w14:paraId="3724F1DB" w14:textId="6D1E769C">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35E4B630" w:rsidR="72F6E560">
        <w:rPr>
          <w:rFonts w:ascii="Arial" w:hAnsi="Arial" w:eastAsia="Arial" w:cs="Arial"/>
          <w:b w:val="1"/>
          <w:bCs w:val="1"/>
          <w:noProof w:val="0"/>
          <w:color w:val="000000" w:themeColor="text1" w:themeTint="FF" w:themeShade="FF"/>
          <w:sz w:val="24"/>
          <w:szCs w:val="24"/>
          <w:lang w:val="en-GB"/>
        </w:rPr>
        <w:t>3.1 Finger-Prick Blood Glucose Testing</w:t>
      </w:r>
    </w:p>
    <w:p w:rsidR="72F6E560" w:rsidP="35E4B630" w:rsidRDefault="72F6E560" w14:paraId="1E9D8FA8" w14:textId="1D12668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 xml:space="preserve">Capillary blood testing provides immediate glucose readings, making it a practical tool for daily monitoring. Testing before and after meals, during illness, or at bedtime helps </w:t>
      </w:r>
      <w:r w:rsidRPr="35E4B630" w:rsidR="72F6E560">
        <w:rPr>
          <w:rFonts w:ascii="Arial" w:hAnsi="Arial" w:eastAsia="Arial" w:cs="Arial"/>
          <w:noProof w:val="0"/>
          <w:color w:val="000000" w:themeColor="text1" w:themeTint="FF" w:themeShade="FF"/>
          <w:sz w:val="24"/>
          <w:szCs w:val="24"/>
          <w:lang w:val="en-GB"/>
        </w:rPr>
        <w:t>identify</w:t>
      </w:r>
      <w:r w:rsidRPr="35E4B630" w:rsidR="72F6E560">
        <w:rPr>
          <w:rFonts w:ascii="Arial" w:hAnsi="Arial" w:eastAsia="Arial" w:cs="Arial"/>
          <w:noProof w:val="0"/>
          <w:color w:val="000000" w:themeColor="text1" w:themeTint="FF" w:themeShade="FF"/>
          <w:sz w:val="24"/>
          <w:szCs w:val="24"/>
          <w:lang w:val="en-GB"/>
        </w:rPr>
        <w:t xml:space="preserve"> how food, activity, and other factors affect glucose.</w:t>
      </w:r>
    </w:p>
    <w:p w:rsidR="72F6E560" w:rsidP="35E4B630" w:rsidRDefault="72F6E560" w14:paraId="41D01C43" w14:textId="6291D31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Keeping a diary alongside readings highlights patterns, such as:</w:t>
      </w:r>
    </w:p>
    <w:p w:rsidR="72F6E560" w:rsidP="35E4B630" w:rsidRDefault="72F6E560" w14:paraId="02C746DB" w14:textId="6D566A05">
      <w:pPr>
        <w:pStyle w:val="ListParagraph"/>
        <w:numPr>
          <w:ilvl w:val="0"/>
          <w:numId w:val="24"/>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b w:val="1"/>
          <w:bCs w:val="1"/>
          <w:noProof w:val="0"/>
          <w:color w:val="000000" w:themeColor="text1" w:themeTint="FF" w:themeShade="FF"/>
          <w:sz w:val="24"/>
          <w:szCs w:val="24"/>
          <w:lang w:val="en-GB"/>
        </w:rPr>
        <w:t>Sugary drinks</w:t>
      </w:r>
      <w:r w:rsidRPr="35E4B630" w:rsidR="72F6E560">
        <w:rPr>
          <w:rFonts w:ascii="Arial" w:hAnsi="Arial" w:eastAsia="Arial" w:cs="Arial"/>
          <w:noProof w:val="0"/>
          <w:color w:val="000000" w:themeColor="text1" w:themeTint="FF" w:themeShade="FF"/>
          <w:sz w:val="24"/>
          <w:szCs w:val="24"/>
          <w:lang w:val="en-GB"/>
        </w:rPr>
        <w:t xml:space="preserve"> causing rapid spikes.</w:t>
      </w:r>
    </w:p>
    <w:p w:rsidR="72F6E560" w:rsidP="35E4B630" w:rsidRDefault="72F6E560" w14:paraId="5050E532" w14:textId="0A82A0FA">
      <w:pPr>
        <w:pStyle w:val="ListParagraph"/>
        <w:numPr>
          <w:ilvl w:val="0"/>
          <w:numId w:val="24"/>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b w:val="1"/>
          <w:bCs w:val="1"/>
          <w:noProof w:val="0"/>
          <w:color w:val="000000" w:themeColor="text1" w:themeTint="FF" w:themeShade="FF"/>
          <w:sz w:val="24"/>
          <w:szCs w:val="24"/>
          <w:lang w:val="en-GB"/>
        </w:rPr>
        <w:t>High-fat or carbohydrate meals</w:t>
      </w:r>
      <w:r w:rsidRPr="35E4B630" w:rsidR="72F6E560">
        <w:rPr>
          <w:rFonts w:ascii="Arial" w:hAnsi="Arial" w:eastAsia="Arial" w:cs="Arial"/>
          <w:noProof w:val="0"/>
          <w:color w:val="000000" w:themeColor="text1" w:themeTint="FF" w:themeShade="FF"/>
          <w:sz w:val="24"/>
          <w:szCs w:val="24"/>
          <w:lang w:val="en-GB"/>
        </w:rPr>
        <w:t xml:space="preserve"> leading to prolonged elevation.</w:t>
      </w:r>
    </w:p>
    <w:p w:rsidR="72F6E560" w:rsidP="35E4B630" w:rsidRDefault="72F6E560" w14:paraId="715B70C6" w14:textId="20FBF7DA">
      <w:pPr>
        <w:pStyle w:val="ListParagraph"/>
        <w:numPr>
          <w:ilvl w:val="0"/>
          <w:numId w:val="24"/>
        </w:numPr>
        <w:spacing w:before="240" w:beforeAutospacing="off" w:after="240" w:afterAutospacing="off" w:line="360" w:lineRule="auto"/>
        <w:rPr>
          <w:rFonts w:ascii="Arial" w:hAnsi="Arial" w:eastAsia="Arial" w:cs="Arial"/>
          <w:noProof w:val="0"/>
          <w:lang w:val="en-GB"/>
        </w:rPr>
      </w:pPr>
      <w:r w:rsidRPr="35E4B630" w:rsidR="72F6E560">
        <w:rPr>
          <w:rFonts w:ascii="Arial" w:hAnsi="Arial" w:eastAsia="Arial" w:cs="Arial"/>
          <w:b w:val="1"/>
          <w:bCs w:val="1"/>
          <w:noProof w:val="0"/>
          <w:color w:val="000000" w:themeColor="text1" w:themeTint="FF" w:themeShade="FF"/>
          <w:sz w:val="24"/>
          <w:szCs w:val="24"/>
          <w:lang w:val="en-GB"/>
        </w:rPr>
        <w:t>Physical activity</w:t>
      </w:r>
      <w:r w:rsidRPr="35E4B630" w:rsidR="72F6E560">
        <w:rPr>
          <w:rFonts w:ascii="Arial" w:hAnsi="Arial" w:eastAsia="Arial" w:cs="Arial"/>
          <w:noProof w:val="0"/>
          <w:color w:val="000000" w:themeColor="text1" w:themeTint="FF" w:themeShade="FF"/>
          <w:sz w:val="24"/>
          <w:szCs w:val="24"/>
          <w:lang w:val="en-GB"/>
        </w:rPr>
        <w:t xml:space="preserve"> lowering glucose </w:t>
      </w:r>
      <w:r w:rsidRPr="35E4B630" w:rsidR="72F6E560">
        <w:rPr>
          <w:rFonts w:ascii="Arial" w:hAnsi="Arial" w:eastAsia="Arial" w:cs="Arial"/>
          <w:noProof w:val="0"/>
          <w:color w:val="000000" w:themeColor="text1" w:themeTint="FF" w:themeShade="FF"/>
          <w:sz w:val="24"/>
          <w:szCs w:val="24"/>
          <w:lang w:val="en-GB"/>
        </w:rPr>
        <w:t>levels</w:t>
      </w:r>
      <w:r w:rsidRPr="35E4B630" w:rsidR="4807D72A">
        <w:rPr>
          <w:rFonts w:ascii="Arial" w:hAnsi="Arial" w:eastAsia="Arial" w:cs="Arial"/>
          <w:noProof w:val="0"/>
          <w:color w:val="000000" w:themeColor="text1" w:themeTint="FF" w:themeShade="FF"/>
          <w:sz w:val="24"/>
          <w:szCs w:val="24"/>
          <w:lang w:val="en-GB"/>
        </w:rPr>
        <w:t xml:space="preserve"> </w:t>
      </w:r>
      <w:r w:rsidRPr="35E4B630" w:rsidR="4807D72A">
        <w:rPr>
          <w:rFonts w:ascii="Arial" w:hAnsi="Arial" w:eastAsia="Arial" w:cs="Arial"/>
          <w:noProof w:val="0"/>
          <w:sz w:val="24"/>
          <w:szCs w:val="24"/>
          <w:lang w:val="en-GB"/>
        </w:rPr>
        <w:t>(</w:t>
      </w:r>
      <w:r w:rsidRPr="35E4B630" w:rsidR="4807D72A">
        <w:rPr>
          <w:rFonts w:ascii="Arial" w:hAnsi="Arial" w:eastAsia="Arial" w:cs="Arial"/>
          <w:noProof w:val="0"/>
          <w:sz w:val="24"/>
          <w:szCs w:val="24"/>
          <w:lang w:val="en-GB"/>
        </w:rPr>
        <w:t xml:space="preserve">Richardson </w:t>
      </w:r>
      <w:r w:rsidRPr="35E4B630" w:rsidR="4807D72A">
        <w:rPr>
          <w:rFonts w:ascii="Arial" w:hAnsi="Arial" w:eastAsia="Arial" w:cs="Arial"/>
          <w:i w:val="1"/>
          <w:iCs w:val="1"/>
          <w:noProof w:val="0"/>
          <w:sz w:val="24"/>
          <w:szCs w:val="24"/>
          <w:lang w:val="en-GB"/>
        </w:rPr>
        <w:t>et al.,</w:t>
      </w:r>
      <w:r w:rsidRPr="35E4B630" w:rsidR="4807D72A">
        <w:rPr>
          <w:rFonts w:ascii="Arial" w:hAnsi="Arial" w:eastAsia="Arial" w:cs="Arial"/>
          <w:noProof w:val="0"/>
          <w:sz w:val="24"/>
          <w:szCs w:val="24"/>
          <w:lang w:val="en-GB"/>
        </w:rPr>
        <w:t xml:space="preserve"> 2024).</w:t>
      </w:r>
    </w:p>
    <w:p w:rsidR="72F6E560" w:rsidP="35E4B630" w:rsidRDefault="72F6E560" w14:paraId="3B52321F" w14:textId="452AA2F4">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This approach links behaviours directly to physiological outcomes, promoting proactive management.</w:t>
      </w:r>
    </w:p>
    <w:p w:rsidR="72F6E560" w:rsidP="35E4B630" w:rsidRDefault="72F6E560" w14:paraId="6DA4D2CB" w14:textId="429761C3">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35E4B630" w:rsidR="72F6E560">
        <w:rPr>
          <w:rFonts w:ascii="Arial" w:hAnsi="Arial" w:eastAsia="Arial" w:cs="Arial"/>
          <w:b w:val="1"/>
          <w:bCs w:val="1"/>
          <w:noProof w:val="0"/>
          <w:color w:val="000000" w:themeColor="text1" w:themeTint="FF" w:themeShade="FF"/>
          <w:sz w:val="24"/>
          <w:szCs w:val="24"/>
          <w:lang w:val="en-GB"/>
        </w:rPr>
        <w:t>3.2 Continuous Glucose Monitoring (CGM)</w:t>
      </w:r>
    </w:p>
    <w:p w:rsidR="72F6E560" w:rsidP="35E4B630" w:rsidRDefault="72F6E560" w14:paraId="4047411A" w14:textId="17426DE5">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CGM uses a small sensor under the skin to measure glucose continuously, providing trend data and alerts for high or low readings. Benefits include:</w:t>
      </w:r>
    </w:p>
    <w:p w:rsidR="72F6E560" w:rsidP="35E4B630" w:rsidRDefault="72F6E560" w14:paraId="6911AB10" w14:textId="3980FEBA">
      <w:pPr>
        <w:pStyle w:val="ListParagraph"/>
        <w:numPr>
          <w:ilvl w:val="0"/>
          <w:numId w:val="25"/>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Detecting overnight hyperglycaemia.</w:t>
      </w:r>
    </w:p>
    <w:p w:rsidR="72F6E560" w:rsidP="35E4B630" w:rsidRDefault="72F6E560" w14:paraId="7819A5E2" w14:textId="4AF694CA">
      <w:pPr>
        <w:pStyle w:val="ListParagraph"/>
        <w:numPr>
          <w:ilvl w:val="0"/>
          <w:numId w:val="25"/>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Monitoring glucose responses to exercise or stress.</w:t>
      </w:r>
    </w:p>
    <w:p w:rsidR="72F6E560" w:rsidP="35E4B630" w:rsidRDefault="72F6E560" w14:paraId="61B31796" w14:textId="440D0EC5">
      <w:pPr>
        <w:pStyle w:val="ListParagraph"/>
        <w:numPr>
          <w:ilvl w:val="0"/>
          <w:numId w:val="25"/>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Encouraging behavioural change by showing real-time effects of diet and activity.</w:t>
      </w:r>
    </w:p>
    <w:p w:rsidR="72F6E560" w:rsidP="35E4B630" w:rsidRDefault="72F6E560" w14:paraId="052DC60C" w14:textId="60B9471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CGM reduces the need for frequent finger-prick tests and supports more precise glucose control, especially for individuals with fluctuating levels or on intensive insulin therapy.</w:t>
      </w:r>
    </w:p>
    <w:p w:rsidR="72F6E560" w:rsidP="35E4B630" w:rsidRDefault="72F6E560" w14:paraId="1F5DA9F5" w14:textId="0FAA1D2D">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35E4B630" w:rsidR="72F6E560">
        <w:rPr>
          <w:rFonts w:ascii="Arial" w:hAnsi="Arial" w:eastAsia="Arial" w:cs="Arial"/>
          <w:b w:val="1"/>
          <w:bCs w:val="1"/>
          <w:noProof w:val="0"/>
          <w:color w:val="000000" w:themeColor="text1" w:themeTint="FF" w:themeShade="FF"/>
          <w:sz w:val="24"/>
          <w:szCs w:val="24"/>
          <w:lang w:val="en-GB"/>
        </w:rPr>
        <w:t>3.3 HbA1c Testing</w:t>
      </w:r>
    </w:p>
    <w:p w:rsidR="72F6E560" w:rsidP="35E4B630" w:rsidRDefault="72F6E560" w14:paraId="0D2B0796" w14:textId="7849AEA0">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 xml:space="preserve">HbA1c reflects average glucose over 8–12 weeks. NICE (2023) recommends </w:t>
      </w:r>
      <w:r w:rsidRPr="35E4B630" w:rsidR="72F6E560">
        <w:rPr>
          <w:rFonts w:ascii="Arial" w:hAnsi="Arial" w:eastAsia="Arial" w:cs="Arial"/>
          <w:noProof w:val="0"/>
          <w:color w:val="000000" w:themeColor="text1" w:themeTint="FF" w:themeShade="FF"/>
          <w:sz w:val="24"/>
          <w:szCs w:val="24"/>
          <w:lang w:val="en-GB"/>
        </w:rPr>
        <w:t>maintaining</w:t>
      </w:r>
      <w:r w:rsidRPr="35E4B630" w:rsidR="72F6E560">
        <w:rPr>
          <w:rFonts w:ascii="Arial" w:hAnsi="Arial" w:eastAsia="Arial" w:cs="Arial"/>
          <w:noProof w:val="0"/>
          <w:color w:val="000000" w:themeColor="text1" w:themeTint="FF" w:themeShade="FF"/>
          <w:sz w:val="24"/>
          <w:szCs w:val="24"/>
          <w:lang w:val="en-GB"/>
        </w:rPr>
        <w:t xml:space="preserve"> levels within agreed targets to reduce complications. Regular testing complements daily monitoring by showing the long-term effects of lifestyle and treatment decisions.</w:t>
      </w:r>
    </w:p>
    <w:p w:rsidR="72F6E560" w:rsidP="35E4B630" w:rsidRDefault="72F6E560" w14:paraId="3AF17FFD" w14:textId="03E9DAAE">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72F6E560">
        <w:rPr>
          <w:rFonts w:ascii="Arial" w:hAnsi="Arial" w:eastAsia="Arial" w:cs="Arial"/>
          <w:noProof w:val="0"/>
          <w:color w:val="000000" w:themeColor="text1" w:themeTint="FF" w:themeShade="FF"/>
          <w:sz w:val="24"/>
          <w:szCs w:val="24"/>
          <w:lang w:val="en-GB"/>
        </w:rPr>
        <w:t xml:space="preserve">Combining short-term monitoring (finger-prick or CGM) with HbA1c </w:t>
      </w:r>
      <w:r w:rsidRPr="35E4B630" w:rsidR="72F6E560">
        <w:rPr>
          <w:rFonts w:ascii="Arial" w:hAnsi="Arial" w:eastAsia="Arial" w:cs="Arial"/>
          <w:noProof w:val="0"/>
          <w:color w:val="000000" w:themeColor="text1" w:themeTint="FF" w:themeShade="FF"/>
          <w:sz w:val="24"/>
          <w:szCs w:val="24"/>
          <w:lang w:val="en-GB"/>
        </w:rPr>
        <w:t>provides</w:t>
      </w:r>
      <w:r w:rsidRPr="35E4B630" w:rsidR="72F6E560">
        <w:rPr>
          <w:rFonts w:ascii="Arial" w:hAnsi="Arial" w:eastAsia="Arial" w:cs="Arial"/>
          <w:noProof w:val="0"/>
          <w:color w:val="000000" w:themeColor="text1" w:themeTint="FF" w:themeShade="FF"/>
          <w:sz w:val="24"/>
          <w:szCs w:val="24"/>
          <w:lang w:val="en-GB"/>
        </w:rPr>
        <w:t xml:space="preserve"> a comprehensive view of glucose control. This integrated approach supports self-management, early detection of issues, and sustained improvements in health outcomes.</w:t>
      </w:r>
    </w:p>
    <w:p w:rsidR="35E4B630" w:rsidP="35E4B630" w:rsidRDefault="35E4B630" w14:paraId="151464DF" w14:textId="508C2DD6">
      <w:pPr>
        <w:spacing w:line="360" w:lineRule="auto"/>
        <w:rPr>
          <w:rFonts w:ascii="Arial" w:hAnsi="Arial" w:eastAsia="Arial" w:cs="Arial"/>
          <w:color w:val="000000" w:themeColor="text1" w:themeTint="FF" w:themeShade="FF"/>
          <w:sz w:val="24"/>
          <w:szCs w:val="24"/>
        </w:rPr>
      </w:pPr>
    </w:p>
    <w:p w:rsidR="0EEF453F" w:rsidP="35E4B630" w:rsidRDefault="0EEF453F" w14:paraId="55C0138A" w14:textId="65D5AF2C">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Section 4: Evidence-Based Management and Patient Empowerment</w:t>
      </w:r>
    </w:p>
    <w:p w:rsidR="0EEF453F" w:rsidP="35E4B630" w:rsidRDefault="0EEF453F" w14:paraId="11639A8B" w14:textId="3735DF6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 xml:space="preserve">Effective diabetes management relies on evidence-based interventions and active patient involvement. Combining dietary strategies, physical activity, cardiovascular risk management, and education </w:t>
      </w:r>
      <w:r w:rsidRPr="35E4B630" w:rsidR="0EEF453F">
        <w:rPr>
          <w:rFonts w:ascii="Arial" w:hAnsi="Arial" w:eastAsia="Arial" w:cs="Arial"/>
          <w:noProof w:val="0"/>
          <w:color w:val="000000" w:themeColor="text1" w:themeTint="FF" w:themeShade="FF"/>
          <w:sz w:val="24"/>
          <w:szCs w:val="24"/>
          <w:lang w:val="en-GB"/>
        </w:rPr>
        <w:t>empowers</w:t>
      </w:r>
      <w:r w:rsidRPr="35E4B630" w:rsidR="0EEF453F">
        <w:rPr>
          <w:rFonts w:ascii="Arial" w:hAnsi="Arial" w:eastAsia="Arial" w:cs="Arial"/>
          <w:noProof w:val="0"/>
          <w:color w:val="000000" w:themeColor="text1" w:themeTint="FF" w:themeShade="FF"/>
          <w:sz w:val="24"/>
          <w:szCs w:val="24"/>
          <w:lang w:val="en-GB"/>
        </w:rPr>
        <w:t xml:space="preserve"> individuals to take control of their health while reducing long-term complications.</w:t>
      </w:r>
    </w:p>
    <w:p w:rsidR="0EEF453F" w:rsidP="35E4B630" w:rsidRDefault="0EEF453F" w14:paraId="4FB61EAD" w14:textId="3492BBA9">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4.1 Dietary Recommendations</w:t>
      </w:r>
    </w:p>
    <w:p w:rsidR="0EEF453F" w:rsidP="35E4B630" w:rsidRDefault="0EEF453F" w14:paraId="7564EDBA" w14:textId="3DA7B9B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Rather than generic advice to “eat healthily,” evidence-based strategies focus on specific choices that improve glycaemic control and cardiovascular health:</w:t>
      </w:r>
    </w:p>
    <w:p w:rsidR="0EEF453F" w:rsidP="35E4B630" w:rsidRDefault="0EEF453F" w14:paraId="290DE7B8" w14:textId="7DA97CDB">
      <w:pPr>
        <w:pStyle w:val="ListParagraph"/>
        <w:numPr>
          <w:ilvl w:val="0"/>
          <w:numId w:val="26"/>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Oily fish</w:t>
      </w:r>
      <w:r w:rsidRPr="35E4B630" w:rsidR="0EEF453F">
        <w:rPr>
          <w:rFonts w:ascii="Arial" w:hAnsi="Arial" w:eastAsia="Arial" w:cs="Arial"/>
          <w:noProof w:val="0"/>
          <w:color w:val="000000" w:themeColor="text1" w:themeTint="FF" w:themeShade="FF"/>
          <w:sz w:val="24"/>
          <w:szCs w:val="24"/>
          <w:lang w:val="en-GB"/>
        </w:rPr>
        <w:t xml:space="preserve"> (e.g., salmon, mackerel, sardines) provide omega-3 fatty acids, which support heart health and reduce inflammation.</w:t>
      </w:r>
    </w:p>
    <w:p w:rsidR="0EEF453F" w:rsidP="35E4B630" w:rsidRDefault="0EEF453F" w14:paraId="3214DFB0" w14:textId="17262101">
      <w:pPr>
        <w:pStyle w:val="ListParagraph"/>
        <w:numPr>
          <w:ilvl w:val="0"/>
          <w:numId w:val="26"/>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Whole grains</w:t>
      </w:r>
      <w:r w:rsidRPr="35E4B630" w:rsidR="0EEF453F">
        <w:rPr>
          <w:rFonts w:ascii="Arial" w:hAnsi="Arial" w:eastAsia="Arial" w:cs="Arial"/>
          <w:noProof w:val="0"/>
          <w:color w:val="000000" w:themeColor="text1" w:themeTint="FF" w:themeShade="FF"/>
          <w:sz w:val="24"/>
          <w:szCs w:val="24"/>
          <w:lang w:val="en-GB"/>
        </w:rPr>
        <w:t xml:space="preserve"> such as oats, barley, and brown rice slow glucose absorption, helping to prevent post-meal spikes.</w:t>
      </w:r>
    </w:p>
    <w:p w:rsidR="0EEF453F" w:rsidP="35E4B630" w:rsidRDefault="0EEF453F" w14:paraId="3F1A814F" w14:textId="5A1632A0">
      <w:pPr>
        <w:pStyle w:val="ListParagraph"/>
        <w:numPr>
          <w:ilvl w:val="0"/>
          <w:numId w:val="26"/>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Increased fibre intake</w:t>
      </w:r>
      <w:r w:rsidRPr="35E4B630" w:rsidR="0EEF453F">
        <w:rPr>
          <w:rFonts w:ascii="Arial" w:hAnsi="Arial" w:eastAsia="Arial" w:cs="Arial"/>
          <w:noProof w:val="0"/>
          <w:color w:val="000000" w:themeColor="text1" w:themeTint="FF" w:themeShade="FF"/>
          <w:sz w:val="24"/>
          <w:szCs w:val="24"/>
          <w:lang w:val="en-GB"/>
        </w:rPr>
        <w:t xml:space="preserve"> from vegetables, fruits, and legumes improves satiety, reduces glycaemic variability, and supports weight management.</w:t>
      </w:r>
    </w:p>
    <w:p w:rsidR="0EEF453F" w:rsidP="35E4B630" w:rsidRDefault="0EEF453F" w14:paraId="573FD2B1" w14:textId="49D26E6A">
      <w:pPr>
        <w:pStyle w:val="ListParagraph"/>
        <w:numPr>
          <w:ilvl w:val="0"/>
          <w:numId w:val="26"/>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Reducing fried, greasy, and highly processed foods</w:t>
      </w:r>
      <w:r w:rsidRPr="35E4B630" w:rsidR="0EEF453F">
        <w:rPr>
          <w:rFonts w:ascii="Arial" w:hAnsi="Arial" w:eastAsia="Arial" w:cs="Arial"/>
          <w:noProof w:val="0"/>
          <w:color w:val="000000" w:themeColor="text1" w:themeTint="FF" w:themeShade="FF"/>
          <w:sz w:val="24"/>
          <w:szCs w:val="24"/>
          <w:lang w:val="en-GB"/>
        </w:rPr>
        <w:t xml:space="preserve"> aids weight reduction and lowers cardiovascular risk.</w:t>
      </w:r>
    </w:p>
    <w:p w:rsidR="0EEF453F" w:rsidP="35E4B630" w:rsidRDefault="0EEF453F" w14:paraId="7DF4664E" w14:textId="0FAC8789">
      <w:pPr>
        <w:pStyle w:val="ListParagraph"/>
        <w:numPr>
          <w:ilvl w:val="0"/>
          <w:numId w:val="26"/>
        </w:numPr>
        <w:spacing w:before="240" w:beforeAutospacing="off" w:after="240" w:afterAutospacing="off" w:line="360" w:lineRule="auto"/>
        <w:rPr>
          <w:rFonts w:ascii="Arial" w:hAnsi="Arial" w:eastAsia="Arial" w:cs="Arial"/>
          <w:noProof w:val="0"/>
          <w:lang w:val="en-GB"/>
        </w:rPr>
      </w:pPr>
      <w:r w:rsidRPr="35E4B630" w:rsidR="0EEF453F">
        <w:rPr>
          <w:rFonts w:ascii="Arial" w:hAnsi="Arial" w:eastAsia="Arial" w:cs="Arial"/>
          <w:b w:val="1"/>
          <w:bCs w:val="1"/>
          <w:noProof w:val="0"/>
          <w:color w:val="000000" w:themeColor="text1" w:themeTint="FF" w:themeShade="FF"/>
          <w:sz w:val="24"/>
          <w:szCs w:val="24"/>
          <w:lang w:val="en-GB"/>
        </w:rPr>
        <w:t>Limiting sugary beverages and refined carbohydrates</w:t>
      </w:r>
      <w:r w:rsidRPr="35E4B630" w:rsidR="0EEF453F">
        <w:rPr>
          <w:rFonts w:ascii="Arial" w:hAnsi="Arial" w:eastAsia="Arial" w:cs="Arial"/>
          <w:noProof w:val="0"/>
          <w:color w:val="000000" w:themeColor="text1" w:themeTint="FF" w:themeShade="FF"/>
          <w:sz w:val="24"/>
          <w:szCs w:val="24"/>
          <w:lang w:val="en-GB"/>
        </w:rPr>
        <w:t xml:space="preserve"> helps prevent rapid glucose fluctuations</w:t>
      </w:r>
      <w:r w:rsidRPr="35E4B630" w:rsidR="6C9228CE">
        <w:rPr>
          <w:rFonts w:ascii="Arial" w:hAnsi="Arial" w:eastAsia="Arial" w:cs="Arial"/>
          <w:noProof w:val="0"/>
          <w:color w:val="000000" w:themeColor="text1" w:themeTint="FF" w:themeShade="FF"/>
          <w:sz w:val="24"/>
          <w:szCs w:val="24"/>
          <w:lang w:val="en-GB"/>
        </w:rPr>
        <w:t xml:space="preserve"> </w:t>
      </w:r>
      <w:r w:rsidRPr="35E4B630" w:rsidR="6C9228CE">
        <w:rPr>
          <w:rFonts w:ascii="Arial" w:hAnsi="Arial" w:eastAsia="Arial" w:cs="Arial"/>
          <w:noProof w:val="0"/>
          <w:sz w:val="24"/>
          <w:szCs w:val="24"/>
          <w:lang w:val="en-GB"/>
        </w:rPr>
        <w:t>(Camargo‐Plazas</w:t>
      </w:r>
      <w:r w:rsidRPr="35E4B630" w:rsidR="6C9228CE">
        <w:rPr>
          <w:rFonts w:ascii="Arial" w:hAnsi="Arial" w:eastAsia="Arial" w:cs="Arial"/>
          <w:i w:val="1"/>
          <w:iCs w:val="1"/>
          <w:noProof w:val="0"/>
          <w:sz w:val="24"/>
          <w:szCs w:val="24"/>
          <w:lang w:val="en-GB"/>
        </w:rPr>
        <w:t xml:space="preserve"> et al.</w:t>
      </w:r>
      <w:r w:rsidRPr="35E4B630" w:rsidR="6C9228CE">
        <w:rPr>
          <w:rFonts w:ascii="Arial" w:hAnsi="Arial" w:eastAsia="Arial" w:cs="Arial"/>
          <w:noProof w:val="0"/>
          <w:sz w:val="24"/>
          <w:szCs w:val="24"/>
          <w:lang w:val="en-GB"/>
        </w:rPr>
        <w:t>, 2023).</w:t>
      </w:r>
    </w:p>
    <w:p w:rsidR="0EEF453F" w:rsidP="35E4B630" w:rsidRDefault="0EEF453F" w14:paraId="79A7037C" w14:textId="2E000E8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 xml:space="preserve">Even modest weight loss of 5–10% can significantly improve insulin sensitivity and metabolic outcomes (Diabetes UK, 2023). Structured meal planning, </w:t>
      </w:r>
      <w:r w:rsidRPr="35E4B630" w:rsidR="0EEF453F">
        <w:rPr>
          <w:rFonts w:ascii="Arial" w:hAnsi="Arial" w:eastAsia="Arial" w:cs="Arial"/>
          <w:noProof w:val="0"/>
          <w:color w:val="000000" w:themeColor="text1" w:themeTint="FF" w:themeShade="FF"/>
          <w:sz w:val="24"/>
          <w:szCs w:val="24"/>
          <w:lang w:val="en-GB"/>
        </w:rPr>
        <w:t>portion</w:t>
      </w:r>
      <w:r w:rsidRPr="35E4B630" w:rsidR="0EEF453F">
        <w:rPr>
          <w:rFonts w:ascii="Arial" w:hAnsi="Arial" w:eastAsia="Arial" w:cs="Arial"/>
          <w:noProof w:val="0"/>
          <w:color w:val="000000" w:themeColor="text1" w:themeTint="FF" w:themeShade="FF"/>
          <w:sz w:val="24"/>
          <w:szCs w:val="24"/>
          <w:lang w:val="en-GB"/>
        </w:rPr>
        <w:t xml:space="preserve"> control, and mindful eating enhance adherence to these recommendations.</w:t>
      </w:r>
    </w:p>
    <w:p w:rsidR="0EEF453F" w:rsidP="35E4B630" w:rsidRDefault="0EEF453F" w14:paraId="5C09CA17" w14:textId="66B91547">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4.2 Physical Activity</w:t>
      </w:r>
    </w:p>
    <w:p w:rsidR="0EEF453F" w:rsidP="35E4B630" w:rsidRDefault="0EEF453F" w14:paraId="2148E438" w14:textId="29325F6C">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 xml:space="preserve">Regular exercise improves glucose uptake independently of insulin. At least </w:t>
      </w:r>
      <w:r w:rsidRPr="35E4B630" w:rsidR="0EEF453F">
        <w:rPr>
          <w:rFonts w:ascii="Arial" w:hAnsi="Arial" w:eastAsia="Arial" w:cs="Arial"/>
          <w:b w:val="1"/>
          <w:bCs w:val="1"/>
          <w:noProof w:val="0"/>
          <w:color w:val="000000" w:themeColor="text1" w:themeTint="FF" w:themeShade="FF"/>
          <w:sz w:val="24"/>
          <w:szCs w:val="24"/>
          <w:lang w:val="en-GB"/>
        </w:rPr>
        <w:t>150 minutes of moderate-intensity activity weekly</w:t>
      </w:r>
      <w:r w:rsidRPr="35E4B630" w:rsidR="0EEF453F">
        <w:rPr>
          <w:rFonts w:ascii="Arial" w:hAnsi="Arial" w:eastAsia="Arial" w:cs="Arial"/>
          <w:noProof w:val="0"/>
          <w:color w:val="000000" w:themeColor="text1" w:themeTint="FF" w:themeShade="FF"/>
          <w:sz w:val="24"/>
          <w:szCs w:val="24"/>
          <w:lang w:val="en-GB"/>
        </w:rPr>
        <w:t>, such as brisk walking, cycling, or swimming, is recommended (American Diabetes Association, 2023). Resistance training, including bodyweight exercises or weightlifting, increases muscle mass, enhancing long-term glucose storage capacity and metabolic flexibility.</w:t>
      </w:r>
    </w:p>
    <w:p w:rsidR="0EEF453F" w:rsidP="35E4B630" w:rsidRDefault="0EEF453F" w14:paraId="09F0583C" w14:textId="49F2E387">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Integrating both aerobic and strength-based activities ensures sustained improvements in insulin sensitivity, cardiovascular fitness, and overall well-being. Small incremental increases in daily movement, such as taking stairs or walking during breaks, can also contribute meaningfully to glucose control.</w:t>
      </w:r>
    </w:p>
    <w:p w:rsidR="0EEF453F" w:rsidP="35E4B630" w:rsidRDefault="0EEF453F" w14:paraId="79C6D088" w14:textId="4A684582">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4.3 Cardiovascular Risk Reduction</w:t>
      </w:r>
    </w:p>
    <w:p w:rsidR="0EEF453F" w:rsidP="35E4B630" w:rsidRDefault="0EEF453F" w14:paraId="328B3E8B" w14:textId="04E30CA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Managing cardiovascular risk is central to diabetes care. Key strategies include:</w:t>
      </w:r>
    </w:p>
    <w:p w:rsidR="0EEF453F" w:rsidP="35E4B630" w:rsidRDefault="0EEF453F" w14:paraId="6E44AB8C" w14:textId="7BCEFBE3">
      <w:pPr>
        <w:pStyle w:val="ListParagraph"/>
        <w:numPr>
          <w:ilvl w:val="0"/>
          <w:numId w:val="27"/>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Blood pressure control</w:t>
      </w:r>
      <w:r w:rsidRPr="35E4B630" w:rsidR="0EEF453F">
        <w:rPr>
          <w:rFonts w:ascii="Arial" w:hAnsi="Arial" w:eastAsia="Arial" w:cs="Arial"/>
          <w:noProof w:val="0"/>
          <w:color w:val="000000" w:themeColor="text1" w:themeTint="FF" w:themeShade="FF"/>
          <w:sz w:val="24"/>
          <w:szCs w:val="24"/>
          <w:lang w:val="en-GB"/>
        </w:rPr>
        <w:t xml:space="preserve"> to reduce strain on the heart and kidneys.</w:t>
      </w:r>
    </w:p>
    <w:p w:rsidR="0EEF453F" w:rsidP="35E4B630" w:rsidRDefault="0EEF453F" w14:paraId="4EEDE369" w14:textId="337CFF91">
      <w:pPr>
        <w:pStyle w:val="ListParagraph"/>
        <w:numPr>
          <w:ilvl w:val="0"/>
          <w:numId w:val="27"/>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Lipid monitoring and management</w:t>
      </w:r>
      <w:r w:rsidRPr="35E4B630" w:rsidR="0EEF453F">
        <w:rPr>
          <w:rFonts w:ascii="Arial" w:hAnsi="Arial" w:eastAsia="Arial" w:cs="Arial"/>
          <w:noProof w:val="0"/>
          <w:color w:val="000000" w:themeColor="text1" w:themeTint="FF" w:themeShade="FF"/>
          <w:sz w:val="24"/>
          <w:szCs w:val="24"/>
          <w:lang w:val="en-GB"/>
        </w:rPr>
        <w:t xml:space="preserve"> to lower the risk of atherosclerosis.</w:t>
      </w:r>
    </w:p>
    <w:p w:rsidR="0EEF453F" w:rsidP="35E4B630" w:rsidRDefault="0EEF453F" w14:paraId="01CFE7A6" w14:textId="3757C4F5">
      <w:pPr>
        <w:pStyle w:val="ListParagraph"/>
        <w:numPr>
          <w:ilvl w:val="0"/>
          <w:numId w:val="27"/>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Smoking cessation</w:t>
      </w:r>
      <w:r w:rsidRPr="35E4B630" w:rsidR="0EEF453F">
        <w:rPr>
          <w:rFonts w:ascii="Arial" w:hAnsi="Arial" w:eastAsia="Arial" w:cs="Arial"/>
          <w:noProof w:val="0"/>
          <w:color w:val="000000" w:themeColor="text1" w:themeTint="FF" w:themeShade="FF"/>
          <w:sz w:val="24"/>
          <w:szCs w:val="24"/>
          <w:lang w:val="en-GB"/>
        </w:rPr>
        <w:t>, which markedly decreases cardiovascular morbidity and mortality.</w:t>
      </w:r>
    </w:p>
    <w:p w:rsidR="0EEF453F" w:rsidP="35E4B630" w:rsidRDefault="0EEF453F" w14:paraId="4896D5CA" w14:textId="5AAC6094">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These interventions, combined with lifestyle modification, reduce long-term complications and improve life expectancy.</w:t>
      </w:r>
    </w:p>
    <w:p w:rsidR="0EEF453F" w:rsidP="35E4B630" w:rsidRDefault="0EEF453F" w14:paraId="10EFCF42" w14:textId="7303A47E">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4"/>
          <w:szCs w:val="24"/>
          <w:lang w:val="en-GB"/>
        </w:rPr>
      </w:pPr>
      <w:r w:rsidRPr="35E4B630" w:rsidR="0EEF453F">
        <w:rPr>
          <w:rFonts w:ascii="Arial" w:hAnsi="Arial" w:eastAsia="Arial" w:cs="Arial"/>
          <w:b w:val="1"/>
          <w:bCs w:val="1"/>
          <w:noProof w:val="0"/>
          <w:color w:val="000000" w:themeColor="text1" w:themeTint="FF" w:themeShade="FF"/>
          <w:sz w:val="24"/>
          <w:szCs w:val="24"/>
          <w:lang w:val="en-GB"/>
        </w:rPr>
        <w:t>4.4 Education and Empowerment</w:t>
      </w:r>
    </w:p>
    <w:p w:rsidR="0EEF453F" w:rsidP="35E4B630" w:rsidRDefault="0EEF453F" w14:paraId="1322E95F" w14:textId="7C6350D0">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Structured education programmes enable individuals to understand:</w:t>
      </w:r>
    </w:p>
    <w:p w:rsidR="0EEF453F" w:rsidP="35E4B630" w:rsidRDefault="0EEF453F" w14:paraId="54404AE7" w14:textId="0393E0B9">
      <w:pPr>
        <w:pStyle w:val="ListParagraph"/>
        <w:numPr>
          <w:ilvl w:val="0"/>
          <w:numId w:val="28"/>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The role of insulin and how it affects glucose levels.</w:t>
      </w:r>
    </w:p>
    <w:p w:rsidR="0EEF453F" w:rsidP="35E4B630" w:rsidRDefault="0EEF453F" w14:paraId="321F22F6" w14:textId="2BFB4DB8">
      <w:pPr>
        <w:pStyle w:val="ListParagraph"/>
        <w:numPr>
          <w:ilvl w:val="0"/>
          <w:numId w:val="28"/>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Interpretation of glucose readings to guide daily decisions.</w:t>
      </w:r>
    </w:p>
    <w:p w:rsidR="0EEF453F" w:rsidP="35E4B630" w:rsidRDefault="0EEF453F" w14:paraId="54A8EA12" w14:textId="4018C59D">
      <w:pPr>
        <w:pStyle w:val="ListParagraph"/>
        <w:numPr>
          <w:ilvl w:val="0"/>
          <w:numId w:val="28"/>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How dietary and physical activity choices influence blood glucose.</w:t>
      </w:r>
    </w:p>
    <w:p w:rsidR="0EEF453F" w:rsidP="35E4B630" w:rsidRDefault="0EEF453F" w14:paraId="7634A4F2" w14:textId="4CEED4B3">
      <w:pPr>
        <w:pStyle w:val="ListParagraph"/>
        <w:numPr>
          <w:ilvl w:val="0"/>
          <w:numId w:val="28"/>
        </w:num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0EEF453F">
        <w:rPr>
          <w:rFonts w:ascii="Arial" w:hAnsi="Arial" w:eastAsia="Arial" w:cs="Arial"/>
          <w:noProof w:val="0"/>
          <w:color w:val="000000" w:themeColor="text1" w:themeTint="FF" w:themeShade="FF"/>
          <w:sz w:val="24"/>
          <w:szCs w:val="24"/>
          <w:lang w:val="en-GB"/>
        </w:rPr>
        <w:t>Strategies to prevent long-term complications.</w:t>
      </w:r>
    </w:p>
    <w:p w:rsidR="0EEF453F" w:rsidP="35E4B630" w:rsidRDefault="0EEF453F" w14:paraId="55B506BB" w14:textId="3FBE7FD8">
      <w:pPr>
        <w:pStyle w:val="Normal"/>
        <w:spacing w:before="240" w:beforeAutospacing="off" w:after="240" w:afterAutospacing="off" w:line="360" w:lineRule="auto"/>
        <w:rPr>
          <w:rFonts w:ascii="Arial" w:hAnsi="Arial" w:eastAsia="Arial" w:cs="Arial"/>
          <w:noProof w:val="0"/>
          <w:sz w:val="24"/>
          <w:szCs w:val="24"/>
          <w:lang w:val="en-GB"/>
        </w:rPr>
      </w:pPr>
      <w:r w:rsidRPr="35E4B630" w:rsidR="0EEF453F">
        <w:rPr>
          <w:rFonts w:ascii="Arial" w:hAnsi="Arial" w:eastAsia="Arial" w:cs="Arial"/>
          <w:noProof w:val="0"/>
          <w:color w:val="000000" w:themeColor="text1" w:themeTint="FF" w:themeShade="FF"/>
          <w:sz w:val="24"/>
          <w:szCs w:val="24"/>
          <w:lang w:val="en-GB"/>
        </w:rPr>
        <w:t xml:space="preserve">Empowering individuals through knowledge promotes shared decision-making with healthcare providers, supports behavioural change, and fosters confidence in self-management. Engaged, informed patients are more likely to adhere to treatment plans, achieve glycaemic targets, and </w:t>
      </w:r>
      <w:r w:rsidRPr="35E4B630" w:rsidR="0EEF453F">
        <w:rPr>
          <w:rFonts w:ascii="Arial" w:hAnsi="Arial" w:eastAsia="Arial" w:cs="Arial"/>
          <w:noProof w:val="0"/>
          <w:color w:val="000000" w:themeColor="text1" w:themeTint="FF" w:themeShade="FF"/>
          <w:sz w:val="24"/>
          <w:szCs w:val="24"/>
          <w:lang w:val="en-GB"/>
        </w:rPr>
        <w:t>maintain</w:t>
      </w:r>
      <w:r w:rsidRPr="35E4B630" w:rsidR="0EEF453F">
        <w:rPr>
          <w:rFonts w:ascii="Arial" w:hAnsi="Arial" w:eastAsia="Arial" w:cs="Arial"/>
          <w:noProof w:val="0"/>
          <w:color w:val="000000" w:themeColor="text1" w:themeTint="FF" w:themeShade="FF"/>
          <w:sz w:val="24"/>
          <w:szCs w:val="24"/>
          <w:lang w:val="en-GB"/>
        </w:rPr>
        <w:t xml:space="preserve"> long-term health</w:t>
      </w:r>
      <w:r w:rsidRPr="35E4B630" w:rsidR="4A697654">
        <w:rPr>
          <w:rFonts w:ascii="Arial" w:hAnsi="Arial" w:eastAsia="Arial" w:cs="Arial"/>
          <w:noProof w:val="0"/>
          <w:color w:val="000000" w:themeColor="text1" w:themeTint="FF" w:themeShade="FF"/>
          <w:sz w:val="24"/>
          <w:szCs w:val="24"/>
          <w:lang w:val="en-GB"/>
        </w:rPr>
        <w:t xml:space="preserve"> </w:t>
      </w:r>
      <w:r w:rsidRPr="35E4B630" w:rsidR="4A697654">
        <w:rPr>
          <w:rFonts w:ascii="Arial" w:hAnsi="Arial" w:eastAsia="Arial" w:cs="Arial"/>
          <w:noProof w:val="0"/>
          <w:sz w:val="24"/>
          <w:szCs w:val="24"/>
          <w:lang w:val="en-GB"/>
        </w:rPr>
        <w:t xml:space="preserve">(Arial Colberg </w:t>
      </w:r>
      <w:r w:rsidRPr="35E4B630" w:rsidR="4A697654">
        <w:rPr>
          <w:rFonts w:ascii="Arial" w:hAnsi="Arial" w:eastAsia="Arial" w:cs="Arial"/>
          <w:i w:val="1"/>
          <w:iCs w:val="1"/>
          <w:noProof w:val="0"/>
          <w:sz w:val="24"/>
          <w:szCs w:val="24"/>
          <w:lang w:val="en-GB"/>
        </w:rPr>
        <w:t>et al.,</w:t>
      </w:r>
      <w:r w:rsidRPr="35E4B630" w:rsidR="4A697654">
        <w:rPr>
          <w:rFonts w:ascii="Arial" w:hAnsi="Arial" w:eastAsia="Arial" w:cs="Arial"/>
          <w:noProof w:val="0"/>
          <w:sz w:val="24"/>
          <w:szCs w:val="24"/>
          <w:lang w:val="en-GB"/>
        </w:rPr>
        <w:t xml:space="preserve"> 2010).</w:t>
      </w:r>
    </w:p>
    <w:p w:rsidR="35E4B630" w:rsidP="35E4B630" w:rsidRDefault="35E4B630" w14:paraId="5BEAED6F" w14:textId="47AFA396">
      <w:pPr>
        <w:spacing w:line="360" w:lineRule="auto"/>
        <w:rPr>
          <w:rFonts w:ascii="Arial" w:hAnsi="Arial" w:eastAsia="Arial" w:cs="Arial"/>
          <w:color w:val="000000" w:themeColor="text1" w:themeTint="FF" w:themeShade="FF"/>
          <w:sz w:val="24"/>
          <w:szCs w:val="24"/>
        </w:rPr>
      </w:pPr>
    </w:p>
    <w:p w:rsidR="4CA0E29E" w:rsidP="35E4B630" w:rsidRDefault="4CA0E29E" w14:paraId="7F934706" w14:textId="4AE68419">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35E4B630" w:rsidR="4CA0E29E">
        <w:rPr>
          <w:rFonts w:ascii="Arial" w:hAnsi="Arial" w:eastAsia="Arial" w:cs="Arial"/>
          <w:b w:val="1"/>
          <w:bCs w:val="1"/>
          <w:noProof w:val="0"/>
          <w:color w:val="000000" w:themeColor="text1" w:themeTint="FF" w:themeShade="FF"/>
          <w:sz w:val="24"/>
          <w:szCs w:val="24"/>
          <w:lang w:val="en-GB"/>
        </w:rPr>
        <w:t>Conclusion</w:t>
      </w:r>
    </w:p>
    <w:p w:rsidR="4CA0E29E" w:rsidP="35E4B630" w:rsidRDefault="4CA0E29E" w14:paraId="4EC886E4" w14:textId="693FD78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4CA0E29E">
        <w:rPr>
          <w:rFonts w:ascii="Arial" w:hAnsi="Arial" w:eastAsia="Arial" w:cs="Arial"/>
          <w:noProof w:val="0"/>
          <w:color w:val="000000" w:themeColor="text1" w:themeTint="FF" w:themeShade="FF"/>
          <w:sz w:val="24"/>
          <w:szCs w:val="24"/>
          <w:lang w:val="en-GB"/>
        </w:rPr>
        <w:t xml:space="preserve">Type 2 Diabetes Mellitus (T2DM) is a progressive metabolic disorder characterised by insulin resistance and gradual pancreatic beta-cell dysfunction, resulting in chronic hyperglycaemia. Its systemic nature affects multiple organ systems, including the endocrine, digestive, and cardiovascular systems, and contributes to a wide range of complications such as cardiovascular disease, nephropathy, neuropathy, and retinopathy. The pathophysiology of T2DM involves impaired glucose uptake by skeletal muscle, excessive hepatic glucose production, and chronic inflammation </w:t>
      </w:r>
      <w:r w:rsidRPr="35E4B630" w:rsidR="4CA0E29E">
        <w:rPr>
          <w:rFonts w:ascii="Arial" w:hAnsi="Arial" w:eastAsia="Arial" w:cs="Arial"/>
          <w:noProof w:val="0"/>
          <w:color w:val="000000" w:themeColor="text1" w:themeTint="FF" w:themeShade="FF"/>
          <w:sz w:val="24"/>
          <w:szCs w:val="24"/>
          <w:lang w:val="en-GB"/>
        </w:rPr>
        <w:t>exacerbated</w:t>
      </w:r>
      <w:r w:rsidRPr="35E4B630" w:rsidR="4CA0E29E">
        <w:rPr>
          <w:rFonts w:ascii="Arial" w:hAnsi="Arial" w:eastAsia="Arial" w:cs="Arial"/>
          <w:noProof w:val="0"/>
          <w:color w:val="000000" w:themeColor="text1" w:themeTint="FF" w:themeShade="FF"/>
          <w:sz w:val="24"/>
          <w:szCs w:val="24"/>
          <w:lang w:val="en-GB"/>
        </w:rPr>
        <w:t xml:space="preserve"> by excess visceral adipose tissue. These factors interact to create a feedback loop that reinforces metabolic dysfunction, highlighting the need for early and sustained intervention.</w:t>
      </w:r>
    </w:p>
    <w:p w:rsidR="4CA0E29E" w:rsidP="35E4B630" w:rsidRDefault="4CA0E29E" w14:paraId="2A485993" w14:textId="2EA94652">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4CA0E29E">
        <w:rPr>
          <w:rFonts w:ascii="Arial" w:hAnsi="Arial" w:eastAsia="Arial" w:cs="Arial"/>
          <w:noProof w:val="0"/>
          <w:color w:val="000000" w:themeColor="text1" w:themeTint="FF" w:themeShade="FF"/>
          <w:sz w:val="24"/>
          <w:szCs w:val="24"/>
          <w:lang w:val="en-GB"/>
        </w:rPr>
        <w:t>Effective management relies on integrating evidence-based strategies that address both physiological and behavioural aspects of the disease. Dietary modification, including increased fibre intake, whole grains, and omega-3-rich foods, alongside reduced consumption of processed and high-sugar foods, improves glycaemic control and supports cardiovascular health. Regular physical activity, incorporating both aerobic and resistance exercises, enhances insulin sensitivity and muscle glucose uptake. Cardiovascular risk reduction, through blood pressure and lipid management as well as smoking cessation, is essential to prevent long-term complications.</w:t>
      </w:r>
    </w:p>
    <w:p w:rsidR="4CA0E29E" w:rsidP="35E4B630" w:rsidRDefault="4CA0E29E" w14:paraId="30586946" w14:textId="0466A01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4CA0E29E">
        <w:rPr>
          <w:rFonts w:ascii="Arial" w:hAnsi="Arial" w:eastAsia="Arial" w:cs="Arial"/>
          <w:noProof w:val="0"/>
          <w:color w:val="000000" w:themeColor="text1" w:themeTint="FF" w:themeShade="FF"/>
          <w:sz w:val="24"/>
          <w:szCs w:val="24"/>
          <w:lang w:val="en-GB"/>
        </w:rPr>
        <w:t>Monitoring strategies, such as finger-prick testing, continuous glucose monitoring, and HbA1c measurement, provide critical data for adjusting interventions and understanding individual responses. Structured education and empowerment enable patients to interpret their results, make informed lifestyle choices, and engage in shared decision-making with healthcare providers.</w:t>
      </w:r>
    </w:p>
    <w:p w:rsidR="4CA0E29E" w:rsidP="35E4B630" w:rsidRDefault="4CA0E29E" w14:paraId="0DB10A7F" w14:textId="7618DA30">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35E4B630" w:rsidR="4CA0E29E">
        <w:rPr>
          <w:rFonts w:ascii="Arial" w:hAnsi="Arial" w:eastAsia="Arial" w:cs="Arial"/>
          <w:noProof w:val="0"/>
          <w:color w:val="000000" w:themeColor="text1" w:themeTint="FF" w:themeShade="FF"/>
          <w:sz w:val="24"/>
          <w:szCs w:val="24"/>
          <w:lang w:val="en-GB"/>
        </w:rPr>
        <w:t>Overall, comprehensive, patient-centred management combining lifestyle modification, monitoring, and education is essential to improve metabolic control, prevent complications, and enhance long-term health outcomes for individuals living with T2DM.</w:t>
      </w:r>
    </w:p>
    <w:p w:rsidR="35E4B630" w:rsidP="35E4B630" w:rsidRDefault="35E4B630" w14:paraId="2F80BEA6" w14:textId="1039BEF2">
      <w:pPr>
        <w:spacing w:line="360" w:lineRule="auto"/>
        <w:rPr>
          <w:rFonts w:ascii="Arial" w:hAnsi="Arial" w:eastAsia="Arial" w:cs="Arial"/>
          <w:color w:val="000000" w:themeColor="text1" w:themeTint="FF" w:themeShade="FF"/>
          <w:sz w:val="24"/>
          <w:szCs w:val="24"/>
        </w:rPr>
      </w:pPr>
    </w:p>
    <w:p w:rsidR="35E4B630" w:rsidP="35E4B630" w:rsidRDefault="35E4B630" w14:paraId="5908E3D0" w14:textId="095C5C87">
      <w:pPr>
        <w:pStyle w:val="Heading1"/>
        <w:spacing w:before="322" w:beforeAutospacing="off" w:after="322" w:afterAutospacing="off"/>
        <w:rPr>
          <w:rFonts w:ascii="Aptos" w:hAnsi="Aptos" w:eastAsia="Aptos" w:cs="Aptos"/>
          <w:b w:val="1"/>
          <w:bCs w:val="1"/>
          <w:noProof w:val="0"/>
          <w:sz w:val="48"/>
          <w:szCs w:val="48"/>
          <w:lang w:val="en-GB"/>
        </w:rPr>
      </w:pPr>
    </w:p>
    <w:p w:rsidR="35E4B630" w:rsidP="35E4B630" w:rsidRDefault="35E4B630" w14:paraId="64934AEF" w14:textId="6F4EFF81">
      <w:pPr>
        <w:pStyle w:val="Heading1"/>
        <w:spacing w:before="322" w:beforeAutospacing="off" w:after="322" w:afterAutospacing="off"/>
        <w:rPr>
          <w:rFonts w:ascii="Aptos" w:hAnsi="Aptos" w:eastAsia="Aptos" w:cs="Aptos"/>
          <w:b w:val="1"/>
          <w:bCs w:val="1"/>
          <w:noProof w:val="0"/>
          <w:sz w:val="48"/>
          <w:szCs w:val="48"/>
          <w:lang w:val="en-GB"/>
        </w:rPr>
      </w:pPr>
    </w:p>
    <w:p w:rsidR="35E4B630" w:rsidP="35E4B630" w:rsidRDefault="35E4B630" w14:paraId="4165C9F8" w14:textId="724D1A75">
      <w:pPr>
        <w:pStyle w:val="Heading1"/>
        <w:spacing w:before="322" w:beforeAutospacing="off" w:after="322" w:afterAutospacing="off"/>
        <w:rPr>
          <w:rFonts w:ascii="Aptos" w:hAnsi="Aptos" w:eastAsia="Aptos" w:cs="Aptos"/>
          <w:b w:val="1"/>
          <w:bCs w:val="1"/>
          <w:noProof w:val="0"/>
          <w:sz w:val="48"/>
          <w:szCs w:val="48"/>
          <w:lang w:val="en-GB"/>
        </w:rPr>
      </w:pPr>
    </w:p>
    <w:p w:rsidR="35E4B630" w:rsidP="35E4B630" w:rsidRDefault="35E4B630" w14:paraId="2ADEFADA" w14:textId="7315F9FD">
      <w:pPr>
        <w:spacing w:before="240" w:beforeAutospacing="off" w:after="240" w:afterAutospacing="off" w:line="360" w:lineRule="auto"/>
        <w:rPr>
          <w:rFonts w:ascii="Arial" w:hAnsi="Arial" w:eastAsia="Arial" w:cs="Arial"/>
          <w:b w:val="1"/>
          <w:bCs w:val="1"/>
          <w:noProof w:val="0"/>
          <w:sz w:val="24"/>
          <w:szCs w:val="24"/>
          <w:lang w:val="en-GB"/>
        </w:rPr>
      </w:pPr>
    </w:p>
    <w:p w:rsidR="35E4B630" w:rsidP="35E4B630" w:rsidRDefault="35E4B630" w14:paraId="2EC316BE" w14:textId="49338AF5">
      <w:pPr>
        <w:spacing w:before="240" w:beforeAutospacing="off" w:after="240" w:afterAutospacing="off" w:line="360" w:lineRule="auto"/>
        <w:rPr>
          <w:rFonts w:ascii="Arial" w:hAnsi="Arial" w:eastAsia="Arial" w:cs="Arial"/>
          <w:b w:val="1"/>
          <w:bCs w:val="1"/>
          <w:noProof w:val="0"/>
          <w:sz w:val="24"/>
          <w:szCs w:val="24"/>
          <w:lang w:val="en-GB"/>
        </w:rPr>
      </w:pPr>
    </w:p>
    <w:p w:rsidR="1DC1AB03" w:rsidP="35E4B630" w:rsidRDefault="1DC1AB03" w14:paraId="44C242A8" w14:textId="1256811E">
      <w:pPr>
        <w:spacing w:before="240" w:beforeAutospacing="off" w:after="240" w:afterAutospacing="off" w:line="360" w:lineRule="auto"/>
        <w:rPr>
          <w:rFonts w:ascii="Arial" w:hAnsi="Arial" w:eastAsia="Arial" w:cs="Arial"/>
          <w:b w:val="1"/>
          <w:bCs w:val="1"/>
          <w:noProof w:val="0"/>
          <w:sz w:val="24"/>
          <w:szCs w:val="24"/>
          <w:lang w:val="en-GB"/>
        </w:rPr>
      </w:pPr>
      <w:r w:rsidRPr="35E4B630" w:rsidR="1DC1AB03">
        <w:rPr>
          <w:rFonts w:ascii="Arial" w:hAnsi="Arial" w:eastAsia="Arial" w:cs="Arial"/>
          <w:b w:val="1"/>
          <w:bCs w:val="1"/>
          <w:noProof w:val="0"/>
          <w:sz w:val="24"/>
          <w:szCs w:val="24"/>
          <w:lang w:val="en-GB"/>
        </w:rPr>
        <w:t>Reference List</w:t>
      </w:r>
    </w:p>
    <w:p w:rsidR="1DC1AB03" w:rsidP="35E4B630" w:rsidRDefault="1DC1AB03" w14:paraId="0902027F" w14:textId="2B94EC24">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American Diabetes Association (2023) </w:t>
      </w:r>
      <w:r w:rsidRPr="35E4B630" w:rsidR="1DC1AB03">
        <w:rPr>
          <w:rFonts w:ascii="Arial" w:hAnsi="Arial" w:eastAsia="Arial" w:cs="Arial"/>
          <w:i w:val="1"/>
          <w:iCs w:val="1"/>
          <w:noProof w:val="0"/>
          <w:sz w:val="24"/>
          <w:szCs w:val="24"/>
          <w:lang w:val="en-GB"/>
        </w:rPr>
        <w:t>Standards of care in diabetes—2023</w:t>
      </w:r>
      <w:r w:rsidRPr="35E4B630" w:rsidR="1DC1AB03">
        <w:rPr>
          <w:rFonts w:ascii="Arial" w:hAnsi="Arial" w:eastAsia="Arial" w:cs="Arial"/>
          <w:noProof w:val="0"/>
          <w:sz w:val="24"/>
          <w:szCs w:val="24"/>
          <w:lang w:val="en-GB"/>
        </w:rPr>
        <w:t>. Diabetes Care, 46(</w:t>
      </w:r>
      <w:r w:rsidRPr="35E4B630" w:rsidR="1DC1AB03">
        <w:rPr>
          <w:rFonts w:ascii="Arial" w:hAnsi="Arial" w:eastAsia="Arial" w:cs="Arial"/>
          <w:noProof w:val="0"/>
          <w:sz w:val="24"/>
          <w:szCs w:val="24"/>
          <w:lang w:val="en-GB"/>
        </w:rPr>
        <w:t>Suppl</w:t>
      </w:r>
      <w:r w:rsidRPr="35E4B630" w:rsidR="1DC1AB03">
        <w:rPr>
          <w:rFonts w:ascii="Arial" w:hAnsi="Arial" w:eastAsia="Arial" w:cs="Arial"/>
          <w:noProof w:val="0"/>
          <w:sz w:val="24"/>
          <w:szCs w:val="24"/>
          <w:lang w:val="en-GB"/>
        </w:rPr>
        <w:t xml:space="preserve"> 1), pp. S1–S291.</w:t>
      </w:r>
    </w:p>
    <w:p w:rsidR="1DC1AB03" w:rsidP="35E4B630" w:rsidRDefault="1DC1AB03" w14:paraId="273781E4" w14:textId="7F1C9778">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BSc, E.W. (2025) </w:t>
      </w:r>
      <w:r w:rsidRPr="35E4B630" w:rsidR="1DC1AB03">
        <w:rPr>
          <w:rFonts w:ascii="Arial" w:hAnsi="Arial" w:eastAsia="Arial" w:cs="Arial"/>
          <w:i w:val="1"/>
          <w:iCs w:val="1"/>
          <w:noProof w:val="0"/>
          <w:sz w:val="24"/>
          <w:szCs w:val="24"/>
          <w:lang w:val="en-GB"/>
        </w:rPr>
        <w:t>Microbiome</w:t>
      </w:r>
      <w:r w:rsidRPr="35E4B630" w:rsidR="1DC1AB03">
        <w:rPr>
          <w:rFonts w:ascii="Arial" w:hAnsi="Arial" w:eastAsia="Arial" w:cs="Arial"/>
          <w:i w:val="1"/>
          <w:iCs w:val="1"/>
          <w:noProof w:val="0"/>
          <w:sz w:val="24"/>
          <w:szCs w:val="24"/>
          <w:lang w:val="en-GB"/>
        </w:rPr>
        <w:t xml:space="preserve"> and blood sugar – how your gut bacteria influence your blood sugar level</w:t>
      </w:r>
      <w:r w:rsidRPr="35E4B630" w:rsidR="1DC1AB03">
        <w:rPr>
          <w:rFonts w:ascii="Arial" w:hAnsi="Arial" w:eastAsia="Arial" w:cs="Arial"/>
          <w:noProof w:val="0"/>
          <w:sz w:val="24"/>
          <w:szCs w:val="24"/>
          <w:lang w:val="en-GB"/>
        </w:rPr>
        <w:t xml:space="preserve">. [online] </w:t>
      </w:r>
      <w:r w:rsidRPr="35E4B630" w:rsidR="1DC1AB03">
        <w:rPr>
          <w:rFonts w:ascii="Arial" w:hAnsi="Arial" w:eastAsia="Arial" w:cs="Arial"/>
          <w:noProof w:val="0"/>
          <w:sz w:val="24"/>
          <w:szCs w:val="24"/>
          <w:lang w:val="en-GB"/>
        </w:rPr>
        <w:t>myBioma</w:t>
      </w:r>
      <w:r w:rsidRPr="35E4B630" w:rsidR="1DC1AB03">
        <w:rPr>
          <w:rFonts w:ascii="Arial" w:hAnsi="Arial" w:eastAsia="Arial" w:cs="Arial"/>
          <w:noProof w:val="0"/>
          <w:sz w:val="24"/>
          <w:szCs w:val="24"/>
          <w:lang w:val="en-GB"/>
        </w:rPr>
        <w:t xml:space="preserve">. Available at: </w:t>
      </w:r>
      <w:hyperlink r:id="Raab0872fdd694bc6">
        <w:r w:rsidRPr="35E4B630" w:rsidR="1DC1AB03">
          <w:rPr>
            <w:rStyle w:val="Hyperlink"/>
            <w:rFonts w:ascii="Arial" w:hAnsi="Arial" w:eastAsia="Arial" w:cs="Arial"/>
            <w:noProof w:val="0"/>
            <w:sz w:val="24"/>
            <w:szCs w:val="24"/>
            <w:lang w:val="en-GB"/>
          </w:rPr>
          <w:t>https://mybioma.com/en/blogs/science/microbiome-and-blood-sugar-how-your-gut-bacteria-influence-your-blood-sugar-level?srsltid=AfmBOooSihAPXRPBpZ33HnF_u_e2Uaj4c8r419xKCJuPFJNwgwtI8rKF</w:t>
        </w:r>
      </w:hyperlink>
      <w:r w:rsidRPr="35E4B630" w:rsidR="1DC1AB03">
        <w:rPr>
          <w:rFonts w:ascii="Arial" w:hAnsi="Arial" w:eastAsia="Arial" w:cs="Arial"/>
          <w:noProof w:val="0"/>
          <w:sz w:val="24"/>
          <w:szCs w:val="24"/>
          <w:lang w:val="en-GB"/>
        </w:rPr>
        <w:t xml:space="preserve"> (Accessed 14 Feb. 2026).</w:t>
      </w:r>
    </w:p>
    <w:p w:rsidR="1DC1AB03" w:rsidP="35E4B630" w:rsidRDefault="1DC1AB03" w14:paraId="61B83806" w14:textId="7DB71CAC">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Camargo‐Plazas, P., Robertson, M., Alvarado, B., Paré, G.C., Costa, I.G. and Duhn, L. (2023) ‘Diabetes self-management education (DSME) for older persons in Western countries: A scoping review’, </w:t>
      </w:r>
      <w:r w:rsidRPr="35E4B630" w:rsidR="1DC1AB03">
        <w:rPr>
          <w:rFonts w:ascii="Arial" w:hAnsi="Arial" w:eastAsia="Arial" w:cs="Arial"/>
          <w:i w:val="1"/>
          <w:iCs w:val="1"/>
          <w:noProof w:val="0"/>
          <w:sz w:val="24"/>
          <w:szCs w:val="24"/>
          <w:lang w:val="en-GB"/>
        </w:rPr>
        <w:t>PLOS ONE</w:t>
      </w:r>
      <w:r w:rsidRPr="35E4B630" w:rsidR="1DC1AB03">
        <w:rPr>
          <w:rFonts w:ascii="Arial" w:hAnsi="Arial" w:eastAsia="Arial" w:cs="Arial"/>
          <w:noProof w:val="0"/>
          <w:sz w:val="24"/>
          <w:szCs w:val="24"/>
          <w:lang w:val="en-GB"/>
        </w:rPr>
        <w:t xml:space="preserve">, 18(8), pp. e0288797–e0288797. </w:t>
      </w:r>
      <w:r w:rsidRPr="35E4B630" w:rsidR="1DC1AB03">
        <w:rPr>
          <w:rFonts w:ascii="Arial" w:hAnsi="Arial" w:eastAsia="Arial" w:cs="Arial"/>
          <w:noProof w:val="0"/>
          <w:sz w:val="24"/>
          <w:szCs w:val="24"/>
          <w:lang w:val="en-GB"/>
        </w:rPr>
        <w:t>doi</w:t>
      </w:r>
      <w:r w:rsidRPr="35E4B630" w:rsidR="1DC1AB03">
        <w:rPr>
          <w:rFonts w:ascii="Arial" w:hAnsi="Arial" w:eastAsia="Arial" w:cs="Arial"/>
          <w:noProof w:val="0"/>
          <w:sz w:val="24"/>
          <w:szCs w:val="24"/>
          <w:lang w:val="en-GB"/>
        </w:rPr>
        <w:t xml:space="preserve">: </w:t>
      </w:r>
      <w:hyperlink r:id="Refe8dfc70f74451c">
        <w:r w:rsidRPr="35E4B630" w:rsidR="1DC1AB03">
          <w:rPr>
            <w:rStyle w:val="Hyperlink"/>
            <w:rFonts w:ascii="Arial" w:hAnsi="Arial" w:eastAsia="Arial" w:cs="Arial"/>
            <w:noProof w:val="0"/>
            <w:sz w:val="24"/>
            <w:szCs w:val="24"/>
            <w:lang w:val="en-GB"/>
          </w:rPr>
          <w:t>https://doi.org/10.1371/journal.pone.0288797</w:t>
        </w:r>
      </w:hyperlink>
      <w:r w:rsidRPr="35E4B630" w:rsidR="1DC1AB03">
        <w:rPr>
          <w:rFonts w:ascii="Arial" w:hAnsi="Arial" w:eastAsia="Arial" w:cs="Arial"/>
          <w:noProof w:val="0"/>
          <w:sz w:val="24"/>
          <w:szCs w:val="24"/>
          <w:lang w:val="en-GB"/>
        </w:rPr>
        <w:t>.</w:t>
      </w:r>
    </w:p>
    <w:p w:rsidR="1DC1AB03" w:rsidP="35E4B630" w:rsidRDefault="1DC1AB03" w14:paraId="462EBFEA" w14:textId="789256ED">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Colberg, S.R., Sigal, R.J., </w:t>
      </w:r>
      <w:r w:rsidRPr="35E4B630" w:rsidR="1DC1AB03">
        <w:rPr>
          <w:rFonts w:ascii="Arial" w:hAnsi="Arial" w:eastAsia="Arial" w:cs="Arial"/>
          <w:noProof w:val="0"/>
          <w:sz w:val="24"/>
          <w:szCs w:val="24"/>
          <w:lang w:val="en-GB"/>
        </w:rPr>
        <w:t>Fernhall</w:t>
      </w:r>
      <w:r w:rsidRPr="35E4B630" w:rsidR="1DC1AB03">
        <w:rPr>
          <w:rFonts w:ascii="Arial" w:hAnsi="Arial" w:eastAsia="Arial" w:cs="Arial"/>
          <w:noProof w:val="0"/>
          <w:sz w:val="24"/>
          <w:szCs w:val="24"/>
          <w:lang w:val="en-GB"/>
        </w:rPr>
        <w:t xml:space="preserve">, B., </w:t>
      </w:r>
      <w:r w:rsidRPr="35E4B630" w:rsidR="1DC1AB03">
        <w:rPr>
          <w:rFonts w:ascii="Arial" w:hAnsi="Arial" w:eastAsia="Arial" w:cs="Arial"/>
          <w:noProof w:val="0"/>
          <w:sz w:val="24"/>
          <w:szCs w:val="24"/>
          <w:lang w:val="en-GB"/>
        </w:rPr>
        <w:t>Regensteiner</w:t>
      </w:r>
      <w:r w:rsidRPr="35E4B630" w:rsidR="1DC1AB03">
        <w:rPr>
          <w:rFonts w:ascii="Arial" w:hAnsi="Arial" w:eastAsia="Arial" w:cs="Arial"/>
          <w:noProof w:val="0"/>
          <w:sz w:val="24"/>
          <w:szCs w:val="24"/>
          <w:lang w:val="en-GB"/>
        </w:rPr>
        <w:t xml:space="preserve">, J.G., </w:t>
      </w:r>
      <w:r w:rsidRPr="35E4B630" w:rsidR="1DC1AB03">
        <w:rPr>
          <w:rFonts w:ascii="Arial" w:hAnsi="Arial" w:eastAsia="Arial" w:cs="Arial"/>
          <w:noProof w:val="0"/>
          <w:sz w:val="24"/>
          <w:szCs w:val="24"/>
          <w:lang w:val="en-GB"/>
        </w:rPr>
        <w:t>Blissmer</w:t>
      </w:r>
      <w:r w:rsidRPr="35E4B630" w:rsidR="1DC1AB03">
        <w:rPr>
          <w:rFonts w:ascii="Arial" w:hAnsi="Arial" w:eastAsia="Arial" w:cs="Arial"/>
          <w:noProof w:val="0"/>
          <w:sz w:val="24"/>
          <w:szCs w:val="24"/>
          <w:lang w:val="en-GB"/>
        </w:rPr>
        <w:t xml:space="preserve">, B.J., Rubin, R.R., Chasan-Taber, L., Albright, A.L. and Braun, B. (2010) ‘Exercise and Type 2 Diabetes: The American College of Sports Medicine and the American Diabetes Association: joint position statement’, </w:t>
      </w:r>
      <w:r w:rsidRPr="35E4B630" w:rsidR="1DC1AB03">
        <w:rPr>
          <w:rFonts w:ascii="Arial" w:hAnsi="Arial" w:eastAsia="Arial" w:cs="Arial"/>
          <w:i w:val="1"/>
          <w:iCs w:val="1"/>
          <w:noProof w:val="0"/>
          <w:sz w:val="24"/>
          <w:szCs w:val="24"/>
          <w:lang w:val="en-GB"/>
        </w:rPr>
        <w:t>Diabetes Care</w:t>
      </w:r>
      <w:r w:rsidRPr="35E4B630" w:rsidR="1DC1AB03">
        <w:rPr>
          <w:rFonts w:ascii="Arial" w:hAnsi="Arial" w:eastAsia="Arial" w:cs="Arial"/>
          <w:noProof w:val="0"/>
          <w:sz w:val="24"/>
          <w:szCs w:val="24"/>
          <w:lang w:val="en-GB"/>
        </w:rPr>
        <w:t xml:space="preserve">, 33(12), pp. 147–167. </w:t>
      </w:r>
      <w:r w:rsidRPr="35E4B630" w:rsidR="1DC1AB03">
        <w:rPr>
          <w:rFonts w:ascii="Arial" w:hAnsi="Arial" w:eastAsia="Arial" w:cs="Arial"/>
          <w:noProof w:val="0"/>
          <w:sz w:val="24"/>
          <w:szCs w:val="24"/>
          <w:lang w:val="en-GB"/>
        </w:rPr>
        <w:t>doi</w:t>
      </w:r>
      <w:r w:rsidRPr="35E4B630" w:rsidR="1DC1AB03">
        <w:rPr>
          <w:rFonts w:ascii="Arial" w:hAnsi="Arial" w:eastAsia="Arial" w:cs="Arial"/>
          <w:noProof w:val="0"/>
          <w:sz w:val="24"/>
          <w:szCs w:val="24"/>
          <w:lang w:val="en-GB"/>
        </w:rPr>
        <w:t xml:space="preserve">: </w:t>
      </w:r>
      <w:hyperlink r:id="R1d72af6117fd403f">
        <w:r w:rsidRPr="35E4B630" w:rsidR="1DC1AB03">
          <w:rPr>
            <w:rStyle w:val="Hyperlink"/>
            <w:rFonts w:ascii="Arial" w:hAnsi="Arial" w:eastAsia="Arial" w:cs="Arial"/>
            <w:noProof w:val="0"/>
            <w:sz w:val="24"/>
            <w:szCs w:val="24"/>
            <w:lang w:val="en-GB"/>
          </w:rPr>
          <w:t>https://doi.org/10.2337/dc10-9990</w:t>
        </w:r>
      </w:hyperlink>
      <w:r w:rsidRPr="35E4B630" w:rsidR="1DC1AB03">
        <w:rPr>
          <w:rFonts w:ascii="Arial" w:hAnsi="Arial" w:eastAsia="Arial" w:cs="Arial"/>
          <w:noProof w:val="0"/>
          <w:sz w:val="24"/>
          <w:szCs w:val="24"/>
          <w:lang w:val="en-GB"/>
        </w:rPr>
        <w:t>.</w:t>
      </w:r>
    </w:p>
    <w:p w:rsidR="1DC1AB03" w:rsidP="35E4B630" w:rsidRDefault="1DC1AB03" w14:paraId="077611FE" w14:textId="4A84BA5F">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Diabetes UK (2023) </w:t>
      </w:r>
      <w:r w:rsidRPr="35E4B630" w:rsidR="1DC1AB03">
        <w:rPr>
          <w:rFonts w:ascii="Arial" w:hAnsi="Arial" w:eastAsia="Arial" w:cs="Arial"/>
          <w:i w:val="1"/>
          <w:iCs w:val="1"/>
          <w:noProof w:val="0"/>
          <w:sz w:val="24"/>
          <w:szCs w:val="24"/>
          <w:lang w:val="en-GB"/>
        </w:rPr>
        <w:t>Type 2 diabetes statistics</w:t>
      </w:r>
      <w:r w:rsidRPr="35E4B630" w:rsidR="1DC1AB03">
        <w:rPr>
          <w:rFonts w:ascii="Arial" w:hAnsi="Arial" w:eastAsia="Arial" w:cs="Arial"/>
          <w:noProof w:val="0"/>
          <w:sz w:val="24"/>
          <w:szCs w:val="24"/>
          <w:lang w:val="en-GB"/>
        </w:rPr>
        <w:t>. London: Diabetes UK.</w:t>
      </w:r>
    </w:p>
    <w:p w:rsidR="1DC1AB03" w:rsidP="35E4B630" w:rsidRDefault="1DC1AB03" w14:paraId="4CD81205" w14:textId="7CF0C3DE">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Hall, J.E. (2021) </w:t>
      </w:r>
      <w:r w:rsidRPr="35E4B630" w:rsidR="1DC1AB03">
        <w:rPr>
          <w:rFonts w:ascii="Arial" w:hAnsi="Arial" w:eastAsia="Arial" w:cs="Arial"/>
          <w:i w:val="1"/>
          <w:iCs w:val="1"/>
          <w:noProof w:val="0"/>
          <w:sz w:val="24"/>
          <w:szCs w:val="24"/>
          <w:lang w:val="en-GB"/>
        </w:rPr>
        <w:t>Guyton and Hall textbook of medical physiology</w:t>
      </w:r>
      <w:r w:rsidRPr="35E4B630" w:rsidR="1DC1AB03">
        <w:rPr>
          <w:rFonts w:ascii="Arial" w:hAnsi="Arial" w:eastAsia="Arial" w:cs="Arial"/>
          <w:noProof w:val="0"/>
          <w:sz w:val="24"/>
          <w:szCs w:val="24"/>
          <w:lang w:val="en-GB"/>
        </w:rPr>
        <w:t xml:space="preserve">. 14th </w:t>
      </w:r>
      <w:r w:rsidRPr="35E4B630" w:rsidR="1DC1AB03">
        <w:rPr>
          <w:rFonts w:ascii="Arial" w:hAnsi="Arial" w:eastAsia="Arial" w:cs="Arial"/>
          <w:noProof w:val="0"/>
          <w:sz w:val="24"/>
          <w:szCs w:val="24"/>
          <w:lang w:val="en-GB"/>
        </w:rPr>
        <w:t>edn</w:t>
      </w:r>
      <w:r w:rsidRPr="35E4B630" w:rsidR="1DC1AB03">
        <w:rPr>
          <w:rFonts w:ascii="Arial" w:hAnsi="Arial" w:eastAsia="Arial" w:cs="Arial"/>
          <w:noProof w:val="0"/>
          <w:sz w:val="24"/>
          <w:szCs w:val="24"/>
          <w:lang w:val="en-GB"/>
        </w:rPr>
        <w:t>. Philadelphia: Elsevier.</w:t>
      </w:r>
    </w:p>
    <w:p w:rsidR="1DC1AB03" w:rsidP="35E4B630" w:rsidRDefault="1DC1AB03" w14:paraId="0A95DBD2" w14:textId="6322A8C6">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Hardy, O.T., Czech, M.P. and Corvera, S. (2012) ‘What Causes the Insulin Resistance Underlying Obesity?’, </w:t>
      </w:r>
      <w:r w:rsidRPr="35E4B630" w:rsidR="1DC1AB03">
        <w:rPr>
          <w:rFonts w:ascii="Arial" w:hAnsi="Arial" w:eastAsia="Arial" w:cs="Arial"/>
          <w:i w:val="1"/>
          <w:iCs w:val="1"/>
          <w:noProof w:val="0"/>
          <w:sz w:val="24"/>
          <w:szCs w:val="24"/>
          <w:lang w:val="en-GB"/>
        </w:rPr>
        <w:t>Current Opinion in Endocrinology &amp; Diabetes and Obesity</w:t>
      </w:r>
      <w:r w:rsidRPr="35E4B630" w:rsidR="1DC1AB03">
        <w:rPr>
          <w:rFonts w:ascii="Arial" w:hAnsi="Arial" w:eastAsia="Arial" w:cs="Arial"/>
          <w:noProof w:val="0"/>
          <w:sz w:val="24"/>
          <w:szCs w:val="24"/>
          <w:lang w:val="en-GB"/>
        </w:rPr>
        <w:t xml:space="preserve">, 19(2), pp. 81–87. </w:t>
      </w:r>
      <w:r w:rsidRPr="35E4B630" w:rsidR="1DC1AB03">
        <w:rPr>
          <w:rFonts w:ascii="Arial" w:hAnsi="Arial" w:eastAsia="Arial" w:cs="Arial"/>
          <w:noProof w:val="0"/>
          <w:sz w:val="24"/>
          <w:szCs w:val="24"/>
          <w:lang w:val="en-GB"/>
        </w:rPr>
        <w:t>doi</w:t>
      </w:r>
      <w:r w:rsidRPr="35E4B630" w:rsidR="1DC1AB03">
        <w:rPr>
          <w:rFonts w:ascii="Arial" w:hAnsi="Arial" w:eastAsia="Arial" w:cs="Arial"/>
          <w:noProof w:val="0"/>
          <w:sz w:val="24"/>
          <w:szCs w:val="24"/>
          <w:lang w:val="en-GB"/>
        </w:rPr>
        <w:t xml:space="preserve">: </w:t>
      </w:r>
      <w:hyperlink r:id="Rd4454befdc004ede">
        <w:r w:rsidRPr="35E4B630" w:rsidR="1DC1AB03">
          <w:rPr>
            <w:rStyle w:val="Hyperlink"/>
            <w:rFonts w:ascii="Arial" w:hAnsi="Arial" w:eastAsia="Arial" w:cs="Arial"/>
            <w:noProof w:val="0"/>
            <w:sz w:val="24"/>
            <w:szCs w:val="24"/>
            <w:lang w:val="en-GB"/>
          </w:rPr>
          <w:t>https://doi.org/10.1097/med.0b013e3283514e13</w:t>
        </w:r>
      </w:hyperlink>
      <w:r w:rsidRPr="35E4B630" w:rsidR="1DC1AB03">
        <w:rPr>
          <w:rFonts w:ascii="Arial" w:hAnsi="Arial" w:eastAsia="Arial" w:cs="Arial"/>
          <w:noProof w:val="0"/>
          <w:sz w:val="24"/>
          <w:szCs w:val="24"/>
          <w:lang w:val="en-GB"/>
        </w:rPr>
        <w:t>.</w:t>
      </w:r>
    </w:p>
    <w:p w:rsidR="1DC1AB03" w:rsidP="35E4B630" w:rsidRDefault="1DC1AB03" w14:paraId="7775DA41" w14:textId="6D8085A6">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Holesh</w:t>
      </w:r>
      <w:r w:rsidRPr="35E4B630" w:rsidR="1DC1AB03">
        <w:rPr>
          <w:rFonts w:ascii="Arial" w:hAnsi="Arial" w:eastAsia="Arial" w:cs="Arial"/>
          <w:noProof w:val="0"/>
          <w:sz w:val="24"/>
          <w:szCs w:val="24"/>
          <w:lang w:val="en-GB"/>
        </w:rPr>
        <w:t xml:space="preserve">, J.E., Martin, A. and Aslam, S. (2023) </w:t>
      </w:r>
      <w:r w:rsidRPr="35E4B630" w:rsidR="1DC1AB03">
        <w:rPr>
          <w:rFonts w:ascii="Arial" w:hAnsi="Arial" w:eastAsia="Arial" w:cs="Arial"/>
          <w:i w:val="1"/>
          <w:iCs w:val="1"/>
          <w:noProof w:val="0"/>
          <w:sz w:val="24"/>
          <w:szCs w:val="24"/>
          <w:lang w:val="en-GB"/>
        </w:rPr>
        <w:t>Physiology, Carbohydrates</w:t>
      </w:r>
      <w:r w:rsidRPr="35E4B630" w:rsidR="1DC1AB03">
        <w:rPr>
          <w:rFonts w:ascii="Arial" w:hAnsi="Arial" w:eastAsia="Arial" w:cs="Arial"/>
          <w:noProof w:val="0"/>
          <w:sz w:val="24"/>
          <w:szCs w:val="24"/>
          <w:lang w:val="en-GB"/>
        </w:rPr>
        <w:t xml:space="preserve">. [online] National Library of Medicine. Available at: </w:t>
      </w:r>
      <w:hyperlink r:id="R8d936b3888c84b96">
        <w:r w:rsidRPr="35E4B630" w:rsidR="1DC1AB03">
          <w:rPr>
            <w:rStyle w:val="Hyperlink"/>
            <w:rFonts w:ascii="Arial" w:hAnsi="Arial" w:eastAsia="Arial" w:cs="Arial"/>
            <w:noProof w:val="0"/>
            <w:sz w:val="24"/>
            <w:szCs w:val="24"/>
            <w:lang w:val="en-GB"/>
          </w:rPr>
          <w:t>https://www.ncbi.nlm.nih.gov/books/NBK459280/</w:t>
        </w:r>
      </w:hyperlink>
      <w:r w:rsidRPr="35E4B630" w:rsidR="1DC1AB03">
        <w:rPr>
          <w:rFonts w:ascii="Arial" w:hAnsi="Arial" w:eastAsia="Arial" w:cs="Arial"/>
          <w:noProof w:val="0"/>
          <w:sz w:val="24"/>
          <w:szCs w:val="24"/>
          <w:lang w:val="en-GB"/>
        </w:rPr>
        <w:t xml:space="preserve"> (Accessed 16 Feb. 2026).</w:t>
      </w:r>
    </w:p>
    <w:p w:rsidR="1DC1AB03" w:rsidP="35E4B630" w:rsidRDefault="1DC1AB03" w14:paraId="609C7255" w14:textId="35EFEEF9">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International Diabetes Federation (2021) </w:t>
      </w:r>
      <w:r w:rsidRPr="35E4B630" w:rsidR="1DC1AB03">
        <w:rPr>
          <w:rFonts w:ascii="Arial" w:hAnsi="Arial" w:eastAsia="Arial" w:cs="Arial"/>
          <w:i w:val="1"/>
          <w:iCs w:val="1"/>
          <w:noProof w:val="0"/>
          <w:sz w:val="24"/>
          <w:szCs w:val="24"/>
          <w:lang w:val="en-GB"/>
        </w:rPr>
        <w:t>IDF diabetes atlas</w:t>
      </w:r>
      <w:r w:rsidRPr="35E4B630" w:rsidR="1DC1AB03">
        <w:rPr>
          <w:rFonts w:ascii="Arial" w:hAnsi="Arial" w:eastAsia="Arial" w:cs="Arial"/>
          <w:noProof w:val="0"/>
          <w:sz w:val="24"/>
          <w:szCs w:val="24"/>
          <w:lang w:val="en-GB"/>
        </w:rPr>
        <w:t xml:space="preserve">. 10th </w:t>
      </w:r>
      <w:r w:rsidRPr="35E4B630" w:rsidR="1DC1AB03">
        <w:rPr>
          <w:rFonts w:ascii="Arial" w:hAnsi="Arial" w:eastAsia="Arial" w:cs="Arial"/>
          <w:noProof w:val="0"/>
          <w:sz w:val="24"/>
          <w:szCs w:val="24"/>
          <w:lang w:val="en-GB"/>
        </w:rPr>
        <w:t>edn</w:t>
      </w:r>
      <w:r w:rsidRPr="35E4B630" w:rsidR="1DC1AB03">
        <w:rPr>
          <w:rFonts w:ascii="Arial" w:hAnsi="Arial" w:eastAsia="Arial" w:cs="Arial"/>
          <w:noProof w:val="0"/>
          <w:sz w:val="24"/>
          <w:szCs w:val="24"/>
          <w:lang w:val="en-GB"/>
        </w:rPr>
        <w:t>. Brussels: IDF.</w:t>
      </w:r>
    </w:p>
    <w:p w:rsidR="1DC1AB03" w:rsidP="35E4B630" w:rsidRDefault="1DC1AB03" w14:paraId="20FAD853" w14:textId="2365458B">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Nave, R. (2019) </w:t>
      </w:r>
      <w:r w:rsidRPr="35E4B630" w:rsidR="1DC1AB03">
        <w:rPr>
          <w:rFonts w:ascii="Arial" w:hAnsi="Arial" w:eastAsia="Arial" w:cs="Arial"/>
          <w:i w:val="1"/>
          <w:iCs w:val="1"/>
          <w:noProof w:val="0"/>
          <w:sz w:val="24"/>
          <w:szCs w:val="24"/>
          <w:lang w:val="en-GB"/>
        </w:rPr>
        <w:t>Cellular Respiration</w:t>
      </w:r>
      <w:r w:rsidRPr="35E4B630" w:rsidR="1DC1AB03">
        <w:rPr>
          <w:rFonts w:ascii="Arial" w:hAnsi="Arial" w:eastAsia="Arial" w:cs="Arial"/>
          <w:noProof w:val="0"/>
          <w:sz w:val="24"/>
          <w:szCs w:val="24"/>
          <w:lang w:val="en-GB"/>
        </w:rPr>
        <w:t xml:space="preserve">. [online] Gsu.edu. Available at: </w:t>
      </w:r>
      <w:hyperlink r:id="R28818b9f678740c0">
        <w:r w:rsidRPr="35E4B630" w:rsidR="1DC1AB03">
          <w:rPr>
            <w:rStyle w:val="Hyperlink"/>
            <w:rFonts w:ascii="Arial" w:hAnsi="Arial" w:eastAsia="Arial" w:cs="Arial"/>
            <w:noProof w:val="0"/>
            <w:sz w:val="24"/>
            <w:szCs w:val="24"/>
            <w:lang w:val="en-GB"/>
          </w:rPr>
          <w:t>http://hyperphysics.phy-astr.gsu.edu/hbase/Biology/celres.html</w:t>
        </w:r>
      </w:hyperlink>
      <w:r w:rsidRPr="35E4B630" w:rsidR="1DC1AB03">
        <w:rPr>
          <w:rFonts w:ascii="Arial" w:hAnsi="Arial" w:eastAsia="Arial" w:cs="Arial"/>
          <w:noProof w:val="0"/>
          <w:sz w:val="24"/>
          <w:szCs w:val="24"/>
          <w:lang w:val="en-GB"/>
        </w:rPr>
        <w:t xml:space="preserve"> (Accessed 21 Feb. 2026).</w:t>
      </w:r>
    </w:p>
    <w:p w:rsidR="1DC1AB03" w:rsidP="35E4B630" w:rsidRDefault="1DC1AB03" w14:paraId="0FD75218" w14:textId="108FC7E4">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National Institute for Health and Care Excellence (2023) </w:t>
      </w:r>
      <w:r w:rsidRPr="35E4B630" w:rsidR="1DC1AB03">
        <w:rPr>
          <w:rFonts w:ascii="Arial" w:hAnsi="Arial" w:eastAsia="Arial" w:cs="Arial"/>
          <w:i w:val="1"/>
          <w:iCs w:val="1"/>
          <w:noProof w:val="0"/>
          <w:sz w:val="24"/>
          <w:szCs w:val="24"/>
          <w:lang w:val="en-GB"/>
        </w:rPr>
        <w:t>Type 2 diabetes in adults: management (NG28)</w:t>
      </w:r>
      <w:r w:rsidRPr="35E4B630" w:rsidR="1DC1AB03">
        <w:rPr>
          <w:rFonts w:ascii="Arial" w:hAnsi="Arial" w:eastAsia="Arial" w:cs="Arial"/>
          <w:noProof w:val="0"/>
          <w:sz w:val="24"/>
          <w:szCs w:val="24"/>
          <w:lang w:val="en-GB"/>
        </w:rPr>
        <w:t>. London: NICE.</w:t>
      </w:r>
    </w:p>
    <w:p w:rsidR="1DC1AB03" w:rsidP="35E4B630" w:rsidRDefault="1DC1AB03" w14:paraId="0D6BCEC1" w14:textId="77C08922">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NHS England (2023) </w:t>
      </w:r>
      <w:r w:rsidRPr="35E4B630" w:rsidR="1DC1AB03">
        <w:rPr>
          <w:rFonts w:ascii="Arial" w:hAnsi="Arial" w:eastAsia="Arial" w:cs="Arial"/>
          <w:i w:val="1"/>
          <w:iCs w:val="1"/>
          <w:noProof w:val="0"/>
          <w:sz w:val="24"/>
          <w:szCs w:val="24"/>
          <w:lang w:val="en-GB"/>
        </w:rPr>
        <w:t>Diabetes overview</w:t>
      </w:r>
      <w:r w:rsidRPr="35E4B630" w:rsidR="1DC1AB03">
        <w:rPr>
          <w:rFonts w:ascii="Arial" w:hAnsi="Arial" w:eastAsia="Arial" w:cs="Arial"/>
          <w:noProof w:val="0"/>
          <w:sz w:val="24"/>
          <w:szCs w:val="24"/>
          <w:lang w:val="en-GB"/>
        </w:rPr>
        <w:t>. London: NHS England.</w:t>
      </w:r>
    </w:p>
    <w:p w:rsidR="1DC1AB03" w:rsidP="35E4B630" w:rsidRDefault="1DC1AB03" w14:paraId="6B381FB5" w14:textId="4F0DE65F">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Public Health England (2022) </w:t>
      </w:r>
      <w:r w:rsidRPr="35E4B630" w:rsidR="1DC1AB03">
        <w:rPr>
          <w:rFonts w:ascii="Arial" w:hAnsi="Arial" w:eastAsia="Arial" w:cs="Arial"/>
          <w:i w:val="1"/>
          <w:iCs w:val="1"/>
          <w:noProof w:val="0"/>
          <w:sz w:val="24"/>
          <w:szCs w:val="24"/>
          <w:lang w:val="en-GB"/>
        </w:rPr>
        <w:t>Health matters: preventing Type 2 diabetes</w:t>
      </w:r>
      <w:r w:rsidRPr="35E4B630" w:rsidR="1DC1AB03">
        <w:rPr>
          <w:rFonts w:ascii="Arial" w:hAnsi="Arial" w:eastAsia="Arial" w:cs="Arial"/>
          <w:noProof w:val="0"/>
          <w:sz w:val="24"/>
          <w:szCs w:val="24"/>
          <w:lang w:val="en-GB"/>
        </w:rPr>
        <w:t>. London: PHE.</w:t>
      </w:r>
    </w:p>
    <w:p w:rsidR="1DC1AB03" w:rsidP="35E4B630" w:rsidRDefault="1DC1AB03" w14:paraId="27860A37" w14:textId="6463FE97">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Rang, H.P., Ritter, J.M., Flower, R.J. and Henderson, G. (2019) </w:t>
      </w:r>
      <w:r w:rsidRPr="35E4B630" w:rsidR="1DC1AB03">
        <w:rPr>
          <w:rFonts w:ascii="Arial" w:hAnsi="Arial" w:eastAsia="Arial" w:cs="Arial"/>
          <w:i w:val="1"/>
          <w:iCs w:val="1"/>
          <w:noProof w:val="0"/>
          <w:sz w:val="24"/>
          <w:szCs w:val="24"/>
          <w:lang w:val="en-GB"/>
        </w:rPr>
        <w:t>Rang and Dale’s pharmacology</w:t>
      </w:r>
      <w:r w:rsidRPr="35E4B630" w:rsidR="1DC1AB03">
        <w:rPr>
          <w:rFonts w:ascii="Arial" w:hAnsi="Arial" w:eastAsia="Arial" w:cs="Arial"/>
          <w:noProof w:val="0"/>
          <w:sz w:val="24"/>
          <w:szCs w:val="24"/>
          <w:lang w:val="en-GB"/>
        </w:rPr>
        <w:t xml:space="preserve">. 9th </w:t>
      </w:r>
      <w:r w:rsidRPr="35E4B630" w:rsidR="1DC1AB03">
        <w:rPr>
          <w:rFonts w:ascii="Arial" w:hAnsi="Arial" w:eastAsia="Arial" w:cs="Arial"/>
          <w:noProof w:val="0"/>
          <w:sz w:val="24"/>
          <w:szCs w:val="24"/>
          <w:lang w:val="en-GB"/>
        </w:rPr>
        <w:t>edn</w:t>
      </w:r>
      <w:r w:rsidRPr="35E4B630" w:rsidR="1DC1AB03">
        <w:rPr>
          <w:rFonts w:ascii="Arial" w:hAnsi="Arial" w:eastAsia="Arial" w:cs="Arial"/>
          <w:noProof w:val="0"/>
          <w:sz w:val="24"/>
          <w:szCs w:val="24"/>
          <w:lang w:val="en-GB"/>
        </w:rPr>
        <w:t>. London: Elsevier.</w:t>
      </w:r>
    </w:p>
    <w:p w:rsidR="1DC1AB03" w:rsidP="35E4B630" w:rsidRDefault="1DC1AB03" w14:paraId="51F5F486" w14:textId="3F6F9D3E">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Richardson, K.M., </w:t>
      </w:r>
      <w:r w:rsidRPr="35E4B630" w:rsidR="1DC1AB03">
        <w:rPr>
          <w:rFonts w:ascii="Arial" w:hAnsi="Arial" w:eastAsia="Arial" w:cs="Arial"/>
          <w:noProof w:val="0"/>
          <w:sz w:val="24"/>
          <w:szCs w:val="24"/>
          <w:lang w:val="en-GB"/>
        </w:rPr>
        <w:t>Jospe</w:t>
      </w:r>
      <w:r w:rsidRPr="35E4B630" w:rsidR="1DC1AB03">
        <w:rPr>
          <w:rFonts w:ascii="Arial" w:hAnsi="Arial" w:eastAsia="Arial" w:cs="Arial"/>
          <w:noProof w:val="0"/>
          <w:sz w:val="24"/>
          <w:szCs w:val="24"/>
          <w:lang w:val="en-GB"/>
        </w:rPr>
        <w:t xml:space="preserve">, M.R., Bohlen, L.C., Crawshaw, J., Saleh, A.A. and Schembre, S.M. (2024) ‘The efficacy of using continuous glucose monitoring as a behaviour change tool in populations with and without diabetes: a systematic review and meta-analysis of randomised controlled trials’, </w:t>
      </w:r>
      <w:r w:rsidRPr="35E4B630" w:rsidR="1DC1AB03">
        <w:rPr>
          <w:rFonts w:ascii="Arial" w:hAnsi="Arial" w:eastAsia="Arial" w:cs="Arial"/>
          <w:i w:val="1"/>
          <w:iCs w:val="1"/>
          <w:noProof w:val="0"/>
          <w:sz w:val="24"/>
          <w:szCs w:val="24"/>
          <w:lang w:val="en-GB"/>
        </w:rPr>
        <w:t xml:space="preserve">International Journal of </w:t>
      </w:r>
      <w:r w:rsidRPr="35E4B630" w:rsidR="1DC1AB03">
        <w:rPr>
          <w:rFonts w:ascii="Arial" w:hAnsi="Arial" w:eastAsia="Arial" w:cs="Arial"/>
          <w:i w:val="1"/>
          <w:iCs w:val="1"/>
          <w:noProof w:val="0"/>
          <w:sz w:val="24"/>
          <w:szCs w:val="24"/>
          <w:lang w:val="en-GB"/>
        </w:rPr>
        <w:t>Behavioral</w:t>
      </w:r>
      <w:r w:rsidRPr="35E4B630" w:rsidR="1DC1AB03">
        <w:rPr>
          <w:rFonts w:ascii="Arial" w:hAnsi="Arial" w:eastAsia="Arial" w:cs="Arial"/>
          <w:i w:val="1"/>
          <w:iCs w:val="1"/>
          <w:noProof w:val="0"/>
          <w:sz w:val="24"/>
          <w:szCs w:val="24"/>
          <w:lang w:val="en-GB"/>
        </w:rPr>
        <w:t xml:space="preserve"> Nutrition and Physical Activity</w:t>
      </w:r>
      <w:r w:rsidRPr="35E4B630" w:rsidR="1DC1AB03">
        <w:rPr>
          <w:rFonts w:ascii="Arial" w:hAnsi="Arial" w:eastAsia="Arial" w:cs="Arial"/>
          <w:noProof w:val="0"/>
          <w:sz w:val="24"/>
          <w:szCs w:val="24"/>
          <w:lang w:val="en-GB"/>
        </w:rPr>
        <w:t xml:space="preserve">, 21(1). </w:t>
      </w:r>
      <w:r w:rsidRPr="35E4B630" w:rsidR="1DC1AB03">
        <w:rPr>
          <w:rFonts w:ascii="Arial" w:hAnsi="Arial" w:eastAsia="Arial" w:cs="Arial"/>
          <w:noProof w:val="0"/>
          <w:sz w:val="24"/>
          <w:szCs w:val="24"/>
          <w:lang w:val="en-GB"/>
        </w:rPr>
        <w:t>doi</w:t>
      </w:r>
      <w:r w:rsidRPr="35E4B630" w:rsidR="1DC1AB03">
        <w:rPr>
          <w:rFonts w:ascii="Arial" w:hAnsi="Arial" w:eastAsia="Arial" w:cs="Arial"/>
          <w:noProof w:val="0"/>
          <w:sz w:val="24"/>
          <w:szCs w:val="24"/>
          <w:lang w:val="en-GB"/>
        </w:rPr>
        <w:t xml:space="preserve">: </w:t>
      </w:r>
      <w:hyperlink r:id="R0ac93728b111471c">
        <w:r w:rsidRPr="35E4B630" w:rsidR="1DC1AB03">
          <w:rPr>
            <w:rStyle w:val="Hyperlink"/>
            <w:rFonts w:ascii="Arial" w:hAnsi="Arial" w:eastAsia="Arial" w:cs="Arial"/>
            <w:noProof w:val="0"/>
            <w:sz w:val="24"/>
            <w:szCs w:val="24"/>
            <w:lang w:val="en-GB"/>
          </w:rPr>
          <w:t>https://doi.org/10.1186/s12966-024-01692-6</w:t>
        </w:r>
      </w:hyperlink>
      <w:r w:rsidRPr="35E4B630" w:rsidR="1DC1AB03">
        <w:rPr>
          <w:rFonts w:ascii="Arial" w:hAnsi="Arial" w:eastAsia="Arial" w:cs="Arial"/>
          <w:noProof w:val="0"/>
          <w:sz w:val="24"/>
          <w:szCs w:val="24"/>
          <w:lang w:val="en-GB"/>
        </w:rPr>
        <w:t>.</w:t>
      </w:r>
    </w:p>
    <w:p w:rsidR="1DC1AB03" w:rsidP="35E4B630" w:rsidRDefault="1DC1AB03" w14:paraId="0D3C7FFD" w14:textId="608DA2C6">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Silverthorn, D.U. (2019) </w:t>
      </w:r>
      <w:r w:rsidRPr="35E4B630" w:rsidR="1DC1AB03">
        <w:rPr>
          <w:rFonts w:ascii="Arial" w:hAnsi="Arial" w:eastAsia="Arial" w:cs="Arial"/>
          <w:i w:val="1"/>
          <w:iCs w:val="1"/>
          <w:noProof w:val="0"/>
          <w:sz w:val="24"/>
          <w:szCs w:val="24"/>
          <w:lang w:val="en-GB"/>
        </w:rPr>
        <w:t>Human physiology: an integrated approach</w:t>
      </w:r>
      <w:r w:rsidRPr="35E4B630" w:rsidR="1DC1AB03">
        <w:rPr>
          <w:rFonts w:ascii="Arial" w:hAnsi="Arial" w:eastAsia="Arial" w:cs="Arial"/>
          <w:noProof w:val="0"/>
          <w:sz w:val="24"/>
          <w:szCs w:val="24"/>
          <w:lang w:val="en-GB"/>
        </w:rPr>
        <w:t xml:space="preserve">. 8th </w:t>
      </w:r>
      <w:r w:rsidRPr="35E4B630" w:rsidR="1DC1AB03">
        <w:rPr>
          <w:rFonts w:ascii="Arial" w:hAnsi="Arial" w:eastAsia="Arial" w:cs="Arial"/>
          <w:noProof w:val="0"/>
          <w:sz w:val="24"/>
          <w:szCs w:val="24"/>
          <w:lang w:val="en-GB"/>
        </w:rPr>
        <w:t>edn</w:t>
      </w:r>
      <w:r w:rsidRPr="35E4B630" w:rsidR="1DC1AB03">
        <w:rPr>
          <w:rFonts w:ascii="Arial" w:hAnsi="Arial" w:eastAsia="Arial" w:cs="Arial"/>
          <w:noProof w:val="0"/>
          <w:sz w:val="24"/>
          <w:szCs w:val="24"/>
          <w:lang w:val="en-GB"/>
        </w:rPr>
        <w:t>. Harlow: Pearson.</w:t>
      </w:r>
    </w:p>
    <w:p w:rsidR="1DC1AB03" w:rsidP="35E4B630" w:rsidRDefault="1DC1AB03" w14:paraId="375DAE55" w14:textId="7F0E4DA2">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World Health Organization (2023) </w:t>
      </w:r>
      <w:r w:rsidRPr="35E4B630" w:rsidR="1DC1AB03">
        <w:rPr>
          <w:rFonts w:ascii="Arial" w:hAnsi="Arial" w:eastAsia="Arial" w:cs="Arial"/>
          <w:i w:val="1"/>
          <w:iCs w:val="1"/>
          <w:noProof w:val="0"/>
          <w:sz w:val="24"/>
          <w:szCs w:val="24"/>
          <w:lang w:val="en-GB"/>
        </w:rPr>
        <w:t>Diabetes fact sheet</w:t>
      </w:r>
      <w:r w:rsidRPr="35E4B630" w:rsidR="1DC1AB03">
        <w:rPr>
          <w:rFonts w:ascii="Arial" w:hAnsi="Arial" w:eastAsia="Arial" w:cs="Arial"/>
          <w:noProof w:val="0"/>
          <w:sz w:val="24"/>
          <w:szCs w:val="24"/>
          <w:lang w:val="en-GB"/>
        </w:rPr>
        <w:t>. Geneva: WHO.</w:t>
      </w:r>
    </w:p>
    <w:p w:rsidR="1DC1AB03" w:rsidP="35E4B630" w:rsidRDefault="1DC1AB03" w14:paraId="07CF190B" w14:textId="7370FBB8">
      <w:pPr>
        <w:spacing w:before="240" w:beforeAutospacing="off" w:after="240" w:afterAutospacing="off" w:line="360" w:lineRule="auto"/>
        <w:rPr>
          <w:rFonts w:ascii="Arial" w:hAnsi="Arial" w:eastAsia="Arial" w:cs="Arial"/>
          <w:noProof w:val="0"/>
          <w:sz w:val="24"/>
          <w:szCs w:val="24"/>
          <w:lang w:val="en-GB"/>
        </w:rPr>
      </w:pPr>
      <w:r w:rsidRPr="35E4B630" w:rsidR="1DC1AB03">
        <w:rPr>
          <w:rFonts w:ascii="Arial" w:hAnsi="Arial" w:eastAsia="Arial" w:cs="Arial"/>
          <w:noProof w:val="0"/>
          <w:sz w:val="24"/>
          <w:szCs w:val="24"/>
          <w:lang w:val="en-GB"/>
        </w:rPr>
        <w:t xml:space="preserve">Wu, Y., Ding, Y., Tanaka, </w:t>
      </w:r>
      <w:r w:rsidRPr="35E4B630" w:rsidR="1DC1AB03">
        <w:rPr>
          <w:rFonts w:ascii="Arial" w:hAnsi="Arial" w:eastAsia="Arial" w:cs="Arial"/>
          <w:noProof w:val="0"/>
          <w:sz w:val="24"/>
          <w:szCs w:val="24"/>
          <w:lang w:val="en-GB"/>
        </w:rPr>
        <w:t>Y.</w:t>
      </w:r>
      <w:r w:rsidRPr="35E4B630" w:rsidR="1DC1AB03">
        <w:rPr>
          <w:rFonts w:ascii="Arial" w:hAnsi="Arial" w:eastAsia="Arial" w:cs="Arial"/>
          <w:noProof w:val="0"/>
          <w:sz w:val="24"/>
          <w:szCs w:val="24"/>
          <w:lang w:val="en-GB"/>
        </w:rPr>
        <w:t xml:space="preserve"> and Zhang, W. (2014) ‘Risk Factors Contributing to Type 2 Diabetes and Recent Advances in the Treatment and Prevention’, </w:t>
      </w:r>
      <w:r w:rsidRPr="35E4B630" w:rsidR="1DC1AB03">
        <w:rPr>
          <w:rFonts w:ascii="Arial" w:hAnsi="Arial" w:eastAsia="Arial" w:cs="Arial"/>
          <w:i w:val="1"/>
          <w:iCs w:val="1"/>
          <w:noProof w:val="0"/>
          <w:sz w:val="24"/>
          <w:szCs w:val="24"/>
          <w:lang w:val="en-GB"/>
        </w:rPr>
        <w:t>International Journal of Medical Sciences</w:t>
      </w:r>
      <w:r w:rsidRPr="35E4B630" w:rsidR="1DC1AB03">
        <w:rPr>
          <w:rFonts w:ascii="Arial" w:hAnsi="Arial" w:eastAsia="Arial" w:cs="Arial"/>
          <w:noProof w:val="0"/>
          <w:sz w:val="24"/>
          <w:szCs w:val="24"/>
          <w:lang w:val="en-GB"/>
        </w:rPr>
        <w:t xml:space="preserve">, 11(11), pp. 1185–1200. </w:t>
      </w:r>
      <w:r w:rsidRPr="35E4B630" w:rsidR="1DC1AB03">
        <w:rPr>
          <w:rFonts w:ascii="Arial" w:hAnsi="Arial" w:eastAsia="Arial" w:cs="Arial"/>
          <w:noProof w:val="0"/>
          <w:sz w:val="24"/>
          <w:szCs w:val="24"/>
          <w:lang w:val="en-GB"/>
        </w:rPr>
        <w:t>doi</w:t>
      </w:r>
      <w:r w:rsidRPr="35E4B630" w:rsidR="1DC1AB03">
        <w:rPr>
          <w:rFonts w:ascii="Arial" w:hAnsi="Arial" w:eastAsia="Arial" w:cs="Arial"/>
          <w:noProof w:val="0"/>
          <w:sz w:val="24"/>
          <w:szCs w:val="24"/>
          <w:lang w:val="en-GB"/>
        </w:rPr>
        <w:t xml:space="preserve">: </w:t>
      </w:r>
      <w:hyperlink r:id="Rd8db55a226c3414c">
        <w:r w:rsidRPr="35E4B630" w:rsidR="1DC1AB03">
          <w:rPr>
            <w:rStyle w:val="Hyperlink"/>
            <w:rFonts w:ascii="Arial" w:hAnsi="Arial" w:eastAsia="Arial" w:cs="Arial"/>
            <w:noProof w:val="0"/>
            <w:sz w:val="24"/>
            <w:szCs w:val="24"/>
            <w:lang w:val="en-GB"/>
          </w:rPr>
          <w:t>https://doi.org/10.7150/ijms.10001</w:t>
        </w:r>
      </w:hyperlink>
      <w:r w:rsidRPr="35E4B630" w:rsidR="1DC1AB03">
        <w:rPr>
          <w:rFonts w:ascii="Arial" w:hAnsi="Arial" w:eastAsia="Arial" w:cs="Arial"/>
          <w:noProof w:val="0"/>
          <w:sz w:val="24"/>
          <w:szCs w:val="24"/>
          <w:lang w:val="en-GB"/>
        </w:rPr>
        <w:t>.</w:t>
      </w:r>
    </w:p>
    <w:p w:rsidR="35E4B630" w:rsidP="35E4B630" w:rsidRDefault="35E4B630" w14:paraId="0084EF1D" w14:textId="1042DAD9">
      <w:pPr>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6abc164584a042a7"/>
      <w:footerReference w:type="default" r:id="Rac232cc9d4f642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E4B630" w:rsidTr="35E4B630" w14:paraId="4BCABFF2">
      <w:trPr>
        <w:trHeight w:val="300"/>
      </w:trPr>
      <w:tc>
        <w:tcPr>
          <w:tcW w:w="3005" w:type="dxa"/>
          <w:tcMar/>
        </w:tcPr>
        <w:p w:rsidR="35E4B630" w:rsidP="35E4B630" w:rsidRDefault="35E4B630" w14:paraId="395ABD8A" w14:textId="0F9AEAFA">
          <w:pPr>
            <w:pStyle w:val="Header"/>
            <w:bidi w:val="0"/>
            <w:ind w:left="-115"/>
            <w:jc w:val="left"/>
          </w:pPr>
        </w:p>
      </w:tc>
      <w:tc>
        <w:tcPr>
          <w:tcW w:w="3005" w:type="dxa"/>
          <w:tcMar/>
        </w:tcPr>
        <w:p w:rsidR="35E4B630" w:rsidP="35E4B630" w:rsidRDefault="35E4B630" w14:paraId="1ED80A12" w14:textId="7C694B65">
          <w:pPr>
            <w:pStyle w:val="Header"/>
            <w:bidi w:val="0"/>
            <w:jc w:val="center"/>
          </w:pPr>
          <w:r>
            <w:fldChar w:fldCharType="begin"/>
          </w:r>
          <w:r>
            <w:instrText xml:space="preserve">PAGE</w:instrText>
          </w:r>
          <w:r>
            <w:fldChar w:fldCharType="separate"/>
          </w:r>
          <w:r>
            <w:fldChar w:fldCharType="end"/>
          </w:r>
        </w:p>
      </w:tc>
      <w:tc>
        <w:tcPr>
          <w:tcW w:w="3005" w:type="dxa"/>
          <w:tcMar/>
        </w:tcPr>
        <w:p w:rsidR="35E4B630" w:rsidP="35E4B630" w:rsidRDefault="35E4B630" w14:paraId="742F7468" w14:textId="618774C0">
          <w:pPr>
            <w:pStyle w:val="Header"/>
            <w:bidi w:val="0"/>
            <w:ind w:right="-115"/>
            <w:jc w:val="right"/>
          </w:pPr>
        </w:p>
      </w:tc>
    </w:tr>
  </w:tbl>
  <w:p w:rsidR="35E4B630" w:rsidP="35E4B630" w:rsidRDefault="35E4B630" w14:paraId="372BA513" w14:textId="69D96F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E4B630" w:rsidTr="35E4B630" w14:paraId="2746B537">
      <w:trPr>
        <w:trHeight w:val="300"/>
      </w:trPr>
      <w:tc>
        <w:tcPr>
          <w:tcW w:w="3005" w:type="dxa"/>
          <w:tcMar/>
        </w:tcPr>
        <w:p w:rsidR="35E4B630" w:rsidP="35E4B630" w:rsidRDefault="35E4B630" w14:paraId="3C3C2B52" w14:textId="3657D35A">
          <w:pPr>
            <w:pStyle w:val="Header"/>
            <w:bidi w:val="0"/>
            <w:ind w:left="-115"/>
            <w:jc w:val="left"/>
          </w:pPr>
        </w:p>
      </w:tc>
      <w:tc>
        <w:tcPr>
          <w:tcW w:w="3005" w:type="dxa"/>
          <w:tcMar/>
        </w:tcPr>
        <w:p w:rsidR="35E4B630" w:rsidP="35E4B630" w:rsidRDefault="35E4B630" w14:paraId="723CDEEB" w14:textId="0D5F5B9E">
          <w:pPr>
            <w:pStyle w:val="Header"/>
            <w:bidi w:val="0"/>
            <w:jc w:val="center"/>
          </w:pPr>
        </w:p>
      </w:tc>
      <w:tc>
        <w:tcPr>
          <w:tcW w:w="3005" w:type="dxa"/>
          <w:tcMar/>
        </w:tcPr>
        <w:p w:rsidR="35E4B630" w:rsidP="35E4B630" w:rsidRDefault="35E4B630" w14:paraId="7582E57C" w14:textId="0646466B">
          <w:pPr>
            <w:pStyle w:val="Header"/>
            <w:bidi w:val="0"/>
            <w:ind w:right="-115"/>
            <w:jc w:val="right"/>
          </w:pPr>
        </w:p>
      </w:tc>
    </w:tr>
  </w:tbl>
  <w:p w:rsidR="35E4B630" w:rsidP="35E4B630" w:rsidRDefault="35E4B630" w14:paraId="00A3F23D" w14:textId="0563D33B">
    <w:pPr>
      <w:pStyle w:val="Header"/>
      <w:bidi w:val="0"/>
    </w:pPr>
  </w:p>
</w:hdr>
</file>

<file path=word/numbering.xml><?xml version="1.0" encoding="utf-8"?>
<w:numbering xmlns:w="http://schemas.openxmlformats.org/wordprocessingml/2006/main">
  <w:abstractNum xmlns:w="http://schemas.openxmlformats.org/wordprocessingml/2006/main" w:abstractNumId="28">
    <w:nsid w:val="50773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3e94c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04b1f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3d39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6556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2f637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61882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a7fb8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95e76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dc5a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d582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6f0ec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b2aeb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64f56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69fb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6d495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29542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b0ecd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6242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baf3b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f834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a08b4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ab63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88943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5b56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8fbd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38b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3ef4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F664D8"/>
    <w:rsid w:val="0235DF4E"/>
    <w:rsid w:val="02D35D24"/>
    <w:rsid w:val="030DACDC"/>
    <w:rsid w:val="03A5D184"/>
    <w:rsid w:val="05816060"/>
    <w:rsid w:val="0B9BB6D8"/>
    <w:rsid w:val="0DF0274C"/>
    <w:rsid w:val="0EEF453F"/>
    <w:rsid w:val="0FA1BD64"/>
    <w:rsid w:val="106DCCAC"/>
    <w:rsid w:val="1224B2BB"/>
    <w:rsid w:val="14B64C6B"/>
    <w:rsid w:val="1608517D"/>
    <w:rsid w:val="1618B5F9"/>
    <w:rsid w:val="1671BE87"/>
    <w:rsid w:val="1864026E"/>
    <w:rsid w:val="19A1CDC8"/>
    <w:rsid w:val="1DC1AB03"/>
    <w:rsid w:val="1E0918D0"/>
    <w:rsid w:val="1E403B28"/>
    <w:rsid w:val="209D0EB1"/>
    <w:rsid w:val="24FA0654"/>
    <w:rsid w:val="25AF31AA"/>
    <w:rsid w:val="2756AAFE"/>
    <w:rsid w:val="2767D14B"/>
    <w:rsid w:val="27D18BEE"/>
    <w:rsid w:val="286494D1"/>
    <w:rsid w:val="29F37A7E"/>
    <w:rsid w:val="2D36CF6F"/>
    <w:rsid w:val="2EC1BD58"/>
    <w:rsid w:val="2ED3E2F1"/>
    <w:rsid w:val="2F4E1BDC"/>
    <w:rsid w:val="30B70633"/>
    <w:rsid w:val="3275A057"/>
    <w:rsid w:val="32869A67"/>
    <w:rsid w:val="346E3D28"/>
    <w:rsid w:val="354B8182"/>
    <w:rsid w:val="35E4B630"/>
    <w:rsid w:val="3675B788"/>
    <w:rsid w:val="384CF14A"/>
    <w:rsid w:val="392C150D"/>
    <w:rsid w:val="39441D41"/>
    <w:rsid w:val="39C4C2DD"/>
    <w:rsid w:val="3A701EFD"/>
    <w:rsid w:val="3B6CE2BB"/>
    <w:rsid w:val="3C447CEF"/>
    <w:rsid w:val="3C950018"/>
    <w:rsid w:val="3CB25B19"/>
    <w:rsid w:val="3D6B2256"/>
    <w:rsid w:val="3FF52B89"/>
    <w:rsid w:val="419CD964"/>
    <w:rsid w:val="42DE66BC"/>
    <w:rsid w:val="439985F0"/>
    <w:rsid w:val="43C84960"/>
    <w:rsid w:val="479DE637"/>
    <w:rsid w:val="47CCE540"/>
    <w:rsid w:val="4807D72A"/>
    <w:rsid w:val="4A697654"/>
    <w:rsid w:val="4B438D6C"/>
    <w:rsid w:val="4B98A919"/>
    <w:rsid w:val="4CA0E29E"/>
    <w:rsid w:val="4CB16283"/>
    <w:rsid w:val="50565398"/>
    <w:rsid w:val="508B3747"/>
    <w:rsid w:val="5488F388"/>
    <w:rsid w:val="555D3A18"/>
    <w:rsid w:val="5598DA93"/>
    <w:rsid w:val="55CA6CCF"/>
    <w:rsid w:val="56891916"/>
    <w:rsid w:val="56A42756"/>
    <w:rsid w:val="5C58A53A"/>
    <w:rsid w:val="5D5B74A0"/>
    <w:rsid w:val="5DC9D4C6"/>
    <w:rsid w:val="5EF664D8"/>
    <w:rsid w:val="5FA63560"/>
    <w:rsid w:val="6026F267"/>
    <w:rsid w:val="61923137"/>
    <w:rsid w:val="632AF9D8"/>
    <w:rsid w:val="65CF6D43"/>
    <w:rsid w:val="676C1C7F"/>
    <w:rsid w:val="68ABA892"/>
    <w:rsid w:val="6A1352EF"/>
    <w:rsid w:val="6C417193"/>
    <w:rsid w:val="6C4C613A"/>
    <w:rsid w:val="6C78A255"/>
    <w:rsid w:val="6C9228CE"/>
    <w:rsid w:val="6E70E12E"/>
    <w:rsid w:val="6E8E2174"/>
    <w:rsid w:val="6EC40B45"/>
    <w:rsid w:val="6FCD54DE"/>
    <w:rsid w:val="7148D577"/>
    <w:rsid w:val="72F6E560"/>
    <w:rsid w:val="7740E31F"/>
    <w:rsid w:val="787DA622"/>
    <w:rsid w:val="7AAAF784"/>
    <w:rsid w:val="7AC23161"/>
    <w:rsid w:val="7B774166"/>
    <w:rsid w:val="7DC03057"/>
    <w:rsid w:val="7EFD2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9281D"/>
  <w15:chartTrackingRefBased/>
  <w15:docId w15:val="{552C95E4-E2F2-45F1-AD3F-D8D2D5B951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5E4B63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5E4B63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5E4B63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5E4B630"/>
    <w:pPr>
      <w:spacing/>
      <w:ind w:left="720"/>
      <w:contextualSpacing/>
    </w:pPr>
  </w:style>
  <w:style w:type="paragraph" w:styleId="Header">
    <w:uiPriority w:val="99"/>
    <w:name w:val="header"/>
    <w:basedOn w:val="Normal"/>
    <w:unhideWhenUsed/>
    <w:rsid w:val="35E4B630"/>
    <w:pPr>
      <w:tabs>
        <w:tab w:val="center" w:leader="none" w:pos="4680"/>
        <w:tab w:val="right" w:leader="none" w:pos="9360"/>
      </w:tabs>
      <w:spacing w:after="0" w:line="240" w:lineRule="auto"/>
    </w:pPr>
  </w:style>
  <w:style w:type="paragraph" w:styleId="Footer">
    <w:uiPriority w:val="99"/>
    <w:name w:val="footer"/>
    <w:basedOn w:val="Normal"/>
    <w:unhideWhenUsed/>
    <w:rsid w:val="35E4B63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5E4B63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50200261" /><Relationship Type="http://schemas.openxmlformats.org/officeDocument/2006/relationships/image" Target="/media/image2.png" Id="rId1776182859" /><Relationship Type="http://schemas.openxmlformats.org/officeDocument/2006/relationships/hyperlink" Target="https://mybioma.com/en/blogs/science/microbiome-and-blood-sugar-how-your-gut-bacteria-influence-your-blood-sugar-level?srsltid=AfmBOooSihAPXRPBpZ33HnF_u_e2Uaj4c8r419xKCJuPFJNwgwtI8rKF" TargetMode="External" Id="Raab0872fdd694bc6" /><Relationship Type="http://schemas.openxmlformats.org/officeDocument/2006/relationships/hyperlink" Target="https://doi.org/10.1371/journal.pone.0288797" TargetMode="External" Id="Refe8dfc70f74451c" /><Relationship Type="http://schemas.openxmlformats.org/officeDocument/2006/relationships/hyperlink" Target="https://doi.org/10.2337/dc10-9990" TargetMode="External" Id="R1d72af6117fd403f" /><Relationship Type="http://schemas.openxmlformats.org/officeDocument/2006/relationships/hyperlink" Target="https://doi.org/10.1097/med.0b013e3283514e13" TargetMode="External" Id="Rd4454befdc004ede" /><Relationship Type="http://schemas.openxmlformats.org/officeDocument/2006/relationships/hyperlink" Target="https://www.ncbi.nlm.nih.gov/books/NBK459280/" TargetMode="External" Id="R8d936b3888c84b96" /><Relationship Type="http://schemas.openxmlformats.org/officeDocument/2006/relationships/hyperlink" Target="http://hyperphysics.phy-astr.gsu.edu/hbase/Biology/celres.html" TargetMode="External" Id="R28818b9f678740c0" /><Relationship Type="http://schemas.openxmlformats.org/officeDocument/2006/relationships/hyperlink" Target="https://doi.org/10.1186/s12966-024-01692-6" TargetMode="External" Id="R0ac93728b111471c" /><Relationship Type="http://schemas.openxmlformats.org/officeDocument/2006/relationships/hyperlink" Target="https://doi.org/10.7150/ijms.10001" TargetMode="External" Id="Rd8db55a226c3414c" /><Relationship Type="http://schemas.openxmlformats.org/officeDocument/2006/relationships/header" Target="/word/header.xml" Id="R6abc164584a042a7" /><Relationship Type="http://schemas.openxmlformats.org/officeDocument/2006/relationships/footer" Target="/word/footer.xml" Id="Rac232cc9d4f64263" /><Relationship Type="http://schemas.openxmlformats.org/officeDocument/2006/relationships/numbering" Target="/word/numbering.xml" Id="R8ad7f021fe2440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Saba Ansar (2426467)</dc:creator>
  <keywords/>
  <dc:description/>
  <lastModifiedBy>Saba Ansar (2426467)</lastModifiedBy>
  <revision>2</revision>
  <dcterms:created xsi:type="dcterms:W3CDTF">2026-02-21T19:06:43.7991098Z</dcterms:created>
  <dcterms:modified xsi:type="dcterms:W3CDTF">2026-03-02T01:32:12.8043488Z</dcterms:modified>
</coreProperties>
</file>