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0683" w:rsidRDefault="00140683" w:rsidP="00140683">
      <w:r>
        <w:t>EMR Assignment 2016 – 17 Mark Sheet</w:t>
      </w:r>
    </w:p>
    <w:p w:rsidR="00140683" w:rsidRDefault="00140683" w:rsidP="00140683">
      <w:r>
        <w:t>Name:</w:t>
      </w:r>
      <w:r w:rsidR="00DA5155">
        <w:t xml:space="preserve">  Paul Austin</w:t>
      </w:r>
    </w:p>
    <w:p w:rsidR="00140683" w:rsidRDefault="00140683" w:rsidP="00140683"/>
    <w:p w:rsidR="00140683" w:rsidRDefault="00140683" w:rsidP="00140683">
      <w:r>
        <w:t>(</w:t>
      </w:r>
      <w:proofErr w:type="spellStart"/>
      <w:r>
        <w:t>i</w:t>
      </w:r>
      <w:proofErr w:type="spellEnd"/>
      <w:r>
        <w:t>)</w:t>
      </w:r>
      <w:r>
        <w:tab/>
        <w:t>The typical parameters expected to be tested for a laser target designator and how these tests might be approached;</w:t>
      </w:r>
    </w:p>
    <w:p w:rsidR="00140683" w:rsidRDefault="00DA5155" w:rsidP="00140683">
      <w:r>
        <w:t>The range equipment specified is appropriate to the task for the most part.  If I’m being picky, given laser designators usually use some kind of code in the pulse sequence to identify a specific designator/target, something to check durations and sequences (a recording of the intensities during the test sequence from the camera output or the radiometer, is a simple choice).</w:t>
      </w:r>
    </w:p>
    <w:p w:rsidR="00140683" w:rsidRDefault="00DA5155" w:rsidP="00140683">
      <w:r>
        <w:t>15/25</w:t>
      </w:r>
    </w:p>
    <w:p w:rsidR="00140683" w:rsidRDefault="00140683" w:rsidP="00140683"/>
    <w:p w:rsidR="00140683" w:rsidRDefault="00140683" w:rsidP="00140683"/>
    <w:p w:rsidR="00140683" w:rsidRDefault="00140683" w:rsidP="00140683">
      <w:r>
        <w:t>(ii)</w:t>
      </w:r>
      <w:r>
        <w:tab/>
        <w:t>The requirements of the test site resulting from (</w:t>
      </w:r>
      <w:proofErr w:type="spellStart"/>
      <w:r>
        <w:t>i</w:t>
      </w:r>
      <w:proofErr w:type="spellEnd"/>
      <w:r>
        <w:t>);</w:t>
      </w:r>
    </w:p>
    <w:p w:rsidR="00140683" w:rsidRDefault="00DA5155" w:rsidP="00140683">
      <w:r>
        <w:t>Some good materials around controls and the way the site must work in order to conduct such tests.  There are a few ideas it would have been nice to develop (safety traces, possibility of underground or closed environment working, remote location), some of which your choice of site precluded (which is fine).</w:t>
      </w:r>
    </w:p>
    <w:p w:rsidR="00DA5155" w:rsidRDefault="00DA5155" w:rsidP="00140683">
      <w:r>
        <w:t>Some strong attention to detail (weather, etc.)</w:t>
      </w:r>
    </w:p>
    <w:p w:rsidR="00140683" w:rsidRDefault="00DA5155" w:rsidP="00140683">
      <w:r>
        <w:t>17/25</w:t>
      </w:r>
    </w:p>
    <w:p w:rsidR="00140683" w:rsidRDefault="00140683" w:rsidP="00140683"/>
    <w:p w:rsidR="00140683" w:rsidRDefault="00140683" w:rsidP="00140683">
      <w:r>
        <w:t>(iii)</w:t>
      </w:r>
      <w:r>
        <w:tab/>
        <w:t>The problems of power supplies working with pulsed devices;</w:t>
      </w:r>
    </w:p>
    <w:p w:rsidR="00140683" w:rsidRDefault="00DA5155" w:rsidP="00140683">
      <w:r>
        <w:t>This needed a little more.  It does deal with how the supplies work, but not really on what problems these issues might bring for a user or a tester.</w:t>
      </w:r>
    </w:p>
    <w:p w:rsidR="00140683" w:rsidRDefault="00DA5155" w:rsidP="00140683">
      <w:r>
        <w:t>13/25</w:t>
      </w:r>
    </w:p>
    <w:p w:rsidR="00140683" w:rsidRDefault="00140683" w:rsidP="00140683"/>
    <w:p w:rsidR="00392D25" w:rsidRDefault="00140683" w:rsidP="00140683">
      <w:proofErr w:type="gramStart"/>
      <w:r>
        <w:t>(iv)</w:t>
      </w:r>
      <w:r>
        <w:tab/>
        <w:t>The</w:t>
      </w:r>
      <w:proofErr w:type="gramEnd"/>
      <w:r>
        <w:t xml:space="preserve"> health and safety implications of working with a class 4 laser, and appropriate recommendations for ensuring the safety of the test environment.</w:t>
      </w:r>
    </w:p>
    <w:p w:rsidR="00140683" w:rsidRDefault="00DA5155" w:rsidP="00140683">
      <w:r>
        <w:t>Strong throughout, permeates the report, and detailed.</w:t>
      </w:r>
    </w:p>
    <w:p w:rsidR="00DA5155" w:rsidRDefault="00DA5155" w:rsidP="00140683">
      <w:r>
        <w:t>22/25</w:t>
      </w:r>
    </w:p>
    <w:p w:rsidR="00140683" w:rsidRDefault="00140683" w:rsidP="00140683"/>
    <w:p w:rsidR="00140683" w:rsidRDefault="00DA5155" w:rsidP="00140683">
      <w:r>
        <w:t>Overall 67%</w:t>
      </w:r>
      <w:bookmarkStart w:id="0" w:name="_GoBack"/>
      <w:bookmarkEnd w:id="0"/>
    </w:p>
    <w:p w:rsidR="00140683" w:rsidRDefault="00140683" w:rsidP="00140683"/>
    <w:p w:rsidR="00140683" w:rsidRDefault="00140683" w:rsidP="00140683"/>
    <w:p w:rsidR="00140683" w:rsidRDefault="00140683">
      <w:r>
        <w:br w:type="page"/>
      </w:r>
    </w:p>
    <w:tbl>
      <w:tblPr>
        <w:tblW w:w="5000" w:type="pct"/>
        <w:tblLayout w:type="fixed"/>
        <w:tblLook w:val="04A0" w:firstRow="1" w:lastRow="0" w:firstColumn="1" w:lastColumn="0" w:noHBand="0" w:noVBand="1"/>
      </w:tblPr>
      <w:tblGrid>
        <w:gridCol w:w="7651"/>
        <w:gridCol w:w="566"/>
        <w:gridCol w:w="799"/>
      </w:tblGrid>
      <w:tr w:rsidR="00140683" w:rsidRPr="00140683" w:rsidTr="00140683">
        <w:trPr>
          <w:trHeight w:val="1002"/>
        </w:trPr>
        <w:tc>
          <w:tcPr>
            <w:tcW w:w="4242" w:type="pct"/>
            <w:tcBorders>
              <w:top w:val="single" w:sz="4" w:space="0" w:color="auto"/>
              <w:left w:val="single" w:sz="4" w:space="0" w:color="auto"/>
              <w:right w:val="single" w:sz="4" w:space="0" w:color="auto"/>
            </w:tcBorders>
            <w:shd w:val="clear" w:color="auto" w:fill="BFBFBF"/>
            <w:vAlign w:val="center"/>
          </w:tcPr>
          <w:p w:rsidR="00140683" w:rsidRPr="00140683" w:rsidRDefault="00140683" w:rsidP="00140683">
            <w:pPr>
              <w:spacing w:after="0" w:line="240" w:lineRule="auto"/>
              <w:rPr>
                <w:rFonts w:ascii="Calibri" w:eastAsia="Times New Roman" w:hAnsi="Calibri" w:cs="Times New Roman"/>
                <w:b/>
                <w:szCs w:val="20"/>
                <w:lang w:eastAsia="en-GB"/>
              </w:rPr>
            </w:pPr>
            <w:r w:rsidRPr="00140683">
              <w:rPr>
                <w:rFonts w:ascii="Calibri" w:eastAsia="Times New Roman" w:hAnsi="Calibri" w:cs="Times New Roman"/>
                <w:b/>
                <w:szCs w:val="16"/>
                <w:lang w:eastAsia="en-GB"/>
              </w:rPr>
              <w:lastRenderedPageBreak/>
              <w:t xml:space="preserve">Common Assessment Criteria </w:t>
            </w:r>
            <w:r w:rsidRPr="00140683">
              <w:rPr>
                <w:rFonts w:ascii="Calibri" w:eastAsia="Times New Roman" w:hAnsi="Calibri" w:cs="Times New Roman"/>
                <w:b/>
                <w:szCs w:val="20"/>
                <w:lang w:eastAsia="en-GB"/>
              </w:rPr>
              <w:t>Applied</w:t>
            </w:r>
          </w:p>
        </w:tc>
        <w:tc>
          <w:tcPr>
            <w:tcW w:w="314" w:type="pct"/>
            <w:tcBorders>
              <w:top w:val="single" w:sz="4" w:space="0" w:color="auto"/>
              <w:left w:val="single" w:sz="4" w:space="0" w:color="auto"/>
              <w:right w:val="single" w:sz="4" w:space="0" w:color="auto"/>
            </w:tcBorders>
            <w:shd w:val="clear" w:color="auto" w:fill="BFBFBF"/>
            <w:textDirection w:val="btLr"/>
          </w:tcPr>
          <w:p w:rsidR="00140683" w:rsidRPr="00140683" w:rsidRDefault="00140683" w:rsidP="00140683">
            <w:pPr>
              <w:spacing w:after="0" w:line="240" w:lineRule="auto"/>
              <w:ind w:left="34" w:right="113"/>
              <w:jc w:val="center"/>
              <w:rPr>
                <w:rFonts w:ascii="Calibri" w:eastAsia="Times New Roman" w:hAnsi="Calibri" w:cs="Times New Roman"/>
                <w:b/>
                <w:sz w:val="14"/>
                <w:szCs w:val="14"/>
                <w:lang w:eastAsia="en-GB"/>
              </w:rPr>
            </w:pPr>
            <w:r w:rsidRPr="00140683">
              <w:rPr>
                <w:rFonts w:ascii="Calibri" w:eastAsia="Times New Roman" w:hAnsi="Calibri" w:cs="Times New Roman"/>
                <w:b/>
                <w:sz w:val="14"/>
                <w:szCs w:val="14"/>
                <w:lang w:eastAsia="en-GB"/>
              </w:rPr>
              <w:t>Marks available</w:t>
            </w:r>
          </w:p>
        </w:tc>
        <w:tc>
          <w:tcPr>
            <w:tcW w:w="44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40683" w:rsidRPr="00140683" w:rsidRDefault="00140683" w:rsidP="00140683">
            <w:pPr>
              <w:spacing w:after="0" w:line="240" w:lineRule="auto"/>
              <w:ind w:left="113" w:right="113"/>
              <w:jc w:val="center"/>
              <w:rPr>
                <w:rFonts w:ascii="Calibri" w:eastAsia="Times New Roman" w:hAnsi="Calibri" w:cs="Times New Roman"/>
                <w:b/>
                <w:sz w:val="14"/>
                <w:szCs w:val="14"/>
                <w:lang w:eastAsia="en-GB"/>
              </w:rPr>
            </w:pPr>
            <w:r w:rsidRPr="00140683">
              <w:rPr>
                <w:rFonts w:ascii="Calibri" w:eastAsia="Times New Roman" w:hAnsi="Calibri" w:cs="Times New Roman"/>
                <w:b/>
                <w:sz w:val="14"/>
                <w:szCs w:val="14"/>
                <w:lang w:eastAsia="en-GB"/>
              </w:rPr>
              <w:t xml:space="preserve">Marks </w:t>
            </w:r>
          </w:p>
          <w:p w:rsidR="00140683" w:rsidRPr="00140683" w:rsidRDefault="00140683" w:rsidP="00140683">
            <w:pPr>
              <w:spacing w:after="0" w:line="240" w:lineRule="auto"/>
              <w:ind w:left="113" w:right="113"/>
              <w:jc w:val="center"/>
              <w:rPr>
                <w:rFonts w:ascii="Calibri" w:eastAsia="Times New Roman" w:hAnsi="Calibri" w:cs="Times New Roman"/>
                <w:b/>
                <w:sz w:val="14"/>
                <w:szCs w:val="14"/>
                <w:lang w:eastAsia="en-GB"/>
              </w:rPr>
            </w:pPr>
            <w:r w:rsidRPr="00140683">
              <w:rPr>
                <w:rFonts w:ascii="Calibri" w:eastAsia="Times New Roman" w:hAnsi="Calibri" w:cs="Times New Roman"/>
                <w:b/>
                <w:sz w:val="14"/>
                <w:szCs w:val="14"/>
                <w:lang w:eastAsia="en-GB"/>
              </w:rPr>
              <w:t>awarded</w:t>
            </w: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16"/>
                <w:szCs w:val="16"/>
                <w:lang w:eastAsia="en-GB"/>
              </w:rPr>
            </w:pPr>
            <w:r w:rsidRPr="00140683">
              <w:rPr>
                <w:rFonts w:ascii="Calibri" w:eastAsia="Times New Roman" w:hAnsi="Calibri" w:cs="Times New Roman"/>
                <w:b/>
                <w:sz w:val="20"/>
                <w:szCs w:val="16"/>
                <w:lang w:eastAsia="en-GB"/>
              </w:rPr>
              <w:t xml:space="preserve">1. </w:t>
            </w:r>
            <w:r w:rsidRPr="00140683">
              <w:rPr>
                <w:rFonts w:ascii="Calibri" w:eastAsia="Times New Roman" w:hAnsi="Calibri" w:cs="Times New Roman"/>
                <w:b/>
                <w:sz w:val="20"/>
                <w:szCs w:val="20"/>
                <w:lang w:eastAsia="en-GB"/>
              </w:rPr>
              <w:t>Research-informed Literature</w:t>
            </w:r>
            <w:r w:rsidRPr="00140683">
              <w:rPr>
                <w:rFonts w:ascii="Calibri" w:eastAsia="Times New Roman" w:hAnsi="Calibri" w:cs="Times New Roman"/>
                <w:b/>
                <w:sz w:val="16"/>
                <w:szCs w:val="16"/>
                <w:lang w:eastAsia="en-GB"/>
              </w:rPr>
              <w:t xml:space="preserve"> </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10</w:t>
            </w: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20"/>
                <w:szCs w:val="20"/>
                <w:lang w:eastAsia="en-GB"/>
              </w:rPr>
            </w:pPr>
            <w:r w:rsidRPr="00140683">
              <w:rPr>
                <w:rFonts w:ascii="Calibri" w:eastAsia="Times New Roman" w:hAnsi="Calibri" w:cs="Times New Roman"/>
                <w:b/>
                <w:sz w:val="20"/>
                <w:szCs w:val="16"/>
                <w:lang w:eastAsia="en-GB"/>
              </w:rPr>
              <w:t xml:space="preserve">2. </w:t>
            </w:r>
            <w:r w:rsidRPr="00140683">
              <w:rPr>
                <w:rFonts w:ascii="Calibri" w:eastAsia="Times New Roman" w:hAnsi="Calibri" w:cs="Times New Roman"/>
                <w:b/>
                <w:sz w:val="20"/>
                <w:szCs w:val="20"/>
                <w:lang w:eastAsia="en-GB"/>
              </w:rPr>
              <w:t>Knowledge and Understanding of Subject</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Extent of knowledge and understanding of concepts and underlying principles associated with the discipline.</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20</w:t>
            </w: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16"/>
                <w:szCs w:val="16"/>
                <w:lang w:eastAsia="en-GB"/>
              </w:rPr>
            </w:pPr>
            <w:r w:rsidRPr="00140683">
              <w:rPr>
                <w:rFonts w:ascii="Calibri" w:eastAsia="Times New Roman" w:hAnsi="Calibri" w:cs="Times New Roman"/>
                <w:b/>
                <w:sz w:val="20"/>
                <w:szCs w:val="16"/>
                <w:lang w:eastAsia="en-GB"/>
              </w:rPr>
              <w:t xml:space="preserve">3. </w:t>
            </w:r>
            <w:r w:rsidRPr="00140683">
              <w:rPr>
                <w:rFonts w:ascii="Calibri" w:eastAsia="Times New Roman" w:hAnsi="Calibri" w:cs="Times New Roman"/>
                <w:b/>
                <w:sz w:val="20"/>
                <w:szCs w:val="20"/>
                <w:lang w:eastAsia="en-GB"/>
              </w:rPr>
              <w:t>Analysis</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30</w:t>
            </w: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16"/>
                <w:szCs w:val="16"/>
                <w:lang w:eastAsia="en-GB"/>
              </w:rPr>
            </w:pPr>
            <w:r w:rsidRPr="00140683">
              <w:rPr>
                <w:rFonts w:ascii="Calibri" w:eastAsia="Times New Roman" w:hAnsi="Calibri" w:cs="Times New Roman"/>
                <w:b/>
                <w:sz w:val="20"/>
                <w:szCs w:val="16"/>
                <w:lang w:eastAsia="en-GB"/>
              </w:rPr>
              <w:t xml:space="preserve">4. </w:t>
            </w:r>
            <w:r w:rsidRPr="00140683">
              <w:rPr>
                <w:rFonts w:ascii="Calibri" w:eastAsia="Times New Roman" w:hAnsi="Calibri" w:cs="Times New Roman"/>
                <w:b/>
                <w:sz w:val="20"/>
                <w:szCs w:val="20"/>
                <w:lang w:eastAsia="en-GB"/>
              </w:rPr>
              <w:t>Practical Application and Deployment</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20</w:t>
            </w: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rPr>
                <w:rFonts w:ascii="Calibri" w:eastAsia="Times New Roman" w:hAnsi="Calibri" w:cs="Times New Roman"/>
                <w:b/>
                <w:sz w:val="16"/>
                <w:szCs w:val="16"/>
                <w:lang w:eastAsia="en-GB"/>
              </w:rPr>
            </w:pPr>
            <w:r w:rsidRPr="00140683">
              <w:rPr>
                <w:rFonts w:ascii="Calibri" w:eastAsia="Times New Roman" w:hAnsi="Calibri" w:cs="Times New Roman"/>
                <w:b/>
                <w:sz w:val="20"/>
                <w:szCs w:val="16"/>
                <w:lang w:eastAsia="en-GB"/>
              </w:rPr>
              <w:t xml:space="preserve">5. </w:t>
            </w:r>
            <w:r w:rsidRPr="00140683">
              <w:rPr>
                <w:rFonts w:ascii="Calibri" w:eastAsia="Times New Roman" w:hAnsi="Calibri" w:cs="Times New Roman"/>
                <w:b/>
                <w:sz w:val="20"/>
                <w:szCs w:val="20"/>
                <w:lang w:eastAsia="en-GB"/>
              </w:rPr>
              <w:t>Skills for Professional Practice</w:t>
            </w:r>
            <w:r w:rsidRPr="00140683">
              <w:rPr>
                <w:rFonts w:ascii="Calibri" w:eastAsia="Times New Roman" w:hAnsi="Calibri" w:cs="Times New Roman"/>
                <w:b/>
                <w:sz w:val="16"/>
                <w:szCs w:val="16"/>
                <w:lang w:eastAsia="en-GB"/>
              </w:rPr>
              <w:t xml:space="preserve"> </w:t>
            </w:r>
          </w:p>
          <w:p w:rsidR="00140683" w:rsidRPr="00140683" w:rsidRDefault="00140683" w:rsidP="00140683">
            <w:pPr>
              <w:spacing w:after="120" w:line="240" w:lineRule="auto"/>
              <w:rPr>
                <w:rFonts w:ascii="Calibri" w:eastAsia="Times New Roman" w:hAnsi="Calibri" w:cs="Times New Roman"/>
                <w:sz w:val="14"/>
                <w:szCs w:val="14"/>
                <w:lang w:eastAsia="en-GB"/>
              </w:rPr>
            </w:pPr>
            <w:r w:rsidRPr="0014068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314" w:type="pct"/>
            <w:tcBorders>
              <w:top w:val="single" w:sz="4" w:space="0" w:color="auto"/>
              <w:left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tcBorders>
              <w:top w:val="single" w:sz="4" w:space="0" w:color="auto"/>
              <w:left w:val="single" w:sz="4" w:space="0" w:color="auto"/>
              <w:bottom w:val="single" w:sz="4" w:space="0" w:color="auto"/>
              <w:right w:val="single" w:sz="4" w:space="0" w:color="auto"/>
            </w:tcBorders>
            <w:shd w:val="clear" w:color="auto" w:fill="D9D9D9"/>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1"/>
        </w:trPr>
        <w:tc>
          <w:tcPr>
            <w:tcW w:w="4242" w:type="pct"/>
            <w:vMerge w:val="restart"/>
            <w:tcBorders>
              <w:top w:val="single" w:sz="4" w:space="0" w:color="auto"/>
              <w:left w:val="single" w:sz="4" w:space="0" w:color="auto"/>
              <w:right w:val="single" w:sz="4" w:space="0" w:color="auto"/>
            </w:tcBorders>
          </w:tcPr>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p w:rsidR="00140683" w:rsidRPr="00140683" w:rsidRDefault="00140683" w:rsidP="00140683">
            <w:pPr>
              <w:spacing w:after="120" w:line="240" w:lineRule="auto"/>
              <w:rPr>
                <w:rFonts w:ascii="Calibri" w:eastAsia="Times New Roman" w:hAnsi="Calibri" w:cs="Times New Roman"/>
                <w:sz w:val="14"/>
                <w:szCs w:val="14"/>
                <w:lang w:eastAsia="en-GB"/>
              </w:rPr>
            </w:pPr>
          </w:p>
        </w:tc>
        <w:tc>
          <w:tcPr>
            <w:tcW w:w="314" w:type="pct"/>
            <w:tcBorders>
              <w:top w:val="single" w:sz="4" w:space="0" w:color="auto"/>
              <w:left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r w:rsidRPr="00140683">
              <w:rPr>
                <w:rFonts w:ascii="Calibri" w:eastAsia="Times New Roman" w:hAnsi="Calibri" w:cs="Times New Roman"/>
                <w:sz w:val="32"/>
                <w:szCs w:val="20"/>
                <w:lang w:eastAsia="en-GB"/>
              </w:rPr>
              <w:t>10</w:t>
            </w:r>
          </w:p>
        </w:tc>
        <w:tc>
          <w:tcPr>
            <w:tcW w:w="443" w:type="pct"/>
            <w:vMerge w:val="restart"/>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r w:rsidR="00140683" w:rsidRPr="00140683" w:rsidTr="00140683">
        <w:trPr>
          <w:trHeight w:val="450"/>
        </w:trPr>
        <w:tc>
          <w:tcPr>
            <w:tcW w:w="4242" w:type="pct"/>
            <w:vMerge/>
            <w:tcBorders>
              <w:left w:val="single" w:sz="4" w:space="0" w:color="auto"/>
              <w:bottom w:val="single" w:sz="4" w:space="0" w:color="auto"/>
              <w:right w:val="single" w:sz="4" w:space="0" w:color="auto"/>
            </w:tcBorders>
          </w:tcPr>
          <w:p w:rsidR="00140683" w:rsidRPr="00140683" w:rsidRDefault="00140683" w:rsidP="00140683">
            <w:pPr>
              <w:spacing w:after="0" w:line="240" w:lineRule="auto"/>
              <w:rPr>
                <w:rFonts w:ascii="Calibri" w:eastAsia="Times New Roman" w:hAnsi="Calibri" w:cs="Times New Roman"/>
                <w:b/>
                <w:sz w:val="16"/>
                <w:szCs w:val="16"/>
                <w:lang w:eastAsia="en-GB"/>
              </w:rPr>
            </w:pPr>
          </w:p>
        </w:tc>
        <w:tc>
          <w:tcPr>
            <w:tcW w:w="314" w:type="pct"/>
            <w:tcBorders>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c>
          <w:tcPr>
            <w:tcW w:w="443" w:type="pct"/>
            <w:vMerge/>
            <w:tcBorders>
              <w:top w:val="single" w:sz="4" w:space="0" w:color="auto"/>
              <w:left w:val="single" w:sz="4" w:space="0" w:color="auto"/>
              <w:bottom w:val="single" w:sz="4" w:space="0" w:color="auto"/>
              <w:right w:val="single" w:sz="4" w:space="0" w:color="auto"/>
            </w:tcBorders>
          </w:tcPr>
          <w:p w:rsidR="00140683" w:rsidRPr="00140683" w:rsidRDefault="00140683" w:rsidP="00140683">
            <w:pPr>
              <w:spacing w:after="0" w:line="240" w:lineRule="auto"/>
              <w:jc w:val="center"/>
              <w:rPr>
                <w:rFonts w:ascii="Calibri" w:eastAsia="Times New Roman" w:hAnsi="Calibri" w:cs="Times New Roman"/>
                <w:sz w:val="32"/>
                <w:szCs w:val="20"/>
                <w:lang w:eastAsia="en-GB"/>
              </w:rPr>
            </w:pPr>
          </w:p>
        </w:tc>
      </w:tr>
    </w:tbl>
    <w:p w:rsidR="00140683" w:rsidRPr="00140683" w:rsidRDefault="00140683" w:rsidP="00140683">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40683" w:rsidRPr="00140683" w:rsidTr="00424806">
        <w:trPr>
          <w:cantSplit/>
        </w:trPr>
        <w:tc>
          <w:tcPr>
            <w:tcW w:w="6062" w:type="dxa"/>
            <w:vMerge w:val="restart"/>
            <w:shd w:val="pct15" w:color="auto" w:fill="auto"/>
            <w:vAlign w:val="center"/>
          </w:tcPr>
          <w:p w:rsidR="00140683" w:rsidRPr="00140683" w:rsidRDefault="00140683" w:rsidP="00140683">
            <w:pPr>
              <w:spacing w:after="0" w:line="240" w:lineRule="auto"/>
              <w:rPr>
                <w:rFonts w:ascii="Calibri" w:eastAsia="Times New Roman" w:hAnsi="Calibri" w:cs="Times New Roman"/>
                <w:sz w:val="16"/>
                <w:szCs w:val="16"/>
                <w:lang w:eastAsia="en-GB"/>
              </w:rPr>
            </w:pPr>
            <w:r w:rsidRPr="00140683">
              <w:rPr>
                <w:rFonts w:ascii="Calibri" w:eastAsia="Times New Roman" w:hAnsi="Calibri" w:cs="Arial"/>
                <w:b/>
                <w:bCs/>
                <w:lang w:eastAsia="en-GB"/>
              </w:rPr>
              <w:t xml:space="preserve">Assignment Mark </w:t>
            </w:r>
            <w:r w:rsidRPr="00140683">
              <w:rPr>
                <w:rFonts w:ascii="Calibri" w:eastAsia="Times New Roman" w:hAnsi="Calibri" w:cs="Arial"/>
                <w:bCs/>
                <w:lang w:eastAsia="en-GB"/>
              </w:rPr>
              <w:t>(</w:t>
            </w:r>
            <w:r w:rsidRPr="0014068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140683" w:rsidRPr="00140683" w:rsidRDefault="00140683" w:rsidP="00140683">
            <w:pPr>
              <w:spacing w:after="0" w:line="240" w:lineRule="auto"/>
              <w:rPr>
                <w:rFonts w:ascii="Calibri" w:eastAsia="Times New Roman" w:hAnsi="Calibri" w:cs="Arial"/>
                <w:b/>
                <w:bCs/>
                <w:sz w:val="16"/>
                <w:szCs w:val="16"/>
                <w:lang w:eastAsia="en-GB"/>
              </w:rPr>
            </w:pPr>
            <w:r w:rsidRPr="00140683">
              <w:rPr>
                <w:rFonts w:ascii="Calibri" w:eastAsia="Times New Roman" w:hAnsi="Calibri" w:cs="Arial"/>
                <w:b/>
                <w:sz w:val="16"/>
                <w:szCs w:val="16"/>
                <w:lang w:eastAsia="en-GB"/>
              </w:rPr>
              <w:t>Late Submission Penalties (tick if appropriate)</w:t>
            </w:r>
          </w:p>
        </w:tc>
        <w:tc>
          <w:tcPr>
            <w:tcW w:w="1276" w:type="dxa"/>
            <w:vMerge w:val="restart"/>
            <w:vAlign w:val="center"/>
          </w:tcPr>
          <w:p w:rsidR="00140683" w:rsidRPr="00140683" w:rsidRDefault="00140683" w:rsidP="00140683">
            <w:pPr>
              <w:spacing w:after="0" w:line="240" w:lineRule="auto"/>
              <w:jc w:val="right"/>
              <w:rPr>
                <w:rFonts w:ascii="Calibri" w:eastAsia="Times New Roman" w:hAnsi="Calibri" w:cs="Arial"/>
                <w:b/>
                <w:bCs/>
                <w:sz w:val="20"/>
                <w:szCs w:val="20"/>
                <w:lang w:eastAsia="en-GB"/>
              </w:rPr>
            </w:pPr>
            <w:r w:rsidRPr="00140683">
              <w:rPr>
                <w:rFonts w:ascii="Calibri" w:eastAsia="Times New Roman" w:hAnsi="Calibri" w:cs="Arial"/>
                <w:b/>
                <w:bCs/>
                <w:sz w:val="20"/>
                <w:szCs w:val="20"/>
                <w:lang w:eastAsia="en-GB"/>
              </w:rPr>
              <w:t>%</w:t>
            </w:r>
          </w:p>
        </w:tc>
      </w:tr>
      <w:tr w:rsidR="00140683" w:rsidRPr="00140683" w:rsidTr="00424806">
        <w:trPr>
          <w:cantSplit/>
        </w:trPr>
        <w:tc>
          <w:tcPr>
            <w:tcW w:w="6062" w:type="dxa"/>
            <w:vMerge/>
            <w:vAlign w:val="bottom"/>
          </w:tcPr>
          <w:p w:rsidR="00140683" w:rsidRPr="00140683" w:rsidRDefault="00140683" w:rsidP="00140683">
            <w:pPr>
              <w:spacing w:after="0" w:line="240" w:lineRule="auto"/>
              <w:rPr>
                <w:rFonts w:ascii="Calibri" w:eastAsia="Times New Roman" w:hAnsi="Calibri" w:cs="Arial"/>
                <w:sz w:val="20"/>
                <w:szCs w:val="20"/>
                <w:lang w:eastAsia="en-GB"/>
              </w:rPr>
            </w:pPr>
          </w:p>
        </w:tc>
        <w:tc>
          <w:tcPr>
            <w:tcW w:w="2903" w:type="dxa"/>
            <w:vAlign w:val="bottom"/>
          </w:tcPr>
          <w:p w:rsidR="00140683" w:rsidRPr="00140683" w:rsidRDefault="00140683" w:rsidP="00140683">
            <w:pPr>
              <w:spacing w:after="0" w:line="240" w:lineRule="auto"/>
              <w:rPr>
                <w:rFonts w:ascii="Calibri" w:eastAsia="Times New Roman" w:hAnsi="Calibri" w:cs="Arial"/>
                <w:b/>
                <w:bCs/>
                <w:sz w:val="16"/>
                <w:szCs w:val="16"/>
                <w:lang w:eastAsia="en-GB"/>
              </w:rPr>
            </w:pPr>
            <w:r w:rsidRPr="00140683">
              <w:rPr>
                <w:rFonts w:ascii="Calibri" w:eastAsia="Times New Roman" w:hAnsi="Calibri" w:cs="Arial"/>
                <w:sz w:val="16"/>
                <w:szCs w:val="16"/>
                <w:lang w:eastAsia="en-GB"/>
              </w:rPr>
              <w:t>Up to one week late</w:t>
            </w:r>
          </w:p>
        </w:tc>
        <w:tc>
          <w:tcPr>
            <w:tcW w:w="425" w:type="dxa"/>
            <w:vAlign w:val="bottom"/>
          </w:tcPr>
          <w:p w:rsidR="00140683" w:rsidRPr="00140683" w:rsidRDefault="00140683" w:rsidP="00140683">
            <w:pPr>
              <w:spacing w:after="0" w:line="240" w:lineRule="auto"/>
              <w:jc w:val="center"/>
              <w:rPr>
                <w:rFonts w:ascii="Calibri" w:eastAsia="Times New Roman" w:hAnsi="Calibri" w:cs="Arial"/>
                <w:sz w:val="12"/>
                <w:szCs w:val="12"/>
                <w:lang w:eastAsia="en-GB"/>
              </w:rPr>
            </w:pPr>
          </w:p>
        </w:tc>
        <w:tc>
          <w:tcPr>
            <w:tcW w:w="1276" w:type="dxa"/>
            <w:vMerge/>
            <w:vAlign w:val="bottom"/>
          </w:tcPr>
          <w:p w:rsidR="00140683" w:rsidRPr="00140683" w:rsidRDefault="00140683" w:rsidP="00140683">
            <w:pPr>
              <w:spacing w:after="0" w:line="240" w:lineRule="auto"/>
              <w:ind w:leftChars="71" w:left="156"/>
              <w:rPr>
                <w:rFonts w:ascii="Calibri" w:eastAsia="Times New Roman" w:hAnsi="Calibri" w:cs="Arial"/>
                <w:sz w:val="20"/>
                <w:szCs w:val="20"/>
                <w:lang w:eastAsia="en-GB"/>
              </w:rPr>
            </w:pPr>
          </w:p>
        </w:tc>
      </w:tr>
      <w:tr w:rsidR="00140683" w:rsidRPr="00140683" w:rsidTr="00424806">
        <w:trPr>
          <w:cantSplit/>
        </w:trPr>
        <w:tc>
          <w:tcPr>
            <w:tcW w:w="6062" w:type="dxa"/>
            <w:vMerge/>
            <w:vAlign w:val="bottom"/>
          </w:tcPr>
          <w:p w:rsidR="00140683" w:rsidRPr="00140683" w:rsidRDefault="00140683" w:rsidP="00140683">
            <w:pPr>
              <w:spacing w:after="0" w:line="240" w:lineRule="auto"/>
              <w:rPr>
                <w:rFonts w:ascii="Calibri" w:eastAsia="Times New Roman" w:hAnsi="Calibri" w:cs="Arial"/>
                <w:sz w:val="20"/>
                <w:szCs w:val="20"/>
                <w:lang w:eastAsia="en-GB"/>
              </w:rPr>
            </w:pPr>
          </w:p>
        </w:tc>
        <w:tc>
          <w:tcPr>
            <w:tcW w:w="2903" w:type="dxa"/>
            <w:vAlign w:val="bottom"/>
          </w:tcPr>
          <w:p w:rsidR="00140683" w:rsidRPr="00140683" w:rsidRDefault="00140683" w:rsidP="00140683">
            <w:pPr>
              <w:spacing w:after="0" w:line="240" w:lineRule="auto"/>
              <w:rPr>
                <w:rFonts w:ascii="Calibri" w:eastAsia="Times New Roman" w:hAnsi="Calibri" w:cs="Arial"/>
                <w:b/>
                <w:bCs/>
                <w:sz w:val="16"/>
                <w:szCs w:val="16"/>
                <w:lang w:eastAsia="en-GB"/>
              </w:rPr>
            </w:pPr>
            <w:r w:rsidRPr="00140683">
              <w:rPr>
                <w:rFonts w:ascii="Calibri" w:eastAsia="Times New Roman" w:hAnsi="Calibri" w:cs="Arial"/>
                <w:sz w:val="16"/>
                <w:szCs w:val="16"/>
                <w:lang w:eastAsia="en-GB"/>
              </w:rPr>
              <w:t>1</w:t>
            </w:r>
            <w:r w:rsidRPr="00140683">
              <w:rPr>
                <w:rFonts w:ascii="Calibri" w:eastAsia="Times New Roman" w:hAnsi="Calibri" w:cs="Arial"/>
                <w:sz w:val="16"/>
                <w:szCs w:val="16"/>
                <w:vertAlign w:val="superscript"/>
                <w:lang w:eastAsia="en-GB"/>
              </w:rPr>
              <w:t>st</w:t>
            </w:r>
            <w:r w:rsidRPr="00140683">
              <w:rPr>
                <w:rFonts w:ascii="Calibri" w:eastAsia="Times New Roman" w:hAnsi="Calibri" w:cs="Arial"/>
                <w:sz w:val="16"/>
                <w:szCs w:val="16"/>
                <w:lang w:eastAsia="en-GB"/>
              </w:rPr>
              <w:t>/2</w:t>
            </w:r>
            <w:r w:rsidRPr="00140683">
              <w:rPr>
                <w:rFonts w:ascii="Calibri" w:eastAsia="Times New Roman" w:hAnsi="Calibri" w:cs="Arial"/>
                <w:sz w:val="16"/>
                <w:szCs w:val="16"/>
                <w:vertAlign w:val="superscript"/>
                <w:lang w:eastAsia="en-GB"/>
              </w:rPr>
              <w:t>nd</w:t>
            </w:r>
            <w:r w:rsidRPr="00140683">
              <w:rPr>
                <w:rFonts w:ascii="Calibri" w:eastAsia="Times New Roman" w:hAnsi="Calibri" w:cs="Arial"/>
                <w:sz w:val="16"/>
                <w:szCs w:val="16"/>
                <w:lang w:eastAsia="en-GB"/>
              </w:rPr>
              <w:t>/3</w:t>
            </w:r>
            <w:r w:rsidRPr="00140683">
              <w:rPr>
                <w:rFonts w:ascii="Calibri" w:eastAsia="Times New Roman" w:hAnsi="Calibri" w:cs="Arial"/>
                <w:sz w:val="16"/>
                <w:szCs w:val="16"/>
                <w:vertAlign w:val="superscript"/>
                <w:lang w:eastAsia="en-GB"/>
              </w:rPr>
              <w:t>rd</w:t>
            </w:r>
            <w:r w:rsidRPr="00140683">
              <w:rPr>
                <w:rFonts w:ascii="Calibri" w:eastAsia="Times New Roman" w:hAnsi="Calibri" w:cs="Arial"/>
                <w:sz w:val="16"/>
                <w:szCs w:val="16"/>
                <w:lang w:eastAsia="en-GB"/>
              </w:rPr>
              <w:t xml:space="preserve"> attempt?</w:t>
            </w:r>
          </w:p>
        </w:tc>
        <w:tc>
          <w:tcPr>
            <w:tcW w:w="425" w:type="dxa"/>
            <w:vAlign w:val="bottom"/>
          </w:tcPr>
          <w:p w:rsidR="00140683" w:rsidRPr="00140683" w:rsidRDefault="00140683" w:rsidP="00140683">
            <w:pPr>
              <w:spacing w:after="0" w:line="240" w:lineRule="auto"/>
              <w:jc w:val="center"/>
              <w:rPr>
                <w:rFonts w:ascii="Calibri" w:eastAsia="Times New Roman" w:hAnsi="Calibri" w:cs="Arial"/>
                <w:sz w:val="12"/>
                <w:szCs w:val="12"/>
                <w:lang w:eastAsia="en-GB"/>
              </w:rPr>
            </w:pPr>
            <w:r w:rsidRPr="00140683">
              <w:rPr>
                <w:rFonts w:ascii="Calibri" w:eastAsia="Times New Roman" w:hAnsi="Calibri" w:cs="Arial"/>
                <w:sz w:val="16"/>
                <w:szCs w:val="12"/>
                <w:lang w:eastAsia="en-GB"/>
              </w:rPr>
              <w:t>1st</w:t>
            </w:r>
          </w:p>
        </w:tc>
        <w:tc>
          <w:tcPr>
            <w:tcW w:w="1276" w:type="dxa"/>
            <w:vMerge/>
            <w:vAlign w:val="bottom"/>
          </w:tcPr>
          <w:p w:rsidR="00140683" w:rsidRPr="00140683" w:rsidRDefault="00140683" w:rsidP="00140683">
            <w:pPr>
              <w:spacing w:after="0" w:line="240" w:lineRule="auto"/>
              <w:ind w:firstLineChars="141" w:firstLine="282"/>
              <w:rPr>
                <w:rFonts w:ascii="Calibri" w:eastAsia="Times New Roman" w:hAnsi="Calibri" w:cs="Arial"/>
                <w:sz w:val="20"/>
                <w:szCs w:val="20"/>
                <w:lang w:eastAsia="en-GB"/>
              </w:rPr>
            </w:pPr>
          </w:p>
        </w:tc>
      </w:tr>
    </w:tbl>
    <w:p w:rsidR="00140683" w:rsidRPr="00140683" w:rsidRDefault="00140683" w:rsidP="00140683">
      <w:pPr>
        <w:spacing w:after="0" w:line="240" w:lineRule="auto"/>
        <w:rPr>
          <w:rFonts w:ascii="Times New Roman" w:eastAsia="Times New Roman" w:hAnsi="Times New Roman" w:cs="Times New Roman"/>
          <w:sz w:val="20"/>
          <w:szCs w:val="20"/>
          <w:lang w:eastAsia="en-GB"/>
        </w:rPr>
      </w:pPr>
    </w:p>
    <w:p w:rsidR="00140683" w:rsidRDefault="00140683" w:rsidP="00140683"/>
    <w:sectPr w:rsidR="00140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0683"/>
    <w:rsid w:val="00140683"/>
    <w:rsid w:val="00457C0F"/>
    <w:rsid w:val="00DA5155"/>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8EFAAC-1DE7-45B6-B580-B3B4245B0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404</Words>
  <Characters>2304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2017-07-18T11:29:00Z</dcterms:created>
  <dcterms:modified xsi:type="dcterms:W3CDTF">2017-07-18T11:29:00Z</dcterms:modified>
</cp:coreProperties>
</file>