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C0829" w14:textId="2B21D292" w:rsidR="009B2130" w:rsidRPr="005C2292" w:rsidRDefault="009B2130">
      <w:pPr>
        <w:rPr>
          <w:rFonts w:ascii="Arial" w:hAnsi="Arial" w:cs="Arial"/>
          <w:sz w:val="22"/>
          <w:szCs w:val="22"/>
        </w:rPr>
      </w:pPr>
    </w:p>
    <w:p w14:paraId="734FE546" w14:textId="55B8B7F6" w:rsidR="00555FE9" w:rsidRPr="000A26E7" w:rsidRDefault="00555FE9" w:rsidP="00555FE9">
      <w:pPr>
        <w:pStyle w:val="NormalWeb"/>
        <w:spacing w:line="360" w:lineRule="auto"/>
        <w:jc w:val="center"/>
        <w:rPr>
          <w:rFonts w:ascii="Arial" w:eastAsiaTheme="minorEastAsia" w:hAnsi="Arial" w:cs="Arial"/>
          <w:sz w:val="22"/>
          <w:szCs w:val="22"/>
        </w:rPr>
      </w:pPr>
      <w:r w:rsidRPr="000A26E7">
        <w:rPr>
          <w:rFonts w:ascii="Arial" w:eastAsiaTheme="minorEastAsia" w:hAnsi="Arial" w:cs="Arial"/>
          <w:sz w:val="22"/>
          <w:szCs w:val="22"/>
        </w:rPr>
        <w:t xml:space="preserve">Name: Chloe </w:t>
      </w:r>
      <w:r w:rsidRPr="000A26E7">
        <w:rPr>
          <w:rFonts w:ascii="Arial" w:eastAsiaTheme="minorEastAsia" w:hAnsi="Arial" w:cs="Arial"/>
          <w:sz w:val="22"/>
          <w:szCs w:val="22"/>
        </w:rPr>
        <w:t>An</w:t>
      </w:r>
      <w:r w:rsidRPr="000A26E7">
        <w:rPr>
          <w:rFonts w:ascii="Arial" w:eastAsiaTheme="minorEastAsia" w:hAnsi="Arial" w:cs="Arial"/>
          <w:sz w:val="22"/>
          <w:szCs w:val="22"/>
        </w:rPr>
        <w:t>nie Thomas</w:t>
      </w:r>
    </w:p>
    <w:p w14:paraId="5B1BAA5C" w14:textId="389E9DAC" w:rsidR="00555FE9" w:rsidRPr="000A26E7" w:rsidRDefault="00555FE9" w:rsidP="00555FE9">
      <w:pPr>
        <w:pStyle w:val="NormalWeb"/>
        <w:spacing w:line="360" w:lineRule="auto"/>
        <w:jc w:val="center"/>
        <w:rPr>
          <w:rFonts w:ascii="Arial" w:eastAsiaTheme="minorEastAsia" w:hAnsi="Arial" w:cs="Arial"/>
          <w:sz w:val="22"/>
          <w:szCs w:val="22"/>
        </w:rPr>
      </w:pPr>
      <w:r w:rsidRPr="000A26E7">
        <w:rPr>
          <w:rFonts w:ascii="Arial" w:eastAsiaTheme="minorEastAsia" w:hAnsi="Arial" w:cs="Arial"/>
          <w:sz w:val="22"/>
          <w:szCs w:val="22"/>
        </w:rPr>
        <w:t>Student Number: 1900854</w:t>
      </w:r>
    </w:p>
    <w:p w14:paraId="3813A641" w14:textId="5055DC4A" w:rsidR="000A26E7" w:rsidRPr="000A26E7" w:rsidRDefault="000A26E7" w:rsidP="000A26E7">
      <w:pPr>
        <w:jc w:val="center"/>
        <w:rPr>
          <w:rFonts w:ascii="Arial" w:hAnsi="Arial" w:cs="Arial"/>
          <w:b/>
          <w:bCs/>
          <w:sz w:val="28"/>
          <w:szCs w:val="28"/>
        </w:rPr>
      </w:pPr>
      <w:r>
        <w:rPr>
          <w:rFonts w:ascii="Arial" w:hAnsi="Arial" w:cs="Arial"/>
          <w:b/>
          <w:bCs/>
          <w:sz w:val="28"/>
          <w:szCs w:val="28"/>
        </w:rPr>
        <w:t xml:space="preserve">ECAD6010: </w:t>
      </w:r>
      <w:r w:rsidRPr="000A26E7">
        <w:rPr>
          <w:rFonts w:ascii="Arial" w:hAnsi="Arial" w:cs="Arial"/>
          <w:b/>
          <w:bCs/>
          <w:sz w:val="28"/>
          <w:szCs w:val="28"/>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w:t>
      </w:r>
    </w:p>
    <w:tbl>
      <w:tblPr>
        <w:tblStyle w:val="TableGrid"/>
        <w:tblpPr w:leftFromText="180" w:rightFromText="180" w:vertAnchor="text" w:horzAnchor="margin" w:tblpY="331"/>
        <w:tblW w:w="0" w:type="auto"/>
        <w:tblLook w:val="04A0" w:firstRow="1" w:lastRow="0" w:firstColumn="1" w:lastColumn="0" w:noHBand="0" w:noVBand="1"/>
      </w:tblPr>
      <w:tblGrid>
        <w:gridCol w:w="1838"/>
        <w:gridCol w:w="3589"/>
        <w:gridCol w:w="3589"/>
      </w:tblGrid>
      <w:tr w:rsidR="00555FE9" w14:paraId="0AC27314" w14:textId="77777777" w:rsidTr="00242132">
        <w:tc>
          <w:tcPr>
            <w:tcW w:w="1838" w:type="dxa"/>
          </w:tcPr>
          <w:p w14:paraId="4F63760B" w14:textId="77777777" w:rsidR="00555FE9" w:rsidRPr="00105D46" w:rsidRDefault="00555FE9" w:rsidP="00242132">
            <w:pPr>
              <w:pStyle w:val="AssignBody"/>
              <w:rPr>
                <w:b/>
                <w:bCs/>
                <w:sz w:val="20"/>
                <w:szCs w:val="20"/>
              </w:rPr>
            </w:pPr>
            <w:r w:rsidRPr="00105D46">
              <w:rPr>
                <w:b/>
                <w:bCs/>
                <w:sz w:val="20"/>
                <w:szCs w:val="20"/>
              </w:rPr>
              <w:t>Targedau / Targets</w:t>
            </w:r>
          </w:p>
        </w:tc>
        <w:tc>
          <w:tcPr>
            <w:tcW w:w="3589" w:type="dxa"/>
          </w:tcPr>
          <w:p w14:paraId="35B4700B" w14:textId="77777777" w:rsidR="00555FE9" w:rsidRPr="00105D46" w:rsidRDefault="00555FE9" w:rsidP="00242132">
            <w:pPr>
              <w:pStyle w:val="AssignBody"/>
              <w:rPr>
                <w:b/>
                <w:bCs/>
                <w:sz w:val="20"/>
                <w:szCs w:val="20"/>
              </w:rPr>
            </w:pPr>
            <w:r w:rsidRPr="00105D46">
              <w:rPr>
                <w:b/>
                <w:bCs/>
                <w:sz w:val="20"/>
                <w:szCs w:val="20"/>
              </w:rPr>
              <w:t>Sut rydych wedi gweithio ar hwn /</w:t>
            </w:r>
          </w:p>
          <w:p w14:paraId="663B2CFC" w14:textId="77777777" w:rsidR="00555FE9" w:rsidRPr="00105D46" w:rsidRDefault="00555FE9" w:rsidP="00242132">
            <w:pPr>
              <w:pStyle w:val="AssignBody"/>
              <w:rPr>
                <w:b/>
                <w:bCs/>
                <w:sz w:val="20"/>
                <w:szCs w:val="20"/>
              </w:rPr>
            </w:pPr>
            <w:r w:rsidRPr="00105D46">
              <w:rPr>
                <w:b/>
                <w:bCs/>
                <w:sz w:val="20"/>
                <w:szCs w:val="20"/>
              </w:rPr>
              <w:t>How you have worked on this</w:t>
            </w:r>
          </w:p>
        </w:tc>
        <w:tc>
          <w:tcPr>
            <w:tcW w:w="3589" w:type="dxa"/>
          </w:tcPr>
          <w:p w14:paraId="0739BB55" w14:textId="77777777" w:rsidR="00555FE9" w:rsidRPr="00105D46" w:rsidRDefault="00555FE9" w:rsidP="00242132">
            <w:pPr>
              <w:pStyle w:val="AssignBody"/>
              <w:rPr>
                <w:b/>
                <w:bCs/>
                <w:sz w:val="20"/>
                <w:szCs w:val="20"/>
              </w:rPr>
            </w:pPr>
            <w:r w:rsidRPr="00105D46">
              <w:rPr>
                <w:b/>
                <w:bCs/>
                <w:sz w:val="20"/>
                <w:szCs w:val="20"/>
              </w:rPr>
              <w:t>Ceir enghraifft ar /</w:t>
            </w:r>
          </w:p>
          <w:p w14:paraId="4CD4620D" w14:textId="77777777" w:rsidR="00555FE9" w:rsidRPr="00105D46" w:rsidRDefault="00555FE9" w:rsidP="00242132">
            <w:pPr>
              <w:pStyle w:val="AssignBody"/>
              <w:rPr>
                <w:b/>
                <w:bCs/>
                <w:sz w:val="20"/>
                <w:szCs w:val="20"/>
              </w:rPr>
            </w:pPr>
            <w:r w:rsidRPr="00105D46">
              <w:rPr>
                <w:b/>
                <w:bCs/>
                <w:sz w:val="20"/>
                <w:szCs w:val="20"/>
              </w:rPr>
              <w:t>An example can be found on</w:t>
            </w:r>
          </w:p>
        </w:tc>
      </w:tr>
      <w:tr w:rsidR="00555FE9" w14:paraId="173C4DB2" w14:textId="77777777" w:rsidTr="00242132">
        <w:tc>
          <w:tcPr>
            <w:tcW w:w="1838" w:type="dxa"/>
          </w:tcPr>
          <w:p w14:paraId="138E77AE" w14:textId="5E54C019" w:rsidR="00555FE9" w:rsidRPr="00744905" w:rsidRDefault="004D248D" w:rsidP="00576FA6">
            <w:pPr>
              <w:rPr>
                <w:rFonts w:ascii="Arial" w:hAnsi="Arial" w:cs="Arial"/>
                <w:sz w:val="22"/>
                <w:szCs w:val="22"/>
              </w:rPr>
            </w:pPr>
            <w:r w:rsidRPr="00744905">
              <w:rPr>
                <w:rFonts w:ascii="Arial" w:hAnsi="Arial" w:cs="Arial"/>
                <w:sz w:val="22"/>
                <w:szCs w:val="22"/>
              </w:rPr>
              <w:t>Refer to page 6 of  Harvard referencing guide w</w:t>
            </w:r>
            <w:r w:rsidR="00744905" w:rsidRPr="00744905">
              <w:rPr>
                <w:rFonts w:ascii="Arial" w:hAnsi="Arial" w:cs="Arial"/>
                <w:sz w:val="22"/>
                <w:szCs w:val="22"/>
              </w:rPr>
              <w:t>hen using direct quotes.</w:t>
            </w:r>
          </w:p>
        </w:tc>
        <w:tc>
          <w:tcPr>
            <w:tcW w:w="3589" w:type="dxa"/>
          </w:tcPr>
          <w:p w14:paraId="5B920E46" w14:textId="0177B467" w:rsidR="00555FE9" w:rsidRDefault="00744905" w:rsidP="00242132">
            <w:pPr>
              <w:pStyle w:val="AssignBody"/>
            </w:pPr>
            <w:r>
              <w:t>I have worked hard to paraphrase my work to avoid relying on direct quotations to support my arguments.</w:t>
            </w:r>
          </w:p>
        </w:tc>
        <w:tc>
          <w:tcPr>
            <w:tcW w:w="3589" w:type="dxa"/>
          </w:tcPr>
          <w:p w14:paraId="0D3A78E3" w14:textId="2C02B7ED" w:rsidR="00555FE9" w:rsidRDefault="00744905" w:rsidP="00242132">
            <w:pPr>
              <w:pStyle w:val="AssignBody"/>
            </w:pPr>
            <w:r>
              <w:t xml:space="preserve">Throughout the body of the assignment. </w:t>
            </w:r>
          </w:p>
        </w:tc>
      </w:tr>
      <w:tr w:rsidR="00744905" w14:paraId="3706688F" w14:textId="77777777" w:rsidTr="00242132">
        <w:tc>
          <w:tcPr>
            <w:tcW w:w="1838" w:type="dxa"/>
          </w:tcPr>
          <w:p w14:paraId="67F17914" w14:textId="128F9B7D" w:rsidR="00744905" w:rsidRPr="00744905" w:rsidRDefault="00D13C4B" w:rsidP="00576FA6">
            <w:pPr>
              <w:rPr>
                <w:rFonts w:ascii="Arial" w:hAnsi="Arial" w:cs="Arial"/>
                <w:sz w:val="22"/>
                <w:szCs w:val="22"/>
              </w:rPr>
            </w:pPr>
            <w:r>
              <w:rPr>
                <w:rFonts w:ascii="Roboto" w:hAnsi="Roboto"/>
                <w:color w:val="283041"/>
                <w:sz w:val="21"/>
                <w:szCs w:val="21"/>
                <w:shd w:val="clear" w:color="auto" w:fill="FFFFFF"/>
              </w:rPr>
              <w:t>C</w:t>
            </w:r>
            <w:r>
              <w:rPr>
                <w:rFonts w:ascii="Roboto" w:hAnsi="Roboto"/>
                <w:color w:val="283041"/>
                <w:sz w:val="21"/>
                <w:szCs w:val="21"/>
                <w:shd w:val="clear" w:color="auto" w:fill="FFFFFF"/>
              </w:rPr>
              <w:t>ontinue to read a wide range of literature and use this to further support your work. </w:t>
            </w:r>
          </w:p>
        </w:tc>
        <w:tc>
          <w:tcPr>
            <w:tcW w:w="3589" w:type="dxa"/>
          </w:tcPr>
          <w:p w14:paraId="35BEF0B9" w14:textId="45E2A0DB" w:rsidR="00744905" w:rsidRDefault="00D13C4B" w:rsidP="00242132">
            <w:pPr>
              <w:pStyle w:val="AssignBody"/>
            </w:pPr>
            <w:r>
              <w:t>Throughout the writing of th</w:t>
            </w:r>
            <w:r w:rsidR="00846EF1">
              <w:t>is assignment,</w:t>
            </w:r>
            <w:r>
              <w:t xml:space="preserve"> I researched </w:t>
            </w:r>
            <w:r w:rsidR="004E1DB5">
              <w:t xml:space="preserve">a wide range of literature which supports my work. </w:t>
            </w:r>
          </w:p>
        </w:tc>
        <w:tc>
          <w:tcPr>
            <w:tcW w:w="3589" w:type="dxa"/>
          </w:tcPr>
          <w:p w14:paraId="7925B7BB" w14:textId="7EE45B9F" w:rsidR="00744905" w:rsidRDefault="004E1DB5" w:rsidP="00242132">
            <w:pPr>
              <w:pStyle w:val="AssignBody"/>
            </w:pPr>
            <w:r>
              <w:t>This can be seen throughout the assignment.</w:t>
            </w:r>
          </w:p>
        </w:tc>
      </w:tr>
    </w:tbl>
    <w:p w14:paraId="4B97F2C8" w14:textId="1F49CCA5" w:rsidR="009B2130" w:rsidRPr="005C2292" w:rsidRDefault="009B2130">
      <w:pPr>
        <w:rPr>
          <w:rFonts w:ascii="Arial" w:hAnsi="Arial" w:cs="Arial"/>
          <w:sz w:val="22"/>
          <w:szCs w:val="22"/>
        </w:rPr>
      </w:pPr>
    </w:p>
    <w:p w14:paraId="6D3C99F9" w14:textId="48EBE2F6" w:rsidR="009B2130" w:rsidRPr="005C2292" w:rsidRDefault="009B2130">
      <w:pPr>
        <w:rPr>
          <w:rFonts w:ascii="Arial" w:hAnsi="Arial" w:cs="Arial"/>
          <w:sz w:val="22"/>
          <w:szCs w:val="22"/>
        </w:rPr>
      </w:pPr>
    </w:p>
    <w:p w14:paraId="1C6EDACD" w14:textId="63CC9F5F" w:rsidR="009B2130" w:rsidRPr="005C2292" w:rsidRDefault="009B2130">
      <w:pPr>
        <w:rPr>
          <w:rFonts w:ascii="Arial" w:hAnsi="Arial" w:cs="Arial"/>
          <w:sz w:val="22"/>
          <w:szCs w:val="22"/>
        </w:rPr>
      </w:pPr>
    </w:p>
    <w:p w14:paraId="3C0AE27E" w14:textId="089FD398" w:rsidR="009B2130" w:rsidRPr="005C2292" w:rsidRDefault="009B2130">
      <w:pPr>
        <w:rPr>
          <w:rFonts w:ascii="Arial" w:hAnsi="Arial" w:cs="Arial"/>
          <w:sz w:val="22"/>
          <w:szCs w:val="22"/>
        </w:rPr>
      </w:pPr>
    </w:p>
    <w:p w14:paraId="3C5470FD" w14:textId="41AB8F42" w:rsidR="00846EF1" w:rsidRPr="00883C2D" w:rsidRDefault="00846EF1" w:rsidP="00846EF1">
      <w:pPr>
        <w:spacing w:line="360" w:lineRule="auto"/>
        <w:rPr>
          <w:rFonts w:ascii="Arial" w:hAnsi="Arial" w:cs="Arial"/>
          <w:sz w:val="22"/>
          <w:szCs w:val="22"/>
        </w:rPr>
      </w:pPr>
      <w:r>
        <w:rPr>
          <w:rFonts w:ascii="Arial" w:hAnsi="Arial" w:cs="Arial"/>
          <w:sz w:val="22"/>
          <w:szCs w:val="22"/>
        </w:rPr>
        <w:t>Word Count: 4184</w:t>
      </w:r>
      <w:r>
        <w:rPr>
          <w:rFonts w:ascii="Arial" w:hAnsi="Arial" w:cs="Arial"/>
          <w:sz w:val="22"/>
          <w:szCs w:val="22"/>
        </w:rPr>
        <w:t>.</w:t>
      </w:r>
    </w:p>
    <w:p w14:paraId="76851D32" w14:textId="6BBE0318" w:rsidR="009B2130" w:rsidRPr="005C2292" w:rsidRDefault="009B2130">
      <w:pPr>
        <w:rPr>
          <w:rFonts w:ascii="Arial" w:hAnsi="Arial" w:cs="Arial"/>
          <w:sz w:val="22"/>
          <w:szCs w:val="22"/>
        </w:rPr>
      </w:pPr>
    </w:p>
    <w:p w14:paraId="73899A57" w14:textId="00F2E7BB" w:rsidR="009B2130" w:rsidRPr="005C2292" w:rsidRDefault="009B2130">
      <w:pPr>
        <w:rPr>
          <w:rFonts w:ascii="Arial" w:hAnsi="Arial" w:cs="Arial"/>
          <w:sz w:val="22"/>
          <w:szCs w:val="22"/>
        </w:rPr>
      </w:pPr>
    </w:p>
    <w:p w14:paraId="01B0A89C" w14:textId="71411A93" w:rsidR="009B2130" w:rsidRPr="005C2292" w:rsidRDefault="009B2130">
      <w:pPr>
        <w:rPr>
          <w:rFonts w:ascii="Arial" w:hAnsi="Arial" w:cs="Arial"/>
          <w:sz w:val="22"/>
          <w:szCs w:val="22"/>
        </w:rPr>
      </w:pPr>
    </w:p>
    <w:p w14:paraId="69A55DB0" w14:textId="08082A31" w:rsidR="009B2130" w:rsidRPr="005C2292" w:rsidRDefault="009B2130">
      <w:pPr>
        <w:rPr>
          <w:rFonts w:ascii="Arial" w:hAnsi="Arial" w:cs="Arial"/>
          <w:sz w:val="22"/>
          <w:szCs w:val="22"/>
        </w:rPr>
      </w:pPr>
    </w:p>
    <w:p w14:paraId="3C4759F1" w14:textId="1852389D" w:rsidR="009B2130" w:rsidRPr="005C2292" w:rsidRDefault="009B2130">
      <w:pPr>
        <w:rPr>
          <w:rFonts w:ascii="Arial" w:hAnsi="Arial" w:cs="Arial"/>
          <w:sz w:val="22"/>
          <w:szCs w:val="22"/>
        </w:rPr>
      </w:pPr>
    </w:p>
    <w:p w14:paraId="25528C25" w14:textId="6AD72841" w:rsidR="009B2130" w:rsidRPr="005C2292" w:rsidRDefault="009B2130">
      <w:pPr>
        <w:rPr>
          <w:rFonts w:ascii="Arial" w:hAnsi="Arial" w:cs="Arial"/>
          <w:sz w:val="22"/>
          <w:szCs w:val="22"/>
        </w:rPr>
      </w:pPr>
    </w:p>
    <w:p w14:paraId="5B302406" w14:textId="60E2CEEC" w:rsidR="009B2130" w:rsidRPr="005C2292" w:rsidRDefault="009B2130">
      <w:pPr>
        <w:rPr>
          <w:rFonts w:ascii="Arial" w:hAnsi="Arial" w:cs="Arial"/>
          <w:sz w:val="22"/>
          <w:szCs w:val="22"/>
        </w:rPr>
      </w:pPr>
    </w:p>
    <w:p w14:paraId="78291E48" w14:textId="5C7B953C" w:rsidR="009B2130" w:rsidRPr="005C2292" w:rsidRDefault="009B2130">
      <w:pPr>
        <w:rPr>
          <w:rFonts w:ascii="Arial" w:hAnsi="Arial" w:cs="Arial"/>
          <w:sz w:val="22"/>
          <w:szCs w:val="22"/>
        </w:rPr>
      </w:pPr>
    </w:p>
    <w:p w14:paraId="0C18F9FD" w14:textId="353B148F" w:rsidR="009B2130" w:rsidRPr="005C2292" w:rsidRDefault="009B2130">
      <w:pPr>
        <w:rPr>
          <w:rFonts w:ascii="Arial" w:hAnsi="Arial" w:cs="Arial"/>
          <w:sz w:val="22"/>
          <w:szCs w:val="22"/>
        </w:rPr>
      </w:pPr>
    </w:p>
    <w:p w14:paraId="36908DE3" w14:textId="1F6E0D58" w:rsidR="009B2130" w:rsidRDefault="009B2130">
      <w:pPr>
        <w:rPr>
          <w:rFonts w:ascii="Arial" w:hAnsi="Arial" w:cs="Arial"/>
          <w:sz w:val="22"/>
          <w:szCs w:val="22"/>
        </w:rPr>
      </w:pPr>
    </w:p>
    <w:p w14:paraId="5C02B6BE" w14:textId="6F2985B1" w:rsidR="00576FA6" w:rsidRDefault="00576FA6">
      <w:pPr>
        <w:rPr>
          <w:rFonts w:ascii="Arial" w:hAnsi="Arial" w:cs="Arial"/>
          <w:sz w:val="22"/>
          <w:szCs w:val="22"/>
        </w:rPr>
      </w:pPr>
    </w:p>
    <w:p w14:paraId="26FABC02" w14:textId="7C0B50FF" w:rsidR="00576FA6" w:rsidRDefault="00576FA6">
      <w:pPr>
        <w:rPr>
          <w:rFonts w:ascii="Arial" w:hAnsi="Arial" w:cs="Arial"/>
          <w:sz w:val="22"/>
          <w:szCs w:val="22"/>
        </w:rPr>
      </w:pPr>
    </w:p>
    <w:p w14:paraId="592F3049" w14:textId="025C3EDC" w:rsidR="00576FA6" w:rsidRDefault="00576FA6">
      <w:pPr>
        <w:rPr>
          <w:rFonts w:ascii="Arial" w:hAnsi="Arial" w:cs="Arial"/>
          <w:sz w:val="22"/>
          <w:szCs w:val="22"/>
        </w:rPr>
      </w:pPr>
    </w:p>
    <w:p w14:paraId="27E42556" w14:textId="76791C8C" w:rsidR="00576FA6" w:rsidRDefault="00576FA6">
      <w:pPr>
        <w:rPr>
          <w:rFonts w:ascii="Arial" w:hAnsi="Arial" w:cs="Arial"/>
          <w:sz w:val="22"/>
          <w:szCs w:val="22"/>
        </w:rPr>
      </w:pPr>
    </w:p>
    <w:p w14:paraId="78F905A8" w14:textId="7B8E8674" w:rsidR="009B2130" w:rsidRDefault="009B2130">
      <w:pPr>
        <w:rPr>
          <w:rFonts w:ascii="Arial" w:hAnsi="Arial" w:cs="Arial"/>
          <w:sz w:val="22"/>
          <w:szCs w:val="22"/>
        </w:rPr>
      </w:pPr>
    </w:p>
    <w:p w14:paraId="25C90495" w14:textId="2BC18619" w:rsidR="00846EF1" w:rsidRDefault="00846EF1">
      <w:pPr>
        <w:rPr>
          <w:rFonts w:ascii="Arial" w:hAnsi="Arial" w:cs="Arial"/>
          <w:sz w:val="22"/>
          <w:szCs w:val="22"/>
        </w:rPr>
      </w:pPr>
    </w:p>
    <w:p w14:paraId="3A4228E0" w14:textId="77777777" w:rsidR="00846EF1" w:rsidRPr="005C2292" w:rsidRDefault="00846EF1">
      <w:pPr>
        <w:rPr>
          <w:rFonts w:ascii="Arial" w:hAnsi="Arial" w:cs="Arial"/>
          <w:sz w:val="22"/>
          <w:szCs w:val="22"/>
        </w:rPr>
      </w:pPr>
    </w:p>
    <w:p w14:paraId="31A74335" w14:textId="78CA19EC" w:rsidR="009B2130" w:rsidRPr="005C2292" w:rsidRDefault="009B2130">
      <w:pPr>
        <w:rPr>
          <w:rFonts w:ascii="Arial" w:hAnsi="Arial" w:cs="Arial"/>
          <w:sz w:val="22"/>
          <w:szCs w:val="22"/>
        </w:rPr>
      </w:pPr>
    </w:p>
    <w:p w14:paraId="7C51727C" w14:textId="77777777" w:rsidR="009B2130" w:rsidRPr="005C2292" w:rsidRDefault="009B2130">
      <w:pPr>
        <w:rPr>
          <w:rFonts w:ascii="Arial" w:hAnsi="Arial" w:cs="Arial"/>
          <w:sz w:val="22"/>
          <w:szCs w:val="22"/>
        </w:rPr>
      </w:pPr>
    </w:p>
    <w:p w14:paraId="0E751C29" w14:textId="065A0ED3" w:rsidR="0040466A" w:rsidRPr="00846EF1" w:rsidRDefault="0040466A" w:rsidP="00846EF1">
      <w:pPr>
        <w:spacing w:line="360" w:lineRule="auto"/>
        <w:rPr>
          <w:rFonts w:ascii="Arial" w:hAnsi="Arial" w:cs="Arial"/>
          <w:sz w:val="22"/>
          <w:szCs w:val="22"/>
        </w:rPr>
      </w:pPr>
      <w:r w:rsidRPr="00846EF1">
        <w:rPr>
          <w:rFonts w:ascii="Arial" w:hAnsi="Arial" w:cs="Arial"/>
          <w:sz w:val="22"/>
          <w:szCs w:val="22"/>
        </w:rPr>
        <w:lastRenderedPageBreak/>
        <w:t>The aim of this essay is to explore perceptions of both staff and students o</w:t>
      </w:r>
      <w:r w:rsidR="00FC24A7" w:rsidRPr="00846EF1">
        <w:rPr>
          <w:rFonts w:ascii="Arial" w:hAnsi="Arial" w:cs="Arial"/>
          <w:sz w:val="22"/>
          <w:szCs w:val="22"/>
        </w:rPr>
        <w:t>n</w:t>
      </w:r>
      <w:r w:rsidRPr="00846EF1">
        <w:rPr>
          <w:rFonts w:ascii="Arial" w:hAnsi="Arial" w:cs="Arial"/>
          <w:sz w:val="22"/>
          <w:szCs w:val="22"/>
        </w:rPr>
        <w:t xml:space="preserve"> the use of group activities such as circle time</w:t>
      </w:r>
      <w:r w:rsidR="00360BE0" w:rsidRPr="00846EF1">
        <w:rPr>
          <w:rFonts w:ascii="Arial" w:hAnsi="Arial" w:cs="Arial"/>
          <w:sz w:val="22"/>
          <w:szCs w:val="22"/>
        </w:rPr>
        <w:t xml:space="preserve"> (CT)</w:t>
      </w:r>
      <w:r w:rsidRPr="00846EF1">
        <w:rPr>
          <w:rFonts w:ascii="Arial" w:hAnsi="Arial" w:cs="Arial"/>
          <w:sz w:val="22"/>
          <w:szCs w:val="22"/>
        </w:rPr>
        <w:t xml:space="preserve"> to develop social skills. </w:t>
      </w:r>
      <w:r w:rsidR="00276078" w:rsidRPr="00846EF1">
        <w:rPr>
          <w:rFonts w:ascii="Arial" w:hAnsi="Arial" w:cs="Arial"/>
          <w:sz w:val="22"/>
          <w:szCs w:val="22"/>
        </w:rPr>
        <w:t>Social</w:t>
      </w:r>
      <w:r w:rsidR="002F3E28" w:rsidRPr="00846EF1">
        <w:rPr>
          <w:rFonts w:ascii="Arial" w:hAnsi="Arial" w:cs="Arial"/>
          <w:sz w:val="22"/>
          <w:szCs w:val="22"/>
        </w:rPr>
        <w:t xml:space="preserve"> </w:t>
      </w:r>
      <w:r w:rsidR="005A120C" w:rsidRPr="00846EF1">
        <w:rPr>
          <w:rFonts w:ascii="Arial" w:hAnsi="Arial" w:cs="Arial"/>
          <w:sz w:val="22"/>
          <w:szCs w:val="22"/>
        </w:rPr>
        <w:t xml:space="preserve">theory within child </w:t>
      </w:r>
      <w:r w:rsidR="00FC0B3E" w:rsidRPr="00846EF1">
        <w:rPr>
          <w:rFonts w:ascii="Arial" w:hAnsi="Arial" w:cs="Arial"/>
          <w:sz w:val="22"/>
          <w:szCs w:val="22"/>
        </w:rPr>
        <w:t xml:space="preserve">development </w:t>
      </w:r>
      <w:r w:rsidR="002F3E28" w:rsidRPr="00846EF1">
        <w:rPr>
          <w:rFonts w:ascii="Arial" w:hAnsi="Arial" w:cs="Arial"/>
          <w:sz w:val="22"/>
          <w:szCs w:val="22"/>
        </w:rPr>
        <w:t>has been a subject of interest</w:t>
      </w:r>
      <w:r w:rsidR="00FC24A7" w:rsidRPr="00846EF1">
        <w:rPr>
          <w:rFonts w:ascii="Arial" w:hAnsi="Arial" w:cs="Arial"/>
          <w:sz w:val="22"/>
          <w:szCs w:val="22"/>
        </w:rPr>
        <w:t xml:space="preserve"> for decades</w:t>
      </w:r>
      <w:r w:rsidR="001833E1" w:rsidRPr="00846EF1">
        <w:rPr>
          <w:rFonts w:ascii="Arial" w:hAnsi="Arial" w:cs="Arial"/>
          <w:sz w:val="22"/>
          <w:szCs w:val="22"/>
        </w:rPr>
        <w:t>,</w:t>
      </w:r>
      <w:r w:rsidR="00FC24A7" w:rsidRPr="00846EF1">
        <w:rPr>
          <w:rFonts w:ascii="Arial" w:hAnsi="Arial" w:cs="Arial"/>
          <w:sz w:val="22"/>
          <w:szCs w:val="22"/>
        </w:rPr>
        <w:t xml:space="preserve"> being</w:t>
      </w:r>
      <w:r w:rsidR="002F3E28" w:rsidRPr="00846EF1">
        <w:rPr>
          <w:rFonts w:ascii="Arial" w:hAnsi="Arial" w:cs="Arial"/>
          <w:sz w:val="22"/>
          <w:szCs w:val="22"/>
        </w:rPr>
        <w:t xml:space="preserve"> researched </w:t>
      </w:r>
      <w:r w:rsidR="00FC0B3E" w:rsidRPr="00846EF1">
        <w:rPr>
          <w:rFonts w:ascii="Arial" w:hAnsi="Arial" w:cs="Arial"/>
          <w:sz w:val="22"/>
          <w:szCs w:val="22"/>
        </w:rPr>
        <w:t xml:space="preserve">and discussed </w:t>
      </w:r>
      <w:r w:rsidR="002F3E28" w:rsidRPr="00846EF1">
        <w:rPr>
          <w:rFonts w:ascii="Arial" w:hAnsi="Arial" w:cs="Arial"/>
          <w:sz w:val="22"/>
          <w:szCs w:val="22"/>
        </w:rPr>
        <w:t xml:space="preserve">by renowned theorists such as Lev Vygotsky, Jean </w:t>
      </w:r>
      <w:r w:rsidR="00FC24A7" w:rsidRPr="00846EF1">
        <w:rPr>
          <w:rFonts w:ascii="Arial" w:hAnsi="Arial" w:cs="Arial"/>
          <w:sz w:val="22"/>
          <w:szCs w:val="22"/>
        </w:rPr>
        <w:t>Piaget,</w:t>
      </w:r>
      <w:r w:rsidR="002F3E28" w:rsidRPr="00846EF1">
        <w:rPr>
          <w:rFonts w:ascii="Arial" w:hAnsi="Arial" w:cs="Arial"/>
          <w:sz w:val="22"/>
          <w:szCs w:val="22"/>
        </w:rPr>
        <w:t xml:space="preserve"> and Jerome Bruner</w:t>
      </w:r>
      <w:r w:rsidR="00FC24A7" w:rsidRPr="00846EF1">
        <w:rPr>
          <w:rFonts w:ascii="Arial" w:hAnsi="Arial" w:cs="Arial"/>
          <w:sz w:val="22"/>
          <w:szCs w:val="22"/>
        </w:rPr>
        <w:t>.</w:t>
      </w:r>
      <w:r w:rsidR="008C0F23" w:rsidRPr="00846EF1">
        <w:rPr>
          <w:rFonts w:ascii="Arial" w:hAnsi="Arial" w:cs="Arial"/>
          <w:sz w:val="22"/>
          <w:szCs w:val="22"/>
        </w:rPr>
        <w:t xml:space="preserve"> </w:t>
      </w:r>
      <w:r w:rsidR="008C0F23" w:rsidRPr="00846EF1">
        <w:rPr>
          <w:rFonts w:ascii="Arial" w:hAnsi="Arial" w:cs="Arial"/>
          <w:sz w:val="22"/>
          <w:szCs w:val="22"/>
        </w:rPr>
        <w:t xml:space="preserve">This subject was of interest as although </w:t>
      </w:r>
      <w:r w:rsidR="00360BE0" w:rsidRPr="00846EF1">
        <w:rPr>
          <w:rFonts w:ascii="Arial" w:hAnsi="Arial" w:cs="Arial"/>
          <w:sz w:val="22"/>
          <w:szCs w:val="22"/>
        </w:rPr>
        <w:t>CT</w:t>
      </w:r>
      <w:r w:rsidR="008C0F23" w:rsidRPr="00846EF1">
        <w:rPr>
          <w:rFonts w:ascii="Arial" w:hAnsi="Arial" w:cs="Arial"/>
          <w:sz w:val="22"/>
          <w:szCs w:val="22"/>
        </w:rPr>
        <w:t xml:space="preserve"> is </w:t>
      </w:r>
      <w:r w:rsidR="00FC0B3E" w:rsidRPr="00846EF1">
        <w:rPr>
          <w:rFonts w:ascii="Arial" w:hAnsi="Arial" w:cs="Arial"/>
          <w:sz w:val="22"/>
          <w:szCs w:val="22"/>
        </w:rPr>
        <w:t xml:space="preserve">commonly </w:t>
      </w:r>
      <w:r w:rsidR="008C0F23" w:rsidRPr="00846EF1">
        <w:rPr>
          <w:rFonts w:ascii="Arial" w:hAnsi="Arial" w:cs="Arial"/>
          <w:sz w:val="22"/>
          <w:szCs w:val="22"/>
        </w:rPr>
        <w:t>used within schools, Glazzard (2016) implies that the available evidence-based research is unreliable, th</w:t>
      </w:r>
      <w:r w:rsidR="00FC0B3E" w:rsidRPr="00846EF1">
        <w:rPr>
          <w:rFonts w:ascii="Arial" w:hAnsi="Arial" w:cs="Arial"/>
          <w:sz w:val="22"/>
          <w:szCs w:val="22"/>
        </w:rPr>
        <w:t xml:space="preserve">erefore </w:t>
      </w:r>
      <w:r w:rsidR="008C0F23" w:rsidRPr="00846EF1">
        <w:rPr>
          <w:rFonts w:ascii="Arial" w:hAnsi="Arial" w:cs="Arial"/>
          <w:sz w:val="22"/>
          <w:szCs w:val="22"/>
        </w:rPr>
        <w:t xml:space="preserve">suggesting a gap in the research. </w:t>
      </w:r>
      <w:r w:rsidR="00C46AA1" w:rsidRPr="00846EF1">
        <w:rPr>
          <w:rFonts w:ascii="Arial" w:hAnsi="Arial" w:cs="Arial"/>
          <w:sz w:val="22"/>
          <w:szCs w:val="22"/>
        </w:rPr>
        <w:t xml:space="preserve">The subject of the research taking place links </w:t>
      </w:r>
      <w:r w:rsidR="00FC24A7" w:rsidRPr="00846EF1">
        <w:rPr>
          <w:rFonts w:ascii="Arial" w:hAnsi="Arial" w:cs="Arial"/>
          <w:sz w:val="22"/>
          <w:szCs w:val="22"/>
        </w:rPr>
        <w:t xml:space="preserve">to the advancing strand of the pedagogy descriptor within </w:t>
      </w:r>
      <w:r w:rsidR="00C46AA1" w:rsidRPr="00846EF1">
        <w:rPr>
          <w:rFonts w:ascii="Arial" w:hAnsi="Arial" w:cs="Arial"/>
          <w:sz w:val="22"/>
          <w:szCs w:val="22"/>
        </w:rPr>
        <w:t xml:space="preserve">the Qualified Teaching Standards (QTS). </w:t>
      </w:r>
      <w:r w:rsidR="00FC24A7" w:rsidRPr="00846EF1">
        <w:rPr>
          <w:rFonts w:ascii="Arial" w:hAnsi="Arial" w:cs="Arial"/>
          <w:sz w:val="22"/>
          <w:szCs w:val="22"/>
        </w:rPr>
        <w:t>As part of meeting QTS, p</w:t>
      </w:r>
      <w:r w:rsidR="00C46AA1" w:rsidRPr="00846EF1">
        <w:rPr>
          <w:rFonts w:ascii="Arial" w:hAnsi="Arial" w:cs="Arial"/>
          <w:sz w:val="22"/>
          <w:szCs w:val="22"/>
        </w:rPr>
        <w:t xml:space="preserve">ractitioners </w:t>
      </w:r>
      <w:r w:rsidR="00FC24A7" w:rsidRPr="00846EF1">
        <w:rPr>
          <w:rFonts w:ascii="Arial" w:hAnsi="Arial" w:cs="Arial"/>
          <w:sz w:val="22"/>
          <w:szCs w:val="22"/>
        </w:rPr>
        <w:t xml:space="preserve">should </w:t>
      </w:r>
      <w:r w:rsidR="00C46AA1" w:rsidRPr="00846EF1">
        <w:rPr>
          <w:rFonts w:ascii="Arial" w:hAnsi="Arial" w:cs="Arial"/>
          <w:sz w:val="22"/>
          <w:szCs w:val="22"/>
        </w:rPr>
        <w:t>aid pupils in realising the four purposes of the curriculum throughout their time in school</w:t>
      </w:r>
      <w:r w:rsidR="00FC24A7" w:rsidRPr="00846EF1">
        <w:rPr>
          <w:rFonts w:ascii="Arial" w:hAnsi="Arial" w:cs="Arial"/>
          <w:sz w:val="22"/>
          <w:szCs w:val="22"/>
        </w:rPr>
        <w:t xml:space="preserve">. The four purposes are described as the basis of </w:t>
      </w:r>
      <w:r w:rsidR="001833E1" w:rsidRPr="00846EF1">
        <w:rPr>
          <w:rFonts w:ascii="Arial" w:hAnsi="Arial" w:cs="Arial"/>
          <w:sz w:val="22"/>
          <w:szCs w:val="22"/>
        </w:rPr>
        <w:t xml:space="preserve">curriculum design (Welsh Government, 2020). Developing social skills are important in realising the four purposes and as a result, this research could be used as evidence in writing a </w:t>
      </w:r>
      <w:r w:rsidR="005F2854" w:rsidRPr="00846EF1">
        <w:rPr>
          <w:rFonts w:ascii="Arial" w:hAnsi="Arial" w:cs="Arial"/>
          <w:sz w:val="22"/>
          <w:szCs w:val="22"/>
        </w:rPr>
        <w:t>P</w:t>
      </w:r>
      <w:r w:rsidR="001833E1" w:rsidRPr="00846EF1">
        <w:rPr>
          <w:rFonts w:ascii="Arial" w:hAnsi="Arial" w:cs="Arial"/>
          <w:sz w:val="22"/>
          <w:szCs w:val="22"/>
        </w:rPr>
        <w:t xml:space="preserve">rofessional </w:t>
      </w:r>
      <w:r w:rsidR="005F2854" w:rsidRPr="00846EF1">
        <w:rPr>
          <w:rFonts w:ascii="Arial" w:hAnsi="Arial" w:cs="Arial"/>
          <w:sz w:val="22"/>
          <w:szCs w:val="22"/>
        </w:rPr>
        <w:t>E</w:t>
      </w:r>
      <w:r w:rsidR="001833E1" w:rsidRPr="00846EF1">
        <w:rPr>
          <w:rFonts w:ascii="Arial" w:hAnsi="Arial" w:cs="Arial"/>
          <w:sz w:val="22"/>
          <w:szCs w:val="22"/>
        </w:rPr>
        <w:t xml:space="preserve">xperience </w:t>
      </w:r>
      <w:r w:rsidR="005F2854" w:rsidRPr="00846EF1">
        <w:rPr>
          <w:rFonts w:ascii="Arial" w:hAnsi="Arial" w:cs="Arial"/>
          <w:sz w:val="22"/>
          <w:szCs w:val="22"/>
        </w:rPr>
        <w:t>T</w:t>
      </w:r>
      <w:r w:rsidR="001833E1" w:rsidRPr="00846EF1">
        <w:rPr>
          <w:rFonts w:ascii="Arial" w:hAnsi="Arial" w:cs="Arial"/>
          <w:sz w:val="22"/>
          <w:szCs w:val="22"/>
        </w:rPr>
        <w:t>emplate</w:t>
      </w:r>
      <w:r w:rsidR="005F2854" w:rsidRPr="00846EF1">
        <w:rPr>
          <w:rFonts w:ascii="Arial" w:hAnsi="Arial" w:cs="Arial"/>
          <w:sz w:val="22"/>
          <w:szCs w:val="22"/>
        </w:rPr>
        <w:t xml:space="preserve"> (PET)</w:t>
      </w:r>
      <w:r w:rsidR="001833E1" w:rsidRPr="00846EF1">
        <w:rPr>
          <w:rFonts w:ascii="Arial" w:hAnsi="Arial" w:cs="Arial"/>
          <w:sz w:val="22"/>
          <w:szCs w:val="22"/>
        </w:rPr>
        <w:t xml:space="preserve"> for the Professional Learning Passport (PLP) to</w:t>
      </w:r>
      <w:r w:rsidR="00243E15" w:rsidRPr="00846EF1">
        <w:rPr>
          <w:rFonts w:ascii="Arial" w:hAnsi="Arial" w:cs="Arial"/>
          <w:sz w:val="22"/>
          <w:szCs w:val="22"/>
        </w:rPr>
        <w:t xml:space="preserve"> help towards</w:t>
      </w:r>
      <w:r w:rsidR="001833E1" w:rsidRPr="00846EF1">
        <w:rPr>
          <w:rFonts w:ascii="Arial" w:hAnsi="Arial" w:cs="Arial"/>
          <w:sz w:val="22"/>
          <w:szCs w:val="22"/>
        </w:rPr>
        <w:t xml:space="preserve"> achieving QTS. </w:t>
      </w:r>
      <w:r w:rsidRPr="00846EF1">
        <w:rPr>
          <w:rFonts w:ascii="Arial" w:hAnsi="Arial" w:cs="Arial"/>
          <w:sz w:val="22"/>
          <w:szCs w:val="22"/>
        </w:rPr>
        <w:t xml:space="preserve">The research </w:t>
      </w:r>
      <w:r w:rsidR="001833E1" w:rsidRPr="00846EF1">
        <w:rPr>
          <w:rFonts w:ascii="Arial" w:hAnsi="Arial" w:cs="Arial"/>
          <w:sz w:val="22"/>
          <w:szCs w:val="22"/>
        </w:rPr>
        <w:t xml:space="preserve">for this study </w:t>
      </w:r>
      <w:r w:rsidRPr="00846EF1">
        <w:rPr>
          <w:rFonts w:ascii="Arial" w:hAnsi="Arial" w:cs="Arial"/>
          <w:sz w:val="22"/>
          <w:szCs w:val="22"/>
        </w:rPr>
        <w:t>took place within a small school of 119 pupils within the Swansea Local Authority (LA) in South Wales. Due to the small size of the school, classes are of mixed age. The class within which the research took place was a nursery and reception mixed class of learners age</w:t>
      </w:r>
      <w:r w:rsidR="00FC0B3E" w:rsidRPr="00846EF1">
        <w:rPr>
          <w:rFonts w:ascii="Arial" w:hAnsi="Arial" w:cs="Arial"/>
          <w:sz w:val="22"/>
          <w:szCs w:val="22"/>
        </w:rPr>
        <w:t xml:space="preserve">d </w:t>
      </w:r>
      <w:r w:rsidRPr="00846EF1">
        <w:rPr>
          <w:rFonts w:ascii="Arial" w:hAnsi="Arial" w:cs="Arial"/>
          <w:sz w:val="22"/>
          <w:szCs w:val="22"/>
        </w:rPr>
        <w:t>three to five. To protect the anonymity of the school and all persons concerned with the research, in accordance with British Education Research Association (BERA</w:t>
      </w:r>
      <w:r w:rsidR="001833E1" w:rsidRPr="00846EF1">
        <w:rPr>
          <w:rFonts w:ascii="Arial" w:hAnsi="Arial" w:cs="Arial"/>
          <w:sz w:val="22"/>
          <w:szCs w:val="22"/>
        </w:rPr>
        <w:t>, 2018</w:t>
      </w:r>
      <w:r w:rsidRPr="00846EF1">
        <w:rPr>
          <w:rFonts w:ascii="Arial" w:hAnsi="Arial" w:cs="Arial"/>
          <w:sz w:val="22"/>
          <w:szCs w:val="22"/>
        </w:rPr>
        <w:t>) guidelines</w:t>
      </w:r>
      <w:r w:rsidR="001833E1" w:rsidRPr="00846EF1">
        <w:rPr>
          <w:rFonts w:ascii="Arial" w:hAnsi="Arial" w:cs="Arial"/>
          <w:sz w:val="22"/>
          <w:szCs w:val="22"/>
        </w:rPr>
        <w:t xml:space="preserve">, </w:t>
      </w:r>
      <w:r w:rsidRPr="00846EF1">
        <w:rPr>
          <w:rFonts w:ascii="Arial" w:hAnsi="Arial" w:cs="Arial"/>
          <w:sz w:val="22"/>
          <w:szCs w:val="22"/>
        </w:rPr>
        <w:t xml:space="preserve">the school will be referred to as School X throughout this assignment. The research question posed for this assignment </w:t>
      </w:r>
      <w:r w:rsidR="001F3F07" w:rsidRPr="00846EF1">
        <w:rPr>
          <w:rFonts w:ascii="Arial" w:hAnsi="Arial" w:cs="Arial"/>
          <w:sz w:val="22"/>
          <w:szCs w:val="22"/>
        </w:rPr>
        <w:t xml:space="preserve">is ‘what </w:t>
      </w:r>
      <w:r w:rsidR="002B299E" w:rsidRPr="00846EF1">
        <w:rPr>
          <w:rFonts w:ascii="Arial" w:hAnsi="Arial" w:cs="Arial"/>
          <w:sz w:val="22"/>
          <w:szCs w:val="22"/>
        </w:rPr>
        <w:t xml:space="preserve">are the perceptions of staff and students of use of </w:t>
      </w:r>
      <w:r w:rsidR="0057656D" w:rsidRPr="00846EF1">
        <w:rPr>
          <w:rFonts w:ascii="Arial" w:hAnsi="Arial" w:cs="Arial"/>
          <w:sz w:val="22"/>
          <w:szCs w:val="22"/>
        </w:rPr>
        <w:t xml:space="preserve">circle time </w:t>
      </w:r>
      <w:r w:rsidR="001F3F07" w:rsidRPr="00846EF1">
        <w:rPr>
          <w:rFonts w:ascii="Arial" w:hAnsi="Arial" w:cs="Arial"/>
          <w:sz w:val="22"/>
          <w:szCs w:val="22"/>
        </w:rPr>
        <w:t xml:space="preserve">to develop social skills’. </w:t>
      </w:r>
    </w:p>
    <w:p w14:paraId="3C1FCC80" w14:textId="05C877BD" w:rsidR="009178B7" w:rsidRPr="00846EF1" w:rsidRDefault="009178B7" w:rsidP="00846EF1">
      <w:pPr>
        <w:spacing w:line="360" w:lineRule="auto"/>
        <w:rPr>
          <w:rFonts w:ascii="Arial" w:hAnsi="Arial" w:cs="Arial"/>
          <w:sz w:val="22"/>
          <w:szCs w:val="22"/>
        </w:rPr>
      </w:pPr>
    </w:p>
    <w:p w14:paraId="3D8E25CD" w14:textId="6E425E3D" w:rsidR="003002F9" w:rsidRPr="00846EF1" w:rsidRDefault="003002F9" w:rsidP="00846EF1">
      <w:pPr>
        <w:spacing w:line="360" w:lineRule="auto"/>
        <w:rPr>
          <w:rFonts w:ascii="Arial" w:hAnsi="Arial" w:cs="Arial"/>
          <w:sz w:val="22"/>
          <w:szCs w:val="22"/>
        </w:rPr>
      </w:pPr>
      <w:r w:rsidRPr="00846EF1">
        <w:rPr>
          <w:rFonts w:ascii="Arial" w:hAnsi="Arial" w:cs="Arial"/>
          <w:sz w:val="22"/>
          <w:szCs w:val="22"/>
        </w:rPr>
        <w:t>The interest within this subject has been sparked by increasing evidence over recent decades suggesting that social skills can contribute to early performance in school which in turn, leads to later academic success (McClelland, Morrison, and Holmes, 2000; Steedly et al., 2008). This idea therefore sparked the proposed research question</w:t>
      </w:r>
      <w:r w:rsidR="00D91856" w:rsidRPr="00846EF1">
        <w:rPr>
          <w:rFonts w:ascii="Arial" w:hAnsi="Arial" w:cs="Arial"/>
          <w:sz w:val="22"/>
          <w:szCs w:val="22"/>
        </w:rPr>
        <w:t xml:space="preserve"> above</w:t>
      </w:r>
      <w:r w:rsidRPr="00846EF1">
        <w:rPr>
          <w:rFonts w:ascii="Arial" w:hAnsi="Arial" w:cs="Arial"/>
          <w:sz w:val="22"/>
          <w:szCs w:val="22"/>
        </w:rPr>
        <w:t xml:space="preserve"> as the pupils included within the study are in the earlier years of their education. </w:t>
      </w:r>
    </w:p>
    <w:p w14:paraId="4F3AABA0" w14:textId="77777777" w:rsidR="003002F9" w:rsidRPr="00846EF1" w:rsidRDefault="003002F9" w:rsidP="00846EF1">
      <w:pPr>
        <w:spacing w:line="360" w:lineRule="auto"/>
        <w:rPr>
          <w:rFonts w:ascii="Arial" w:hAnsi="Arial" w:cs="Arial"/>
          <w:sz w:val="22"/>
          <w:szCs w:val="22"/>
        </w:rPr>
      </w:pPr>
    </w:p>
    <w:p w14:paraId="72E2429B" w14:textId="114CED5C" w:rsidR="001441E4" w:rsidRPr="00846EF1" w:rsidRDefault="001441E4" w:rsidP="00846EF1">
      <w:pPr>
        <w:spacing w:line="360" w:lineRule="auto"/>
        <w:rPr>
          <w:rFonts w:ascii="Arial" w:hAnsi="Arial" w:cs="Arial"/>
          <w:sz w:val="22"/>
          <w:szCs w:val="22"/>
        </w:rPr>
      </w:pPr>
      <w:r w:rsidRPr="00846EF1">
        <w:rPr>
          <w:rFonts w:ascii="Arial" w:hAnsi="Arial" w:cs="Arial"/>
          <w:sz w:val="22"/>
          <w:szCs w:val="22"/>
        </w:rPr>
        <w:t xml:space="preserve">Multiple theorists argue that learning is a social process (Vygotsky, 1978; Bandura; 1986). Vygotsky (1978) highlighted the importance of social interaction in terms of enabling learners to self-reflect and scaffold further social learning. </w:t>
      </w:r>
    </w:p>
    <w:p w14:paraId="04F945C4" w14:textId="77777777" w:rsidR="001441E4" w:rsidRPr="00846EF1" w:rsidRDefault="001441E4" w:rsidP="00846EF1">
      <w:pPr>
        <w:spacing w:line="360" w:lineRule="auto"/>
        <w:rPr>
          <w:rFonts w:ascii="Arial" w:hAnsi="Arial" w:cs="Arial"/>
          <w:sz w:val="22"/>
          <w:szCs w:val="22"/>
        </w:rPr>
      </w:pPr>
    </w:p>
    <w:p w14:paraId="69F61E82" w14:textId="77777777" w:rsidR="001441E4" w:rsidRPr="00846EF1" w:rsidRDefault="001441E4" w:rsidP="00846EF1">
      <w:pPr>
        <w:spacing w:line="360" w:lineRule="auto"/>
        <w:rPr>
          <w:rFonts w:ascii="Arial" w:hAnsi="Arial" w:cs="Arial"/>
          <w:sz w:val="22"/>
          <w:szCs w:val="22"/>
        </w:rPr>
      </w:pPr>
      <w:r w:rsidRPr="00846EF1">
        <w:rPr>
          <w:rFonts w:ascii="Arial" w:hAnsi="Arial" w:cs="Arial"/>
          <w:sz w:val="22"/>
          <w:szCs w:val="22"/>
        </w:rPr>
        <w:t xml:space="preserve">In this essay, the term ‘social skills’ refers to the ability to interact and behave appropriately within social situations, establishing positive relationships and making responsible decisions for oneself (Sharma, Goswami, and Gupta, 2016; Jurevičienė, Kaffemanienė and Ruškus, 2018). Foundation, interaction, cognitive and affective skills are four areas of social skill </w:t>
      </w:r>
      <w:r w:rsidRPr="00846EF1">
        <w:rPr>
          <w:rFonts w:ascii="Arial" w:hAnsi="Arial" w:cs="Arial"/>
          <w:sz w:val="22"/>
          <w:szCs w:val="22"/>
        </w:rPr>
        <w:lastRenderedPageBreak/>
        <w:t xml:space="preserve">outlined by Rustin and Kuhr (1989). Canney and Byrne (2006) suggests that activities during CT support each of these areas of social skill.   </w:t>
      </w:r>
    </w:p>
    <w:p w14:paraId="21FD44CF" w14:textId="77777777" w:rsidR="001441E4" w:rsidRPr="00846EF1" w:rsidRDefault="001441E4" w:rsidP="00846EF1">
      <w:pPr>
        <w:spacing w:line="360" w:lineRule="auto"/>
        <w:rPr>
          <w:rFonts w:ascii="Arial" w:hAnsi="Arial" w:cs="Arial"/>
          <w:sz w:val="22"/>
          <w:szCs w:val="22"/>
        </w:rPr>
      </w:pPr>
    </w:p>
    <w:p w14:paraId="0C457C0A" w14:textId="77777777" w:rsidR="001441E4" w:rsidRPr="00846EF1" w:rsidRDefault="001441E4" w:rsidP="00846EF1">
      <w:pPr>
        <w:spacing w:line="360" w:lineRule="auto"/>
        <w:rPr>
          <w:rFonts w:ascii="Arial" w:hAnsi="Arial" w:cs="Arial"/>
          <w:sz w:val="22"/>
          <w:szCs w:val="22"/>
        </w:rPr>
      </w:pPr>
      <w:r w:rsidRPr="00846EF1">
        <w:rPr>
          <w:rFonts w:ascii="Arial" w:hAnsi="Arial" w:cs="Arial"/>
          <w:sz w:val="22"/>
          <w:szCs w:val="22"/>
        </w:rPr>
        <w:t xml:space="preserve">While it is difficult to define the term CT due to varying practices amongst schools, it can be loosely described as a time in which pupils sit in a circle to develop key social skills (Collins, 2011). CT provides pupils with a safe environment in which they can develop through a child-centred and directed approach (Cefai et al., 2013). CT has been argued to develop pupil’s social skills, improve their self-esteem, improve cooperation amongst pupils and lead to improvements in listening and speaking (Lown; 2002, Canney and Byrne, 2006; Housego and Burns, 1994). </w:t>
      </w:r>
    </w:p>
    <w:p w14:paraId="60B44002" w14:textId="77777777" w:rsidR="001441E4" w:rsidRPr="00846EF1" w:rsidRDefault="001441E4" w:rsidP="00846EF1">
      <w:pPr>
        <w:spacing w:line="360" w:lineRule="auto"/>
        <w:rPr>
          <w:rFonts w:ascii="Arial" w:hAnsi="Arial" w:cs="Arial"/>
          <w:sz w:val="22"/>
          <w:szCs w:val="22"/>
        </w:rPr>
      </w:pPr>
    </w:p>
    <w:p w14:paraId="7E08654A" w14:textId="77777777" w:rsidR="001441E4" w:rsidRPr="00846EF1" w:rsidRDefault="001441E4" w:rsidP="00846EF1">
      <w:pPr>
        <w:spacing w:line="360" w:lineRule="auto"/>
        <w:rPr>
          <w:rFonts w:ascii="Arial" w:hAnsi="Arial" w:cs="Arial"/>
          <w:sz w:val="22"/>
          <w:szCs w:val="22"/>
        </w:rPr>
      </w:pPr>
      <w:r w:rsidRPr="00846EF1">
        <w:rPr>
          <w:rFonts w:ascii="Arial" w:hAnsi="Arial" w:cs="Arial"/>
          <w:sz w:val="22"/>
          <w:szCs w:val="22"/>
        </w:rPr>
        <w:t>A common theme amongst the literature suggests that CT can be used to develop pupil’s social skills. Canney and Byrne (2006) suggests that CT creates meaningful links between feelings, thoughts, and behaviours of which shape our daily experiences. Mosley (2005) suggests that CT is a proven strategy to foster positive relationships and encourage positive behaviours. This view is supported by Glazzard (2016) who discusses the wide agreements made by writers on the value of CT, also suggesting that mutual respect amongst pupils has been fostered using CT.</w:t>
      </w:r>
    </w:p>
    <w:p w14:paraId="2322BC8C" w14:textId="77777777" w:rsidR="001441E4" w:rsidRPr="00846EF1" w:rsidRDefault="001441E4" w:rsidP="00846EF1">
      <w:pPr>
        <w:spacing w:line="360" w:lineRule="auto"/>
        <w:rPr>
          <w:rFonts w:ascii="Arial" w:hAnsi="Arial" w:cs="Arial"/>
          <w:sz w:val="22"/>
          <w:szCs w:val="22"/>
        </w:rPr>
      </w:pPr>
    </w:p>
    <w:p w14:paraId="06A819A9" w14:textId="77777777" w:rsidR="001441E4" w:rsidRPr="00846EF1" w:rsidRDefault="001441E4" w:rsidP="00846EF1">
      <w:pPr>
        <w:spacing w:line="360" w:lineRule="auto"/>
        <w:rPr>
          <w:rFonts w:ascii="Arial" w:hAnsi="Arial" w:cs="Arial"/>
          <w:sz w:val="22"/>
          <w:szCs w:val="22"/>
        </w:rPr>
      </w:pPr>
      <w:r w:rsidRPr="00846EF1">
        <w:rPr>
          <w:rFonts w:ascii="Arial" w:hAnsi="Arial" w:cs="Arial"/>
          <w:sz w:val="22"/>
          <w:szCs w:val="22"/>
        </w:rPr>
        <w:t xml:space="preserve">Lown (2002) claims that in a study conducted, teachers reported developments in pupil’s social skills through the implementation of CT. Similarly, Mosley (2009) reports numerous positive outcomes from CT including enhanced collaboration, improved concentration, and positive behaviour. However, Mosley (2009) refers to two unpublished studies to support these views. Mosley (2005; 2009) developed an approach to CT - the Quality Circle Time Model (QCT). In simple terms, the QCT Model requires a commitment from schools to address school development issues during CT (Mosley, 2004). Mosley’s (2004) approach to CT – the Quality Circle Time Model (QCT) – has previously featured on national television. As a founder of QCT and making references to unpublished data, this instils doubt into the validity of Mosley’s claims about CT as there may be possible bias towards showcasing CT in a positive light.  </w:t>
      </w:r>
    </w:p>
    <w:p w14:paraId="79ED10DA" w14:textId="77777777" w:rsidR="001441E4" w:rsidRPr="00846EF1" w:rsidRDefault="001441E4" w:rsidP="00846EF1">
      <w:pPr>
        <w:spacing w:line="360" w:lineRule="auto"/>
        <w:rPr>
          <w:rFonts w:ascii="Arial" w:hAnsi="Arial" w:cs="Arial"/>
          <w:sz w:val="22"/>
          <w:szCs w:val="22"/>
        </w:rPr>
      </w:pPr>
    </w:p>
    <w:p w14:paraId="16AC7EB3" w14:textId="77777777" w:rsidR="001441E4" w:rsidRPr="00846EF1" w:rsidRDefault="001441E4" w:rsidP="00846EF1">
      <w:pPr>
        <w:spacing w:line="360" w:lineRule="auto"/>
        <w:rPr>
          <w:rFonts w:ascii="Arial" w:hAnsi="Arial" w:cs="Arial"/>
          <w:sz w:val="22"/>
          <w:szCs w:val="22"/>
        </w:rPr>
      </w:pPr>
      <w:r w:rsidRPr="00846EF1">
        <w:rPr>
          <w:rFonts w:ascii="Arial" w:hAnsi="Arial" w:cs="Arial"/>
          <w:sz w:val="22"/>
          <w:szCs w:val="22"/>
        </w:rPr>
        <w:t xml:space="preserve">Some writers argue there is limited sufficient evidence that substantiates the use of CT in schools (Cefai et al., 2013; Glazzard, 2016). However, although Cefai et al (2013) argue this, it is also suggested within the same body of work that there </w:t>
      </w:r>
      <w:r w:rsidRPr="00846EF1">
        <w:rPr>
          <w:rFonts w:ascii="Arial" w:hAnsi="Arial" w:cs="Arial"/>
          <w:i/>
          <w:iCs/>
          <w:sz w:val="22"/>
          <w:szCs w:val="22"/>
        </w:rPr>
        <w:t>is</w:t>
      </w:r>
      <w:r w:rsidRPr="00846EF1">
        <w:rPr>
          <w:rFonts w:ascii="Arial" w:hAnsi="Arial" w:cs="Arial"/>
          <w:sz w:val="22"/>
          <w:szCs w:val="22"/>
        </w:rPr>
        <w:t xml:space="preserve"> some evidence which implies CT aids pupils with a range of social, behavioural, and emotional difficulties. Mosley (2009) and Glazzard (2016) support this further through discussion of the evidence available. However, both Glazzard (2016) and Cefai et al (2013) agree that further studies are required </w:t>
      </w:r>
      <w:r w:rsidRPr="00846EF1">
        <w:rPr>
          <w:rFonts w:ascii="Arial" w:hAnsi="Arial" w:cs="Arial"/>
          <w:sz w:val="22"/>
          <w:szCs w:val="22"/>
        </w:rPr>
        <w:lastRenderedPageBreak/>
        <w:t xml:space="preserve">to understand the impact of CT. Glazzard (2016) uses a wide range of literature within his work discussing both the strengths and limitations of the use of CT, suggesting he has taken an unbiased stance on the subject. Similarly to Glazzard (2016), Cefai et al (2013) looked at findings of previous studies as well as conducted their own before presenting their own conclusions suggesting reliability of this source. </w:t>
      </w:r>
    </w:p>
    <w:p w14:paraId="7285441C" w14:textId="77777777" w:rsidR="001441E4" w:rsidRPr="00846EF1" w:rsidRDefault="001441E4" w:rsidP="00846EF1">
      <w:pPr>
        <w:spacing w:line="360" w:lineRule="auto"/>
        <w:rPr>
          <w:rFonts w:ascii="Arial" w:hAnsi="Arial" w:cs="Arial"/>
          <w:sz w:val="22"/>
          <w:szCs w:val="22"/>
        </w:rPr>
      </w:pPr>
    </w:p>
    <w:p w14:paraId="7D92D104" w14:textId="77777777" w:rsidR="001441E4" w:rsidRPr="00846EF1" w:rsidRDefault="001441E4" w:rsidP="00846EF1">
      <w:pPr>
        <w:spacing w:line="360" w:lineRule="auto"/>
        <w:rPr>
          <w:rFonts w:ascii="Arial" w:hAnsi="Arial" w:cs="Arial"/>
          <w:b/>
          <w:bCs/>
          <w:sz w:val="22"/>
          <w:szCs w:val="22"/>
        </w:rPr>
      </w:pPr>
      <w:r w:rsidRPr="00846EF1">
        <w:rPr>
          <w:rFonts w:ascii="Arial" w:hAnsi="Arial" w:cs="Arial"/>
          <w:sz w:val="22"/>
          <w:szCs w:val="22"/>
        </w:rPr>
        <w:t xml:space="preserve">Although a wide range of sources discuss the positives of using CT to aid social skills, many claims are based on outdated data and small-scale studies. It is therefore unclear if these claims ring true within current society and curriculum design. The clear gap of recent evidence-based research around this subject is evident when considering the dates of most published studies around CT. </w:t>
      </w:r>
    </w:p>
    <w:p w14:paraId="03B628E1" w14:textId="77777777" w:rsidR="00270067" w:rsidRPr="00846EF1" w:rsidRDefault="00270067" w:rsidP="00846EF1">
      <w:pPr>
        <w:spacing w:line="360" w:lineRule="auto"/>
        <w:rPr>
          <w:rFonts w:ascii="Arial" w:hAnsi="Arial" w:cs="Arial"/>
          <w:sz w:val="22"/>
          <w:szCs w:val="22"/>
        </w:rPr>
      </w:pPr>
    </w:p>
    <w:p w14:paraId="7E4AFF0D" w14:textId="77777777" w:rsidR="00270067" w:rsidRPr="00846EF1" w:rsidRDefault="00270067" w:rsidP="00846EF1">
      <w:pPr>
        <w:spacing w:line="360" w:lineRule="auto"/>
        <w:rPr>
          <w:rFonts w:ascii="Arial" w:hAnsi="Arial" w:cs="Arial"/>
          <w:sz w:val="22"/>
          <w:szCs w:val="22"/>
        </w:rPr>
      </w:pPr>
      <w:r w:rsidRPr="00846EF1">
        <w:rPr>
          <w:rFonts w:ascii="Arial" w:hAnsi="Arial" w:cs="Arial"/>
          <w:sz w:val="22"/>
          <w:szCs w:val="22"/>
        </w:rPr>
        <w:t>The use of the case study approach allows for in-depth exploration of a subject within a natural context (Crowe et al., 2011). A case study has been defined as a study about a person, group of people or a unit with the aim of making generalisations about a subject of interest (Gustafsson, 2017). Stake (1995) identified three types of case study: instrumental, collective, and intrinsic. An instrumental case study uses one case to gain a wider appreciation of an issue or phenomenon. An intrinsic case study is usually to gain a deeper understanding of a ‘unique phenomenon’. The collective case study involves studying multiple cases concurrently. According to Stake (1995), the case study of focus within this assignment, is an instrumental case study. However, Stake (1995) does not identify the exploratory case study. Chopard and Przybylski (2021) define an exploratory case study as a way in which to explore a research question or phenomena in greater depth. Exploratory is therefore a more applicable description of the focus case study.</w:t>
      </w:r>
    </w:p>
    <w:p w14:paraId="1E278239" w14:textId="77777777" w:rsidR="00270067" w:rsidRPr="00846EF1" w:rsidRDefault="00270067" w:rsidP="00846EF1">
      <w:pPr>
        <w:spacing w:line="360" w:lineRule="auto"/>
        <w:rPr>
          <w:rFonts w:ascii="Arial" w:hAnsi="Arial" w:cs="Arial"/>
          <w:sz w:val="22"/>
          <w:szCs w:val="22"/>
        </w:rPr>
      </w:pPr>
    </w:p>
    <w:p w14:paraId="6CBB78C8" w14:textId="77777777" w:rsidR="00270067" w:rsidRPr="00846EF1" w:rsidRDefault="00270067" w:rsidP="00846EF1">
      <w:pPr>
        <w:spacing w:line="360" w:lineRule="auto"/>
        <w:rPr>
          <w:rFonts w:ascii="Arial" w:hAnsi="Arial" w:cs="Arial"/>
          <w:sz w:val="22"/>
          <w:szCs w:val="22"/>
        </w:rPr>
      </w:pPr>
      <w:r w:rsidRPr="00846EF1">
        <w:rPr>
          <w:rFonts w:ascii="Arial" w:hAnsi="Arial" w:cs="Arial"/>
          <w:sz w:val="22"/>
          <w:szCs w:val="22"/>
        </w:rPr>
        <w:t xml:space="preserve">Case studies are seen as a method used reduce bias within research due to the range of perspectives obtained (Salmon, 2017). Case studies are seen as a unique way to encourage new research (Mcleod, 2019). As a result, unique case studies can provide new insight in to issues or phenomena that may not be understood through other means. This is evident through the case study of Genie – a young girl who suffered extreme abuse and social deprivation throughout her childhood (Fromkin et al., 1974). However, Genie’s case also highlights some limitations of using case studies. Firstly, case studies may not be able to be replicated due to moral or ethical issues therefore instilling doubts into the accuracy of the findings in a general view. Additionally, it is important to consider the possibility of researcher bias. Researcher bias can be seen as a one’s own preconceived ideas on a subject affecting the outcome of the study (Pannucci and Wilkins, 2011). Heale and Twycross (2018) suggest </w:t>
      </w:r>
      <w:r w:rsidRPr="00846EF1">
        <w:rPr>
          <w:rFonts w:ascii="Arial" w:hAnsi="Arial" w:cs="Arial"/>
          <w:sz w:val="22"/>
          <w:szCs w:val="22"/>
        </w:rPr>
        <w:lastRenderedPageBreak/>
        <w:t xml:space="preserve">that an additional limitation of using case studies is the high volume of data produced. However, due to the small scale of this study, this is not an issue.   </w:t>
      </w:r>
    </w:p>
    <w:p w14:paraId="269C1215" w14:textId="4C6E783C" w:rsidR="003219EE" w:rsidRPr="00846EF1" w:rsidRDefault="003219EE" w:rsidP="00846EF1">
      <w:pPr>
        <w:spacing w:line="360" w:lineRule="auto"/>
        <w:rPr>
          <w:rFonts w:ascii="Arial" w:hAnsi="Arial" w:cs="Arial"/>
          <w:sz w:val="22"/>
          <w:szCs w:val="22"/>
        </w:rPr>
      </w:pPr>
    </w:p>
    <w:p w14:paraId="64BDF1C0"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 xml:space="preserve">Three research methods were chosen to explore the use of CT to develop social skills: observations, a questionnaire, and a group interview. Choosing three research methods refers to the data triangulation approach. Data triangulation refers to the use of more than two methods of data collection within one study to validate results (Hussein, 2009; Carter, 2014). Interviews and questionnaires are types of qualitative data collection methods commonly used in data triangulation (Carter et al., 2014). The term qualitative data can be defined as a linguistic or visual form of data collection used to understand a subject or phenomena (Flick, 2018). Qualitative data can therefore be used to generate richer data (McLeod, 2019). </w:t>
      </w:r>
    </w:p>
    <w:p w14:paraId="65F03701" w14:textId="77777777" w:rsidR="003401E0" w:rsidRPr="00846EF1" w:rsidRDefault="003401E0" w:rsidP="00846EF1">
      <w:pPr>
        <w:spacing w:line="360" w:lineRule="auto"/>
        <w:rPr>
          <w:rFonts w:ascii="Arial" w:hAnsi="Arial" w:cs="Arial"/>
          <w:sz w:val="22"/>
          <w:szCs w:val="22"/>
        </w:rPr>
      </w:pPr>
    </w:p>
    <w:p w14:paraId="4B7AFC8D"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 xml:space="preserve">Observations are a research method used primarily as a way of observing people within a natural environment or situation (Driscoll, 2011; Cohen, 2011). When observing people, there are two common ways of observing: a participant and non-participant observation. Participant observations refer to a researcher becoming involved within the community of the research. In contrast, during non-participant observations, the researcher does not interact with those being observed (Driscoll, 2011). </w:t>
      </w:r>
    </w:p>
    <w:p w14:paraId="4837893C" w14:textId="77777777" w:rsidR="003401E0" w:rsidRPr="00846EF1" w:rsidRDefault="003401E0" w:rsidP="00846EF1">
      <w:pPr>
        <w:spacing w:line="360" w:lineRule="auto"/>
        <w:rPr>
          <w:rFonts w:ascii="Arial" w:hAnsi="Arial" w:cs="Arial"/>
          <w:sz w:val="22"/>
          <w:szCs w:val="22"/>
        </w:rPr>
      </w:pPr>
    </w:p>
    <w:p w14:paraId="15989EBD"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 xml:space="preserve">The use of observations is seen as a quicker form of collecting data over a set period by the researcher (Cohen et al., 2013; Lambert, 2019). Cohen (2011) claims that the opportunity for a researcher to gather live data is a distinctive feature of observations. Positively, observations are seen as a flexible tool which can enable the researcher to access aspects of an environment not usually seen (Kawulich, 2012). Additionally, they can provide the opportunity to gather detailed information about a setting or subject (Kawulich,2012). Forman and Hall (2005) suggest that through observing children, their levels of social development can be learnt. This is particularly useful in context of the research question within this study. </w:t>
      </w:r>
    </w:p>
    <w:p w14:paraId="1B0E6745" w14:textId="77777777" w:rsidR="003401E0" w:rsidRPr="00846EF1" w:rsidRDefault="003401E0" w:rsidP="00846EF1">
      <w:pPr>
        <w:spacing w:line="360" w:lineRule="auto"/>
        <w:rPr>
          <w:rFonts w:ascii="Arial" w:hAnsi="Arial" w:cs="Arial"/>
          <w:sz w:val="22"/>
          <w:szCs w:val="22"/>
        </w:rPr>
      </w:pPr>
    </w:p>
    <w:p w14:paraId="129C74CC"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 xml:space="preserve">On the other hand, observations can also be disadvantageous. Firstly, the observer effect. The observer effect refers to the fact that a situation or phenomena being observed, changes it (Baclawski, 2018; Khakimova, 2019). Additionally, when conducting observations, it is easy for the researcher to miss key information through writing notes. </w:t>
      </w:r>
    </w:p>
    <w:p w14:paraId="17396877" w14:textId="77777777" w:rsidR="003401E0" w:rsidRPr="00846EF1" w:rsidRDefault="003401E0" w:rsidP="00846EF1">
      <w:pPr>
        <w:spacing w:line="360" w:lineRule="auto"/>
        <w:rPr>
          <w:rFonts w:ascii="Arial" w:hAnsi="Arial" w:cs="Arial"/>
          <w:sz w:val="22"/>
          <w:szCs w:val="22"/>
        </w:rPr>
      </w:pPr>
    </w:p>
    <w:p w14:paraId="1069531B"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 xml:space="preserve">Despite this, as previously mentioned, observations are useful within the context of this study. Whilst it is important to consider the limitations of this research tool, it is evident that </w:t>
      </w:r>
      <w:r w:rsidRPr="00846EF1">
        <w:rPr>
          <w:rFonts w:ascii="Arial" w:hAnsi="Arial" w:cs="Arial"/>
          <w:sz w:val="22"/>
          <w:szCs w:val="22"/>
        </w:rPr>
        <w:lastRenderedPageBreak/>
        <w:t xml:space="preserve">rich data can be gathered using this method for this study. Upon observation of the class routine, it was noticed that CT takes place at the same time each day. For this reason, it was not decided to create a specific observation schedule, rather to observe each CT session throughout the research period in order to gather most accurate data. </w:t>
      </w:r>
    </w:p>
    <w:p w14:paraId="33A5FD4A" w14:textId="77777777" w:rsidR="003401E0" w:rsidRPr="00846EF1" w:rsidRDefault="003401E0" w:rsidP="00846EF1">
      <w:pPr>
        <w:spacing w:line="360" w:lineRule="auto"/>
        <w:rPr>
          <w:rFonts w:ascii="Arial" w:hAnsi="Arial" w:cs="Arial"/>
          <w:sz w:val="22"/>
          <w:szCs w:val="22"/>
        </w:rPr>
      </w:pPr>
    </w:p>
    <w:p w14:paraId="01F2C87E"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 xml:space="preserve">In addition to observations, a staff questionnaire was another chosen research method. Questionnaires are seen as a useful research tool to generate both qualitative and quantitative data. Quantitative data uses numbers to quantify responses to a subject (Arghode, 2012). Driscoll (2011) states that questionnaires are particularly useful to uncover smaller details of information from a larger selection of people, with the premise of generalisation. The use of questionnaires introduces a set of standardised questions (Munn and Drever, 1990).  </w:t>
      </w:r>
    </w:p>
    <w:p w14:paraId="5A023D9F" w14:textId="77777777" w:rsidR="003401E0" w:rsidRPr="00846EF1" w:rsidRDefault="003401E0" w:rsidP="00846EF1">
      <w:pPr>
        <w:spacing w:line="360" w:lineRule="auto"/>
        <w:rPr>
          <w:rFonts w:ascii="Arial" w:hAnsi="Arial" w:cs="Arial"/>
          <w:sz w:val="22"/>
          <w:szCs w:val="22"/>
        </w:rPr>
      </w:pPr>
    </w:p>
    <w:p w14:paraId="2302F148"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 xml:space="preserve">Creating a questionnaire allows participants complete anonymity when answering (Driscoll,2011). Additionally, Patten (2016) states that questionnaires are an efficient way of collecting data, being extremely easy to analyse specifically when using online tools. Questionnaires are also an easy way of collecting sensitive data that participants may not feel comfortable disclosing within an interview situation (Patten, 2016). Furthermore, completing a questionnaire ensures that participants cannot be probed for further information therefore decreasing the pressure to complete (Munn and Drever, 1990). </w:t>
      </w:r>
    </w:p>
    <w:p w14:paraId="42EF0C95" w14:textId="77777777" w:rsidR="003401E0" w:rsidRPr="00846EF1" w:rsidRDefault="003401E0" w:rsidP="00846EF1">
      <w:pPr>
        <w:spacing w:line="360" w:lineRule="auto"/>
        <w:rPr>
          <w:rFonts w:ascii="Arial" w:hAnsi="Arial" w:cs="Arial"/>
          <w:sz w:val="22"/>
          <w:szCs w:val="22"/>
        </w:rPr>
      </w:pPr>
    </w:p>
    <w:p w14:paraId="67C27729"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 xml:space="preserve">That said, Munn and Drever (1990) also suggest that the information collected from a questionnaire could be superficial. This poses a risk of not collecting viable data to use within the study. Additionally, it is suggested that response rates to questionnaires are usually low (Driscoll, 2011). However, due to the nature of the school context of the study, there is only one available teacher to answer the questionnaire, signalling a small response beforehand. The five questions included within the questionnaire chosen for this study (Appendix 1) included a mixture of closed, open and tick box questions. Using mixed methods of data collection aid in gathering successful data (Cohen et al., 2018). The choice to include five questions within this study was based upon being time efficient for the participant. The questions were posed to gather rich data in as minimal questions as possible. In doing so, this would reduce the risk of respondent fatigue. Respondent fatigue refers to the idea of responses becoming less relevant throughout, or participants prematurely completing the questionnaire (O’Reilly-Shah, 2017). </w:t>
      </w:r>
    </w:p>
    <w:p w14:paraId="2A62413A" w14:textId="77777777" w:rsidR="003401E0" w:rsidRPr="00846EF1" w:rsidRDefault="003401E0" w:rsidP="00846EF1">
      <w:pPr>
        <w:spacing w:line="360" w:lineRule="auto"/>
        <w:rPr>
          <w:rFonts w:ascii="Arial" w:hAnsi="Arial" w:cs="Arial"/>
          <w:sz w:val="22"/>
          <w:szCs w:val="22"/>
        </w:rPr>
      </w:pPr>
    </w:p>
    <w:p w14:paraId="166D260A"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 xml:space="preserve">The final chosen research method was a group interview. Due to the age of the pupils involved within the research, a group interview was preferred over a single person. </w:t>
      </w:r>
      <w:r w:rsidRPr="00846EF1">
        <w:rPr>
          <w:rFonts w:ascii="Arial" w:hAnsi="Arial" w:cs="Arial"/>
          <w:sz w:val="22"/>
          <w:szCs w:val="22"/>
        </w:rPr>
        <w:lastRenderedPageBreak/>
        <w:t xml:space="preserve">Interviews can be used as a tool to gather in-depth data from a participant (Driscoll, 2011). There are three main types of interviews: structured, semi-structured and unstructured (Jamshed, 2014). For the study undertaken, a semi-structured approach has been chosen to allow pupils the freedom of discussion where appropriate. </w:t>
      </w:r>
    </w:p>
    <w:p w14:paraId="74590A8C" w14:textId="77777777" w:rsidR="003401E0" w:rsidRPr="00846EF1" w:rsidRDefault="003401E0" w:rsidP="00846EF1">
      <w:pPr>
        <w:spacing w:line="360" w:lineRule="auto"/>
        <w:rPr>
          <w:rFonts w:ascii="Arial" w:hAnsi="Arial" w:cs="Arial"/>
          <w:sz w:val="22"/>
          <w:szCs w:val="22"/>
        </w:rPr>
      </w:pPr>
    </w:p>
    <w:p w14:paraId="16F6908D"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The use of group interviews as a research method has both advantages and disadvantages in comparison to single person interviews. Firstly, group interviews are both cost and time efficient. Additionally, multiple participants generate discussions therefore providing richer data (Cohen et al., 2018). Within an education setting, choosing one group interview over several individuals ensures minimal disruption to the class (Cohen et al., 2018).</w:t>
      </w:r>
    </w:p>
    <w:p w14:paraId="0C143616" w14:textId="77777777" w:rsidR="003401E0" w:rsidRPr="00846EF1" w:rsidRDefault="003401E0" w:rsidP="00846EF1">
      <w:pPr>
        <w:spacing w:line="360" w:lineRule="auto"/>
        <w:rPr>
          <w:rFonts w:ascii="Arial" w:hAnsi="Arial" w:cs="Arial"/>
          <w:sz w:val="22"/>
          <w:szCs w:val="22"/>
        </w:rPr>
      </w:pPr>
    </w:p>
    <w:p w14:paraId="7E6B9AB1"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 xml:space="preserve">On the other hand, interviews generally provide a lack of generalisation due to small sample sizes (Shoaf and Shoaf, 2006). This said, the sample chosen within class was representative of the class therefore a fair generalisation within the study context. Additionally, group interviews could discourage individuals to speak their thoughts if it differs from the majority of the group (Cohen et al., 2018). Similarly, dependent on the personality mixes within the sample, one person could dominate within a group (Cohen et al., 2018). </w:t>
      </w:r>
    </w:p>
    <w:p w14:paraId="011A7B0E" w14:textId="77777777" w:rsidR="003401E0" w:rsidRPr="00846EF1" w:rsidRDefault="003401E0" w:rsidP="00846EF1">
      <w:pPr>
        <w:spacing w:line="360" w:lineRule="auto"/>
        <w:rPr>
          <w:rFonts w:ascii="Arial" w:hAnsi="Arial" w:cs="Arial"/>
          <w:sz w:val="22"/>
          <w:szCs w:val="22"/>
        </w:rPr>
      </w:pPr>
    </w:p>
    <w:p w14:paraId="6FEF7A36" w14:textId="77777777" w:rsidR="003401E0" w:rsidRPr="00846EF1" w:rsidRDefault="003401E0" w:rsidP="00846EF1">
      <w:pPr>
        <w:spacing w:line="360" w:lineRule="auto"/>
        <w:rPr>
          <w:rFonts w:ascii="Arial" w:hAnsi="Arial" w:cs="Arial"/>
          <w:sz w:val="22"/>
          <w:szCs w:val="22"/>
        </w:rPr>
      </w:pPr>
      <w:r w:rsidRPr="00846EF1">
        <w:rPr>
          <w:rFonts w:ascii="Arial" w:hAnsi="Arial" w:cs="Arial"/>
          <w:sz w:val="22"/>
          <w:szCs w:val="22"/>
        </w:rPr>
        <w:t xml:space="preserve">Similarly to the questionnaire, minimal questions were chosen to include within the interview process. Due to the young age of the participants, holding attention for extended periods of time proves difficult. Although the location of the interviews stated outside of the classroom environment within the ethics form (Appendix 5), this was not appropriate during the study. Instead, a group discussion took place during CT with focus on the questions intended for interview use. </w:t>
      </w:r>
    </w:p>
    <w:p w14:paraId="078A6E81" w14:textId="77777777" w:rsidR="003401E0" w:rsidRPr="00846EF1" w:rsidRDefault="003401E0" w:rsidP="00846EF1">
      <w:pPr>
        <w:spacing w:line="360" w:lineRule="auto"/>
        <w:rPr>
          <w:rFonts w:ascii="Arial" w:hAnsi="Arial" w:cs="Arial"/>
          <w:sz w:val="22"/>
          <w:szCs w:val="22"/>
        </w:rPr>
      </w:pPr>
    </w:p>
    <w:p w14:paraId="3120B75B" w14:textId="6D94F43A" w:rsidR="00B87F31" w:rsidRPr="00846EF1" w:rsidRDefault="00B87F31" w:rsidP="00846EF1">
      <w:pPr>
        <w:spacing w:line="360" w:lineRule="auto"/>
        <w:rPr>
          <w:rFonts w:ascii="Arial" w:hAnsi="Arial" w:cs="Arial"/>
          <w:sz w:val="22"/>
          <w:szCs w:val="22"/>
        </w:rPr>
      </w:pPr>
      <w:r w:rsidRPr="00846EF1">
        <w:rPr>
          <w:rFonts w:ascii="Arial" w:hAnsi="Arial" w:cs="Arial"/>
          <w:sz w:val="22"/>
          <w:szCs w:val="22"/>
        </w:rPr>
        <w:t>Analysis of data is key to ensuring research is credible (Maguire and Delahunt, 2017). Cohen et al (2011) state that the method used to analyse data should meet the aims of the initial research question. Thematic analysis is a method used to identify patterns or themes within qualitative data (Maguire and Delahunt, 2017). Thematic analysis method has been suggested as the first method that should be learne</w:t>
      </w:r>
      <w:r w:rsidR="00132B47" w:rsidRPr="00846EF1">
        <w:rPr>
          <w:rFonts w:ascii="Arial" w:hAnsi="Arial" w:cs="Arial"/>
          <w:sz w:val="22"/>
          <w:szCs w:val="22"/>
        </w:rPr>
        <w:t>d</w:t>
      </w:r>
      <w:r w:rsidRPr="00846EF1">
        <w:rPr>
          <w:rFonts w:ascii="Arial" w:hAnsi="Arial" w:cs="Arial"/>
          <w:sz w:val="22"/>
          <w:szCs w:val="22"/>
        </w:rPr>
        <w:t xml:space="preserve">, as it encourages skills that are transferable in conducting other types of analysis (Braun and Clarke, 2006). This implies that novice researchers may benefit from using this form of analysis. Braun and Clarke (2006) have outlined six steps as a guide for conducting thematic analysis (Appendix </w:t>
      </w:r>
      <w:r w:rsidR="00A149EE" w:rsidRPr="00846EF1">
        <w:rPr>
          <w:rFonts w:ascii="Arial" w:hAnsi="Arial" w:cs="Arial"/>
          <w:sz w:val="22"/>
          <w:szCs w:val="22"/>
        </w:rPr>
        <w:t>3</w:t>
      </w:r>
      <w:r w:rsidRPr="00846EF1">
        <w:rPr>
          <w:rFonts w:ascii="Arial" w:hAnsi="Arial" w:cs="Arial"/>
          <w:sz w:val="22"/>
          <w:szCs w:val="22"/>
        </w:rPr>
        <w:t>). Maguire and Delahunt (2017) suggest that these steps for analysis can be non-linear, specifically when working with a high volume of complex data. As this is a small-scale study, the steps for analysis can be followed chronologically.</w:t>
      </w:r>
    </w:p>
    <w:p w14:paraId="4F26DC66" w14:textId="77777777" w:rsidR="00B87F31" w:rsidRPr="00846EF1" w:rsidRDefault="00B87F31" w:rsidP="00846EF1">
      <w:pPr>
        <w:spacing w:line="360" w:lineRule="auto"/>
        <w:rPr>
          <w:rFonts w:ascii="Arial" w:hAnsi="Arial" w:cs="Arial"/>
          <w:sz w:val="22"/>
          <w:szCs w:val="22"/>
        </w:rPr>
      </w:pPr>
    </w:p>
    <w:p w14:paraId="20E213B1" w14:textId="0CCADBD3" w:rsidR="00B87F31" w:rsidRPr="00846EF1" w:rsidRDefault="00B87F31" w:rsidP="00846EF1">
      <w:pPr>
        <w:spacing w:line="360" w:lineRule="auto"/>
        <w:rPr>
          <w:rFonts w:ascii="Arial" w:hAnsi="Arial" w:cs="Arial"/>
          <w:sz w:val="22"/>
          <w:szCs w:val="22"/>
        </w:rPr>
      </w:pPr>
      <w:r w:rsidRPr="00846EF1">
        <w:rPr>
          <w:rFonts w:ascii="Arial" w:hAnsi="Arial" w:cs="Arial"/>
          <w:sz w:val="22"/>
          <w:szCs w:val="22"/>
        </w:rPr>
        <w:lastRenderedPageBreak/>
        <w:t xml:space="preserve"> When analysing data, it is vital to consider researcher positionality, including its possible effect</w:t>
      </w:r>
      <w:r w:rsidR="00713701" w:rsidRPr="00846EF1">
        <w:rPr>
          <w:rFonts w:ascii="Arial" w:hAnsi="Arial" w:cs="Arial"/>
          <w:sz w:val="22"/>
          <w:szCs w:val="22"/>
        </w:rPr>
        <w:t xml:space="preserve"> </w:t>
      </w:r>
      <w:r w:rsidRPr="00846EF1">
        <w:rPr>
          <w:rFonts w:ascii="Arial" w:hAnsi="Arial" w:cs="Arial"/>
          <w:sz w:val="22"/>
          <w:szCs w:val="22"/>
        </w:rPr>
        <w:t xml:space="preserve">on results. The term ‘researcher positionality’ refers to the position of a researcher within a study (Holmes, 2020). Savin-Baden &amp; Major (2013) outlined three ways of identifying researcher positionality. Where the researcher stands in terms of personal position to influence the research was one of highest relevance within this research study. As a student teacher based within the classroom of study, this </w:t>
      </w:r>
      <w:r w:rsidR="00157E8D" w:rsidRPr="00846EF1">
        <w:rPr>
          <w:rFonts w:ascii="Arial" w:hAnsi="Arial" w:cs="Arial"/>
          <w:sz w:val="22"/>
          <w:szCs w:val="22"/>
        </w:rPr>
        <w:t xml:space="preserve">position </w:t>
      </w:r>
      <w:r w:rsidRPr="00846EF1">
        <w:rPr>
          <w:rFonts w:ascii="Arial" w:hAnsi="Arial" w:cs="Arial"/>
          <w:sz w:val="22"/>
          <w:szCs w:val="22"/>
        </w:rPr>
        <w:t>had to be considered when analysing data. Within this authoritative position as a researcher, it was vital to ensure trustworthiness of data. There are four ways of ensuring trustworthiness of data: credibility, transferability, dependability, and confirmability (Shenton, 2004; Nowell et al., 2017).</w:t>
      </w:r>
    </w:p>
    <w:p w14:paraId="1C1A3097" w14:textId="77777777" w:rsidR="00B87F31" w:rsidRPr="00846EF1" w:rsidRDefault="00B87F31" w:rsidP="00846EF1">
      <w:pPr>
        <w:spacing w:line="360" w:lineRule="auto"/>
        <w:rPr>
          <w:rFonts w:ascii="Arial" w:hAnsi="Arial" w:cs="Arial"/>
          <w:sz w:val="22"/>
          <w:szCs w:val="22"/>
        </w:rPr>
      </w:pPr>
    </w:p>
    <w:p w14:paraId="33C6C8AE" w14:textId="77777777" w:rsidR="00B87F31" w:rsidRPr="00846EF1" w:rsidRDefault="00B87F31" w:rsidP="00846EF1">
      <w:pPr>
        <w:spacing w:line="360" w:lineRule="auto"/>
        <w:rPr>
          <w:rFonts w:ascii="Arial" w:hAnsi="Arial" w:cs="Arial"/>
          <w:sz w:val="22"/>
          <w:szCs w:val="22"/>
        </w:rPr>
      </w:pPr>
      <w:r w:rsidRPr="00846EF1">
        <w:rPr>
          <w:rFonts w:ascii="Arial" w:hAnsi="Arial" w:cs="Arial"/>
          <w:sz w:val="22"/>
          <w:szCs w:val="22"/>
        </w:rPr>
        <w:t xml:space="preserve">Data triangulation is a way of ensuring credibility of data which, as previously mentioned, has been used within this study (Shenton, 2004). Shenton (2004) also recognises the use of well-established methods as a way of promoting credibility. Within this study three common research methods have been adopted. Transferability refers to whether the findings of a study could be transferred to another situation (Shenton, 2004). As a small-scale study, replication within a different context would be straight-forward; especially when considering that CT is a well-researched method, as evident within the literature above. </w:t>
      </w:r>
    </w:p>
    <w:p w14:paraId="6C0D7B0C" w14:textId="77777777" w:rsidR="00B87F31" w:rsidRPr="00846EF1" w:rsidRDefault="00B87F31" w:rsidP="00846EF1">
      <w:pPr>
        <w:spacing w:line="360" w:lineRule="auto"/>
        <w:rPr>
          <w:rFonts w:ascii="Arial" w:hAnsi="Arial" w:cs="Arial"/>
          <w:sz w:val="22"/>
          <w:szCs w:val="22"/>
        </w:rPr>
      </w:pPr>
    </w:p>
    <w:p w14:paraId="5C367245" w14:textId="77777777" w:rsidR="00B87F31" w:rsidRPr="00846EF1" w:rsidRDefault="00B87F31" w:rsidP="00846EF1">
      <w:pPr>
        <w:spacing w:line="360" w:lineRule="auto"/>
        <w:rPr>
          <w:rFonts w:ascii="Arial" w:hAnsi="Arial" w:cs="Arial"/>
          <w:sz w:val="22"/>
          <w:szCs w:val="22"/>
        </w:rPr>
      </w:pPr>
      <w:r w:rsidRPr="00846EF1">
        <w:rPr>
          <w:rFonts w:ascii="Arial" w:hAnsi="Arial" w:cs="Arial"/>
          <w:sz w:val="22"/>
          <w:szCs w:val="22"/>
        </w:rPr>
        <w:t xml:space="preserve">Shenton (2004) describes dependability as whether similar results would be evident if a study was precisely replicated. Although not applicable within this research study, if required, the study could be replicated. </w:t>
      </w:r>
    </w:p>
    <w:p w14:paraId="2FCAA519" w14:textId="77777777" w:rsidR="00B87F31" w:rsidRPr="00846EF1" w:rsidRDefault="00B87F31" w:rsidP="00846EF1">
      <w:pPr>
        <w:spacing w:line="360" w:lineRule="auto"/>
        <w:rPr>
          <w:rFonts w:ascii="Arial" w:hAnsi="Arial" w:cs="Arial"/>
          <w:sz w:val="22"/>
          <w:szCs w:val="22"/>
        </w:rPr>
      </w:pPr>
    </w:p>
    <w:p w14:paraId="0C2C765E" w14:textId="77777777" w:rsidR="00B87F31" w:rsidRPr="00846EF1" w:rsidRDefault="00B87F31" w:rsidP="00846EF1">
      <w:pPr>
        <w:spacing w:line="360" w:lineRule="auto"/>
        <w:rPr>
          <w:rFonts w:ascii="Arial" w:hAnsi="Arial" w:cs="Arial"/>
          <w:sz w:val="22"/>
          <w:szCs w:val="22"/>
        </w:rPr>
      </w:pPr>
      <w:r w:rsidRPr="00846EF1">
        <w:rPr>
          <w:rFonts w:ascii="Arial" w:hAnsi="Arial" w:cs="Arial"/>
          <w:sz w:val="22"/>
          <w:szCs w:val="22"/>
        </w:rPr>
        <w:t>Confirmability simply refers to whether data could be confirmed by other researchers (Shenton, 2004). Shenton (2004) emphasises the importance of data triangulation in promoting confirmability. Data triangulation, as previously mentioned, is being used within this study.</w:t>
      </w:r>
    </w:p>
    <w:p w14:paraId="53FD227B" w14:textId="77777777" w:rsidR="00B87F31" w:rsidRPr="00846EF1" w:rsidRDefault="00B87F31" w:rsidP="00846EF1">
      <w:pPr>
        <w:spacing w:line="360" w:lineRule="auto"/>
        <w:rPr>
          <w:rFonts w:ascii="Arial" w:hAnsi="Arial" w:cs="Arial"/>
          <w:sz w:val="22"/>
          <w:szCs w:val="22"/>
        </w:rPr>
      </w:pPr>
    </w:p>
    <w:p w14:paraId="3F2B971C" w14:textId="5EAFAA0F" w:rsidR="003D7D8A" w:rsidRPr="00846EF1" w:rsidRDefault="00895ED2" w:rsidP="00846EF1">
      <w:pPr>
        <w:spacing w:line="360" w:lineRule="auto"/>
        <w:rPr>
          <w:rFonts w:ascii="Arial" w:hAnsi="Arial" w:cs="Arial"/>
          <w:sz w:val="22"/>
          <w:szCs w:val="22"/>
        </w:rPr>
      </w:pPr>
      <w:r w:rsidRPr="00846EF1">
        <w:rPr>
          <w:rFonts w:ascii="Arial" w:hAnsi="Arial" w:cs="Arial"/>
          <w:sz w:val="22"/>
          <w:szCs w:val="22"/>
        </w:rPr>
        <w:t xml:space="preserve">All possible </w:t>
      </w:r>
      <w:r w:rsidR="003D7D8A" w:rsidRPr="00846EF1">
        <w:rPr>
          <w:rFonts w:ascii="Arial" w:hAnsi="Arial" w:cs="Arial"/>
          <w:sz w:val="22"/>
          <w:szCs w:val="22"/>
        </w:rPr>
        <w:t xml:space="preserve">ethical </w:t>
      </w:r>
      <w:r w:rsidRPr="00846EF1">
        <w:rPr>
          <w:rFonts w:ascii="Arial" w:hAnsi="Arial" w:cs="Arial"/>
          <w:sz w:val="22"/>
          <w:szCs w:val="22"/>
        </w:rPr>
        <w:t xml:space="preserve">issues are vital to consider </w:t>
      </w:r>
      <w:r w:rsidR="003D7D8A" w:rsidRPr="00846EF1">
        <w:rPr>
          <w:rFonts w:ascii="Arial" w:hAnsi="Arial" w:cs="Arial"/>
          <w:sz w:val="22"/>
          <w:szCs w:val="22"/>
        </w:rPr>
        <w:t xml:space="preserve">before conducting research, particularly when working with young children. </w:t>
      </w:r>
      <w:r w:rsidR="002B5AC1" w:rsidRPr="00846EF1">
        <w:rPr>
          <w:rFonts w:ascii="Arial" w:hAnsi="Arial" w:cs="Arial"/>
          <w:sz w:val="22"/>
          <w:szCs w:val="22"/>
        </w:rPr>
        <w:t xml:space="preserve">As briefly mentioned, BERA (2018) have released guidelines for educational research which researchers should adhere to. </w:t>
      </w:r>
      <w:r w:rsidR="0028056F" w:rsidRPr="00846EF1">
        <w:rPr>
          <w:rFonts w:ascii="Arial" w:hAnsi="Arial" w:cs="Arial"/>
          <w:sz w:val="22"/>
          <w:szCs w:val="22"/>
        </w:rPr>
        <w:t xml:space="preserve">As part of the university guidelines, an ethics form </w:t>
      </w:r>
      <w:r w:rsidR="00CF2A0B" w:rsidRPr="00846EF1">
        <w:rPr>
          <w:rFonts w:ascii="Arial" w:hAnsi="Arial" w:cs="Arial"/>
          <w:sz w:val="22"/>
          <w:szCs w:val="22"/>
        </w:rPr>
        <w:t xml:space="preserve">(Appendix </w:t>
      </w:r>
      <w:r w:rsidR="001A7162" w:rsidRPr="00846EF1">
        <w:rPr>
          <w:rFonts w:ascii="Arial" w:hAnsi="Arial" w:cs="Arial"/>
          <w:sz w:val="22"/>
          <w:szCs w:val="22"/>
        </w:rPr>
        <w:t>4)</w:t>
      </w:r>
      <w:r w:rsidR="00CF2A0B" w:rsidRPr="00846EF1">
        <w:rPr>
          <w:rFonts w:ascii="Arial" w:hAnsi="Arial" w:cs="Arial"/>
          <w:sz w:val="22"/>
          <w:szCs w:val="22"/>
        </w:rPr>
        <w:t xml:space="preserve"> ha</w:t>
      </w:r>
      <w:r w:rsidR="000E3334" w:rsidRPr="00846EF1">
        <w:rPr>
          <w:rFonts w:ascii="Arial" w:hAnsi="Arial" w:cs="Arial"/>
          <w:sz w:val="22"/>
          <w:szCs w:val="22"/>
        </w:rPr>
        <w:t>d</w:t>
      </w:r>
      <w:r w:rsidR="00CF2A0B" w:rsidRPr="00846EF1">
        <w:rPr>
          <w:rFonts w:ascii="Arial" w:hAnsi="Arial" w:cs="Arial"/>
          <w:sz w:val="22"/>
          <w:szCs w:val="22"/>
        </w:rPr>
        <w:t xml:space="preserve"> been</w:t>
      </w:r>
      <w:r w:rsidR="0028056F" w:rsidRPr="00846EF1">
        <w:rPr>
          <w:rFonts w:ascii="Arial" w:hAnsi="Arial" w:cs="Arial"/>
          <w:sz w:val="22"/>
          <w:szCs w:val="22"/>
        </w:rPr>
        <w:t xml:space="preserve"> completed prior to conducting research</w:t>
      </w:r>
      <w:r w:rsidR="000E3334" w:rsidRPr="00846EF1">
        <w:rPr>
          <w:rFonts w:ascii="Arial" w:hAnsi="Arial" w:cs="Arial"/>
          <w:sz w:val="22"/>
          <w:szCs w:val="22"/>
        </w:rPr>
        <w:t>,</w:t>
      </w:r>
      <w:r w:rsidR="0028056F" w:rsidRPr="00846EF1">
        <w:rPr>
          <w:rFonts w:ascii="Arial" w:hAnsi="Arial" w:cs="Arial"/>
          <w:sz w:val="22"/>
          <w:szCs w:val="22"/>
        </w:rPr>
        <w:t xml:space="preserve"> </w:t>
      </w:r>
      <w:r w:rsidR="002B5AC1" w:rsidRPr="00846EF1">
        <w:rPr>
          <w:rFonts w:ascii="Arial" w:hAnsi="Arial" w:cs="Arial"/>
          <w:sz w:val="22"/>
          <w:szCs w:val="22"/>
        </w:rPr>
        <w:t>in order to</w:t>
      </w:r>
      <w:r w:rsidR="0028056F" w:rsidRPr="00846EF1">
        <w:rPr>
          <w:rFonts w:ascii="Arial" w:hAnsi="Arial" w:cs="Arial"/>
          <w:sz w:val="22"/>
          <w:szCs w:val="22"/>
        </w:rPr>
        <w:t xml:space="preserve"> </w:t>
      </w:r>
      <w:r w:rsidRPr="00846EF1">
        <w:rPr>
          <w:rFonts w:ascii="Arial" w:hAnsi="Arial" w:cs="Arial"/>
          <w:sz w:val="22"/>
          <w:szCs w:val="22"/>
        </w:rPr>
        <w:t xml:space="preserve">ensure there </w:t>
      </w:r>
      <w:r w:rsidR="000E3334" w:rsidRPr="00846EF1">
        <w:rPr>
          <w:rFonts w:ascii="Arial" w:hAnsi="Arial" w:cs="Arial"/>
          <w:sz w:val="22"/>
          <w:szCs w:val="22"/>
        </w:rPr>
        <w:t>were</w:t>
      </w:r>
      <w:r w:rsidRPr="00846EF1">
        <w:rPr>
          <w:rFonts w:ascii="Arial" w:hAnsi="Arial" w:cs="Arial"/>
          <w:sz w:val="22"/>
          <w:szCs w:val="22"/>
        </w:rPr>
        <w:t xml:space="preserve"> no </w:t>
      </w:r>
      <w:r w:rsidR="000E3334" w:rsidRPr="00846EF1">
        <w:rPr>
          <w:rFonts w:ascii="Arial" w:hAnsi="Arial" w:cs="Arial"/>
          <w:sz w:val="22"/>
          <w:szCs w:val="22"/>
        </w:rPr>
        <w:t>ethical</w:t>
      </w:r>
      <w:r w:rsidRPr="00846EF1">
        <w:rPr>
          <w:rFonts w:ascii="Arial" w:hAnsi="Arial" w:cs="Arial"/>
          <w:sz w:val="22"/>
          <w:szCs w:val="22"/>
        </w:rPr>
        <w:t xml:space="preserve"> issues with the planned research. </w:t>
      </w:r>
    </w:p>
    <w:p w14:paraId="6F5F5508" w14:textId="77777777" w:rsidR="00B71F88" w:rsidRPr="00846EF1" w:rsidRDefault="00B71F88" w:rsidP="00846EF1">
      <w:pPr>
        <w:spacing w:line="360" w:lineRule="auto"/>
        <w:rPr>
          <w:rFonts w:ascii="Arial" w:hAnsi="Arial" w:cs="Arial"/>
          <w:sz w:val="22"/>
          <w:szCs w:val="22"/>
        </w:rPr>
      </w:pPr>
    </w:p>
    <w:p w14:paraId="1EF0E546" w14:textId="7C0C117B" w:rsidR="00CE1AC1" w:rsidRPr="00846EF1" w:rsidRDefault="00755AA1" w:rsidP="00846EF1">
      <w:pPr>
        <w:spacing w:line="360" w:lineRule="auto"/>
        <w:rPr>
          <w:rFonts w:ascii="Arial" w:hAnsi="Arial" w:cs="Arial"/>
          <w:sz w:val="22"/>
          <w:szCs w:val="22"/>
        </w:rPr>
      </w:pPr>
      <w:r w:rsidRPr="00846EF1">
        <w:rPr>
          <w:rFonts w:ascii="Arial" w:hAnsi="Arial" w:cs="Arial"/>
          <w:sz w:val="22"/>
          <w:szCs w:val="22"/>
        </w:rPr>
        <w:t xml:space="preserve">BERA (2018) </w:t>
      </w:r>
      <w:r w:rsidR="00E32DDA" w:rsidRPr="00846EF1">
        <w:rPr>
          <w:rFonts w:ascii="Arial" w:hAnsi="Arial" w:cs="Arial"/>
          <w:sz w:val="22"/>
          <w:szCs w:val="22"/>
        </w:rPr>
        <w:t xml:space="preserve">state that a researcher must have obtained consent before conducting research as well as ensuring all participants </w:t>
      </w:r>
      <w:r w:rsidR="000E3334" w:rsidRPr="00846EF1">
        <w:rPr>
          <w:rFonts w:ascii="Arial" w:hAnsi="Arial" w:cs="Arial"/>
          <w:sz w:val="22"/>
          <w:szCs w:val="22"/>
        </w:rPr>
        <w:t>are aware of their</w:t>
      </w:r>
      <w:r w:rsidR="00E32DDA" w:rsidRPr="00846EF1">
        <w:rPr>
          <w:rFonts w:ascii="Arial" w:hAnsi="Arial" w:cs="Arial"/>
          <w:sz w:val="22"/>
          <w:szCs w:val="22"/>
        </w:rPr>
        <w:t xml:space="preserve"> right to withdraw</w:t>
      </w:r>
      <w:r w:rsidR="00A00CAB" w:rsidRPr="00846EF1">
        <w:rPr>
          <w:rFonts w:ascii="Arial" w:hAnsi="Arial" w:cs="Arial"/>
          <w:sz w:val="22"/>
          <w:szCs w:val="22"/>
        </w:rPr>
        <w:t xml:space="preserve">. </w:t>
      </w:r>
      <w:r w:rsidR="00CE1AC1" w:rsidRPr="00846EF1">
        <w:rPr>
          <w:rFonts w:ascii="Arial" w:hAnsi="Arial" w:cs="Arial"/>
          <w:sz w:val="22"/>
          <w:szCs w:val="22"/>
        </w:rPr>
        <w:t xml:space="preserve">Ensuring the research adhered to these guidelines, the questionnaire </w:t>
      </w:r>
      <w:r w:rsidR="0033381E" w:rsidRPr="00846EF1">
        <w:rPr>
          <w:rFonts w:ascii="Arial" w:hAnsi="Arial" w:cs="Arial"/>
          <w:sz w:val="22"/>
          <w:szCs w:val="22"/>
        </w:rPr>
        <w:t>included a section explaining it is voluntary</w:t>
      </w:r>
      <w:r w:rsidR="00447B37" w:rsidRPr="00846EF1">
        <w:rPr>
          <w:rFonts w:ascii="Arial" w:hAnsi="Arial" w:cs="Arial"/>
          <w:sz w:val="22"/>
          <w:szCs w:val="22"/>
        </w:rPr>
        <w:t xml:space="preserve">. </w:t>
      </w:r>
      <w:r w:rsidR="00233F4A" w:rsidRPr="00846EF1">
        <w:rPr>
          <w:rFonts w:ascii="Arial" w:hAnsi="Arial" w:cs="Arial"/>
          <w:sz w:val="22"/>
          <w:szCs w:val="22"/>
        </w:rPr>
        <w:t>This section also</w:t>
      </w:r>
      <w:r w:rsidR="00897C1F" w:rsidRPr="00846EF1">
        <w:rPr>
          <w:rFonts w:ascii="Arial" w:hAnsi="Arial" w:cs="Arial"/>
          <w:sz w:val="22"/>
          <w:szCs w:val="22"/>
        </w:rPr>
        <w:t xml:space="preserve"> explained that al</w:t>
      </w:r>
      <w:r w:rsidR="00233F4A" w:rsidRPr="00846EF1">
        <w:rPr>
          <w:rFonts w:ascii="Arial" w:hAnsi="Arial" w:cs="Arial"/>
          <w:sz w:val="22"/>
          <w:szCs w:val="22"/>
        </w:rPr>
        <w:t>l i</w:t>
      </w:r>
      <w:r w:rsidR="00897C1F" w:rsidRPr="00846EF1">
        <w:rPr>
          <w:rFonts w:ascii="Arial" w:hAnsi="Arial" w:cs="Arial"/>
          <w:sz w:val="22"/>
          <w:szCs w:val="22"/>
        </w:rPr>
        <w:t>nformation disclosed</w:t>
      </w:r>
      <w:r w:rsidR="00233F4A" w:rsidRPr="00846EF1">
        <w:rPr>
          <w:rFonts w:ascii="Arial" w:hAnsi="Arial" w:cs="Arial"/>
          <w:sz w:val="22"/>
          <w:szCs w:val="22"/>
        </w:rPr>
        <w:t xml:space="preserve"> within the </w:t>
      </w:r>
      <w:r w:rsidR="00233F4A" w:rsidRPr="00846EF1">
        <w:rPr>
          <w:rFonts w:ascii="Arial" w:hAnsi="Arial" w:cs="Arial"/>
          <w:sz w:val="22"/>
          <w:szCs w:val="22"/>
        </w:rPr>
        <w:lastRenderedPageBreak/>
        <w:t>questionnaire</w:t>
      </w:r>
      <w:r w:rsidR="00897C1F" w:rsidRPr="00846EF1">
        <w:rPr>
          <w:rFonts w:ascii="Arial" w:hAnsi="Arial" w:cs="Arial"/>
          <w:sz w:val="22"/>
          <w:szCs w:val="22"/>
        </w:rPr>
        <w:t xml:space="preserve"> is kept confidential, being used solely for the purpose of a university assignment. </w:t>
      </w:r>
      <w:r w:rsidR="00447B37" w:rsidRPr="00846EF1">
        <w:rPr>
          <w:rFonts w:ascii="Arial" w:hAnsi="Arial" w:cs="Arial"/>
          <w:sz w:val="22"/>
          <w:szCs w:val="22"/>
        </w:rPr>
        <w:t>If</w:t>
      </w:r>
      <w:r w:rsidR="00C75D43" w:rsidRPr="00846EF1">
        <w:rPr>
          <w:rFonts w:ascii="Arial" w:hAnsi="Arial" w:cs="Arial"/>
          <w:sz w:val="22"/>
          <w:szCs w:val="22"/>
        </w:rPr>
        <w:t xml:space="preserve"> the participant wished to withdraw during any point of the research</w:t>
      </w:r>
      <w:r w:rsidR="00447B37" w:rsidRPr="00846EF1">
        <w:rPr>
          <w:rFonts w:ascii="Arial" w:hAnsi="Arial" w:cs="Arial"/>
          <w:sz w:val="22"/>
          <w:szCs w:val="22"/>
        </w:rPr>
        <w:t xml:space="preserve">, including </w:t>
      </w:r>
      <w:r w:rsidR="004061AE" w:rsidRPr="00846EF1">
        <w:rPr>
          <w:rFonts w:ascii="Arial" w:hAnsi="Arial" w:cs="Arial"/>
          <w:sz w:val="22"/>
          <w:szCs w:val="22"/>
        </w:rPr>
        <w:t>after completion</w:t>
      </w:r>
      <w:r w:rsidR="001341CF" w:rsidRPr="00846EF1">
        <w:rPr>
          <w:rFonts w:ascii="Arial" w:hAnsi="Arial" w:cs="Arial"/>
          <w:sz w:val="22"/>
          <w:szCs w:val="22"/>
        </w:rPr>
        <w:t xml:space="preserve">, all data would be discarded to respect their wishes. </w:t>
      </w:r>
      <w:r w:rsidR="0007358D" w:rsidRPr="00846EF1">
        <w:rPr>
          <w:rFonts w:ascii="Arial" w:hAnsi="Arial" w:cs="Arial"/>
          <w:sz w:val="22"/>
          <w:szCs w:val="22"/>
        </w:rPr>
        <w:t xml:space="preserve">Due to the </w:t>
      </w:r>
      <w:r w:rsidR="00E405BF" w:rsidRPr="00846EF1">
        <w:rPr>
          <w:rFonts w:ascii="Arial" w:hAnsi="Arial" w:cs="Arial"/>
          <w:sz w:val="22"/>
          <w:szCs w:val="22"/>
        </w:rPr>
        <w:t xml:space="preserve">young </w:t>
      </w:r>
      <w:r w:rsidR="0007358D" w:rsidRPr="00846EF1">
        <w:rPr>
          <w:rFonts w:ascii="Arial" w:hAnsi="Arial" w:cs="Arial"/>
          <w:sz w:val="22"/>
          <w:szCs w:val="22"/>
        </w:rPr>
        <w:t xml:space="preserve">age of the </w:t>
      </w:r>
      <w:r w:rsidR="00E405BF" w:rsidRPr="00846EF1">
        <w:rPr>
          <w:rFonts w:ascii="Arial" w:hAnsi="Arial" w:cs="Arial"/>
          <w:sz w:val="22"/>
          <w:szCs w:val="22"/>
        </w:rPr>
        <w:t xml:space="preserve">pupils involved within the research, they are unable to provide consent. Blackburn (2015) discusses the ethical dilemma this </w:t>
      </w:r>
      <w:r w:rsidR="00554E8E" w:rsidRPr="00846EF1">
        <w:rPr>
          <w:rFonts w:ascii="Arial" w:hAnsi="Arial" w:cs="Arial"/>
          <w:sz w:val="22"/>
          <w:szCs w:val="22"/>
        </w:rPr>
        <w:t>poses to researchers</w:t>
      </w:r>
      <w:r w:rsidR="00396A2B" w:rsidRPr="00846EF1">
        <w:rPr>
          <w:rFonts w:ascii="Arial" w:hAnsi="Arial" w:cs="Arial"/>
          <w:sz w:val="22"/>
          <w:szCs w:val="22"/>
        </w:rPr>
        <w:t xml:space="preserve">. </w:t>
      </w:r>
      <w:r w:rsidR="00614F6C" w:rsidRPr="00846EF1">
        <w:rPr>
          <w:rFonts w:ascii="Arial" w:hAnsi="Arial" w:cs="Arial"/>
          <w:sz w:val="22"/>
          <w:szCs w:val="22"/>
        </w:rPr>
        <w:t xml:space="preserve">BERA (2018) therefore </w:t>
      </w:r>
      <w:r w:rsidR="00EA28DB" w:rsidRPr="00846EF1">
        <w:rPr>
          <w:rFonts w:ascii="Arial" w:hAnsi="Arial" w:cs="Arial"/>
          <w:sz w:val="22"/>
          <w:szCs w:val="22"/>
        </w:rPr>
        <w:t xml:space="preserve">states that researchers must </w:t>
      </w:r>
      <w:r w:rsidR="002A31C3" w:rsidRPr="00846EF1">
        <w:rPr>
          <w:rFonts w:ascii="Arial" w:hAnsi="Arial" w:cs="Arial"/>
          <w:sz w:val="22"/>
          <w:szCs w:val="22"/>
        </w:rPr>
        <w:t xml:space="preserve">take into consideration those who have legal responsibility of the child, seeking to gain consent from the parent or guardian on their behalf. </w:t>
      </w:r>
      <w:r w:rsidR="00892EF1" w:rsidRPr="00846EF1">
        <w:rPr>
          <w:rFonts w:ascii="Arial" w:hAnsi="Arial" w:cs="Arial"/>
          <w:sz w:val="22"/>
          <w:szCs w:val="22"/>
        </w:rPr>
        <w:t>Although consent i</w:t>
      </w:r>
      <w:r w:rsidR="00E17CBF" w:rsidRPr="00846EF1">
        <w:rPr>
          <w:rFonts w:ascii="Arial" w:hAnsi="Arial" w:cs="Arial"/>
          <w:sz w:val="22"/>
          <w:szCs w:val="22"/>
        </w:rPr>
        <w:t xml:space="preserve">s </w:t>
      </w:r>
      <w:r w:rsidR="00892EF1" w:rsidRPr="00846EF1">
        <w:rPr>
          <w:rFonts w:ascii="Arial" w:hAnsi="Arial" w:cs="Arial"/>
          <w:sz w:val="22"/>
          <w:szCs w:val="22"/>
        </w:rPr>
        <w:t>provided by parents at the beginning of a school year, further consent to participate within th</w:t>
      </w:r>
      <w:r w:rsidR="00D36B06" w:rsidRPr="00846EF1">
        <w:rPr>
          <w:rFonts w:ascii="Arial" w:hAnsi="Arial" w:cs="Arial"/>
          <w:sz w:val="22"/>
          <w:szCs w:val="22"/>
        </w:rPr>
        <w:t>is</w:t>
      </w:r>
      <w:r w:rsidR="00892EF1" w:rsidRPr="00846EF1">
        <w:rPr>
          <w:rFonts w:ascii="Arial" w:hAnsi="Arial" w:cs="Arial"/>
          <w:sz w:val="22"/>
          <w:szCs w:val="22"/>
        </w:rPr>
        <w:t xml:space="preserve"> research </w:t>
      </w:r>
      <w:r w:rsidR="00D36B06" w:rsidRPr="00846EF1">
        <w:rPr>
          <w:rFonts w:ascii="Arial" w:hAnsi="Arial" w:cs="Arial"/>
          <w:sz w:val="22"/>
          <w:szCs w:val="22"/>
        </w:rPr>
        <w:t xml:space="preserve">study </w:t>
      </w:r>
      <w:r w:rsidR="00892EF1" w:rsidRPr="00846EF1">
        <w:rPr>
          <w:rFonts w:ascii="Arial" w:hAnsi="Arial" w:cs="Arial"/>
          <w:sz w:val="22"/>
          <w:szCs w:val="22"/>
        </w:rPr>
        <w:t xml:space="preserve">was </w:t>
      </w:r>
      <w:r w:rsidR="00224F4D" w:rsidRPr="00846EF1">
        <w:rPr>
          <w:rFonts w:ascii="Arial" w:hAnsi="Arial" w:cs="Arial"/>
          <w:sz w:val="22"/>
          <w:szCs w:val="22"/>
        </w:rPr>
        <w:t>obtained</w:t>
      </w:r>
      <w:r w:rsidR="00892EF1" w:rsidRPr="00846EF1">
        <w:rPr>
          <w:rFonts w:ascii="Arial" w:hAnsi="Arial" w:cs="Arial"/>
          <w:sz w:val="22"/>
          <w:szCs w:val="22"/>
        </w:rPr>
        <w:t xml:space="preserve"> through the distribution of </w:t>
      </w:r>
      <w:r w:rsidR="00224F4D" w:rsidRPr="00846EF1">
        <w:rPr>
          <w:rFonts w:ascii="Arial" w:hAnsi="Arial" w:cs="Arial"/>
          <w:sz w:val="22"/>
          <w:szCs w:val="22"/>
        </w:rPr>
        <w:t>consent forms</w:t>
      </w:r>
      <w:r w:rsidR="007D11DD" w:rsidRPr="00846EF1">
        <w:rPr>
          <w:rFonts w:ascii="Arial" w:hAnsi="Arial" w:cs="Arial"/>
          <w:sz w:val="22"/>
          <w:szCs w:val="22"/>
        </w:rPr>
        <w:t xml:space="preserve"> (Appendix 4)</w:t>
      </w:r>
      <w:r w:rsidR="00224F4D" w:rsidRPr="00846EF1">
        <w:rPr>
          <w:rFonts w:ascii="Arial" w:hAnsi="Arial" w:cs="Arial"/>
          <w:sz w:val="22"/>
          <w:szCs w:val="22"/>
        </w:rPr>
        <w:t xml:space="preserve">. </w:t>
      </w:r>
    </w:p>
    <w:p w14:paraId="109DD38D" w14:textId="77777777" w:rsidR="007051F8" w:rsidRPr="00846EF1" w:rsidRDefault="007051F8" w:rsidP="00846EF1">
      <w:pPr>
        <w:spacing w:line="360" w:lineRule="auto"/>
        <w:rPr>
          <w:rFonts w:ascii="Arial" w:hAnsi="Arial" w:cs="Arial"/>
          <w:sz w:val="22"/>
          <w:szCs w:val="22"/>
        </w:rPr>
      </w:pPr>
    </w:p>
    <w:p w14:paraId="65F6102A" w14:textId="74F6DA2E" w:rsidR="00CE1AC1" w:rsidRPr="00846EF1" w:rsidRDefault="00556B14" w:rsidP="00846EF1">
      <w:pPr>
        <w:spacing w:line="360" w:lineRule="auto"/>
        <w:rPr>
          <w:rFonts w:ascii="Arial" w:hAnsi="Arial" w:cs="Arial"/>
          <w:color w:val="FF0000"/>
          <w:sz w:val="22"/>
          <w:szCs w:val="22"/>
        </w:rPr>
      </w:pPr>
      <w:r w:rsidRPr="00846EF1">
        <w:rPr>
          <w:rFonts w:ascii="Arial" w:hAnsi="Arial" w:cs="Arial"/>
          <w:sz w:val="22"/>
          <w:szCs w:val="22"/>
        </w:rPr>
        <w:t xml:space="preserve">Despite this, it is key that the </w:t>
      </w:r>
      <w:r w:rsidR="00EB7538" w:rsidRPr="00846EF1">
        <w:rPr>
          <w:rFonts w:ascii="Arial" w:hAnsi="Arial" w:cs="Arial"/>
          <w:sz w:val="22"/>
          <w:szCs w:val="22"/>
        </w:rPr>
        <w:t xml:space="preserve">researcher also gains assent from the child involved within the research in addition to the parental consent (Dockett and Perry, 2010; </w:t>
      </w:r>
      <w:r w:rsidR="00BA29E9" w:rsidRPr="00846EF1">
        <w:rPr>
          <w:rFonts w:ascii="Arial" w:hAnsi="Arial" w:cs="Arial"/>
          <w:sz w:val="22"/>
          <w:szCs w:val="22"/>
        </w:rPr>
        <w:t>Cotrim et al., 2021)</w:t>
      </w:r>
      <w:r w:rsidR="00BA29E9" w:rsidRPr="00846EF1">
        <w:rPr>
          <w:rFonts w:ascii="Arial" w:hAnsi="Arial" w:cs="Arial"/>
          <w:sz w:val="22"/>
          <w:szCs w:val="22"/>
        </w:rPr>
        <w:t xml:space="preserve">. The term assent refers to </w:t>
      </w:r>
      <w:r w:rsidR="00327AC9" w:rsidRPr="00846EF1">
        <w:rPr>
          <w:rFonts w:ascii="Arial" w:hAnsi="Arial" w:cs="Arial"/>
          <w:sz w:val="22"/>
          <w:szCs w:val="22"/>
        </w:rPr>
        <w:t>enabling a c</w:t>
      </w:r>
      <w:r w:rsidR="00BF28FC" w:rsidRPr="00846EF1">
        <w:rPr>
          <w:rFonts w:ascii="Arial" w:hAnsi="Arial" w:cs="Arial"/>
          <w:sz w:val="22"/>
          <w:szCs w:val="22"/>
        </w:rPr>
        <w:t xml:space="preserve">hild to understand </w:t>
      </w:r>
      <w:r w:rsidR="00D03189" w:rsidRPr="00846EF1">
        <w:rPr>
          <w:rFonts w:ascii="Arial" w:hAnsi="Arial" w:cs="Arial"/>
          <w:sz w:val="22"/>
          <w:szCs w:val="22"/>
        </w:rPr>
        <w:t xml:space="preserve">what they are being asked to participate within </w:t>
      </w:r>
      <w:r w:rsidR="008E0A32" w:rsidRPr="00846EF1">
        <w:rPr>
          <w:rFonts w:ascii="Arial" w:hAnsi="Arial" w:cs="Arial"/>
          <w:sz w:val="22"/>
          <w:szCs w:val="22"/>
        </w:rPr>
        <w:t xml:space="preserve">before agreeing </w:t>
      </w:r>
      <w:r w:rsidR="00D03189" w:rsidRPr="00846EF1">
        <w:rPr>
          <w:rFonts w:ascii="Arial" w:hAnsi="Arial" w:cs="Arial"/>
          <w:sz w:val="22"/>
          <w:szCs w:val="22"/>
        </w:rPr>
        <w:t>(Cotrim et al., 2021)</w:t>
      </w:r>
      <w:r w:rsidR="00D03189" w:rsidRPr="00846EF1">
        <w:rPr>
          <w:rFonts w:ascii="Arial" w:hAnsi="Arial" w:cs="Arial"/>
          <w:sz w:val="22"/>
          <w:szCs w:val="22"/>
        </w:rPr>
        <w:t xml:space="preserve">. To ensure assent </w:t>
      </w:r>
      <w:r w:rsidR="00030220" w:rsidRPr="00846EF1">
        <w:rPr>
          <w:rFonts w:ascii="Arial" w:hAnsi="Arial" w:cs="Arial"/>
          <w:sz w:val="22"/>
          <w:szCs w:val="22"/>
        </w:rPr>
        <w:t xml:space="preserve">was </w:t>
      </w:r>
      <w:r w:rsidR="00D03189" w:rsidRPr="00846EF1">
        <w:rPr>
          <w:rFonts w:ascii="Arial" w:hAnsi="Arial" w:cs="Arial"/>
          <w:sz w:val="22"/>
          <w:szCs w:val="22"/>
        </w:rPr>
        <w:t>obtained</w:t>
      </w:r>
      <w:r w:rsidR="007F763B" w:rsidRPr="00846EF1">
        <w:rPr>
          <w:rFonts w:ascii="Arial" w:hAnsi="Arial" w:cs="Arial"/>
          <w:sz w:val="22"/>
          <w:szCs w:val="22"/>
        </w:rPr>
        <w:t xml:space="preserve"> throughout</w:t>
      </w:r>
      <w:r w:rsidR="00D03189" w:rsidRPr="00846EF1">
        <w:rPr>
          <w:rFonts w:ascii="Arial" w:hAnsi="Arial" w:cs="Arial"/>
          <w:sz w:val="22"/>
          <w:szCs w:val="22"/>
        </w:rPr>
        <w:t>,</w:t>
      </w:r>
      <w:r w:rsidR="00030220" w:rsidRPr="00846EF1">
        <w:rPr>
          <w:rFonts w:ascii="Arial" w:hAnsi="Arial" w:cs="Arial"/>
          <w:sz w:val="22"/>
          <w:szCs w:val="22"/>
        </w:rPr>
        <w:t xml:space="preserve"> an AfL strategy was implemented with the pupils</w:t>
      </w:r>
      <w:r w:rsidR="00BB5476" w:rsidRPr="00846EF1">
        <w:rPr>
          <w:rFonts w:ascii="Arial" w:hAnsi="Arial" w:cs="Arial"/>
          <w:sz w:val="22"/>
          <w:szCs w:val="22"/>
        </w:rPr>
        <w:t xml:space="preserve"> to indicate whether they were</w:t>
      </w:r>
      <w:r w:rsidR="00B71F88" w:rsidRPr="00846EF1">
        <w:rPr>
          <w:rFonts w:ascii="Arial" w:hAnsi="Arial" w:cs="Arial"/>
          <w:sz w:val="22"/>
          <w:szCs w:val="22"/>
        </w:rPr>
        <w:t xml:space="preserve"> willing to engage</w:t>
      </w:r>
      <w:r w:rsidR="00DC68BF" w:rsidRPr="00846EF1">
        <w:rPr>
          <w:rFonts w:ascii="Arial" w:hAnsi="Arial" w:cs="Arial"/>
          <w:sz w:val="22"/>
          <w:szCs w:val="22"/>
        </w:rPr>
        <w:t xml:space="preserve"> within the interview</w:t>
      </w:r>
      <w:r w:rsidR="00030220" w:rsidRPr="00846EF1">
        <w:rPr>
          <w:rFonts w:ascii="Arial" w:hAnsi="Arial" w:cs="Arial"/>
          <w:sz w:val="22"/>
          <w:szCs w:val="22"/>
        </w:rPr>
        <w:t xml:space="preserve">, as detailed </w:t>
      </w:r>
      <w:r w:rsidR="00146E3C" w:rsidRPr="00846EF1">
        <w:rPr>
          <w:rFonts w:ascii="Arial" w:hAnsi="Arial" w:cs="Arial"/>
          <w:sz w:val="22"/>
          <w:szCs w:val="22"/>
        </w:rPr>
        <w:t xml:space="preserve">further </w:t>
      </w:r>
      <w:r w:rsidR="00030220" w:rsidRPr="00846EF1">
        <w:rPr>
          <w:rFonts w:ascii="Arial" w:hAnsi="Arial" w:cs="Arial"/>
          <w:sz w:val="22"/>
          <w:szCs w:val="22"/>
        </w:rPr>
        <w:t xml:space="preserve">within </w:t>
      </w:r>
      <w:r w:rsidR="00B71F88" w:rsidRPr="00846EF1">
        <w:rPr>
          <w:rFonts w:ascii="Arial" w:hAnsi="Arial" w:cs="Arial"/>
          <w:sz w:val="22"/>
          <w:szCs w:val="22"/>
        </w:rPr>
        <w:t xml:space="preserve">the ethics form </w:t>
      </w:r>
      <w:r w:rsidR="001A7162" w:rsidRPr="00846EF1">
        <w:rPr>
          <w:rFonts w:ascii="Arial" w:hAnsi="Arial" w:cs="Arial"/>
          <w:sz w:val="22"/>
          <w:szCs w:val="22"/>
        </w:rPr>
        <w:t xml:space="preserve">(Appendix </w:t>
      </w:r>
      <w:r w:rsidR="007D11DD" w:rsidRPr="00846EF1">
        <w:rPr>
          <w:rFonts w:ascii="Arial" w:hAnsi="Arial" w:cs="Arial"/>
          <w:sz w:val="22"/>
          <w:szCs w:val="22"/>
        </w:rPr>
        <w:t>5</w:t>
      </w:r>
      <w:r w:rsidR="001A7162" w:rsidRPr="00846EF1">
        <w:rPr>
          <w:rFonts w:ascii="Arial" w:hAnsi="Arial" w:cs="Arial"/>
          <w:sz w:val="22"/>
          <w:szCs w:val="22"/>
        </w:rPr>
        <w:t>).</w:t>
      </w:r>
    </w:p>
    <w:p w14:paraId="1130BE55" w14:textId="100E933E" w:rsidR="00DC68BF" w:rsidRPr="00846EF1" w:rsidRDefault="00DC68BF" w:rsidP="00846EF1">
      <w:pPr>
        <w:spacing w:line="360" w:lineRule="auto"/>
        <w:rPr>
          <w:rFonts w:ascii="Arial" w:hAnsi="Arial" w:cs="Arial"/>
          <w:color w:val="FF0000"/>
          <w:sz w:val="22"/>
          <w:szCs w:val="22"/>
        </w:rPr>
      </w:pPr>
    </w:p>
    <w:p w14:paraId="06B839BE" w14:textId="77777777" w:rsidR="007F641E" w:rsidRPr="00846EF1" w:rsidRDefault="007F641E" w:rsidP="00846EF1">
      <w:pPr>
        <w:spacing w:line="360" w:lineRule="auto"/>
        <w:rPr>
          <w:rFonts w:ascii="Arial" w:hAnsi="Arial" w:cs="Arial"/>
          <w:sz w:val="22"/>
          <w:szCs w:val="22"/>
        </w:rPr>
      </w:pPr>
      <w:r w:rsidRPr="00846EF1">
        <w:rPr>
          <w:rFonts w:ascii="Arial" w:hAnsi="Arial" w:cs="Arial"/>
          <w:sz w:val="22"/>
          <w:szCs w:val="22"/>
        </w:rPr>
        <w:t xml:space="preserve">Through analysis of the data, it was evident that multiple themes emerged through the use of multiple research methods. The first evident pattern was the daily use of CT as identified in both the observations and questionnaire. Being a new figure within the classroom environment posed difficult to be a non-participant observer during CT as this was an ideal time for pupils to ask and answer questions. This observation was further supported through a participant answer within the questionnaire. When asked whether group activities aid pupil’s social skills, part of the participant answer stated that CT can encourage pupils to ask and answer questions. </w:t>
      </w:r>
    </w:p>
    <w:p w14:paraId="648BE731" w14:textId="77777777" w:rsidR="007F641E" w:rsidRPr="00846EF1" w:rsidRDefault="007F641E" w:rsidP="00846EF1">
      <w:pPr>
        <w:spacing w:line="360" w:lineRule="auto"/>
        <w:rPr>
          <w:rFonts w:ascii="Arial" w:hAnsi="Arial" w:cs="Arial"/>
          <w:sz w:val="22"/>
          <w:szCs w:val="22"/>
        </w:rPr>
      </w:pPr>
    </w:p>
    <w:p w14:paraId="66313357" w14:textId="77777777" w:rsidR="007F641E" w:rsidRPr="00846EF1" w:rsidRDefault="007F641E" w:rsidP="00846EF1">
      <w:pPr>
        <w:spacing w:line="360" w:lineRule="auto"/>
        <w:rPr>
          <w:rFonts w:ascii="Arial" w:hAnsi="Arial" w:cs="Arial"/>
          <w:sz w:val="22"/>
          <w:szCs w:val="22"/>
        </w:rPr>
      </w:pPr>
      <w:r w:rsidRPr="00846EF1">
        <w:rPr>
          <w:rFonts w:ascii="Arial" w:hAnsi="Arial" w:cs="Arial"/>
          <w:sz w:val="22"/>
          <w:szCs w:val="22"/>
        </w:rPr>
        <w:t xml:space="preserve">When asked to rate the efficiency of CT in aiding pupil’s social skills on a scale of one to five, the participant answered a four. This suggests that the participant has a positive view on the use of CT regarding the development of social skills in pupils. This view coincides with the literature in which multiple authors for example, Mosley (2005; 2009) and Glazzard (2016) have discussed the positives of using CT. </w:t>
      </w:r>
    </w:p>
    <w:p w14:paraId="088B8A11" w14:textId="77777777" w:rsidR="007F641E" w:rsidRPr="00846EF1" w:rsidRDefault="007F641E" w:rsidP="00846EF1">
      <w:pPr>
        <w:spacing w:line="360" w:lineRule="auto"/>
        <w:rPr>
          <w:rFonts w:ascii="Arial" w:hAnsi="Arial" w:cs="Arial"/>
          <w:sz w:val="22"/>
          <w:szCs w:val="22"/>
        </w:rPr>
      </w:pPr>
    </w:p>
    <w:p w14:paraId="6C3C7282" w14:textId="77777777" w:rsidR="007F641E" w:rsidRPr="00846EF1" w:rsidRDefault="007F641E" w:rsidP="00846EF1">
      <w:pPr>
        <w:spacing w:line="360" w:lineRule="auto"/>
        <w:rPr>
          <w:rFonts w:ascii="Arial" w:hAnsi="Arial" w:cs="Arial"/>
          <w:sz w:val="22"/>
          <w:szCs w:val="22"/>
        </w:rPr>
      </w:pPr>
      <w:r w:rsidRPr="00846EF1">
        <w:rPr>
          <w:rFonts w:ascii="Arial" w:hAnsi="Arial" w:cs="Arial"/>
          <w:sz w:val="22"/>
          <w:szCs w:val="22"/>
        </w:rPr>
        <w:t xml:space="preserve">Interview questions were created based on observations made during CT to ensure the language was relevant to the pupil’s current level of understanding. During the interview discussion, when asked about the rules during CT pupils responded with similar answers all of which related to appropriate social skills within the given situation. Examples of this are: </w:t>
      </w:r>
      <w:r w:rsidRPr="00846EF1">
        <w:rPr>
          <w:rFonts w:ascii="Arial" w:hAnsi="Arial" w:cs="Arial"/>
          <w:sz w:val="22"/>
          <w:szCs w:val="22"/>
        </w:rPr>
        <w:lastRenderedPageBreak/>
        <w:t>“no shouting out”, “listening to our friends” as well as “only speaking when we hold tell me tiger”. Through both observations and the interview tell me tiger was identified as a prop used within CT to teach respect amongst pupils. This was also observed during observations. Improved speaking and listening skills were particularly evident throughout each of the three research methods. Housego and Burns (1994) originally discussed this benefit of CT which as previously stated is considered an outdated source. However, the pattern identified throughout this research would suggest this to still be accurate.</w:t>
      </w:r>
    </w:p>
    <w:p w14:paraId="6601D83D" w14:textId="77777777" w:rsidR="007F641E" w:rsidRPr="00846EF1" w:rsidRDefault="007F641E" w:rsidP="00846EF1">
      <w:pPr>
        <w:spacing w:line="360" w:lineRule="auto"/>
        <w:rPr>
          <w:rFonts w:ascii="Arial" w:hAnsi="Arial" w:cs="Arial"/>
          <w:sz w:val="22"/>
          <w:szCs w:val="22"/>
        </w:rPr>
      </w:pPr>
    </w:p>
    <w:p w14:paraId="6FD19577" w14:textId="77777777" w:rsidR="007F641E" w:rsidRPr="00846EF1" w:rsidRDefault="007F641E" w:rsidP="00846EF1">
      <w:pPr>
        <w:spacing w:line="360" w:lineRule="auto"/>
        <w:rPr>
          <w:rFonts w:ascii="Arial" w:hAnsi="Arial" w:cs="Arial"/>
          <w:sz w:val="22"/>
          <w:szCs w:val="22"/>
        </w:rPr>
      </w:pPr>
      <w:r w:rsidRPr="00846EF1">
        <w:rPr>
          <w:rFonts w:ascii="Arial" w:hAnsi="Arial" w:cs="Arial"/>
          <w:sz w:val="22"/>
          <w:szCs w:val="22"/>
        </w:rPr>
        <w:t xml:space="preserve">A general pattern identified within each method was the use of CT to encourage turn taking. The questionnaire participant specifically identified that CT was a way of teaching pupils to take turns. This was also observed during the observation period and evident through pupil answers during interview when discussing tell me tiger. </w:t>
      </w:r>
    </w:p>
    <w:p w14:paraId="565FF95B" w14:textId="77777777" w:rsidR="007F641E" w:rsidRPr="00846EF1" w:rsidRDefault="007F641E" w:rsidP="00846EF1">
      <w:pPr>
        <w:spacing w:line="360" w:lineRule="auto"/>
        <w:rPr>
          <w:rFonts w:ascii="Arial" w:hAnsi="Arial" w:cs="Arial"/>
          <w:sz w:val="22"/>
          <w:szCs w:val="22"/>
        </w:rPr>
      </w:pPr>
    </w:p>
    <w:p w14:paraId="3AEDED1A" w14:textId="3841943D" w:rsidR="007F641E" w:rsidRPr="00846EF1" w:rsidRDefault="007F641E" w:rsidP="00846EF1">
      <w:pPr>
        <w:spacing w:line="360" w:lineRule="auto"/>
        <w:rPr>
          <w:rFonts w:ascii="Arial" w:hAnsi="Arial" w:cs="Arial"/>
          <w:sz w:val="22"/>
          <w:szCs w:val="22"/>
        </w:rPr>
      </w:pPr>
      <w:r w:rsidRPr="00846EF1">
        <w:rPr>
          <w:rFonts w:ascii="Arial" w:hAnsi="Arial" w:cs="Arial"/>
          <w:sz w:val="22"/>
          <w:szCs w:val="22"/>
        </w:rPr>
        <w:t>During observations, it was noticed that particularly during discussions about weekend plans, pupils would show excitement, tending to talk over their friends. However, the excitement element is understandable due to the young age of the pupils</w:t>
      </w:r>
      <w:r w:rsidR="00075AE3" w:rsidRPr="00846EF1">
        <w:rPr>
          <w:rFonts w:ascii="Arial" w:hAnsi="Arial" w:cs="Arial"/>
          <w:sz w:val="22"/>
          <w:szCs w:val="22"/>
        </w:rPr>
        <w:t>;</w:t>
      </w:r>
      <w:r w:rsidRPr="00846EF1">
        <w:rPr>
          <w:rFonts w:ascii="Arial" w:hAnsi="Arial" w:cs="Arial"/>
          <w:sz w:val="22"/>
          <w:szCs w:val="22"/>
        </w:rPr>
        <w:t xml:space="preserve"> pupils usually stopped themselves</w:t>
      </w:r>
      <w:r w:rsidR="00075AE3" w:rsidRPr="00846EF1">
        <w:rPr>
          <w:rFonts w:ascii="Arial" w:hAnsi="Arial" w:cs="Arial"/>
          <w:sz w:val="22"/>
          <w:szCs w:val="22"/>
        </w:rPr>
        <w:t xml:space="preserve"> when interrupting</w:t>
      </w:r>
      <w:r w:rsidRPr="00846EF1">
        <w:rPr>
          <w:rFonts w:ascii="Arial" w:hAnsi="Arial" w:cs="Arial"/>
          <w:sz w:val="22"/>
          <w:szCs w:val="22"/>
        </w:rPr>
        <w:t xml:space="preserve">. </w:t>
      </w:r>
    </w:p>
    <w:p w14:paraId="54ADDE81" w14:textId="77777777" w:rsidR="007F641E" w:rsidRPr="00846EF1" w:rsidRDefault="007F641E" w:rsidP="00846EF1">
      <w:pPr>
        <w:spacing w:line="360" w:lineRule="auto"/>
        <w:rPr>
          <w:rFonts w:ascii="Arial" w:hAnsi="Arial" w:cs="Arial"/>
          <w:sz w:val="22"/>
          <w:szCs w:val="22"/>
        </w:rPr>
      </w:pPr>
    </w:p>
    <w:p w14:paraId="2D3DCF75" w14:textId="77777777" w:rsidR="007F641E" w:rsidRPr="00846EF1" w:rsidRDefault="007F641E" w:rsidP="00846EF1">
      <w:pPr>
        <w:spacing w:line="360" w:lineRule="auto"/>
        <w:rPr>
          <w:rFonts w:ascii="Arial" w:hAnsi="Arial" w:cs="Arial"/>
          <w:sz w:val="22"/>
          <w:szCs w:val="22"/>
        </w:rPr>
      </w:pPr>
      <w:r w:rsidRPr="00846EF1">
        <w:rPr>
          <w:rFonts w:ascii="Arial" w:hAnsi="Arial" w:cs="Arial"/>
          <w:sz w:val="22"/>
          <w:szCs w:val="22"/>
        </w:rPr>
        <w:t xml:space="preserve">Within the questionnaire, the participant resonated that each benefit of CT - as identified in the literature– was accurate in their experience. </w:t>
      </w:r>
    </w:p>
    <w:p w14:paraId="374C981E" w14:textId="77777777" w:rsidR="007F641E" w:rsidRPr="00846EF1" w:rsidRDefault="007F641E" w:rsidP="00846EF1">
      <w:pPr>
        <w:spacing w:line="360" w:lineRule="auto"/>
        <w:rPr>
          <w:rFonts w:ascii="Arial" w:hAnsi="Arial" w:cs="Arial"/>
          <w:sz w:val="22"/>
          <w:szCs w:val="22"/>
        </w:rPr>
      </w:pPr>
    </w:p>
    <w:p w14:paraId="10747DDC" w14:textId="77777777" w:rsidR="007F641E" w:rsidRPr="00846EF1" w:rsidRDefault="007F641E" w:rsidP="00846EF1">
      <w:pPr>
        <w:spacing w:line="360" w:lineRule="auto"/>
        <w:rPr>
          <w:rFonts w:ascii="Arial" w:hAnsi="Arial" w:cs="Arial"/>
          <w:sz w:val="22"/>
          <w:szCs w:val="22"/>
        </w:rPr>
      </w:pPr>
      <w:r w:rsidRPr="00846EF1">
        <w:rPr>
          <w:rFonts w:ascii="Arial" w:hAnsi="Arial" w:cs="Arial"/>
          <w:sz w:val="22"/>
          <w:szCs w:val="22"/>
        </w:rPr>
        <w:t xml:space="preserve">The data clearly suggests that the implementation of CT within this context has been positive. The practitioner has a positive view on the use of CT specifically for developing learner’s social skills. Within the class context, the benefits of CT are evident regarding developing social skills within young children. Implementation of CT across whole school would seem to be beneficial in aiding pupils particularly those with any additional learning needs (ALN) affecting their social development. However, a larger sample size would be required in order substantiate this. One limitation of this research was the participation of only one adult within the questionnaire. This is due to the small school context - there were no other adults relevant to the study available to answer the questionnaire. </w:t>
      </w:r>
    </w:p>
    <w:p w14:paraId="600D14EC" w14:textId="77777777" w:rsidR="007F641E" w:rsidRPr="00846EF1" w:rsidRDefault="007F641E" w:rsidP="00846EF1">
      <w:pPr>
        <w:spacing w:line="360" w:lineRule="auto"/>
        <w:rPr>
          <w:rFonts w:ascii="Arial" w:hAnsi="Arial" w:cs="Arial"/>
          <w:sz w:val="22"/>
          <w:szCs w:val="22"/>
        </w:rPr>
      </w:pPr>
    </w:p>
    <w:p w14:paraId="70E87DD2" w14:textId="77777777" w:rsidR="007F641E" w:rsidRPr="00846EF1" w:rsidRDefault="007F641E" w:rsidP="00846EF1">
      <w:pPr>
        <w:spacing w:line="360" w:lineRule="auto"/>
        <w:rPr>
          <w:rFonts w:ascii="Arial" w:hAnsi="Arial" w:cs="Arial"/>
          <w:sz w:val="22"/>
          <w:szCs w:val="22"/>
        </w:rPr>
      </w:pPr>
      <w:r w:rsidRPr="00846EF1">
        <w:rPr>
          <w:rFonts w:ascii="Arial" w:hAnsi="Arial" w:cs="Arial"/>
          <w:sz w:val="22"/>
          <w:szCs w:val="22"/>
        </w:rPr>
        <w:t xml:space="preserve">This coincides with Cefai et al (2013) and Glazzard’s (2016) claims that further case studies are required upon this topic to substantiate the use of CT. </w:t>
      </w:r>
    </w:p>
    <w:p w14:paraId="1A337D47" w14:textId="4CE356EF" w:rsidR="00DC68BF" w:rsidRPr="00846EF1" w:rsidRDefault="00DC68BF" w:rsidP="00846EF1">
      <w:pPr>
        <w:spacing w:line="360" w:lineRule="auto"/>
        <w:rPr>
          <w:rFonts w:ascii="Arial" w:hAnsi="Arial" w:cs="Arial"/>
          <w:sz w:val="22"/>
          <w:szCs w:val="22"/>
        </w:rPr>
      </w:pPr>
    </w:p>
    <w:p w14:paraId="164B7991" w14:textId="338F8E4A" w:rsidR="00E1763B" w:rsidRPr="00846EF1" w:rsidRDefault="00E1763B" w:rsidP="00846EF1">
      <w:pPr>
        <w:spacing w:line="360" w:lineRule="auto"/>
        <w:rPr>
          <w:rFonts w:ascii="Arial" w:hAnsi="Arial" w:cs="Arial"/>
          <w:sz w:val="22"/>
          <w:szCs w:val="22"/>
        </w:rPr>
      </w:pPr>
      <w:r w:rsidRPr="00846EF1">
        <w:rPr>
          <w:rFonts w:ascii="Arial" w:hAnsi="Arial" w:cs="Arial"/>
          <w:sz w:val="22"/>
          <w:szCs w:val="22"/>
        </w:rPr>
        <w:t xml:space="preserve">In conclusion, it is evident that large volumes of work were undertaken in preparation for this research study. In terms of collecting data, data triangulation was used in order to ensure credibility of the research. However, in hindsight, the use of multiple methods was difficult </w:t>
      </w:r>
      <w:r w:rsidRPr="00846EF1">
        <w:rPr>
          <w:rFonts w:ascii="Arial" w:hAnsi="Arial" w:cs="Arial"/>
          <w:sz w:val="22"/>
          <w:szCs w:val="22"/>
        </w:rPr>
        <w:lastRenderedPageBreak/>
        <w:t xml:space="preserve">within the school context for this research study. A major limitation was the lack of appropriate staff to partake within the questionnaire. As a result, there was no additional evidence available to quantify the data to identify further patterns. In hindsight, an in-depth interview with the available would have proved beneficial in preference of interviewing pupils. Nevertheless, the information gathered during the research identified themes related directly to the research question. Heale and Twycross (2015) discuss the importance of validity in research. The term validity refers to accuracy of the measurement of a concept during a study (Heale and Twycross, 2015). The use of multiple methods to triangulate data during this study therefore implies validity. The findings of this study conclude that CT is a useful tool in aiding the development of social skills in younger pupils. The patterns emerged throughout the study support the literature available on CT dispelling the previous doubts of relevancy within current society. However, in order to determine the generalisation of these findings, a larger scale study should be carried out as also suggested by Cefai et al (2013) and Glazzard (2016). In terms of carrying out future research, the implementation of CT with older pupils is something of interest; in order to compare data therefore developing a deeper understanding on the research subject. Developing a deeper understanding through further research would result in further professional </w:t>
      </w:r>
      <w:r w:rsidRPr="00846EF1">
        <w:rPr>
          <w:rFonts w:ascii="Arial" w:hAnsi="Arial" w:cs="Arial"/>
          <w:sz w:val="22"/>
          <w:szCs w:val="22"/>
        </w:rPr>
        <w:t>growth,</w:t>
      </w:r>
      <w:r w:rsidRPr="00846EF1">
        <w:rPr>
          <w:rFonts w:ascii="Arial" w:hAnsi="Arial" w:cs="Arial"/>
          <w:sz w:val="22"/>
          <w:szCs w:val="22"/>
        </w:rPr>
        <w:t xml:space="preserve"> linking directly to the strand of </w:t>
      </w:r>
      <w:r w:rsidRPr="00846EF1">
        <w:rPr>
          <w:rStyle w:val="normaltextrun"/>
          <w:rFonts w:ascii="Arial" w:hAnsi="Arial" w:cs="Arial"/>
          <w:color w:val="000000"/>
          <w:sz w:val="22"/>
          <w:szCs w:val="22"/>
          <w:shd w:val="clear" w:color="auto" w:fill="FFFFFF"/>
        </w:rPr>
        <w:t>continuing professional learning within the</w:t>
      </w:r>
      <w:r w:rsidRPr="00846EF1">
        <w:rPr>
          <w:rStyle w:val="eop"/>
          <w:rFonts w:ascii="Arial" w:hAnsi="Arial" w:cs="Arial"/>
          <w:color w:val="000000"/>
          <w:sz w:val="22"/>
          <w:szCs w:val="22"/>
          <w:shd w:val="clear" w:color="auto" w:fill="FFFFFF"/>
        </w:rPr>
        <w:t> </w:t>
      </w:r>
      <w:r w:rsidRPr="00846EF1">
        <w:rPr>
          <w:rFonts w:ascii="Arial" w:hAnsi="Arial" w:cs="Arial"/>
          <w:sz w:val="22"/>
          <w:szCs w:val="22"/>
        </w:rPr>
        <w:t xml:space="preserve">Professional Standards. </w:t>
      </w:r>
    </w:p>
    <w:p w14:paraId="6883767B" w14:textId="77777777" w:rsidR="00E1763B" w:rsidRPr="00846EF1" w:rsidRDefault="00E1763B" w:rsidP="00846EF1">
      <w:pPr>
        <w:spacing w:line="360" w:lineRule="auto"/>
        <w:rPr>
          <w:rFonts w:ascii="Arial" w:hAnsi="Arial" w:cs="Arial"/>
          <w:sz w:val="22"/>
          <w:szCs w:val="22"/>
        </w:rPr>
      </w:pPr>
    </w:p>
    <w:p w14:paraId="16653F7A" w14:textId="77777777" w:rsidR="00E1763B" w:rsidRPr="00846EF1" w:rsidRDefault="00E1763B" w:rsidP="00846EF1">
      <w:pPr>
        <w:spacing w:line="360" w:lineRule="auto"/>
        <w:rPr>
          <w:rFonts w:ascii="Arial" w:hAnsi="Arial" w:cs="Arial"/>
          <w:sz w:val="22"/>
          <w:szCs w:val="22"/>
        </w:rPr>
      </w:pPr>
      <w:r w:rsidRPr="00846EF1">
        <w:rPr>
          <w:rFonts w:ascii="Arial" w:hAnsi="Arial" w:cs="Arial"/>
          <w:sz w:val="22"/>
          <w:szCs w:val="22"/>
        </w:rPr>
        <w:t xml:space="preserve">In light of this research, it is believed that the implementation of personal, social, health and economic (PSHE) education would be beneficial to further develop the use of CT as a whole school approach. Following planned PHSE schemes could prove beneficial to address important issues of relevance to the pupils. Due to the vast number of PSHE schemes available, this could be trialled within the remainder of this professional teaching experience. The use of CT across the school would also enable practitioners to further identify those pupils who could benefit from further interventions such as the Emotional Literacy Support Assistant (ELSA) intervention to aid their socio-emotional skills. </w:t>
      </w:r>
    </w:p>
    <w:p w14:paraId="488AF7A6" w14:textId="77777777" w:rsidR="00E1763B" w:rsidRPr="00846EF1" w:rsidRDefault="00E1763B" w:rsidP="00846EF1">
      <w:pPr>
        <w:spacing w:line="360" w:lineRule="auto"/>
        <w:rPr>
          <w:rFonts w:ascii="Arial" w:hAnsi="Arial" w:cs="Arial"/>
          <w:sz w:val="22"/>
          <w:szCs w:val="22"/>
        </w:rPr>
      </w:pPr>
    </w:p>
    <w:p w14:paraId="2D110928" w14:textId="74E353FC" w:rsidR="00294AD9" w:rsidRPr="002A4149" w:rsidRDefault="002A4149" w:rsidP="00846EF1">
      <w:pPr>
        <w:spacing w:line="360" w:lineRule="auto"/>
        <w:rPr>
          <w:rFonts w:ascii="Arial" w:hAnsi="Arial" w:cs="Arial"/>
          <w:color w:val="1E1E1E"/>
          <w:sz w:val="22"/>
          <w:szCs w:val="22"/>
          <w:u w:val="single"/>
          <w:shd w:val="clear" w:color="auto" w:fill="FFFFFF"/>
          <w:lang w:eastAsia="en-GB"/>
        </w:rPr>
      </w:pPr>
      <w:r w:rsidRPr="002A4149">
        <w:rPr>
          <w:rFonts w:ascii="Arial" w:hAnsi="Arial" w:cs="Arial"/>
          <w:color w:val="1E1E1E"/>
          <w:sz w:val="22"/>
          <w:szCs w:val="22"/>
          <w:u w:val="single"/>
          <w:shd w:val="clear" w:color="auto" w:fill="FFFFFF"/>
          <w:lang w:eastAsia="en-GB"/>
        </w:rPr>
        <w:t>Reference List</w:t>
      </w:r>
    </w:p>
    <w:p w14:paraId="5390A3BA"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Baclawski, K. (2018). The Observer Effect. In: </w:t>
      </w:r>
      <w:r w:rsidRPr="002A4149">
        <w:rPr>
          <w:rFonts w:ascii="Arial" w:hAnsi="Arial" w:cs="Arial"/>
          <w:i/>
          <w:iCs/>
          <w:sz w:val="22"/>
          <w:szCs w:val="22"/>
        </w:rPr>
        <w:t>2018 IEEE Conference on Cognitive and Computational Aspects of Situation Management (CogSIMA)</w:t>
      </w:r>
      <w:r w:rsidRPr="002A4149">
        <w:rPr>
          <w:rFonts w:ascii="Arial" w:hAnsi="Arial" w:cs="Arial"/>
          <w:sz w:val="22"/>
          <w:szCs w:val="22"/>
        </w:rPr>
        <w:t>. [online] Available at: 10.1109/COGSIMA.2018.8423983 [Accessed 24 Feb. 2023].</w:t>
      </w:r>
    </w:p>
    <w:p w14:paraId="6EE604CA"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Bandura, A. (1986). </w:t>
      </w:r>
      <w:r w:rsidRPr="002A4149">
        <w:rPr>
          <w:rFonts w:ascii="Arial" w:hAnsi="Arial" w:cs="Arial"/>
          <w:i/>
          <w:iCs/>
          <w:sz w:val="22"/>
          <w:szCs w:val="22"/>
        </w:rPr>
        <w:t>Social Foundations of Thought and Action: a Social Cognitive Theory</w:t>
      </w:r>
      <w:r w:rsidRPr="002A4149">
        <w:rPr>
          <w:rFonts w:ascii="Arial" w:hAnsi="Arial" w:cs="Arial"/>
          <w:sz w:val="22"/>
          <w:szCs w:val="22"/>
        </w:rPr>
        <w:t>. Prentice Hall.</w:t>
      </w:r>
    </w:p>
    <w:p w14:paraId="09529AA5"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lastRenderedPageBreak/>
        <w:t>Blackburn, C. (2015). Researching with Young and Developmentally Young children: Ethical considerations, Dilemmas and Compromises. Available at: https://www.bera.ac.uk/blog/researching-with-young-and-developmentally-young-children-ethical-considerations-dilemmas-and-compromises [Accessed 24 Feb. 2023].</w:t>
      </w:r>
    </w:p>
    <w:p w14:paraId="410356BA"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Braun, V. and Clarke, V. (2006). Using Thematic Analysis in Psychology. </w:t>
      </w:r>
      <w:r w:rsidRPr="002A4149">
        <w:rPr>
          <w:rFonts w:ascii="Arial" w:hAnsi="Arial" w:cs="Arial"/>
          <w:i/>
          <w:iCs/>
          <w:sz w:val="22"/>
          <w:szCs w:val="22"/>
        </w:rPr>
        <w:t>Qualitative Research in Psychology</w:t>
      </w:r>
      <w:r w:rsidRPr="002A4149">
        <w:rPr>
          <w:rFonts w:ascii="Arial" w:hAnsi="Arial" w:cs="Arial"/>
          <w:sz w:val="22"/>
          <w:szCs w:val="22"/>
        </w:rPr>
        <w:t>, 3(2), pp.77–101.</w:t>
      </w:r>
    </w:p>
    <w:p w14:paraId="3822EC8C"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British Educational Research Association (2018). </w:t>
      </w:r>
      <w:r w:rsidRPr="002A4149">
        <w:rPr>
          <w:rFonts w:ascii="Arial" w:hAnsi="Arial" w:cs="Arial"/>
          <w:i/>
          <w:iCs/>
          <w:sz w:val="22"/>
          <w:szCs w:val="22"/>
        </w:rPr>
        <w:t>Ethical Guidelines for Educational Research, Fourth Edition (2018)</w:t>
      </w:r>
      <w:r w:rsidRPr="002A4149">
        <w:rPr>
          <w:rFonts w:ascii="Arial" w:hAnsi="Arial" w:cs="Arial"/>
          <w:sz w:val="22"/>
          <w:szCs w:val="22"/>
        </w:rPr>
        <w:t>. [online] Bera.ac.uk. Available at: https://www.bera.ac.uk/publication/ethical-guidelines-for-educational-research-2018-online [Accessed 19 Feb. 2022].</w:t>
      </w:r>
    </w:p>
    <w:p w14:paraId="2ED97B92"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Canney, C. and Byrne, A. (2006). Evaluating Circle Time as a Support to Social Skills Development - Reflections on a Journey in school-based Research. </w:t>
      </w:r>
      <w:r w:rsidRPr="002A4149">
        <w:rPr>
          <w:rFonts w:ascii="Arial" w:hAnsi="Arial" w:cs="Arial"/>
          <w:i/>
          <w:iCs/>
          <w:sz w:val="22"/>
          <w:szCs w:val="22"/>
        </w:rPr>
        <w:t>British Journal of Special Education</w:t>
      </w:r>
      <w:r w:rsidRPr="002A4149">
        <w:rPr>
          <w:rFonts w:ascii="Arial" w:hAnsi="Arial" w:cs="Arial"/>
          <w:sz w:val="22"/>
          <w:szCs w:val="22"/>
        </w:rPr>
        <w:t>, [online] 33(1), pp.19–24. doi:https://doi.org/10.1111/j.1467-8578.2006.00407.x.</w:t>
      </w:r>
    </w:p>
    <w:p w14:paraId="6866592B"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Carter, N., Bryant-Lukosius, D., DiCenso, A., Blythe, J. and Neville, A.J. (2014). The Use of Triangulation in Qualitative Research. </w:t>
      </w:r>
      <w:r w:rsidRPr="002A4149">
        <w:rPr>
          <w:rFonts w:ascii="Arial" w:hAnsi="Arial" w:cs="Arial"/>
          <w:i/>
          <w:iCs/>
          <w:sz w:val="22"/>
          <w:szCs w:val="22"/>
        </w:rPr>
        <w:t>Oncology Nursing Forum</w:t>
      </w:r>
      <w:r w:rsidRPr="002A4149">
        <w:rPr>
          <w:rFonts w:ascii="Arial" w:hAnsi="Arial" w:cs="Arial"/>
          <w:sz w:val="22"/>
          <w:szCs w:val="22"/>
        </w:rPr>
        <w:t>, 41(5), pp.545–547. doi:https://doi.org/10.1188/14.ONF.545-547.</w:t>
      </w:r>
    </w:p>
    <w:p w14:paraId="3977AB40"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Cefai, C., Ferrario, E., Cavioni, V., Carter, A. and Grech, T. (2013). Circle Time for Social and Emotional Learning in Primary School. </w:t>
      </w:r>
      <w:r w:rsidRPr="002A4149">
        <w:rPr>
          <w:rFonts w:ascii="Arial" w:hAnsi="Arial" w:cs="Arial"/>
          <w:i/>
          <w:iCs/>
          <w:sz w:val="22"/>
          <w:szCs w:val="22"/>
        </w:rPr>
        <w:t>Pastoral Care in Education</w:t>
      </w:r>
      <w:r w:rsidRPr="002A4149">
        <w:rPr>
          <w:rFonts w:ascii="Arial" w:hAnsi="Arial" w:cs="Arial"/>
          <w:sz w:val="22"/>
          <w:szCs w:val="22"/>
        </w:rPr>
        <w:t>, [online] 32(2), pp.116–130. doi:https://doi.org/10.1080/02643944.2013.861506.</w:t>
      </w:r>
    </w:p>
    <w:p w14:paraId="3EF18DEB"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Chopard, K. and Przybylski, R. (2021). </w:t>
      </w:r>
      <w:r w:rsidRPr="002A4149">
        <w:rPr>
          <w:rFonts w:ascii="Arial" w:hAnsi="Arial" w:cs="Arial"/>
          <w:i/>
          <w:iCs/>
          <w:sz w:val="22"/>
          <w:szCs w:val="22"/>
        </w:rPr>
        <w:t>November 2021 Methods Brief: Case Studies</w:t>
      </w:r>
      <w:r w:rsidRPr="002A4149">
        <w:rPr>
          <w:rFonts w:ascii="Arial" w:hAnsi="Arial" w:cs="Arial"/>
          <w:sz w:val="22"/>
          <w:szCs w:val="22"/>
        </w:rPr>
        <w:t>. [online] Available at: https://www.jrsa.org/pubs/factsheets/jrsa-research-methods-brief-case-studies.pdf [Accessed 24 Feb. 2023].</w:t>
      </w:r>
    </w:p>
    <w:p w14:paraId="53DE37C7"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Cohen, L. (2011). </w:t>
      </w:r>
      <w:r w:rsidRPr="002A4149">
        <w:rPr>
          <w:rFonts w:ascii="Arial" w:hAnsi="Arial" w:cs="Arial"/>
          <w:i/>
          <w:iCs/>
          <w:sz w:val="22"/>
          <w:szCs w:val="22"/>
        </w:rPr>
        <w:t>Research Methods in Education</w:t>
      </w:r>
      <w:r w:rsidRPr="002A4149">
        <w:rPr>
          <w:rFonts w:ascii="Arial" w:hAnsi="Arial" w:cs="Arial"/>
          <w:sz w:val="22"/>
          <w:szCs w:val="22"/>
        </w:rPr>
        <w:t>. 7th ed. [online] London; New York: Routledge. Available at: https://www-vlebooks-com.ezproxy.uwtsd.ac.uk/Product/Index/1993778?page=0 [Accessed 24 Feb. 2023].</w:t>
      </w:r>
    </w:p>
    <w:p w14:paraId="0F0EAB1B"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Cohen, L., Manion, L. and Morrison, K. (2018). </w:t>
      </w:r>
      <w:r w:rsidRPr="002A4149">
        <w:rPr>
          <w:rFonts w:ascii="Arial" w:hAnsi="Arial" w:cs="Arial"/>
          <w:i/>
          <w:iCs/>
          <w:sz w:val="22"/>
          <w:szCs w:val="22"/>
        </w:rPr>
        <w:t>Research Methods in Education</w:t>
      </w:r>
      <w:r w:rsidRPr="002A4149">
        <w:rPr>
          <w:rFonts w:ascii="Arial" w:hAnsi="Arial" w:cs="Arial"/>
          <w:sz w:val="22"/>
          <w:szCs w:val="22"/>
        </w:rPr>
        <w:t>. 8th ed. [online] London, England ; New York: Routledge. Available at: https://bibliu.com/app/#/view/books/9781315456515/epub/OEBPS/xhtml/Ch015.html#page_286 [Accessed 25 Feb. 2023].</w:t>
      </w:r>
    </w:p>
    <w:p w14:paraId="40C6EE2B"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lastRenderedPageBreak/>
        <w:t xml:space="preserve">Collins, B. (2011). Empowerment of Children through Circle time: Myth or reality? </w:t>
      </w:r>
      <w:r w:rsidRPr="002A4149">
        <w:rPr>
          <w:rFonts w:ascii="Arial" w:hAnsi="Arial" w:cs="Arial"/>
          <w:i/>
          <w:iCs/>
          <w:sz w:val="22"/>
          <w:szCs w:val="22"/>
        </w:rPr>
        <w:t>Irish Educational Studies</w:t>
      </w:r>
      <w:r w:rsidRPr="002A4149">
        <w:rPr>
          <w:rFonts w:ascii="Arial" w:hAnsi="Arial" w:cs="Arial"/>
          <w:sz w:val="22"/>
          <w:szCs w:val="22"/>
        </w:rPr>
        <w:t>, [online] 32(4), pp.421–436. doi:https://doi.org/10.1080/03323315.2013.854459.</w:t>
      </w:r>
    </w:p>
    <w:p w14:paraId="2AABCCC7"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Cotrim, H., Granja, C., Carvalho, A.S., Cotrim, C. and Martins, R. (2021). Children’s Understanding of Informed Assents in Research Studies. </w:t>
      </w:r>
      <w:r w:rsidRPr="002A4149">
        <w:rPr>
          <w:rFonts w:ascii="Arial" w:hAnsi="Arial" w:cs="Arial"/>
          <w:i/>
          <w:iCs/>
          <w:sz w:val="22"/>
          <w:szCs w:val="22"/>
        </w:rPr>
        <w:t>Healthcare</w:t>
      </w:r>
      <w:r w:rsidRPr="002A4149">
        <w:rPr>
          <w:rFonts w:ascii="Arial" w:hAnsi="Arial" w:cs="Arial"/>
          <w:sz w:val="22"/>
          <w:szCs w:val="22"/>
        </w:rPr>
        <w:t>, [online] 9(7), p.871. doi:https://doi.org/10.3390/healthcare9070871.</w:t>
      </w:r>
    </w:p>
    <w:p w14:paraId="1BDBAA03"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Crowe, S., Cresswell, K., Robertson, A., Huby, G., Avery, A. and Sheikh, A. (2011). The Case Study Approach. </w:t>
      </w:r>
      <w:r w:rsidRPr="002A4149">
        <w:rPr>
          <w:rFonts w:ascii="Arial" w:hAnsi="Arial" w:cs="Arial"/>
          <w:i/>
          <w:iCs/>
          <w:sz w:val="22"/>
          <w:szCs w:val="22"/>
        </w:rPr>
        <w:t>BMC Medical Research Methodology</w:t>
      </w:r>
      <w:r w:rsidRPr="002A4149">
        <w:rPr>
          <w:rFonts w:ascii="Arial" w:hAnsi="Arial" w:cs="Arial"/>
          <w:sz w:val="22"/>
          <w:szCs w:val="22"/>
        </w:rPr>
        <w:t>, [online] 11(1), pp.1–9. doi:https://doi.org/10.1186/1471-2288-11-100.</w:t>
      </w:r>
    </w:p>
    <w:p w14:paraId="55160603"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Dockett, S. and Perry, B. (2010). Researching with Young Children: Seeking Assent. </w:t>
      </w:r>
      <w:r w:rsidRPr="002A4149">
        <w:rPr>
          <w:rFonts w:ascii="Arial" w:hAnsi="Arial" w:cs="Arial"/>
          <w:i/>
          <w:iCs/>
          <w:sz w:val="22"/>
          <w:szCs w:val="22"/>
        </w:rPr>
        <w:t>Child Indicators Research</w:t>
      </w:r>
      <w:r w:rsidRPr="002A4149">
        <w:rPr>
          <w:rFonts w:ascii="Arial" w:hAnsi="Arial" w:cs="Arial"/>
          <w:sz w:val="22"/>
          <w:szCs w:val="22"/>
        </w:rPr>
        <w:t xml:space="preserve">, [online] 4(2), pp.231–247. Available at: https://www.victoria.ac.nz/education/pdf/ethics/Docket-Perry-2011.pdf [Accessed 24 Feb. 2023]. </w:t>
      </w:r>
    </w:p>
    <w:p w14:paraId="48F18186"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Driscoll, D.L. (2011). </w:t>
      </w:r>
      <w:r w:rsidRPr="002A4149">
        <w:rPr>
          <w:rFonts w:ascii="Arial" w:hAnsi="Arial" w:cs="Arial"/>
          <w:i/>
          <w:iCs/>
          <w:sz w:val="22"/>
          <w:szCs w:val="22"/>
        </w:rPr>
        <w:t>Introduction to Primary Research: Observations, Surveys, and Interviews</w:t>
      </w:r>
      <w:r w:rsidRPr="002A4149">
        <w:rPr>
          <w:rFonts w:ascii="Arial" w:hAnsi="Arial" w:cs="Arial"/>
          <w:sz w:val="22"/>
          <w:szCs w:val="22"/>
        </w:rPr>
        <w:t>. [online] Available at: https://wac.colostate.edu/books/writingspaces2/driscoll--introduction-to-primary-research.pdf [Accessed 25 Feb. 2023].</w:t>
      </w:r>
    </w:p>
    <w:p w14:paraId="7402C2C0"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Flick, U. (2018) </w:t>
      </w:r>
      <w:r w:rsidRPr="002A4149">
        <w:rPr>
          <w:rFonts w:ascii="Arial" w:hAnsi="Arial" w:cs="Arial"/>
          <w:i/>
          <w:iCs/>
          <w:sz w:val="22"/>
          <w:szCs w:val="22"/>
        </w:rPr>
        <w:t>The Sage handbook of qualitative data collection</w:t>
      </w:r>
      <w:r w:rsidRPr="002A4149">
        <w:rPr>
          <w:rFonts w:ascii="Arial" w:hAnsi="Arial" w:cs="Arial"/>
          <w:sz w:val="22"/>
          <w:szCs w:val="22"/>
        </w:rPr>
        <w:t xml:space="preserve">. London: SAGE Publications Ltd </w:t>
      </w:r>
    </w:p>
    <w:p w14:paraId="28F62E1F"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Forman, G. and Hall, E. (2013). Wondering With Children: The Importance of Observation in Early Education. </w:t>
      </w:r>
      <w:r w:rsidRPr="002A4149">
        <w:rPr>
          <w:rFonts w:ascii="Arial" w:hAnsi="Arial" w:cs="Arial"/>
          <w:i/>
          <w:iCs/>
          <w:sz w:val="22"/>
          <w:szCs w:val="22"/>
        </w:rPr>
        <w:t>LEARNing Landscapes</w:t>
      </w:r>
      <w:r w:rsidRPr="002A4149">
        <w:rPr>
          <w:rFonts w:ascii="Arial" w:hAnsi="Arial" w:cs="Arial"/>
          <w:sz w:val="22"/>
          <w:szCs w:val="22"/>
        </w:rPr>
        <w:t>, [online] 7(1), pp.187–202. doi:https://doi.org/10.36510/learnland.v7i1.637.</w:t>
      </w:r>
    </w:p>
    <w:p w14:paraId="0754242C"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Fromkin, V., Krashen, S., Rigler, D. and Paci', M. (1974). The Development of Language in Genie: a Case of Language Acquisition beyond the ‘Critical Period’ l. </w:t>
      </w:r>
      <w:r w:rsidRPr="002A4149">
        <w:rPr>
          <w:rFonts w:ascii="Arial" w:hAnsi="Arial" w:cs="Arial"/>
          <w:i/>
          <w:iCs/>
          <w:sz w:val="22"/>
          <w:szCs w:val="22"/>
        </w:rPr>
        <w:t>Brain and Language</w:t>
      </w:r>
      <w:r w:rsidRPr="002A4149">
        <w:rPr>
          <w:rFonts w:ascii="Arial" w:hAnsi="Arial" w:cs="Arial"/>
          <w:sz w:val="22"/>
          <w:szCs w:val="22"/>
        </w:rPr>
        <w:t>, [online] 1(1), pp.81–107. Available at: https://linguistics.ucla.edu/people/curtiss/1974%20-%20The%20development%20of%20language%20in%20Genie.pdf.</w:t>
      </w:r>
    </w:p>
    <w:p w14:paraId="41FC5558"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Glazzard, J. (2016). The Value of Circle Time as an Intervention Strategy. </w:t>
      </w:r>
      <w:r w:rsidRPr="002A4149">
        <w:rPr>
          <w:rFonts w:ascii="Arial" w:hAnsi="Arial" w:cs="Arial"/>
          <w:i/>
          <w:iCs/>
          <w:sz w:val="22"/>
          <w:szCs w:val="22"/>
        </w:rPr>
        <w:t>Journal of Educational and Developmental Psychology</w:t>
      </w:r>
      <w:r w:rsidRPr="002A4149">
        <w:rPr>
          <w:rFonts w:ascii="Arial" w:hAnsi="Arial" w:cs="Arial"/>
          <w:sz w:val="22"/>
          <w:szCs w:val="22"/>
        </w:rPr>
        <w:t>, [online] 6(2), p.207. doi:https://doi.org/10.5539/jedp.v6n2p207.</w:t>
      </w:r>
    </w:p>
    <w:p w14:paraId="0862F500"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Gustafsson, J. (2017). </w:t>
      </w:r>
      <w:r w:rsidRPr="002A4149">
        <w:rPr>
          <w:rFonts w:ascii="Arial" w:hAnsi="Arial" w:cs="Arial"/>
          <w:i/>
          <w:iCs/>
          <w:sz w:val="22"/>
          <w:szCs w:val="22"/>
        </w:rPr>
        <w:t>Single case studies vs. multiple case studies: A comparative study</w:t>
      </w:r>
      <w:r w:rsidRPr="002A4149">
        <w:rPr>
          <w:rFonts w:ascii="Arial" w:hAnsi="Arial" w:cs="Arial"/>
          <w:sz w:val="22"/>
          <w:szCs w:val="22"/>
        </w:rPr>
        <w:t>. [online] Available at: https://www.diva-portal.org/smash/get/diva2:1064378/FULLTEXT01.pdf [Accessed 21 Feb. 2023].</w:t>
      </w:r>
    </w:p>
    <w:p w14:paraId="575DC748"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lastRenderedPageBreak/>
        <w:t xml:space="preserve">Heale, R. and Twycross, A. (2015). Validity and Reliability in Quantitative Studies. </w:t>
      </w:r>
      <w:r w:rsidRPr="002A4149">
        <w:rPr>
          <w:rFonts w:ascii="Arial" w:hAnsi="Arial" w:cs="Arial"/>
          <w:i/>
          <w:iCs/>
          <w:sz w:val="22"/>
          <w:szCs w:val="22"/>
        </w:rPr>
        <w:t>Evidence Based Nursing</w:t>
      </w:r>
      <w:r w:rsidRPr="002A4149">
        <w:rPr>
          <w:rFonts w:ascii="Arial" w:hAnsi="Arial" w:cs="Arial"/>
          <w:sz w:val="22"/>
          <w:szCs w:val="22"/>
        </w:rPr>
        <w:t>, [online] 18(3), pp.66–67. doi:https://doi.org/10.1136/eb-2015-102129.</w:t>
      </w:r>
    </w:p>
    <w:p w14:paraId="43B2FD88"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Heale, R. and Twycross, A. (2018). What Is a Case study? </w:t>
      </w:r>
      <w:r w:rsidRPr="002A4149">
        <w:rPr>
          <w:rFonts w:ascii="Arial" w:hAnsi="Arial" w:cs="Arial"/>
          <w:i/>
          <w:iCs/>
          <w:sz w:val="22"/>
          <w:szCs w:val="22"/>
        </w:rPr>
        <w:t>Evidence Based Nursing</w:t>
      </w:r>
      <w:r w:rsidRPr="002A4149">
        <w:rPr>
          <w:rFonts w:ascii="Arial" w:hAnsi="Arial" w:cs="Arial"/>
          <w:sz w:val="22"/>
          <w:szCs w:val="22"/>
        </w:rPr>
        <w:t>, [online] 21(1), pp.7–8. doi:https://doi.org/10.1136/eb-2017-102845.</w:t>
      </w:r>
    </w:p>
    <w:p w14:paraId="44B52538"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Holmes, A.G.D. (2020). Researcher Positionality - a Consideration of Its Influence and Place in Qualitative Research - a New Researcher Guide. </w:t>
      </w:r>
      <w:r w:rsidRPr="002A4149">
        <w:rPr>
          <w:rFonts w:ascii="Arial" w:hAnsi="Arial" w:cs="Arial"/>
          <w:i/>
          <w:iCs/>
          <w:sz w:val="22"/>
          <w:szCs w:val="22"/>
        </w:rPr>
        <w:t>Shanlax International Journal of Education</w:t>
      </w:r>
      <w:r w:rsidRPr="002A4149">
        <w:rPr>
          <w:rFonts w:ascii="Arial" w:hAnsi="Arial" w:cs="Arial"/>
          <w:sz w:val="22"/>
          <w:szCs w:val="22"/>
        </w:rPr>
        <w:t>, [online] 8(4), pp.1–10. doi:https://doi.org/10.34293/education.v8i4.3232.</w:t>
      </w:r>
    </w:p>
    <w:p w14:paraId="7461B4E0"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Hussein, A. (2009). The use of Triangulation in Social Sciences Research. </w:t>
      </w:r>
      <w:r w:rsidRPr="002A4149">
        <w:rPr>
          <w:rFonts w:ascii="Arial" w:hAnsi="Arial" w:cs="Arial"/>
          <w:i/>
          <w:iCs/>
          <w:sz w:val="22"/>
          <w:szCs w:val="22"/>
        </w:rPr>
        <w:t>Journal of Comparative Social Work</w:t>
      </w:r>
      <w:r w:rsidRPr="002A4149">
        <w:rPr>
          <w:rFonts w:ascii="Arial" w:hAnsi="Arial" w:cs="Arial"/>
          <w:sz w:val="22"/>
          <w:szCs w:val="22"/>
        </w:rPr>
        <w:t>, 4(1), pp.106–117. doi:https://doi.org/10.31265/jcsw.v4i1.48.</w:t>
      </w:r>
    </w:p>
    <w:p w14:paraId="6364E5EA"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Jamshed, S. (2014). Qualitative Research method-interviewing and Observation. </w:t>
      </w:r>
      <w:r w:rsidRPr="002A4149">
        <w:rPr>
          <w:rFonts w:ascii="Arial" w:hAnsi="Arial" w:cs="Arial"/>
          <w:i/>
          <w:iCs/>
          <w:sz w:val="22"/>
          <w:szCs w:val="22"/>
        </w:rPr>
        <w:t>Journal of Basic and Clinical Pharmacy</w:t>
      </w:r>
      <w:r w:rsidRPr="002A4149">
        <w:rPr>
          <w:rFonts w:ascii="Arial" w:hAnsi="Arial" w:cs="Arial"/>
          <w:sz w:val="22"/>
          <w:szCs w:val="22"/>
        </w:rPr>
        <w:t>, [online] 5(4), pp.87–88. doi:https://doi.org/10.4103/0976-0105.141942.</w:t>
      </w:r>
    </w:p>
    <w:p w14:paraId="30D53B9E"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Jurevičienė, M., Kaffemanienė, I. and Ruškus, J. (2018). Concept and Structural Components of Social Skills. </w:t>
      </w:r>
      <w:r w:rsidRPr="002A4149">
        <w:rPr>
          <w:rFonts w:ascii="Arial" w:hAnsi="Arial" w:cs="Arial"/>
          <w:i/>
          <w:iCs/>
          <w:sz w:val="22"/>
          <w:szCs w:val="22"/>
        </w:rPr>
        <w:t>Baltic Journal of Sport and Health Sciences</w:t>
      </w:r>
      <w:r w:rsidRPr="002A4149">
        <w:rPr>
          <w:rFonts w:ascii="Arial" w:hAnsi="Arial" w:cs="Arial"/>
          <w:sz w:val="22"/>
          <w:szCs w:val="22"/>
        </w:rPr>
        <w:t>, [online] 3(86). Available at: https://www.researchgate.net/publication/333142271_Concept_and_Structural_Components_of_Social_Skills [Accessed 24 Feb. 2023].</w:t>
      </w:r>
    </w:p>
    <w:p w14:paraId="7F5CEEAB"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Khakimova, D. (2019). Advantages and Disadvantages of Observation. [online] 7(53), pp.144–146. Available at: https://cyberleninka.ru/article/n/advantages-and-disadvantages-of-observation [Accessed 24 Feb. 2023].</w:t>
      </w:r>
    </w:p>
    <w:p w14:paraId="2B3D00E5"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Maguire, M. and Delahunt, B. (2017). Doing a Thematic analysis: a practical, step-by-step Guide for Learning and Teaching scholars. </w:t>
      </w:r>
      <w:r w:rsidRPr="002A4149">
        <w:rPr>
          <w:rFonts w:ascii="Arial" w:hAnsi="Arial" w:cs="Arial"/>
          <w:i/>
          <w:iCs/>
          <w:sz w:val="22"/>
          <w:szCs w:val="22"/>
        </w:rPr>
        <w:t>All Ireland Journal of Higher Education</w:t>
      </w:r>
      <w:r w:rsidRPr="002A4149">
        <w:rPr>
          <w:rFonts w:ascii="Arial" w:hAnsi="Arial" w:cs="Arial"/>
          <w:sz w:val="22"/>
          <w:szCs w:val="22"/>
        </w:rPr>
        <w:t>, [online] 9(3). Available at: https://ojs.aishe.org/index.php/aishe-j/article/view/335 [Accessed 25 Feb. 2023].</w:t>
      </w:r>
    </w:p>
    <w:p w14:paraId="5E5824E3"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McClelland, M.M., Morrison, F.J. and Holmes, D.L. (2000). Children at Risk for Early Academic Problems: the Role of Learning-Related Social Skills. </w:t>
      </w:r>
      <w:r w:rsidRPr="002A4149">
        <w:rPr>
          <w:rFonts w:ascii="Arial" w:hAnsi="Arial" w:cs="Arial"/>
          <w:i/>
          <w:iCs/>
          <w:sz w:val="22"/>
          <w:szCs w:val="22"/>
        </w:rPr>
        <w:t>Early Childhood Research Quarterly.</w:t>
      </w:r>
      <w:r w:rsidRPr="002A4149">
        <w:rPr>
          <w:rFonts w:ascii="Arial" w:hAnsi="Arial" w:cs="Arial"/>
          <w:sz w:val="22"/>
          <w:szCs w:val="22"/>
        </w:rPr>
        <w:t>, [online] 15(3), pp.307–329. Available at: https://d1wqtxts1xzle7.cloudfront.net/44035144/lrss_article_ECRQ_00-libre.pdf?1458750403=&amp;response-content-disposition=inline%3B+filename%3DChildren_at_risk_for_early_academic_prob.pdf&amp;Expires=1677334074&amp;Signature=F~ncS4ZxmNfk-8CIb~rRSojVBlQFj9nvCohVMjuQLNWXVBrMME6YTfQASABWfutP6ousejBeGveCDTsK0kY</w:t>
      </w:r>
      <w:r w:rsidRPr="002A4149">
        <w:rPr>
          <w:rFonts w:ascii="Arial" w:hAnsi="Arial" w:cs="Arial"/>
          <w:sz w:val="22"/>
          <w:szCs w:val="22"/>
        </w:rPr>
        <w:lastRenderedPageBreak/>
        <w:t>LsJmyCwUUcPyGzMRYIGL4pvGyaN6dJE9tPgc0ngpCHIrD05LEUEw55jAcu4D30qqevioY~FO8PMZ0Sk8PhLuD2LhvZZBCcCLCc7AweUzQVFnZQcuXdVv4YAffqAXawJnv3B0-kpj~Caf0palZMcVzDKlD-OR~8w2IWobO6fNqb7HtmzGBQcoS1h2yFFMmeqB-ODLR3KCMbLDQBsQUEQyd1dV8VY9E-yTgDQu~ZP4jN3U0gAFws1cWFH-ZztFoIBdtPA__&amp;Key-Pair-Id=APKAJLOHF5GGSLRBV4ZA [Accessed 24 Feb. 2023].</w:t>
      </w:r>
    </w:p>
    <w:p w14:paraId="768BEE2E"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Mcleod, S. (2019). </w:t>
      </w:r>
      <w:r w:rsidRPr="002A4149">
        <w:rPr>
          <w:rFonts w:ascii="Arial" w:hAnsi="Arial" w:cs="Arial"/>
          <w:i/>
          <w:iCs/>
          <w:sz w:val="22"/>
          <w:szCs w:val="22"/>
        </w:rPr>
        <w:t>Case Study Method</w:t>
      </w:r>
      <w:r w:rsidRPr="002A4149">
        <w:rPr>
          <w:rFonts w:ascii="Arial" w:hAnsi="Arial" w:cs="Arial"/>
          <w:sz w:val="22"/>
          <w:szCs w:val="22"/>
        </w:rPr>
        <w:t>. [online] Simplypsychology.org. Available at: https://www.simplypsychology.org/case-study.html [Accessed 22 Feb. 2023].</w:t>
      </w:r>
    </w:p>
    <w:p w14:paraId="713D531E"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Mosley, J. (2004). </w:t>
      </w:r>
      <w:r w:rsidRPr="002A4149">
        <w:rPr>
          <w:rFonts w:ascii="Arial" w:hAnsi="Arial" w:cs="Arial"/>
          <w:i/>
          <w:iCs/>
          <w:sz w:val="22"/>
          <w:szCs w:val="22"/>
        </w:rPr>
        <w:t>Quality Circle Time in the Primary Classroom</w:t>
      </w:r>
      <w:r w:rsidRPr="002A4149">
        <w:rPr>
          <w:rFonts w:ascii="Arial" w:hAnsi="Arial" w:cs="Arial"/>
          <w:sz w:val="22"/>
          <w:szCs w:val="22"/>
        </w:rPr>
        <w:t>. Wisbech Lda.</w:t>
      </w:r>
    </w:p>
    <w:p w14:paraId="58AAA234"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Mosley, J. (2009). Circle time and socio-emotional competence in children and young people. </w:t>
      </w:r>
      <w:r w:rsidRPr="002A4149">
        <w:rPr>
          <w:rFonts w:ascii="Arial" w:hAnsi="Arial" w:cs="Arial"/>
          <w:i/>
          <w:iCs/>
          <w:sz w:val="22"/>
          <w:szCs w:val="22"/>
        </w:rPr>
        <w:t>Promoting emotional education: Engaging children and young people with social, emotional and behavioural difficulties</w:t>
      </w:r>
      <w:r w:rsidRPr="002A4149">
        <w:rPr>
          <w:rFonts w:ascii="Arial" w:hAnsi="Arial" w:cs="Arial"/>
          <w:sz w:val="22"/>
          <w:szCs w:val="22"/>
        </w:rPr>
        <w:t xml:space="preserve">, pp.119-130. </w:t>
      </w:r>
    </w:p>
    <w:p w14:paraId="251D8BEB"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Munn, P. and Drever, E. (1990). </w:t>
      </w:r>
      <w:r w:rsidRPr="002A4149">
        <w:rPr>
          <w:rFonts w:ascii="Arial" w:hAnsi="Arial" w:cs="Arial"/>
          <w:i/>
          <w:iCs/>
          <w:sz w:val="22"/>
          <w:szCs w:val="22"/>
        </w:rPr>
        <w:t>Using Questionnaires in Small-Scale Research. A Teachers’ Guide</w:t>
      </w:r>
      <w:r w:rsidRPr="002A4149">
        <w:rPr>
          <w:rFonts w:ascii="Arial" w:hAnsi="Arial" w:cs="Arial"/>
          <w:sz w:val="22"/>
          <w:szCs w:val="22"/>
        </w:rPr>
        <w:t xml:space="preserve">. [online] Available at: https://files.eric.ed.gov/fulltext/ED326488.pdf [Accessed 23 Feb. 2023] </w:t>
      </w:r>
    </w:p>
    <w:p w14:paraId="798D86D7"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Nowell, L.S., Norris, J.M., White, D.E. and Moules, N.J. (2017). Thematic analysis: Striving to Meet the Trustworthiness Criteria. </w:t>
      </w:r>
      <w:r w:rsidRPr="002A4149">
        <w:rPr>
          <w:rFonts w:ascii="Arial" w:hAnsi="Arial" w:cs="Arial"/>
          <w:i/>
          <w:iCs/>
          <w:sz w:val="22"/>
          <w:szCs w:val="22"/>
        </w:rPr>
        <w:t>International Journal of Qualitative Methods</w:t>
      </w:r>
      <w:r w:rsidRPr="002A4149">
        <w:rPr>
          <w:rFonts w:ascii="Arial" w:hAnsi="Arial" w:cs="Arial"/>
          <w:sz w:val="22"/>
          <w:szCs w:val="22"/>
        </w:rPr>
        <w:t>, [online] 16(1), pp.1–13. doi:https://doi.org/10.1177/1609406917733847.</w:t>
      </w:r>
    </w:p>
    <w:p w14:paraId="457AE974"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O’Reilly-Shah, V.N. (2017). Factors Influencing Healthcare Provider Respondent Fatigue Answering a Globally Administered in-app Survey. </w:t>
      </w:r>
      <w:r w:rsidRPr="002A4149">
        <w:rPr>
          <w:rFonts w:ascii="Arial" w:hAnsi="Arial" w:cs="Arial"/>
          <w:i/>
          <w:iCs/>
          <w:sz w:val="22"/>
          <w:szCs w:val="22"/>
        </w:rPr>
        <w:t>PeerJ</w:t>
      </w:r>
      <w:r w:rsidRPr="002A4149">
        <w:rPr>
          <w:rFonts w:ascii="Arial" w:hAnsi="Arial" w:cs="Arial"/>
          <w:sz w:val="22"/>
          <w:szCs w:val="22"/>
        </w:rPr>
        <w:t>, [online] 5. doi:https://doi.org/10.7717/peerj.3785.</w:t>
      </w:r>
    </w:p>
    <w:p w14:paraId="175AF104"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Pannucci, C.J. and Wilkins, E.G. (2011). Identifying and Avoiding Bias in Research. </w:t>
      </w:r>
      <w:r w:rsidRPr="002A4149">
        <w:rPr>
          <w:rFonts w:ascii="Arial" w:hAnsi="Arial" w:cs="Arial"/>
          <w:i/>
          <w:iCs/>
          <w:sz w:val="22"/>
          <w:szCs w:val="22"/>
        </w:rPr>
        <w:t>Plastic and Reconstructive Surgery</w:t>
      </w:r>
      <w:r w:rsidRPr="002A4149">
        <w:rPr>
          <w:rFonts w:ascii="Arial" w:hAnsi="Arial" w:cs="Arial"/>
          <w:sz w:val="22"/>
          <w:szCs w:val="22"/>
        </w:rPr>
        <w:t>, [online] 126(2), pp.619–625. doi:https://doi.org/10.1097/prs.0b013e3181de24bc.</w:t>
      </w:r>
    </w:p>
    <w:p w14:paraId="16DCF32F"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Rustin, L. and Kuhr, A. (1989). </w:t>
      </w:r>
      <w:r w:rsidRPr="002A4149">
        <w:rPr>
          <w:rFonts w:ascii="Arial" w:hAnsi="Arial" w:cs="Arial"/>
          <w:i/>
          <w:iCs/>
          <w:sz w:val="22"/>
          <w:szCs w:val="22"/>
        </w:rPr>
        <w:t>Social Skills and the Speech Impaired</w:t>
      </w:r>
      <w:r w:rsidRPr="002A4149">
        <w:rPr>
          <w:rFonts w:ascii="Arial" w:hAnsi="Arial" w:cs="Arial"/>
          <w:sz w:val="22"/>
          <w:szCs w:val="22"/>
        </w:rPr>
        <w:t>. London: Taylor Francis.</w:t>
      </w:r>
    </w:p>
    <w:p w14:paraId="356A058D"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Salmon, L. (2017). The Importance of Case Studies in Social Research. Available at: https://www.changeworks.org.uk/news-and-events/blog/the-importance-of-case-studies-in-social-research [Accessed 26 Feb. 2023].</w:t>
      </w:r>
    </w:p>
    <w:p w14:paraId="3F63C3E5"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Savin-Baden, M. and Howell Major, C. (2013). </w:t>
      </w:r>
      <w:r w:rsidRPr="002A4149">
        <w:rPr>
          <w:rFonts w:ascii="Arial" w:hAnsi="Arial" w:cs="Arial"/>
          <w:i/>
          <w:iCs/>
          <w:sz w:val="22"/>
          <w:szCs w:val="22"/>
        </w:rPr>
        <w:t>Qualitative Research : The Essential Guide to Theory and Practice</w:t>
      </w:r>
      <w:r w:rsidRPr="002A4149">
        <w:rPr>
          <w:rFonts w:ascii="Arial" w:hAnsi="Arial" w:cs="Arial"/>
          <w:sz w:val="22"/>
          <w:szCs w:val="22"/>
        </w:rPr>
        <w:t>. London ; New York: Routledge.</w:t>
      </w:r>
    </w:p>
    <w:p w14:paraId="715F0194"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lastRenderedPageBreak/>
        <w:t xml:space="preserve">Sharma, R., Goswami, V. and Gupta, P. (2016). Social Skills: Their Impact on Academic Achievement and Other Aspects of Life. </w:t>
      </w:r>
      <w:r w:rsidRPr="002A4149">
        <w:rPr>
          <w:rFonts w:ascii="Arial" w:hAnsi="Arial" w:cs="Arial"/>
          <w:i/>
          <w:iCs/>
          <w:sz w:val="22"/>
          <w:szCs w:val="22"/>
        </w:rPr>
        <w:t>International Journal for Innovative Research in Multidisciplinary Field</w:t>
      </w:r>
      <w:r w:rsidRPr="002A4149">
        <w:rPr>
          <w:rFonts w:ascii="Arial" w:hAnsi="Arial" w:cs="Arial"/>
          <w:sz w:val="22"/>
          <w:szCs w:val="22"/>
        </w:rPr>
        <w:t>, [online] 2(7). Available at: https://www.ijirmf.com/wp-content/uploads/2016/11/201607049.pdf [Accessed 24 Feb. 2023].</w:t>
      </w:r>
    </w:p>
    <w:p w14:paraId="64CC7F5A"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Shenton, A.K. (2004). Strategies for Ensuring Trustworthiness in Qualitative Research Projects. </w:t>
      </w:r>
      <w:r w:rsidRPr="002A4149">
        <w:rPr>
          <w:rFonts w:ascii="Arial" w:hAnsi="Arial" w:cs="Arial"/>
          <w:i/>
          <w:iCs/>
          <w:sz w:val="22"/>
          <w:szCs w:val="22"/>
        </w:rPr>
        <w:t>Education for Information</w:t>
      </w:r>
      <w:r w:rsidRPr="002A4149">
        <w:rPr>
          <w:rFonts w:ascii="Arial" w:hAnsi="Arial" w:cs="Arial"/>
          <w:sz w:val="22"/>
          <w:szCs w:val="22"/>
        </w:rPr>
        <w:t>, [online] 22(2), pp.63–75. Available at: https://www.pm.lth.se/fileadmin/_migrated/content_uploads/Shenton_Trustworthiness.pdf [Accessed 25 Feb. 2023].</w:t>
      </w:r>
    </w:p>
    <w:p w14:paraId="143E91D0"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Shoaf, L.M. and Shoaf, M.G. (2006). The Hidden Advantages of Focus Group Interviews in Educational Research. </w:t>
      </w:r>
      <w:r w:rsidRPr="002A4149">
        <w:rPr>
          <w:rFonts w:ascii="Arial" w:hAnsi="Arial" w:cs="Arial"/>
          <w:i/>
          <w:iCs/>
          <w:sz w:val="22"/>
          <w:szCs w:val="22"/>
        </w:rPr>
        <w:t>Journal of School Public Relations</w:t>
      </w:r>
      <w:r w:rsidRPr="002A4149">
        <w:rPr>
          <w:rFonts w:ascii="Arial" w:hAnsi="Arial" w:cs="Arial"/>
          <w:sz w:val="22"/>
          <w:szCs w:val="22"/>
        </w:rPr>
        <w:t>, [online] 27(3), pp.342–354. doi:https://doi.org/10.3138/jspr.27.3.342.</w:t>
      </w:r>
    </w:p>
    <w:p w14:paraId="3F6CA48A"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Stake, R.E. (1995). </w:t>
      </w:r>
      <w:r w:rsidRPr="002A4149">
        <w:rPr>
          <w:rFonts w:ascii="Arial" w:hAnsi="Arial" w:cs="Arial"/>
          <w:i/>
          <w:iCs/>
          <w:sz w:val="22"/>
          <w:szCs w:val="22"/>
        </w:rPr>
        <w:t>The Art of Case Study Research</w:t>
      </w:r>
      <w:r w:rsidRPr="002A4149">
        <w:rPr>
          <w:rFonts w:ascii="Arial" w:hAnsi="Arial" w:cs="Arial"/>
          <w:sz w:val="22"/>
          <w:szCs w:val="22"/>
        </w:rPr>
        <w:t>. London: Sage.</w:t>
      </w:r>
    </w:p>
    <w:p w14:paraId="45F12304"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Steedly, K., Schwartz, A., Levin, M. and Luke, S. (2008). Social Skills and Academic Achievement. </w:t>
      </w:r>
      <w:r w:rsidRPr="002A4149">
        <w:rPr>
          <w:rFonts w:ascii="Arial" w:hAnsi="Arial" w:cs="Arial"/>
          <w:i/>
          <w:iCs/>
          <w:sz w:val="22"/>
          <w:szCs w:val="22"/>
        </w:rPr>
        <w:t>Evidence for Education</w:t>
      </w:r>
      <w:r w:rsidRPr="002A4149">
        <w:rPr>
          <w:rFonts w:ascii="Arial" w:hAnsi="Arial" w:cs="Arial"/>
          <w:sz w:val="22"/>
          <w:szCs w:val="22"/>
        </w:rPr>
        <w:t>, [online] 3(2). Available at: https://files.eric.ed.gov/fulltext/ED572705.pdf [Accessed 24 Feb. 2023].</w:t>
      </w:r>
    </w:p>
    <w:p w14:paraId="4ED924F9"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Vygotsky, L.S. (1978). Mind in Society. The Development of Higher Psychological Processes. </w:t>
      </w:r>
      <w:r w:rsidRPr="002A4149">
        <w:rPr>
          <w:rFonts w:ascii="Arial" w:hAnsi="Arial" w:cs="Arial"/>
          <w:i/>
          <w:iCs/>
          <w:sz w:val="22"/>
          <w:szCs w:val="22"/>
        </w:rPr>
        <w:t>The American Journal of Psychology</w:t>
      </w:r>
      <w:r w:rsidRPr="002A4149">
        <w:rPr>
          <w:rFonts w:ascii="Arial" w:hAnsi="Arial" w:cs="Arial"/>
          <w:sz w:val="22"/>
          <w:szCs w:val="22"/>
        </w:rPr>
        <w:t>, 92(1). doi:https://doi.org/10.2307/1421493.</w:t>
      </w:r>
    </w:p>
    <w:p w14:paraId="7B6C3A19" w14:textId="77777777" w:rsidR="002A4149" w:rsidRPr="002A4149" w:rsidRDefault="002A4149" w:rsidP="002A4149">
      <w:pPr>
        <w:pStyle w:val="NormalWeb"/>
        <w:spacing w:before="0" w:beforeAutospacing="0" w:after="240" w:afterAutospacing="0" w:line="360" w:lineRule="auto"/>
        <w:rPr>
          <w:rFonts w:ascii="Arial" w:hAnsi="Arial" w:cs="Arial"/>
          <w:sz w:val="22"/>
          <w:szCs w:val="22"/>
        </w:rPr>
      </w:pPr>
      <w:r w:rsidRPr="002A4149">
        <w:rPr>
          <w:rFonts w:ascii="Arial" w:hAnsi="Arial" w:cs="Arial"/>
          <w:sz w:val="22"/>
          <w:szCs w:val="22"/>
        </w:rPr>
        <w:t xml:space="preserve">Welsh Government (2020). </w:t>
      </w:r>
      <w:r w:rsidRPr="002A4149">
        <w:rPr>
          <w:rFonts w:ascii="Arial" w:hAnsi="Arial" w:cs="Arial"/>
          <w:i/>
          <w:iCs/>
          <w:sz w:val="22"/>
          <w:szCs w:val="22"/>
        </w:rPr>
        <w:t>Developing a Vision for Curriculum Design - Hwb</w:t>
      </w:r>
      <w:r w:rsidRPr="002A4149">
        <w:rPr>
          <w:rFonts w:ascii="Arial" w:hAnsi="Arial" w:cs="Arial"/>
          <w:sz w:val="22"/>
          <w:szCs w:val="22"/>
        </w:rPr>
        <w:t>. [online] hwb.gov.wales. Available at: https://hwb.gov.wales/curriculum-for-wales/designing-your-curriculum/developing-a-vision-for-curriculum-design/#curriculum-design-and-the-four-purposes [Accessed 19 Feb. 2023].</w:t>
      </w:r>
    </w:p>
    <w:p w14:paraId="4DFEC009" w14:textId="77777777" w:rsidR="002A4149" w:rsidRPr="00846EF1" w:rsidRDefault="002A4149" w:rsidP="00846EF1">
      <w:pPr>
        <w:spacing w:line="360" w:lineRule="auto"/>
        <w:rPr>
          <w:rFonts w:ascii="Arial" w:hAnsi="Arial" w:cs="Arial"/>
          <w:color w:val="1E1E1E"/>
          <w:sz w:val="22"/>
          <w:szCs w:val="22"/>
          <w:shd w:val="clear" w:color="auto" w:fill="FFFFFF"/>
          <w:lang w:eastAsia="en-GB"/>
        </w:rPr>
      </w:pPr>
    </w:p>
    <w:p w14:paraId="66F4FA9E" w14:textId="77777777" w:rsidR="00294AD9" w:rsidRPr="00846EF1" w:rsidRDefault="00294AD9" w:rsidP="00846EF1">
      <w:pPr>
        <w:spacing w:line="360" w:lineRule="auto"/>
        <w:rPr>
          <w:rFonts w:ascii="Arial" w:hAnsi="Arial" w:cs="Arial"/>
          <w:color w:val="1E1E1E"/>
          <w:sz w:val="22"/>
          <w:szCs w:val="22"/>
          <w:shd w:val="clear" w:color="auto" w:fill="FFFFFF"/>
          <w:lang w:eastAsia="en-GB"/>
        </w:rPr>
      </w:pPr>
    </w:p>
    <w:p w14:paraId="2228CD34" w14:textId="77777777" w:rsidR="003D7D8A" w:rsidRPr="00846EF1" w:rsidRDefault="003D7D8A" w:rsidP="00846EF1">
      <w:pPr>
        <w:spacing w:line="360" w:lineRule="auto"/>
        <w:rPr>
          <w:rFonts w:ascii="Arial" w:hAnsi="Arial" w:cs="Arial"/>
          <w:sz w:val="22"/>
          <w:szCs w:val="22"/>
        </w:rPr>
      </w:pPr>
    </w:p>
    <w:p w14:paraId="73B7DD93" w14:textId="77777777" w:rsidR="003D7D8A" w:rsidRPr="009048E6" w:rsidRDefault="003D7D8A" w:rsidP="009048E6">
      <w:pPr>
        <w:spacing w:line="360" w:lineRule="auto"/>
        <w:rPr>
          <w:rFonts w:ascii="Arial" w:hAnsi="Arial" w:cs="Arial"/>
          <w:sz w:val="22"/>
          <w:szCs w:val="22"/>
        </w:rPr>
      </w:pPr>
    </w:p>
    <w:p w14:paraId="7E2D70A2" w14:textId="3046F6E8" w:rsidR="00114E48" w:rsidRPr="009048E6" w:rsidRDefault="00114E48" w:rsidP="009048E6">
      <w:pPr>
        <w:spacing w:line="360" w:lineRule="auto"/>
        <w:rPr>
          <w:rFonts w:ascii="Arial" w:hAnsi="Arial" w:cs="Arial"/>
          <w:sz w:val="22"/>
          <w:szCs w:val="22"/>
        </w:rPr>
      </w:pPr>
    </w:p>
    <w:p w14:paraId="2D7AE618" w14:textId="11D6400D" w:rsidR="00114E48" w:rsidRPr="009048E6" w:rsidRDefault="00114E48" w:rsidP="009048E6">
      <w:pPr>
        <w:spacing w:line="360" w:lineRule="auto"/>
        <w:rPr>
          <w:rFonts w:ascii="Arial" w:hAnsi="Arial" w:cs="Arial"/>
          <w:sz w:val="22"/>
          <w:szCs w:val="22"/>
        </w:rPr>
      </w:pPr>
    </w:p>
    <w:p w14:paraId="4F0A9D0F" w14:textId="653832D8" w:rsidR="000B2176" w:rsidRPr="009048E6" w:rsidRDefault="000B2176" w:rsidP="009048E6">
      <w:pPr>
        <w:spacing w:line="360" w:lineRule="auto"/>
        <w:rPr>
          <w:rFonts w:ascii="Arial" w:hAnsi="Arial" w:cs="Arial"/>
          <w:sz w:val="22"/>
          <w:szCs w:val="22"/>
        </w:rPr>
      </w:pPr>
    </w:p>
    <w:p w14:paraId="380385F9" w14:textId="77777777" w:rsidR="000B2176" w:rsidRPr="009048E6" w:rsidRDefault="000B2176" w:rsidP="009048E6">
      <w:pPr>
        <w:spacing w:line="360" w:lineRule="auto"/>
        <w:rPr>
          <w:rFonts w:ascii="Arial" w:hAnsi="Arial" w:cs="Arial"/>
          <w:sz w:val="22"/>
          <w:szCs w:val="22"/>
        </w:rPr>
      </w:pPr>
    </w:p>
    <w:sectPr w:rsidR="000B2176" w:rsidRPr="00904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66A"/>
    <w:rsid w:val="00000273"/>
    <w:rsid w:val="000267E8"/>
    <w:rsid w:val="00030220"/>
    <w:rsid w:val="0003552C"/>
    <w:rsid w:val="00044BC4"/>
    <w:rsid w:val="00055944"/>
    <w:rsid w:val="0006676E"/>
    <w:rsid w:val="0007358D"/>
    <w:rsid w:val="00075AE3"/>
    <w:rsid w:val="00085CD5"/>
    <w:rsid w:val="000A26E7"/>
    <w:rsid w:val="000B2176"/>
    <w:rsid w:val="000C187C"/>
    <w:rsid w:val="000D6417"/>
    <w:rsid w:val="000E3334"/>
    <w:rsid w:val="000E3CE7"/>
    <w:rsid w:val="00114E48"/>
    <w:rsid w:val="00122FE8"/>
    <w:rsid w:val="00132B47"/>
    <w:rsid w:val="00132CCC"/>
    <w:rsid w:val="001341CF"/>
    <w:rsid w:val="001441E4"/>
    <w:rsid w:val="00146E3C"/>
    <w:rsid w:val="00157E8D"/>
    <w:rsid w:val="00161F42"/>
    <w:rsid w:val="001806D7"/>
    <w:rsid w:val="001833E1"/>
    <w:rsid w:val="001A7162"/>
    <w:rsid w:val="001B7AF7"/>
    <w:rsid w:val="001D3414"/>
    <w:rsid w:val="001E249C"/>
    <w:rsid w:val="001F3F07"/>
    <w:rsid w:val="0020740A"/>
    <w:rsid w:val="0021673B"/>
    <w:rsid w:val="00224F4D"/>
    <w:rsid w:val="00233F4A"/>
    <w:rsid w:val="00243E15"/>
    <w:rsid w:val="00270067"/>
    <w:rsid w:val="00274972"/>
    <w:rsid w:val="00276078"/>
    <w:rsid w:val="0028056F"/>
    <w:rsid w:val="00294AD9"/>
    <w:rsid w:val="002A31C3"/>
    <w:rsid w:val="002A35FB"/>
    <w:rsid w:val="002A4149"/>
    <w:rsid w:val="002B299E"/>
    <w:rsid w:val="002B5AC1"/>
    <w:rsid w:val="002D1021"/>
    <w:rsid w:val="002D203B"/>
    <w:rsid w:val="002E5090"/>
    <w:rsid w:val="002F36D5"/>
    <w:rsid w:val="002F3E28"/>
    <w:rsid w:val="003002F9"/>
    <w:rsid w:val="00312CC1"/>
    <w:rsid w:val="00321094"/>
    <w:rsid w:val="003219EE"/>
    <w:rsid w:val="00327AC9"/>
    <w:rsid w:val="0033381E"/>
    <w:rsid w:val="003401E0"/>
    <w:rsid w:val="00360BE0"/>
    <w:rsid w:val="0036159F"/>
    <w:rsid w:val="00396A2B"/>
    <w:rsid w:val="003A4406"/>
    <w:rsid w:val="003D7D8A"/>
    <w:rsid w:val="0040466A"/>
    <w:rsid w:val="004061AE"/>
    <w:rsid w:val="00420AD0"/>
    <w:rsid w:val="004375F9"/>
    <w:rsid w:val="00447B37"/>
    <w:rsid w:val="004B544B"/>
    <w:rsid w:val="004C7DD5"/>
    <w:rsid w:val="004D248D"/>
    <w:rsid w:val="004E1DB5"/>
    <w:rsid w:val="004F3638"/>
    <w:rsid w:val="00507FE8"/>
    <w:rsid w:val="00554E8E"/>
    <w:rsid w:val="00555FE9"/>
    <w:rsid w:val="00556B14"/>
    <w:rsid w:val="00565CF9"/>
    <w:rsid w:val="0057656D"/>
    <w:rsid w:val="00576FA6"/>
    <w:rsid w:val="0058666D"/>
    <w:rsid w:val="005A120C"/>
    <w:rsid w:val="005A253F"/>
    <w:rsid w:val="005B6ECB"/>
    <w:rsid w:val="005B774F"/>
    <w:rsid w:val="005C2292"/>
    <w:rsid w:val="005C307B"/>
    <w:rsid w:val="005F2854"/>
    <w:rsid w:val="00610FF2"/>
    <w:rsid w:val="00614F6C"/>
    <w:rsid w:val="00630FA7"/>
    <w:rsid w:val="00632C87"/>
    <w:rsid w:val="006526B8"/>
    <w:rsid w:val="006531DF"/>
    <w:rsid w:val="0066705C"/>
    <w:rsid w:val="00670EAF"/>
    <w:rsid w:val="00693458"/>
    <w:rsid w:val="0069447C"/>
    <w:rsid w:val="006D1E02"/>
    <w:rsid w:val="006D46C4"/>
    <w:rsid w:val="006D5584"/>
    <w:rsid w:val="006D6F7D"/>
    <w:rsid w:val="006E0709"/>
    <w:rsid w:val="006F35F2"/>
    <w:rsid w:val="00702914"/>
    <w:rsid w:val="007051F8"/>
    <w:rsid w:val="00713701"/>
    <w:rsid w:val="00744905"/>
    <w:rsid w:val="00747A85"/>
    <w:rsid w:val="007518FB"/>
    <w:rsid w:val="00755AA1"/>
    <w:rsid w:val="00757DE4"/>
    <w:rsid w:val="00764AA3"/>
    <w:rsid w:val="007724AB"/>
    <w:rsid w:val="00793684"/>
    <w:rsid w:val="007A55E2"/>
    <w:rsid w:val="007B7865"/>
    <w:rsid w:val="007C74FB"/>
    <w:rsid w:val="007D11DD"/>
    <w:rsid w:val="007F641E"/>
    <w:rsid w:val="007F763B"/>
    <w:rsid w:val="0081422E"/>
    <w:rsid w:val="00820DB3"/>
    <w:rsid w:val="00823557"/>
    <w:rsid w:val="00846EF1"/>
    <w:rsid w:val="00847B7F"/>
    <w:rsid w:val="00854293"/>
    <w:rsid w:val="00863E1B"/>
    <w:rsid w:val="00874F48"/>
    <w:rsid w:val="00880F75"/>
    <w:rsid w:val="00883C2D"/>
    <w:rsid w:val="00885A5C"/>
    <w:rsid w:val="00892EF1"/>
    <w:rsid w:val="00895ED2"/>
    <w:rsid w:val="00897510"/>
    <w:rsid w:val="00897759"/>
    <w:rsid w:val="00897C1F"/>
    <w:rsid w:val="008B3AA5"/>
    <w:rsid w:val="008C0F23"/>
    <w:rsid w:val="008E0A32"/>
    <w:rsid w:val="008F5289"/>
    <w:rsid w:val="009048E6"/>
    <w:rsid w:val="009178B7"/>
    <w:rsid w:val="00945E5B"/>
    <w:rsid w:val="00951A09"/>
    <w:rsid w:val="00953291"/>
    <w:rsid w:val="009540D4"/>
    <w:rsid w:val="00970C68"/>
    <w:rsid w:val="0099375C"/>
    <w:rsid w:val="00994495"/>
    <w:rsid w:val="009B2130"/>
    <w:rsid w:val="009F00B8"/>
    <w:rsid w:val="009F1819"/>
    <w:rsid w:val="009F3A8F"/>
    <w:rsid w:val="00A00CAB"/>
    <w:rsid w:val="00A0266E"/>
    <w:rsid w:val="00A05E21"/>
    <w:rsid w:val="00A149EE"/>
    <w:rsid w:val="00A20ACD"/>
    <w:rsid w:val="00A649F8"/>
    <w:rsid w:val="00A71F48"/>
    <w:rsid w:val="00A85768"/>
    <w:rsid w:val="00AA4400"/>
    <w:rsid w:val="00AB1983"/>
    <w:rsid w:val="00AE77AB"/>
    <w:rsid w:val="00B5209C"/>
    <w:rsid w:val="00B53286"/>
    <w:rsid w:val="00B62738"/>
    <w:rsid w:val="00B71F88"/>
    <w:rsid w:val="00B87F31"/>
    <w:rsid w:val="00BA29E9"/>
    <w:rsid w:val="00BA641C"/>
    <w:rsid w:val="00BB5476"/>
    <w:rsid w:val="00BF28FC"/>
    <w:rsid w:val="00BF3AAA"/>
    <w:rsid w:val="00BF3C89"/>
    <w:rsid w:val="00C028F4"/>
    <w:rsid w:val="00C13FDF"/>
    <w:rsid w:val="00C27A48"/>
    <w:rsid w:val="00C46AA1"/>
    <w:rsid w:val="00C65E7A"/>
    <w:rsid w:val="00C67676"/>
    <w:rsid w:val="00C72717"/>
    <w:rsid w:val="00C75D43"/>
    <w:rsid w:val="00C9388A"/>
    <w:rsid w:val="00CA002A"/>
    <w:rsid w:val="00CE1AC1"/>
    <w:rsid w:val="00CF2A0B"/>
    <w:rsid w:val="00D03189"/>
    <w:rsid w:val="00D13C4B"/>
    <w:rsid w:val="00D33E05"/>
    <w:rsid w:val="00D3475E"/>
    <w:rsid w:val="00D36B06"/>
    <w:rsid w:val="00D454EF"/>
    <w:rsid w:val="00D47541"/>
    <w:rsid w:val="00D91856"/>
    <w:rsid w:val="00DC68BF"/>
    <w:rsid w:val="00DD3085"/>
    <w:rsid w:val="00DE03DF"/>
    <w:rsid w:val="00DF4C60"/>
    <w:rsid w:val="00E040BD"/>
    <w:rsid w:val="00E0471F"/>
    <w:rsid w:val="00E1763B"/>
    <w:rsid w:val="00E17CBF"/>
    <w:rsid w:val="00E32DDA"/>
    <w:rsid w:val="00E405BF"/>
    <w:rsid w:val="00E574F9"/>
    <w:rsid w:val="00E70E9C"/>
    <w:rsid w:val="00E77FF9"/>
    <w:rsid w:val="00E9093A"/>
    <w:rsid w:val="00EA28DB"/>
    <w:rsid w:val="00EA5414"/>
    <w:rsid w:val="00EB7538"/>
    <w:rsid w:val="00ED709A"/>
    <w:rsid w:val="00EE0577"/>
    <w:rsid w:val="00F62EB5"/>
    <w:rsid w:val="00F668CC"/>
    <w:rsid w:val="00F66F5E"/>
    <w:rsid w:val="00F958B7"/>
    <w:rsid w:val="00FC0B3E"/>
    <w:rsid w:val="00FC24A7"/>
    <w:rsid w:val="00FE435E"/>
    <w:rsid w:val="00FF088B"/>
    <w:rsid w:val="00FF5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368E17"/>
  <w15:chartTrackingRefBased/>
  <w15:docId w15:val="{EB1541B3-E400-8C49-AC5B-0324C8C40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66A"/>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E1763B"/>
  </w:style>
  <w:style w:type="character" w:customStyle="1" w:styleId="eop">
    <w:name w:val="eop"/>
    <w:basedOn w:val="DefaultParagraphFont"/>
    <w:rsid w:val="00E1763B"/>
  </w:style>
  <w:style w:type="paragraph" w:styleId="NormalWeb">
    <w:name w:val="Normal (Web)"/>
    <w:basedOn w:val="Normal"/>
    <w:uiPriority w:val="99"/>
    <w:unhideWhenUsed/>
    <w:rsid w:val="00555FE9"/>
    <w:pPr>
      <w:spacing w:before="100" w:beforeAutospacing="1" w:after="100" w:afterAutospacing="1"/>
    </w:pPr>
    <w:rPr>
      <w:sz w:val="24"/>
      <w:szCs w:val="24"/>
      <w:lang w:eastAsia="en-GB"/>
    </w:rPr>
  </w:style>
  <w:style w:type="table" w:styleId="TableGrid">
    <w:name w:val="Table Grid"/>
    <w:basedOn w:val="TableNormal"/>
    <w:uiPriority w:val="39"/>
    <w:rsid w:val="00555F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555FE9"/>
    <w:pPr>
      <w:spacing w:line="360" w:lineRule="auto"/>
    </w:pPr>
    <w:rPr>
      <w:rFonts w:ascii="Arial" w:hAnsi="Arial"/>
      <w:sz w:val="22"/>
      <w:szCs w:val="22"/>
      <w:lang w:eastAsia="en-GB"/>
    </w:rPr>
  </w:style>
  <w:style w:type="character" w:customStyle="1" w:styleId="AssignBodyChar">
    <w:name w:val="AssignBody Char"/>
    <w:basedOn w:val="DefaultParagraphFont"/>
    <w:link w:val="AssignBody"/>
    <w:rsid w:val="00555FE9"/>
    <w:rPr>
      <w:rFonts w:ascii="Arial" w:eastAsia="Times New Roman" w:hAnsi="Arial"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7876069">
      <w:bodyDiv w:val="1"/>
      <w:marLeft w:val="0"/>
      <w:marRight w:val="0"/>
      <w:marTop w:val="0"/>
      <w:marBottom w:val="0"/>
      <w:divBdr>
        <w:top w:val="none" w:sz="0" w:space="0" w:color="auto"/>
        <w:left w:val="none" w:sz="0" w:space="0" w:color="auto"/>
        <w:bottom w:val="none" w:sz="0" w:space="0" w:color="auto"/>
        <w:right w:val="none" w:sz="0" w:space="0" w:color="auto"/>
      </w:divBdr>
      <w:divsChild>
        <w:div w:id="1993095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288</TotalTime>
  <Pages>16</Pages>
  <Words>5786</Words>
  <Characters>32986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 (1900854)</dc:creator>
  <cp:keywords/>
  <dc:description/>
  <cp:lastModifiedBy>Chloe Thomas (1900854)</cp:lastModifiedBy>
  <cp:revision>213</cp:revision>
  <dcterms:created xsi:type="dcterms:W3CDTF">2023-02-22T22:32:00Z</dcterms:created>
  <dcterms:modified xsi:type="dcterms:W3CDTF">2023-02-27T20:54:00Z</dcterms:modified>
</cp:coreProperties>
</file>