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38"/>
          <w:szCs w:val="38"/>
        </w:rPr>
      </w:pPr>
      <w:r w:rsidDel="00000000" w:rsidR="00000000" w:rsidRPr="00000000">
        <w:rPr>
          <w:b w:val="1"/>
          <w:sz w:val="38"/>
          <w:szCs w:val="38"/>
          <w:rtl w:val="0"/>
        </w:rPr>
        <w:t xml:space="preserve">University of Wales</w:t>
      </w:r>
    </w:p>
    <w:p w:rsidR="00000000" w:rsidDel="00000000" w:rsidP="00000000" w:rsidRDefault="00000000" w:rsidRPr="00000000" w14:paraId="00000002">
      <w:pPr>
        <w:jc w:val="center"/>
        <w:rPr>
          <w:b w:val="1"/>
          <w:sz w:val="38"/>
          <w:szCs w:val="38"/>
        </w:rPr>
      </w:pPr>
      <w:r w:rsidDel="00000000" w:rsidR="00000000" w:rsidRPr="00000000">
        <w:rPr>
          <w:b w:val="1"/>
          <w:sz w:val="38"/>
          <w:szCs w:val="38"/>
          <w:rtl w:val="0"/>
        </w:rPr>
        <w:t xml:space="preserve">Program:BA Business Management </w:t>
      </w:r>
    </w:p>
    <w:p w:rsidR="00000000" w:rsidDel="00000000" w:rsidP="00000000" w:rsidRDefault="00000000" w:rsidRPr="00000000" w14:paraId="00000003">
      <w:pPr>
        <w:jc w:val="center"/>
        <w:rPr>
          <w:b w:val="1"/>
          <w:sz w:val="38"/>
          <w:szCs w:val="38"/>
        </w:rPr>
      </w:pPr>
      <w:r w:rsidDel="00000000" w:rsidR="00000000" w:rsidRPr="00000000">
        <w:rPr>
          <w:b w:val="1"/>
          <w:sz w:val="38"/>
          <w:szCs w:val="38"/>
          <w:rtl w:val="0"/>
        </w:rPr>
        <w:t xml:space="preserve">Module:Comunity Engagement</w:t>
      </w:r>
    </w:p>
    <w:p w:rsidR="00000000" w:rsidDel="00000000" w:rsidP="00000000" w:rsidRDefault="00000000" w:rsidRPr="00000000" w14:paraId="00000004">
      <w:pPr>
        <w:jc w:val="center"/>
        <w:rPr>
          <w:b w:val="1"/>
          <w:sz w:val="38"/>
          <w:szCs w:val="38"/>
        </w:rPr>
      </w:pPr>
      <w:r w:rsidDel="00000000" w:rsidR="00000000" w:rsidRPr="00000000">
        <w:rPr>
          <w:b w:val="1"/>
          <w:sz w:val="38"/>
          <w:szCs w:val="38"/>
          <w:rtl w:val="0"/>
        </w:rPr>
        <w:t xml:space="preserve">Module code:LCBB4002</w:t>
      </w:r>
    </w:p>
    <w:p w:rsidR="00000000" w:rsidDel="00000000" w:rsidP="00000000" w:rsidRDefault="00000000" w:rsidRPr="00000000" w14:paraId="00000005">
      <w:pPr>
        <w:jc w:val="center"/>
        <w:rPr>
          <w:b w:val="1"/>
          <w:sz w:val="38"/>
          <w:szCs w:val="38"/>
        </w:rPr>
      </w:pPr>
      <w:r w:rsidDel="00000000" w:rsidR="00000000" w:rsidRPr="00000000">
        <w:rPr>
          <w:b w:val="1"/>
          <w:sz w:val="38"/>
          <w:szCs w:val="38"/>
          <w:rtl w:val="0"/>
        </w:rPr>
        <w:t xml:space="preserve">Assignment Title:Assesment 2:Comunity Engagement</w:t>
      </w:r>
    </w:p>
    <w:p w:rsidR="00000000" w:rsidDel="00000000" w:rsidP="00000000" w:rsidRDefault="00000000" w:rsidRPr="00000000" w14:paraId="00000006">
      <w:pPr>
        <w:jc w:val="center"/>
        <w:rPr>
          <w:b w:val="1"/>
          <w:sz w:val="40"/>
          <w:szCs w:val="40"/>
        </w:rPr>
      </w:pPr>
      <w:hyperlink w:anchor="_heading=h.30j0zll">
        <w:r w:rsidDel="00000000" w:rsidR="00000000" w:rsidRPr="00000000">
          <w:rPr>
            <w:b w:val="1"/>
            <w:sz w:val="30"/>
            <w:szCs w:val="30"/>
            <w:rtl w:val="0"/>
          </w:rPr>
          <w:t xml:space="preserve">Reflection on the Community Engagement by the two Organizations</w:t>
          <w:tab/>
        </w:r>
      </w:hyperlink>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7">
      <w:pPr>
        <w:jc w:val="center"/>
        <w:rPr>
          <w:b w:val="1"/>
          <w:sz w:val="40"/>
          <w:szCs w:val="40"/>
        </w:rPr>
      </w:pPr>
      <w:r w:rsidDel="00000000" w:rsidR="00000000" w:rsidRPr="00000000">
        <w:rPr>
          <w:b w:val="1"/>
          <w:sz w:val="40"/>
          <w:szCs w:val="40"/>
          <w:rtl w:val="0"/>
        </w:rPr>
        <w:t xml:space="preserve">    Name:Daniel Florescu</w:t>
      </w:r>
    </w:p>
    <w:p w:rsidR="00000000" w:rsidDel="00000000" w:rsidP="00000000" w:rsidRDefault="00000000" w:rsidRPr="00000000" w14:paraId="00000008">
      <w:pPr>
        <w:jc w:val="center"/>
        <w:rPr>
          <w:b w:val="1"/>
          <w:sz w:val="40"/>
          <w:szCs w:val="40"/>
        </w:rPr>
      </w:pPr>
      <w:r w:rsidDel="00000000" w:rsidR="00000000" w:rsidRPr="00000000">
        <w:rPr>
          <w:b w:val="1"/>
          <w:sz w:val="40"/>
          <w:szCs w:val="40"/>
          <w:rtl w:val="0"/>
        </w:rPr>
        <w:t xml:space="preserve">Student ID:2028164</w:t>
      </w:r>
    </w:p>
    <w:p w:rsidR="00000000" w:rsidDel="00000000" w:rsidP="00000000" w:rsidRDefault="00000000" w:rsidRPr="00000000" w14:paraId="00000009">
      <w:pPr>
        <w:jc w:val="center"/>
        <w:rPr>
          <w:b w:val="1"/>
          <w:sz w:val="40"/>
          <w:szCs w:val="40"/>
        </w:rPr>
      </w:pPr>
      <w:r w:rsidDel="00000000" w:rsidR="00000000" w:rsidRPr="00000000">
        <w:rPr>
          <w:b w:val="1"/>
          <w:sz w:val="40"/>
          <w:szCs w:val="40"/>
          <w:rtl w:val="0"/>
        </w:rPr>
        <w:t xml:space="preserve">                      Date &amp; Time:03.09.2021 &amp; 20:10</w:t>
      </w:r>
      <w:r w:rsidDel="00000000" w:rsidR="00000000" w:rsidRPr="00000000">
        <w:rPr>
          <w:rtl w:val="0"/>
        </w:rPr>
      </w:r>
    </w:p>
    <w:p w:rsidR="00000000" w:rsidDel="00000000" w:rsidP="00000000" w:rsidRDefault="00000000" w:rsidRPr="00000000" w14:paraId="0000000A">
      <w:pPr>
        <w:rPr/>
        <w:sectPr>
          <w:headerReference r:id="rId7" w:type="default"/>
          <w:headerReference r:id="rId8" w:type="first"/>
          <w:headerReference r:id="rId9" w:type="even"/>
          <w:footerReference r:id="rId10" w:type="default"/>
          <w:footerReference r:id="rId11" w:type="first"/>
          <w:footerReference r:id="rId12" w:type="even"/>
          <w:pgSz w:h="16838" w:w="11906" w:orient="portrait"/>
          <w:pgMar w:bottom="1440" w:top="1440" w:left="1440" w:right="1440" w:header="720" w:footer="720"/>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0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Times New Roman" w:cs="Times New Roman" w:eastAsia="Times New Roman" w:hAnsi="Times New Roman"/>
          <w:b w:val="1"/>
          <w:i w:val="0"/>
          <w:smallCaps w:val="0"/>
          <w:strike w:val="0"/>
          <w:color w:val="2f5496"/>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f5496"/>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Reflection on the Community Engagement by the two Organizations</w:t>
              <w:tab/>
              <w:t xml:space="preserve">3</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importance of Indigeneity</w:t>
              <w:tab/>
              <w:t xml:space="preserve">4</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role of Social Media</w:t>
              <w:tab/>
              <w:t xml:space="preserve">4</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Stakeholder Participation</w:t>
              <w:tab/>
              <w:t xml:space="preserve">6</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6</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Works Cited</w:t>
              <w:tab/>
              <w:t xml:space="preserve">8</w:t>
            </w:r>
          </w:hyperlink>
          <w:r w:rsidDel="00000000" w:rsidR="00000000" w:rsidRPr="00000000">
            <w:rPr>
              <w:rtl w:val="0"/>
            </w:rPr>
          </w:r>
        </w:p>
        <w:p w:rsidR="00000000" w:rsidDel="00000000" w:rsidP="00000000" w:rsidRDefault="00000000" w:rsidRPr="00000000" w14:paraId="00000013">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4">
      <w:pPr>
        <w:spacing w:line="259" w:lineRule="auto"/>
        <w:jc w:val="left"/>
        <w:rPr/>
      </w:pPr>
      <w:r w:rsidDel="00000000" w:rsidR="00000000" w:rsidRPr="00000000">
        <w:rPr>
          <w:rtl w:val="0"/>
        </w:rPr>
      </w:r>
    </w:p>
    <w:p w:rsidR="00000000" w:rsidDel="00000000" w:rsidP="00000000" w:rsidRDefault="00000000" w:rsidRPr="00000000" w14:paraId="00000015">
      <w:pPr>
        <w:spacing w:line="259" w:lineRule="auto"/>
        <w:jc w:val="left"/>
        <w:rPr>
          <w:b w:val="1"/>
          <w:color w:val="00000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6">
      <w:pPr>
        <w:pStyle w:val="Heading1"/>
        <w:rPr/>
      </w:pPr>
      <w:bookmarkStart w:colFirst="0" w:colLast="0" w:name="_heading=h.gjdgxs" w:id="0"/>
      <w:bookmarkEnd w:id="0"/>
      <w:r w:rsidDel="00000000" w:rsidR="00000000" w:rsidRPr="00000000">
        <w:rPr>
          <w:rtl w:val="0"/>
        </w:rPr>
        <w:t xml:space="preserve">Introduction</w:t>
      </w:r>
    </w:p>
    <w:p w:rsidR="00000000" w:rsidDel="00000000" w:rsidP="00000000" w:rsidRDefault="00000000" w:rsidRPr="00000000" w14:paraId="00000017">
      <w:pPr>
        <w:rPr/>
      </w:pPr>
      <w:r w:rsidDel="00000000" w:rsidR="00000000" w:rsidRPr="00000000">
        <w:rPr>
          <w:rtl w:val="0"/>
        </w:rPr>
        <w:t xml:space="preserve">Community engagement is an integral function of charity organizations. As charity organizations around the world attempt to address the various complexities of our social and health problems, including but not limited to birth of various types of cancers, lack of education for poor children, lack of arrangement and distribution of clean water and food, growing homelessness, domestic violence, growing climate change and lack of animal protection. These issues cannot be resolved or mitigated unless the whole community is on the same page and supports the organizations who work tirelessly and wholeheartedly to serve for the good of the people and this world (Snip, 2011).</w:t>
      </w:r>
    </w:p>
    <w:p w:rsidR="00000000" w:rsidDel="00000000" w:rsidP="00000000" w:rsidRDefault="00000000" w:rsidRPr="00000000" w14:paraId="00000018">
      <w:pPr>
        <w:rPr/>
      </w:pPr>
      <w:r w:rsidDel="00000000" w:rsidR="00000000" w:rsidRPr="00000000">
        <w:rPr>
          <w:rtl w:val="0"/>
        </w:rPr>
        <w:t xml:space="preserve">The two charity organizations chosen for the comparison on the grounds of community engagement are WWF and Save The Children. These are two of the most popular charity organizations in the UK. WWF is currently running about 3000 projects (WWF, 2021). On the other hand, Save The Children is running projects for protection, emergency, health, education, global policy, hunger and livelihood for children (Children, 2021). In this reflective report, I will attempt to highlight and reflect upon the community engagement practices of the two established organizations and discuss the difference that can be brought by effectual communication and encouraging stakeholder participation in the noble causes that these organizations are invested in.</w:t>
      </w:r>
    </w:p>
    <w:p w:rsidR="00000000" w:rsidDel="00000000" w:rsidP="00000000" w:rsidRDefault="00000000" w:rsidRPr="00000000" w14:paraId="00000019">
      <w:pPr>
        <w:pStyle w:val="Heading1"/>
        <w:rPr/>
      </w:pPr>
      <w:bookmarkStart w:colFirst="0" w:colLast="0" w:name="_heading=h.30j0zll" w:id="1"/>
      <w:bookmarkEnd w:id="1"/>
      <w:r w:rsidDel="00000000" w:rsidR="00000000" w:rsidRPr="00000000">
        <w:rPr>
          <w:rtl w:val="0"/>
        </w:rPr>
        <w:t xml:space="preserve">Reflection on the Community Engagement by the two Organizations</w:t>
      </w:r>
    </w:p>
    <w:p w:rsidR="00000000" w:rsidDel="00000000" w:rsidP="00000000" w:rsidRDefault="00000000" w:rsidRPr="00000000" w14:paraId="0000001A">
      <w:pPr>
        <w:rPr/>
      </w:pPr>
      <w:r w:rsidDel="00000000" w:rsidR="00000000" w:rsidRPr="00000000">
        <w:rPr>
          <w:rtl w:val="0"/>
        </w:rPr>
        <w:t xml:space="preserve">Community engagement essentially refers to efforts resulting from collaboration of multiple parties in order to achieve a mutual goal (Aslin &amp; Brown, 2004). Community engagement entails involving, persuading and encouraging the community to take action. The community comprises of stakeholders who are basically groups of people with common interests. Engagement, to be specific, is a step ahead of mere participation. Rather, it is about capturing the focus of the individuals and groups and convincing them to become a part of a mission. At the Madagascar Research Forum in 2017, WWF highlighted on the importance of community involvement and how it helped in the revival of the economy of the entire region (WWF, 2021). In an effort to properly engage the community, WWF held a presentation in Tahiry, known as SLM – Sustainable Land Management. The purpose of this conference was solely to engage the illiterate group of population on the local and global conservation of agriculture in order to secure their trust in WWF’s mission and their support in the long-term goal of WWF. Similarly, a program of Save The Children, CWH (Community Healthcare Worker) benefited from community engagement. CWH workers in Bangladesh were able to successfully provide healthcare services to through engaging the stakeholders within the communities. The idea of Community Clinics introduced by the Government of Bangladesh really helped in establishing a strong network between the community and the healthcare workers as these clinics act as public-private partnerships, where they are partially owned by government as while the land is provided by the community, construction, arrangement of medicines and logistics is done by the government. Thereby, the government and the community work together to support the mission of Save The Children in Bangladesh as the community is fully invested in the mission of this charity organization. </w:t>
      </w:r>
    </w:p>
    <w:p w:rsidR="00000000" w:rsidDel="00000000" w:rsidP="00000000" w:rsidRDefault="00000000" w:rsidRPr="00000000" w14:paraId="0000001B">
      <w:pPr>
        <w:pStyle w:val="Heading2"/>
        <w:rPr/>
      </w:pPr>
      <w:bookmarkStart w:colFirst="0" w:colLast="0" w:name="_heading=h.1fob9te" w:id="2"/>
      <w:bookmarkEnd w:id="2"/>
      <w:r w:rsidDel="00000000" w:rsidR="00000000" w:rsidRPr="00000000">
        <w:rPr>
          <w:rtl w:val="0"/>
        </w:rPr>
        <w:t xml:space="preserve">The importance of Indigeneity</w:t>
      </w:r>
    </w:p>
    <w:p w:rsidR="00000000" w:rsidDel="00000000" w:rsidP="00000000" w:rsidRDefault="00000000" w:rsidRPr="00000000" w14:paraId="0000001C">
      <w:pPr>
        <w:rPr/>
      </w:pPr>
      <w:r w:rsidDel="00000000" w:rsidR="00000000" w:rsidRPr="00000000">
        <w:rPr>
          <w:rtl w:val="0"/>
        </w:rPr>
        <w:t xml:space="preserve">To pick a useful approach from Scarino (2008), community involvement is highly effective when the locals  are involved with the members of the organizations who can blend with the local culture and be one with the community. This encourages a development of bond between the organization and the community which makes the achievement of the shared goals very convenient. In the same way, WWF is also on the same page about acknowledging the importance of indigeneity and locality in community engagement as equitable, efficient and effective way to achieve its goals. The approach taken by WWF involves gathering knowledge regarding not only the issues threatening the environment, but also the territories where they exist, the kind of people living in those territories, the laws and regulations of that area and the cultures and beliefs of those people and their leadership and way of working as embracing all these factors allows them to become one with the locals and solve the threatening crisis (WWF, 2021). On the other hand, in the same way, people at Save The Children also pay attention to the community and believe that blending with the community is a better, more sustainable way of making the change. They do not simply walk into a community, do their job and move on; instead, they work with the members of the community which include families who are willing to volunteer for consultation, local leaders and the counsels and discuss with them the various issues and barriers facing the children and how they can possibly cater to the same as this is how, they believe, real change is brought about (Children, 2021).</w:t>
      </w:r>
    </w:p>
    <w:p w:rsidR="00000000" w:rsidDel="00000000" w:rsidP="00000000" w:rsidRDefault="00000000" w:rsidRPr="00000000" w14:paraId="0000001D">
      <w:pPr>
        <w:pStyle w:val="Heading2"/>
        <w:rPr/>
      </w:pPr>
      <w:bookmarkStart w:colFirst="0" w:colLast="0" w:name="_heading=h.3znysh7" w:id="3"/>
      <w:bookmarkEnd w:id="3"/>
      <w:r w:rsidDel="00000000" w:rsidR="00000000" w:rsidRPr="00000000">
        <w:rPr>
          <w:rtl w:val="0"/>
        </w:rPr>
        <w:t xml:space="preserve">The role of Social Media</w:t>
      </w:r>
    </w:p>
    <w:p w:rsidR="00000000" w:rsidDel="00000000" w:rsidP="00000000" w:rsidRDefault="00000000" w:rsidRPr="00000000" w14:paraId="0000001E">
      <w:pPr>
        <w:rPr/>
      </w:pPr>
      <w:r w:rsidDel="00000000" w:rsidR="00000000" w:rsidRPr="00000000">
        <w:rPr>
          <w:rtl w:val="0"/>
        </w:rPr>
        <w:t xml:space="preserve">Actively making efforts to engage with the community is a sign of a vibrant organization who is highly interested in connected with the people (Jayakanthan, 2011). As social media is the fasted growing medium, it is fairly easy to reach large number of people by using social media outlets such as Facebook, Instagram and YouTube, which is the most popular social media outlet in the US at this point (NEWS18, 2021). Therefore, using social media can prove highly effective in community engagement as much can be known about the people using various analytical tools available on social media which can help organizations to narrow down people with specific tastes and preferences, belonging to a specific region with specific interests (Razmerita, et al., 2014). </w:t>
      </w:r>
    </w:p>
    <w:p w:rsidR="00000000" w:rsidDel="00000000" w:rsidP="00000000" w:rsidRDefault="00000000" w:rsidRPr="00000000" w14:paraId="0000001F">
      <w:pPr>
        <w:rPr/>
      </w:pPr>
      <w:r w:rsidDel="00000000" w:rsidR="00000000" w:rsidRPr="00000000">
        <w:rPr>
          <w:rtl w:val="0"/>
        </w:rPr>
        <w:t xml:space="preserve">According to statistics provided in a case study by Hootsuite Enterprise (2021), WWF managed to inspire and encourage about 1.6 million people to sign a digital petition targeted at protecting Virunga National Park and managed to secure sign-ups about 60,000 just in the 2 months of launching the campaign of Endangered Emoji, and about 0.56 million mentions of the same at the launch. WWF realizes the importance of reaching out to people through social media, therefore they make use to demographic targeting facility coupled with geofencing which helps them reach out to a specific type of audience allowing for efficient way of community mapping, for which WWF has partnered with Hootsuite as this partnership has helped them excel at community engagement. </w:t>
      </w:r>
    </w:p>
    <w:p w:rsidR="00000000" w:rsidDel="00000000" w:rsidP="00000000" w:rsidRDefault="00000000" w:rsidRPr="00000000" w14:paraId="00000020">
      <w:pPr>
        <w:rPr/>
      </w:pPr>
      <w:r w:rsidDel="00000000" w:rsidR="00000000" w:rsidRPr="00000000">
        <w:rPr>
          <w:rtl w:val="0"/>
        </w:rPr>
        <w:t xml:space="preserve">In the same way, Save The Children has also readily made use of social media to get their word across and gather the support of the digital community which is spread across the world. From explosions in Beirut to child poverty in the most undeveloped regions, Save The Children has written about a thousand blogs and shared videos to encourage call to action in order to get the long-term support of the community to help spread their mission and gather resources to mitigate the problems. Digital and social media marketing is an important part of Save The Children’s 360 CRM Campaign, along with retail POS, TV broadcasting and celebrity endorsements to name a few. </w:t>
      </w:r>
    </w:p>
    <w:p w:rsidR="00000000" w:rsidDel="00000000" w:rsidP="00000000" w:rsidRDefault="00000000" w:rsidRPr="00000000" w14:paraId="00000021">
      <w:pPr>
        <w:rPr/>
      </w:pPr>
      <w:r w:rsidDel="00000000" w:rsidR="00000000" w:rsidRPr="00000000">
        <w:rPr>
          <w:rtl w:val="0"/>
        </w:rPr>
        <w:t xml:space="preserve">The approach adopted by Save The Children therefore appeals to the emotions of the digital community as the issues and barriers catered by this organizations are humanitarian and therefore marketing these on social media evoke helping spirits, subsequently leading to calls to action. To add to this, UK’s Save The Children transatlantic partnership with No Child Hungry in the US was targeted at keeping the community engaged during the pandemic lockdown by sharing a healthful video of parents reading bedtime stories to children, thereby promoting an intimacy between the family members and call to action for the tough parents who are hard on children, increasing cases of domestic violence and depression in youth, followed by a call to donate. Resultantly, one-off donations were made to the organization by the individuals who were moved by the video ad. The same campaign was also run on social media, where its hashtag gained about 5.4 million followers on Facebook. The overall campaign, which was considered a success of community engagement, helped the organization reach about GBP 1.4 million to cater to the difficulties faced by families all around the globe due to COVID-19 (Jolliffe, 2020).  </w:t>
      </w:r>
    </w:p>
    <w:p w:rsidR="00000000" w:rsidDel="00000000" w:rsidP="00000000" w:rsidRDefault="00000000" w:rsidRPr="00000000" w14:paraId="00000022">
      <w:pPr>
        <w:rPr/>
      </w:pPr>
      <w:r w:rsidDel="00000000" w:rsidR="00000000" w:rsidRPr="00000000">
        <w:rPr>
          <w:rtl w:val="0"/>
        </w:rPr>
        <w:t xml:space="preserve">While in the case of WWF, the crisis that they deal with are mostly related to the planet and biodiversity, therefore also focus on informing the people of the impacts of certain crisis in the short and long run to encourage helpful ethos within the people, as many people, for instance, are unaware of the impact of climate changes and rapid deforestation on planet and the environment.</w:t>
      </w:r>
    </w:p>
    <w:p w:rsidR="00000000" w:rsidDel="00000000" w:rsidP="00000000" w:rsidRDefault="00000000" w:rsidRPr="00000000" w14:paraId="00000023">
      <w:pPr>
        <w:pStyle w:val="Heading2"/>
        <w:rPr/>
      </w:pPr>
      <w:bookmarkStart w:colFirst="0" w:colLast="0" w:name="_heading=h.2et92p0" w:id="4"/>
      <w:bookmarkEnd w:id="4"/>
      <w:r w:rsidDel="00000000" w:rsidR="00000000" w:rsidRPr="00000000">
        <w:rPr>
          <w:rtl w:val="0"/>
        </w:rPr>
        <w:t xml:space="preserve">Stakeholder Participation</w:t>
      </w:r>
    </w:p>
    <w:p w:rsidR="00000000" w:rsidDel="00000000" w:rsidP="00000000" w:rsidRDefault="00000000" w:rsidRPr="00000000" w14:paraId="00000024">
      <w:pPr>
        <w:rPr/>
      </w:pPr>
      <w:r w:rsidDel="00000000" w:rsidR="00000000" w:rsidRPr="00000000">
        <w:rPr>
          <w:rtl w:val="0"/>
        </w:rPr>
        <w:t xml:space="preserve">As the world moves from top-down to bottom-up development, the approach to policy making has also changed drastically withing organizations (Hage, et al., 2010). Resource management that is collaborative in nature, including adaptive management and sustainable livelihood approach are different ways to achieve bottom-up approach where stakeholder participation is maximized and also influences the way things are done (Stringer, et al., 2006). As discussed, both organizations follow a bottom-up approach as they believe that respecting the local culture and belief system is integral and it is therefore important to work together with the people of the endangered area as their knowledge and expertise can prove to be invaluable in the face of crisis. Moreover, both the organizations encourage people to volunteer and promote the idea of helping the world by making oneself available. WWF sends volunteers to various locations where they will be able to learn about different cultures and the problems they face, and how to help people who have an entirely different way of life (WWF, 2021).  </w:t>
      </w:r>
    </w:p>
    <w:p w:rsidR="00000000" w:rsidDel="00000000" w:rsidP="00000000" w:rsidRDefault="00000000" w:rsidRPr="00000000" w14:paraId="00000025">
      <w:pPr>
        <w:pStyle w:val="Heading1"/>
        <w:rPr/>
      </w:pPr>
      <w:bookmarkStart w:colFirst="0" w:colLast="0" w:name="_heading=h.tyjcwt" w:id="5"/>
      <w:bookmarkEnd w:id="5"/>
      <w:r w:rsidDel="00000000" w:rsidR="00000000" w:rsidRPr="00000000">
        <w:rPr>
          <w:rtl w:val="0"/>
        </w:rPr>
        <w:t xml:space="preserve">Conclusion</w:t>
      </w:r>
    </w:p>
    <w:p w:rsidR="00000000" w:rsidDel="00000000" w:rsidP="00000000" w:rsidRDefault="00000000" w:rsidRPr="00000000" w14:paraId="00000026">
      <w:pPr>
        <w:rPr/>
      </w:pPr>
      <w:r w:rsidDel="00000000" w:rsidR="00000000" w:rsidRPr="00000000">
        <w:rPr>
          <w:rtl w:val="0"/>
        </w:rPr>
        <w:t xml:space="preserve">After analyzing the actions and approaches of both the organizations in their campaigns, I believe that, while the problems they cater to differ in nature, their community engagement practices are highly effective as they make thorough use of the tools available to reach out to the masses and engage with them regarding different issues, encouraging them to get on board with the mission and engage instead of participate (Aslin &amp; Brown, 2004). Moreover, both the organizations follow the best practice of the bottom-up approach to stakeholder participation as this is the most effective way of solving crisis anywhere as people or groups who are closest to the crisis are often the ones who have sufficient knowledge to approach the problem in the best way (Nikkhah &amp; Redzuan, 2009). Both the organizations have achieved massive responses from the community in terms of support and monetary help, and therefore it is conclusive proof that they were successful in their community engagement.</w:t>
      </w:r>
    </w:p>
    <w:p w:rsidR="00000000" w:rsidDel="00000000" w:rsidP="00000000" w:rsidRDefault="00000000" w:rsidRPr="00000000" w14:paraId="00000027">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8">
      <w:pPr>
        <w:pStyle w:val="Heading1"/>
        <w:rPr/>
      </w:pPr>
      <w:bookmarkStart w:colFirst="0" w:colLast="0" w:name="_heading=h.3dy6vkm" w:id="6"/>
      <w:bookmarkEnd w:id="6"/>
      <w:r w:rsidDel="00000000" w:rsidR="00000000" w:rsidRPr="00000000">
        <w:rPr>
          <w:rtl w:val="0"/>
        </w:rPr>
        <w:t xml:space="preserve">Works Cited</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Aslin, H. &amp; Brown, V., 2004.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Towards whole of community engagement: A practical toolkit.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s.l.:Murray-Darling Basin Commission.</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Children, S. T.,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Global Programs and Advocacy.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ligne] </w:t>
        <w:br w:type="textWrapping"/>
        <w:t xml:space="preserve">Available at: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https://www.savethechildren.org/us/what-we-do/global-programs</w:t>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Children, S. T.,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We Do Whatever It Takes.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ligne] </w:t>
        <w:br w:type="textWrapping"/>
        <w:t xml:space="preserve">Available at: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https://www.savethechildren.org/us/what-we-do</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Hage, M., Leroy, P. &amp; Petersen, A. C., 2010. Stakeholder participation in environmental knowledge production.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Futures,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42(3), pp. 254-264.</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Hootsuite,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How the WWF inspires global action with social media.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ligne] </w:t>
        <w:br w:type="textWrapping"/>
        <w:t xml:space="preserve">Available at: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https://www.hootsuite.com/pages/landing/how-the-wwf-inspires-global-action-with-social-media-gate</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Jayakanthan, R., 2011. Community engagement through social media. Dans: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Proceedings of the International AAAI Conference on Web and Social Media.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s.l.:s.n.</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Jolliffe, P., 2020.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Charity campaigns: Save the Children ‘Save with Stories’.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ligne] </w:t>
        <w:br w:type="textWrapping"/>
        <w:t xml:space="preserve">Available at: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https://connectassist.co.uk/blog/charity-campaigns-save-the-children-save-with-stories/</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NEWS18,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YouTube is The Most Popular Social Media Platform Right Now, Followed by Facebook, Instagram.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ligne] </w:t>
        <w:br w:type="textWrapping"/>
        <w:t xml:space="preserve">Available at: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https://www.news18.com/news/tech/youtube-is-the-most-popular-social-media-platform-right-now-followed-by-facebook-instagram-3619838.html</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Nikkhah, H. A. &amp; Redzuan, M., 2009. Participation as a medium of empowerment in community development.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European Journal of Social Sciences,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11(1), pp. 170-176.</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Razmerita, L., Kirchner, K. &amp; Nabeth, T., 2014. Social media in organizations: leveraging personal and collective knowledge processes.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Organizational Computing and Electronic Commerce,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24(1), pp. 74-93.</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Scarino, A., 2008. Community and culture in intercultural language learning.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Australian Review of Applied Linguistics,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31(1), pp. 5-1.</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Snip, B., 2011. Factors influencing the intention to donate to charity organizations: Importance of trust.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Stringer, L. C. et al., 2006. Unpacking “participation” in the adaptive management of social–ecological systems: a critical review.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Ecology and society,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11(2).</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WWF,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Engaging local communities: the key to sustainable development.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ligne] </w:t>
        <w:br w:type="textWrapping"/>
        <w:t xml:space="preserve">Available at: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https://wwf.panda.org/wwf_news/?303170/Engaging%20local%20communities%3A%20the%20key%20to%20sustainable%20development</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WWF,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Explore Our Projects.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ligne] </w:t>
        <w:br w:type="textWrapping"/>
        <w:t xml:space="preserve">Available at: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https://wwf.panda.org/projects/</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WWF,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WORKING WITH COMMUNITIES.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ligne] </w:t>
        <w:br w:type="textWrapping"/>
        <w:t xml:space="preserve">Available at: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https://www.wwf.org.uk/communities</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WWF,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WWF Young Adult Volunteer &amp; Internship Programme.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ligne] </w:t>
        <w:br w:type="textWrapping"/>
        <w:t xml:space="preserve">Available at: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https://wwf.panda.org/act/volunteer/</w:t>
      </w: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sectPr>
      <w:type w:val="nextPage"/>
      <w:pgSz w:h="16838" w:w="11906" w:orient="portrait"/>
      <w:pgMar w:bottom="1440" w:top="1440" w:left="1440" w:right="1440" w:header="720" w:footer="72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color w:val="000000"/>
      <w:sz w:val="32"/>
      <w:szCs w:val="32"/>
    </w:rPr>
  </w:style>
  <w:style w:type="paragraph" w:styleId="Heading2">
    <w:name w:val="heading 2"/>
    <w:basedOn w:val="Normal"/>
    <w:next w:val="Normal"/>
    <w:pPr>
      <w:keepNext w:val="1"/>
      <w:keepLines w:val="1"/>
      <w:spacing w:after="0" w:before="40" w:lineRule="auto"/>
    </w:pPr>
    <w:rPr>
      <w:b w:val="1"/>
      <w:color w:val="000000"/>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B65DD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val="1"/>
    <w:rsid w:val="00C9047C"/>
    <w:pPr>
      <w:keepNext w:val="1"/>
      <w:keepLines w:val="1"/>
      <w:spacing w:after="0" w:before="240"/>
      <w:outlineLvl w:val="0"/>
    </w:pPr>
    <w:rPr>
      <w:rFonts w:cstheme="majorBidi" w:eastAsiaTheme="majorEastAsia"/>
      <w:b w:val="1"/>
      <w:color w:val="000000" w:themeColor="text1"/>
      <w:sz w:val="32"/>
      <w:szCs w:val="32"/>
    </w:rPr>
  </w:style>
  <w:style w:type="paragraph" w:styleId="Heading2">
    <w:name w:val="heading 2"/>
    <w:basedOn w:val="Normal"/>
    <w:next w:val="Normal"/>
    <w:link w:val="Heading2Char"/>
    <w:uiPriority w:val="9"/>
    <w:unhideWhenUsed w:val="1"/>
    <w:qFormat w:val="1"/>
    <w:rsid w:val="00531D3F"/>
    <w:pPr>
      <w:keepNext w:val="1"/>
      <w:keepLines w:val="1"/>
      <w:spacing w:after="0" w:before="40"/>
      <w:outlineLvl w:val="1"/>
    </w:pPr>
    <w:rPr>
      <w:rFonts w:cstheme="majorBidi" w:eastAsiaTheme="majorEastAsia"/>
      <w:b w:val="1"/>
      <w:color w:val="000000" w:themeColor="text1"/>
      <w:sz w:val="28"/>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C9047C"/>
    <w:rPr>
      <w:rFonts w:ascii="Times New Roman" w:hAnsi="Times New Roman" w:cstheme="majorBidi" w:eastAsiaTheme="majorEastAsia"/>
      <w:b w:val="1"/>
      <w:color w:val="000000" w:themeColor="text1"/>
      <w:sz w:val="32"/>
      <w:szCs w:val="32"/>
    </w:rPr>
  </w:style>
  <w:style w:type="character" w:styleId="Heading2Char" w:customStyle="1">
    <w:name w:val="Heading 2 Char"/>
    <w:basedOn w:val="DefaultParagraphFont"/>
    <w:link w:val="Heading2"/>
    <w:uiPriority w:val="9"/>
    <w:rsid w:val="00531D3F"/>
    <w:rPr>
      <w:rFonts w:ascii="Times New Roman" w:hAnsi="Times New Roman" w:cstheme="majorBidi" w:eastAsiaTheme="majorEastAsia"/>
      <w:b w:val="1"/>
      <w:color w:val="000000" w:themeColor="text1"/>
      <w:sz w:val="28"/>
      <w:szCs w:val="26"/>
    </w:rPr>
  </w:style>
  <w:style w:type="paragraph" w:styleId="Bibliography">
    <w:name w:val="Bibliography"/>
    <w:basedOn w:val="Normal"/>
    <w:next w:val="Normal"/>
    <w:uiPriority w:val="37"/>
    <w:unhideWhenUsed w:val="1"/>
    <w:rsid w:val="00AA3176"/>
  </w:style>
  <w:style w:type="paragraph" w:styleId="TOCHeading">
    <w:name w:val="TOC Heading"/>
    <w:basedOn w:val="Heading1"/>
    <w:next w:val="Normal"/>
    <w:uiPriority w:val="39"/>
    <w:unhideWhenUsed w:val="1"/>
    <w:qFormat w:val="1"/>
    <w:rsid w:val="00BC5C6C"/>
    <w:pPr>
      <w:spacing w:line="259" w:lineRule="auto"/>
      <w:jc w:val="left"/>
      <w:outlineLvl w:val="9"/>
    </w:pPr>
    <w:rPr>
      <w:rFonts w:asciiTheme="majorHAnsi" w:hAnsiTheme="majorHAnsi"/>
      <w:b w:val="0"/>
      <w:color w:val="2f5496" w:themeColor="accent1" w:themeShade="0000BF"/>
      <w:lang w:val="en-US"/>
    </w:rPr>
  </w:style>
  <w:style w:type="paragraph" w:styleId="TOC1">
    <w:name w:val="toc 1"/>
    <w:basedOn w:val="Normal"/>
    <w:next w:val="Normal"/>
    <w:autoRedefine w:val="1"/>
    <w:uiPriority w:val="39"/>
    <w:unhideWhenUsed w:val="1"/>
    <w:rsid w:val="00BC5C6C"/>
    <w:pPr>
      <w:spacing w:after="100"/>
    </w:pPr>
  </w:style>
  <w:style w:type="paragraph" w:styleId="TOC2">
    <w:name w:val="toc 2"/>
    <w:basedOn w:val="Normal"/>
    <w:next w:val="Normal"/>
    <w:autoRedefine w:val="1"/>
    <w:uiPriority w:val="39"/>
    <w:unhideWhenUsed w:val="1"/>
    <w:rsid w:val="00BC5C6C"/>
    <w:pPr>
      <w:spacing w:after="100"/>
      <w:ind w:left="240"/>
    </w:pPr>
  </w:style>
  <w:style w:type="character" w:styleId="Hyperlink">
    <w:name w:val="Hyperlink"/>
    <w:basedOn w:val="DefaultParagraphFont"/>
    <w:uiPriority w:val="99"/>
    <w:unhideWhenUsed w:val="1"/>
    <w:rsid w:val="00BC5C6C"/>
    <w:rPr>
      <w:color w:val="0563c1" w:themeColor="hyperlink"/>
      <w:u w:val="single"/>
    </w:rPr>
  </w:style>
  <w:style w:type="paragraph" w:styleId="Header">
    <w:name w:val="header"/>
    <w:basedOn w:val="Normal"/>
    <w:link w:val="HeaderChar"/>
    <w:uiPriority w:val="99"/>
    <w:unhideWhenUsed w:val="1"/>
    <w:rsid w:val="00AC3166"/>
    <w:pPr>
      <w:tabs>
        <w:tab w:val="center" w:pos="4513"/>
        <w:tab w:val="right" w:pos="9026"/>
      </w:tabs>
      <w:spacing w:after="0" w:line="240" w:lineRule="auto"/>
    </w:pPr>
  </w:style>
  <w:style w:type="character" w:styleId="HeaderChar" w:customStyle="1">
    <w:name w:val="Header Char"/>
    <w:basedOn w:val="DefaultParagraphFont"/>
    <w:link w:val="Header"/>
    <w:uiPriority w:val="99"/>
    <w:rsid w:val="00AC3166"/>
    <w:rPr>
      <w:rFonts w:ascii="Times New Roman" w:hAnsi="Times New Roman"/>
      <w:sz w:val="24"/>
    </w:rPr>
  </w:style>
  <w:style w:type="paragraph" w:styleId="Footer">
    <w:name w:val="footer"/>
    <w:basedOn w:val="Normal"/>
    <w:link w:val="FooterChar"/>
    <w:uiPriority w:val="99"/>
    <w:unhideWhenUsed w:val="1"/>
    <w:rsid w:val="00AC3166"/>
    <w:pPr>
      <w:tabs>
        <w:tab w:val="center" w:pos="4513"/>
        <w:tab w:val="right" w:pos="9026"/>
      </w:tabs>
      <w:spacing w:after="0" w:line="240" w:lineRule="auto"/>
    </w:pPr>
  </w:style>
  <w:style w:type="character" w:styleId="FooterChar" w:customStyle="1">
    <w:name w:val="Footer Char"/>
    <w:basedOn w:val="DefaultParagraphFont"/>
    <w:link w:val="Footer"/>
    <w:uiPriority w:val="99"/>
    <w:rsid w:val="00AC3166"/>
    <w:rPr>
      <w:rFonts w:ascii="Times New Roman" w:hAnsi="Times New Roman"/>
      <w:sz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3.xml"/><Relationship Id="rId12"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1V0U2v7MxrRpEbewkoTVXJo7DQ==">AMUW2mWzzrFXO1pZ0ICt84SBENKU+Brce/NPENL+qJvhXAtr8vQGO8eACxsFUtD7YI/LWGIfN29pinTVcdG4oBNs4VcAvWhBiTi4e83iZvXdyzMnXow/VcURPCpea7zOJDkrKkSLO9WVo0Rn5c9wRyt9DCBzlS8THDEYtarfysKKmtbnTLj0h9GzETJFiJ+q/tWXlpiuM+q+xhV31FeZi+MpAvvAQGDVFg==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2021-09-03T14:29:00Z</dcterms:created>
  <dc:creator>Shaheer Ahmed Siddiqui</dc:creator>
</cp:coreProperties>
</file>