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83F2BA9" w:rsidP="08BA40B6" w:rsidRDefault="583F2BA9" w14:paraId="14072863" w14:textId="3335FD32">
      <w:pPr>
        <w:pStyle w:val="Normal"/>
        <w:rPr>
          <w:rFonts w:ascii="Calibri" w:hAnsi="Calibri" w:eastAsia="Calibri" w:cs="Calibri"/>
          <w:noProof w:val="0"/>
          <w:sz w:val="24"/>
          <w:szCs w:val="24"/>
          <w:lang w:val="en-US"/>
        </w:rPr>
      </w:pPr>
      <w:r w:rsidRPr="08BA40B6" w:rsidR="583F2BA9">
        <w:rPr>
          <w:rFonts w:ascii="Calibri" w:hAnsi="Calibri" w:eastAsia="Calibri" w:cs="Calibri"/>
          <w:noProof w:val="0"/>
          <w:sz w:val="24"/>
          <w:szCs w:val="24"/>
          <w:lang w:val="en-US"/>
        </w:rPr>
        <w:t>•</w:t>
      </w:r>
      <w:r w:rsidRPr="08BA40B6" w:rsidR="583F2BA9">
        <w:rPr>
          <w:rFonts w:ascii="Calibri" w:hAnsi="Calibri" w:eastAsia="Calibri" w:cs="Calibri"/>
          <w:b w:val="1"/>
          <w:bCs w:val="1"/>
          <w:noProof w:val="0"/>
          <w:sz w:val="32"/>
          <w:szCs w:val="32"/>
          <w:lang w:val="en-US"/>
        </w:rPr>
        <w:t xml:space="preserve"> </w:t>
      </w:r>
      <w:r w:rsidRPr="08BA40B6" w:rsidR="583F2BA9">
        <w:rPr>
          <w:rFonts w:ascii="Calibri" w:hAnsi="Calibri" w:eastAsia="Calibri" w:cs="Calibri"/>
          <w:b w:val="1"/>
          <w:bCs w:val="1"/>
          <w:noProof w:val="0"/>
          <w:sz w:val="28"/>
          <w:szCs w:val="28"/>
          <w:lang w:val="en-US"/>
        </w:rPr>
        <w:t>Name:</w:t>
      </w:r>
      <w:r w:rsidRPr="08BA40B6" w:rsidR="583F2BA9">
        <w:rPr>
          <w:rFonts w:ascii="Calibri" w:hAnsi="Calibri" w:eastAsia="Calibri" w:cs="Calibri"/>
          <w:noProof w:val="0"/>
          <w:sz w:val="28"/>
          <w:szCs w:val="28"/>
          <w:lang w:val="en-US"/>
        </w:rPr>
        <w:t xml:space="preserve"> </w:t>
      </w:r>
      <w:r w:rsidRPr="08BA40B6" w:rsidR="583F2BA9">
        <w:rPr>
          <w:rFonts w:ascii="Calibri" w:hAnsi="Calibri" w:eastAsia="Calibri" w:cs="Calibri"/>
          <w:noProof w:val="0"/>
          <w:sz w:val="24"/>
          <w:szCs w:val="24"/>
          <w:lang w:val="en-US"/>
        </w:rPr>
        <w:t>A</w:t>
      </w:r>
      <w:r w:rsidRPr="08BA40B6" w:rsidR="27E35B80">
        <w:rPr>
          <w:rFonts w:ascii="Calibri" w:hAnsi="Calibri" w:eastAsia="Calibri" w:cs="Calibri"/>
          <w:noProof w:val="0"/>
          <w:sz w:val="24"/>
          <w:szCs w:val="24"/>
          <w:lang w:val="en-US"/>
        </w:rPr>
        <w:t>ndrea Bardoczi</w:t>
      </w:r>
    </w:p>
    <w:p w:rsidR="583F2BA9" w:rsidP="08BA40B6" w:rsidRDefault="583F2BA9" w14:paraId="10C3CD9C" w14:textId="5148F4F7">
      <w:pPr>
        <w:pStyle w:val="Normal"/>
        <w:rPr>
          <w:rFonts w:ascii="Calibri" w:hAnsi="Calibri" w:eastAsia="Calibri" w:cs="Calibri"/>
          <w:noProof w:val="0"/>
          <w:sz w:val="24"/>
          <w:szCs w:val="24"/>
          <w:lang w:val="en-US"/>
        </w:rPr>
      </w:pPr>
      <w:r w:rsidRPr="08BA40B6" w:rsidR="583F2BA9">
        <w:rPr>
          <w:rFonts w:ascii="Calibri" w:hAnsi="Calibri" w:eastAsia="Calibri" w:cs="Calibri"/>
          <w:noProof w:val="0"/>
          <w:sz w:val="24"/>
          <w:szCs w:val="24"/>
          <w:lang w:val="en-US"/>
        </w:rPr>
        <w:t xml:space="preserve">• </w:t>
      </w:r>
      <w:r w:rsidRPr="08BA40B6" w:rsidR="583F2BA9">
        <w:rPr>
          <w:rFonts w:ascii="Calibri" w:hAnsi="Calibri" w:eastAsia="Calibri" w:cs="Calibri"/>
          <w:b w:val="1"/>
          <w:bCs w:val="1"/>
          <w:noProof w:val="0"/>
          <w:sz w:val="28"/>
          <w:szCs w:val="28"/>
          <w:lang w:val="en-US"/>
        </w:rPr>
        <w:t xml:space="preserve">The module title and module </w:t>
      </w:r>
      <w:r w:rsidRPr="08BA40B6" w:rsidR="583F2BA9">
        <w:rPr>
          <w:rFonts w:ascii="Calibri" w:hAnsi="Calibri" w:eastAsia="Calibri" w:cs="Calibri"/>
          <w:b w:val="1"/>
          <w:bCs w:val="1"/>
          <w:noProof w:val="0"/>
          <w:sz w:val="28"/>
          <w:szCs w:val="28"/>
          <w:lang w:val="en-US"/>
        </w:rPr>
        <w:t>code</w:t>
      </w:r>
      <w:r w:rsidRPr="08BA40B6" w:rsidR="199C5785">
        <w:rPr>
          <w:rFonts w:ascii="Calibri" w:hAnsi="Calibri" w:eastAsia="Calibri" w:cs="Calibri"/>
          <w:b w:val="1"/>
          <w:bCs w:val="1"/>
          <w:noProof w:val="0"/>
          <w:sz w:val="28"/>
          <w:szCs w:val="28"/>
          <w:lang w:val="en-US"/>
        </w:rPr>
        <w:t>:</w:t>
      </w:r>
      <w:r w:rsidRPr="08BA40B6" w:rsidR="4FF0A7D0">
        <w:rPr>
          <w:rFonts w:ascii="Calibri" w:hAnsi="Calibri" w:eastAsia="Calibri" w:cs="Calibri"/>
          <w:b w:val="1"/>
          <w:bCs w:val="1"/>
          <w:noProof w:val="0"/>
          <w:sz w:val="28"/>
          <w:szCs w:val="28"/>
          <w:lang w:val="en-US"/>
        </w:rPr>
        <w:t xml:space="preserve"> </w:t>
      </w:r>
      <w:r w:rsidRPr="08BA40B6" w:rsidR="199C5785">
        <w:rPr>
          <w:rFonts w:ascii="Calibri" w:hAnsi="Calibri" w:eastAsia="Calibri" w:cs="Calibri"/>
          <w:noProof w:val="0"/>
          <w:sz w:val="24"/>
          <w:szCs w:val="24"/>
          <w:lang w:val="en-US"/>
        </w:rPr>
        <w:t>Personnel</w:t>
      </w:r>
      <w:r w:rsidRPr="08BA40B6" w:rsidR="199C5785">
        <w:rPr>
          <w:rFonts w:ascii="Calibri" w:hAnsi="Calibri" w:eastAsia="Calibri" w:cs="Calibri"/>
          <w:noProof w:val="0"/>
          <w:sz w:val="24"/>
          <w:szCs w:val="24"/>
          <w:lang w:val="en-US"/>
        </w:rPr>
        <w:t xml:space="preserve"> Resourcing and Development</w:t>
      </w:r>
      <w:r w:rsidRPr="08BA40B6" w:rsidR="50200366">
        <w:rPr>
          <w:rFonts w:ascii="Calibri" w:hAnsi="Calibri" w:eastAsia="Calibri" w:cs="Calibri"/>
          <w:noProof w:val="0"/>
          <w:sz w:val="24"/>
          <w:szCs w:val="24"/>
          <w:lang w:val="en-US"/>
        </w:rPr>
        <w:t xml:space="preserve"> BMIH5005</w:t>
      </w:r>
    </w:p>
    <w:p w:rsidR="583F2BA9" w:rsidP="08BA40B6" w:rsidRDefault="583F2BA9" w14:paraId="7C3A5846" w14:textId="1E03498D">
      <w:pPr>
        <w:pStyle w:val="Normal"/>
      </w:pPr>
      <w:r w:rsidRPr="08BA40B6" w:rsidR="583F2BA9">
        <w:rPr>
          <w:rFonts w:ascii="Calibri" w:hAnsi="Calibri" w:eastAsia="Calibri" w:cs="Calibri"/>
          <w:noProof w:val="0"/>
          <w:sz w:val="24"/>
          <w:szCs w:val="24"/>
          <w:lang w:val="en-US"/>
        </w:rPr>
        <w:t xml:space="preserve">•  </w:t>
      </w:r>
      <w:r w:rsidRPr="08BA40B6" w:rsidR="583F2BA9">
        <w:rPr>
          <w:rFonts w:ascii="Calibri" w:hAnsi="Calibri" w:eastAsia="Calibri" w:cs="Calibri"/>
          <w:b w:val="1"/>
          <w:bCs w:val="1"/>
          <w:noProof w:val="0"/>
          <w:sz w:val="28"/>
          <w:szCs w:val="28"/>
          <w:lang w:val="en-US"/>
        </w:rPr>
        <w:t>Lecturer’s name</w:t>
      </w:r>
      <w:r w:rsidRPr="08BA40B6" w:rsidR="78C54424">
        <w:rPr>
          <w:rFonts w:ascii="Calibri" w:hAnsi="Calibri" w:eastAsia="Calibri" w:cs="Calibri"/>
          <w:b w:val="1"/>
          <w:bCs w:val="1"/>
          <w:noProof w:val="0"/>
          <w:sz w:val="28"/>
          <w:szCs w:val="28"/>
          <w:lang w:val="en-US"/>
        </w:rPr>
        <w:t>:</w:t>
      </w:r>
      <w:r w:rsidRPr="08BA40B6" w:rsidR="78C54424">
        <w:rPr>
          <w:rFonts w:ascii="Calibri" w:hAnsi="Calibri" w:eastAsia="Calibri" w:cs="Calibri"/>
          <w:noProof w:val="0"/>
          <w:sz w:val="24"/>
          <w:szCs w:val="24"/>
          <w:lang w:val="en-US"/>
        </w:rPr>
        <w:t xml:space="preserve"> </w:t>
      </w:r>
      <w:r w:rsidRPr="08BA40B6" w:rsidR="537077F5">
        <w:rPr>
          <w:rFonts w:ascii="Calibri" w:hAnsi="Calibri" w:eastAsia="Calibri" w:cs="Calibri"/>
          <w:noProof w:val="0"/>
          <w:sz w:val="24"/>
          <w:szCs w:val="24"/>
          <w:lang w:val="en-US"/>
        </w:rPr>
        <w:t>Deborah Lloyd</w:t>
      </w:r>
      <w:r w:rsidR="110EC1A6">
        <w:drawing>
          <wp:inline wp14:editId="057B2352" wp14:anchorId="0CC7BE31">
            <wp:extent cx="5905500" cy="4641056"/>
            <wp:effectExtent l="0" t="0" r="0" b="0"/>
            <wp:docPr id="1920398351" name="" title=""/>
            <wp:cNvGraphicFramePr>
              <a:graphicFrameLocks noChangeAspect="1"/>
            </wp:cNvGraphicFramePr>
            <a:graphic>
              <a:graphicData uri="http://schemas.openxmlformats.org/drawingml/2006/picture">
                <pic:pic>
                  <pic:nvPicPr>
                    <pic:cNvPr id="0" name=""/>
                    <pic:cNvPicPr/>
                  </pic:nvPicPr>
                  <pic:blipFill>
                    <a:blip r:embed="Ra27f0e0760e1420f">
                      <a:extLst>
                        <a:ext xmlns:a="http://schemas.openxmlformats.org/drawingml/2006/main" uri="{28A0092B-C50C-407E-A947-70E740481C1C}">
                          <a14:useLocalDpi val="0"/>
                        </a:ext>
                      </a:extLst>
                    </a:blip>
                    <a:stretch>
                      <a:fillRect/>
                    </a:stretch>
                  </pic:blipFill>
                  <pic:spPr>
                    <a:xfrm>
                      <a:off x="0" y="0"/>
                      <a:ext cx="5905500" cy="4641056"/>
                    </a:xfrm>
                    <a:prstGeom prst="rect">
                      <a:avLst/>
                    </a:prstGeom>
                  </pic:spPr>
                </pic:pic>
              </a:graphicData>
            </a:graphic>
          </wp:inline>
        </w:drawing>
      </w:r>
    </w:p>
    <w:p w:rsidR="08BA40B6" w:rsidP="08BA40B6" w:rsidRDefault="08BA40B6" w14:paraId="7B7C9C40" w14:textId="0D078DD0">
      <w:pPr>
        <w:pStyle w:val="Normal"/>
      </w:pPr>
    </w:p>
    <w:p w:rsidR="110EC1A6" w:rsidP="08BA40B6" w:rsidRDefault="110EC1A6" w14:paraId="6A50D3CF" w14:textId="0FFB5A53">
      <w:pPr>
        <w:pStyle w:val="Normal"/>
        <w:rPr>
          <w:rFonts w:ascii="Calibri" w:hAnsi="Calibri" w:eastAsia="Calibri" w:cs="Calibri"/>
          <w:noProof w:val="0"/>
          <w:sz w:val="24"/>
          <w:szCs w:val="24"/>
          <w:lang w:val="en-US"/>
        </w:rPr>
      </w:pPr>
      <w:hyperlink r:id="Rfd3844dc58ea484d">
        <w:r w:rsidRPr="73D60B3E" w:rsidR="110EC1A6">
          <w:rPr>
            <w:rStyle w:val="Hyperlink"/>
            <w:rFonts w:ascii="Calibri" w:hAnsi="Calibri" w:eastAsia="Calibri" w:cs="Calibri"/>
            <w:noProof w:val="0"/>
            <w:sz w:val="24"/>
            <w:szCs w:val="24"/>
            <w:lang w:val="en-US"/>
          </w:rPr>
          <w:t>http://image.slidesharecdn.com/introductiontohumanresourcemanagement-140115121245-phpapp02/95/slide-1-638.jpg?cb=1389809684</w:t>
        </w:r>
      </w:hyperlink>
    </w:p>
    <w:p w:rsidR="08BA40B6" w:rsidP="08BA40B6" w:rsidRDefault="08BA40B6" w14:paraId="62087CDC" w14:textId="74DBC04D">
      <w:pPr>
        <w:pStyle w:val="Normal"/>
        <w:rPr>
          <w:rFonts w:ascii="Calibri" w:hAnsi="Calibri" w:eastAsia="Calibri" w:cs="Calibri"/>
          <w:noProof w:val="0"/>
          <w:sz w:val="24"/>
          <w:szCs w:val="24"/>
          <w:lang w:val="en-US"/>
        </w:rPr>
      </w:pPr>
    </w:p>
    <w:p w:rsidR="08BA40B6" w:rsidP="08BA40B6" w:rsidRDefault="08BA40B6" w14:paraId="23CE61A4" w14:textId="122E99CE">
      <w:pPr>
        <w:pStyle w:val="Normal"/>
        <w:rPr>
          <w:rFonts w:ascii="Calibri" w:hAnsi="Calibri" w:eastAsia="Calibri" w:cs="Calibri"/>
          <w:noProof w:val="0"/>
          <w:sz w:val="24"/>
          <w:szCs w:val="24"/>
          <w:lang w:val="en-US"/>
        </w:rPr>
      </w:pPr>
    </w:p>
    <w:p w:rsidR="08BA40B6" w:rsidP="08BA40B6" w:rsidRDefault="08BA40B6" w14:paraId="46156537" w14:textId="57578A2B">
      <w:pPr>
        <w:pStyle w:val="Normal"/>
        <w:rPr>
          <w:rFonts w:ascii="Calibri" w:hAnsi="Calibri" w:eastAsia="Calibri" w:cs="Calibri"/>
          <w:noProof w:val="0"/>
          <w:sz w:val="24"/>
          <w:szCs w:val="24"/>
          <w:lang w:val="en-US"/>
        </w:rPr>
      </w:pPr>
    </w:p>
    <w:p w:rsidR="08BA40B6" w:rsidP="08BA40B6" w:rsidRDefault="08BA40B6" w14:paraId="535F3E65" w14:textId="04C7E38C">
      <w:pPr>
        <w:pStyle w:val="Normal"/>
        <w:rPr>
          <w:rFonts w:ascii="Calibri" w:hAnsi="Calibri" w:eastAsia="Calibri" w:cs="Calibri"/>
          <w:noProof w:val="0"/>
          <w:sz w:val="24"/>
          <w:szCs w:val="24"/>
          <w:lang w:val="en-US"/>
        </w:rPr>
      </w:pPr>
    </w:p>
    <w:p w:rsidR="08BA40B6" w:rsidP="08BA40B6" w:rsidRDefault="08BA40B6" w14:paraId="320E57A0" w14:textId="705E5976">
      <w:pPr>
        <w:pStyle w:val="Normal"/>
        <w:rPr>
          <w:rFonts w:ascii="Calibri" w:hAnsi="Calibri" w:eastAsia="Calibri" w:cs="Calibri"/>
          <w:noProof w:val="0"/>
          <w:sz w:val="24"/>
          <w:szCs w:val="24"/>
          <w:lang w:val="en-US"/>
        </w:rPr>
      </w:pPr>
    </w:p>
    <w:p w:rsidR="08BA40B6" w:rsidP="08BA40B6" w:rsidRDefault="08BA40B6" w14:paraId="1C1A840D" w14:textId="27D61273">
      <w:pPr>
        <w:pStyle w:val="Normal"/>
        <w:rPr>
          <w:rFonts w:ascii="Calibri" w:hAnsi="Calibri" w:eastAsia="Calibri" w:cs="Calibri"/>
          <w:noProof w:val="0"/>
          <w:sz w:val="24"/>
          <w:szCs w:val="24"/>
          <w:lang w:val="en-US"/>
        </w:rPr>
      </w:pPr>
    </w:p>
    <w:p w:rsidR="05D33165" w:rsidP="73D60B3E" w:rsidRDefault="05D33165" w14:paraId="37D5EB30" w14:textId="06D43814">
      <w:pPr>
        <w:pStyle w:val="Normal"/>
        <w:spacing w:after="160" w:line="259" w:lineRule="auto"/>
      </w:pPr>
      <w:r w:rsidRPr="73D60B3E" w:rsidR="05D33165">
        <w:rPr>
          <w:rFonts w:ascii="Calibri" w:hAnsi="Calibri" w:eastAsia="Calibri" w:cs="Calibri"/>
          <w:noProof w:val="0"/>
          <w:sz w:val="24"/>
          <w:szCs w:val="24"/>
          <w:lang w:val="en-US"/>
        </w:rPr>
        <w:t>How to engage employees Generation Z throughout the employee lifecycle?</w:t>
      </w:r>
    </w:p>
    <w:p w:rsidR="705DDE55" w:rsidP="08BA40B6" w:rsidRDefault="705DDE55" w14:paraId="3647FDD5" w14:textId="3E8B944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The ever-evolving landscape of the hotel industry finds itself today marked by the formidable presence of a new force: Generation Z. These individuals, born on the cusp of a new millennium, bring with them a fresh set of expectations, values, and preferences shaped by a world characterized by rapid technological advancements and global upheavals. As Hilton Hotels, a leading figure in the global hospitality arena, stands at this pivotal generational crossroads, it faces the formidable challenge of seamlessly blending its time-honored traditions with the vitality and uniqueness of Generation Z.</w:t>
      </w:r>
    </w:p>
    <w:p w:rsidR="705DDE55" w:rsidP="08BA40B6" w:rsidRDefault="705DDE55" w14:paraId="45ABB386" w14:textId="57FF007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The linchpin of this intricate dance lies within Hilton's Human Resources (HR) department, tasked not only with deciphering the multifaceted essence of this emerging workforce but also with crafting strategies to effectively engage them. This discourse aims to navigate the intricate choreography of engagement, shedding light on how Hilton can interweave the threads of tradition and innovation, creating a nuanced tapestry that resonates with Generation Z while safeguarding the hotel's storied legacy in today's world. In this dynamic environment, Hilton's journey hinges on its ability to embrace change, adapt to the times, and continue its legacy as a beacon of hospitality excellence.</w:t>
      </w:r>
    </w:p>
    <w:p w:rsidR="705DDE55" w:rsidP="08BA40B6" w:rsidRDefault="705DDE55" w14:paraId="2266D386" w14:textId="0903DF9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HR's Evolution: Shifting from Administrative Duties to Strategic Prowess</w:t>
      </w:r>
    </w:p>
    <w:p w:rsidR="705DDE55" w:rsidP="08BA40B6" w:rsidRDefault="705DDE55" w14:paraId="6E58E802" w14:textId="4CC7539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In the history of corporate operations, Human Resources (HR) departments were once limited to administrative roles within organizations. Their main responsibilities included tasks such as payroll management, recruitment, and ensuring compliance. HR's primary focus was on the operational and transactional aspects of workforce management. Undoubtedly, a discernible metamorphosis has taken place within the domain of Human Resources in recent times. This transformation has shifted its core emphasis from predominantly administrative functions to evolving into a strategic necessity for contemporary enterprises. This shift is grounded in the realization of the profound link between employee satisfaction, productivity, and the overall success of an organization.</w:t>
      </w:r>
    </w:p>
    <w:p w:rsidR="705DDE55" w:rsidP="08BA40B6" w:rsidRDefault="705DDE55" w14:paraId="314E8666" w14:textId="242586C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In today's era, HR no longer restricts itself to routine administrative tasks. It has emerged as a strategic partner, wielding substantial influence over an organization's growth, competitive advantage, and overall prosperity. This shift highlights a broader understanding that employees are not mere resources to be managed but valued assets, whose engagement and well-being directly impact an organization's financial performance.</w:t>
      </w:r>
    </w:p>
    <w:p w:rsidR="705DDE55" w:rsidP="08BA40B6" w:rsidRDefault="705DDE55" w14:paraId="2522C232" w14:textId="1DD36D5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The Strategic Importance of HR in the Hospitality Sector</w:t>
      </w:r>
    </w:p>
    <w:p w:rsidR="705DDE55" w:rsidP="08BA40B6" w:rsidRDefault="705DDE55" w14:paraId="6E0EE833" w14:textId="3C8D2DDD">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The evolution of HR is particularly significant in sectors where the quality of customer interactions is of paramount importance. The hospitality sector serves as an excellent illustration of this transformation, where every interaction between guests and staff holds considerable sway over a guest's perception of a brand. In this context, HR assumes a central role in guaranteeing that employees are not merely performing operational duties but are meticulously chosen, nurtured, and aligned with the values of the brand.</w:t>
      </w:r>
    </w:p>
    <w:p w:rsidR="705DDE55" w:rsidP="08BA40B6" w:rsidRDefault="705DDE55" w14:paraId="75FC0A56" w14:textId="27D13E0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Hilton, a global leader in the hospitality industry, serves as a prominent example, vividly illustrating the strategic importance of HR. In the highly competitive world of hospitality, where differentiation often depends on excellent service, Hilton recognizes that its employees are the cornerstone of guest satisfaction. HR's role extends far beyond traditional recruitment and administration; it involves building a workforce that embodies the brand's unwavering commitment to excellence and a guest-centric ethos.</w:t>
      </w:r>
    </w:p>
    <w:p w:rsidR="705DDE55" w:rsidP="08BA40B6" w:rsidRDefault="705DDE55" w14:paraId="7579F875" w14:textId="713356D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Generation Z: A Unique Workforce</w:t>
      </w:r>
    </w:p>
    <w:p w:rsidR="705DDE55" w:rsidP="08BA40B6" w:rsidRDefault="705DDE55" w14:paraId="2A391573" w14:textId="0B23CE6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One of the most significant developments shaping today's workforce is the rise of Generation Z, often referred to as "Digital Natives." Generation Z is made up of individuals born from the mid-1990s to the early 2010s. What sets this generation apart from its predecessors is the unique context of their upbringing.</w:t>
      </w:r>
    </w:p>
    <w:p w:rsidR="705DDE55" w:rsidP="08BA40B6" w:rsidRDefault="705DDE55" w14:paraId="133235C5" w14:textId="17ED792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Generation Z has grown up in the midst of a technological revolution, raised in a world filled with various digital devices and instant global communication. They are accustomed to a world dominated by smartphones, social media, and constant connectivity. These experiences have had a profound influence on their expectations, values, and workplace preferences.</w:t>
      </w:r>
    </w:p>
    <w:p w:rsidR="705DDE55" w:rsidP="08BA40B6" w:rsidRDefault="705DDE55" w14:paraId="1F491E21" w14:textId="346AB11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A survey conducted by PricewaterhouseCoopers (PwC) unveiled a staggering statistic: a remarkable 91% of respondents from Generation Z expressed the belief that a company's level of technological advancement would significantly impact their selection of employment. For Gen Z, technology transcends mere convenience; it stands as an integral component of their day-to-day existence. This heightened tech-savviness has significant implications for HR practices, especially in industries where technological integration is crucial.</w:t>
      </w:r>
    </w:p>
    <w:p w:rsidR="705DDE55" w:rsidP="08BA40B6" w:rsidRDefault="705DDE55" w14:paraId="5E691066" w14:textId="3706546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Furthermore, Generation Z places a strong emphasis on social responsibility and ethical considerations. They are highly aware of global issues and often gravitate towards employers who demonstrate a sincere commitment to societal and environmental matters. This heightened sense of social consciousness presents both challenges and opportunities for HR professionals.</w:t>
      </w:r>
    </w:p>
    <w:p w:rsidR="705DDE55" w:rsidP="08BA40B6" w:rsidRDefault="705DDE55" w14:paraId="35706D0B" w14:textId="275222B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Exploring the Characteristics of Generation Z</w:t>
      </w:r>
    </w:p>
    <w:p w:rsidR="705DDE55" w:rsidP="08BA40B6" w:rsidRDefault="705DDE55" w14:paraId="235051C8" w14:textId="511BFDF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Generation Z, also known as Gen Z, represents a unique demographic cohort, succeeding the millennials and preceding Generation Alpha. Born between the mid-1990s and early 2010s, this generation possesses several distinctive characteristics.</w:t>
      </w:r>
    </w:p>
    <w:p w:rsidR="705DDE55" w:rsidP="08BA40B6" w:rsidRDefault="705DDE55" w14:paraId="1DC0896A" w14:textId="0F583FC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Digital Natives: Gen Z is often referred to as "Digital Natives" due to their upbringing in an era marked by pervasive technology. They have come of age in a world dominated by smartphones, social media, and uninterrupted connectivity, rendering them exceptionally adept in the realm of technology.</w:t>
      </w:r>
    </w:p>
    <w:p w:rsidR="705DDE55" w:rsidP="08BA40B6" w:rsidRDefault="705DDE55" w14:paraId="0F85D5D3" w14:textId="7E85873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Diversity and Inclusion: This generation is more racially and ethnically diverse than its predecessors. Gen Z places a strong emphasis on diversity and inclusion and expects the same from their employers.</w:t>
      </w:r>
    </w:p>
    <w:p w:rsidR="705DDE55" w:rsidP="08BA40B6" w:rsidRDefault="705DDE55" w14:paraId="2F390E90" w14:textId="5FC44B0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Socially Conscious: Gen Z is deeply concerned about societal and environmental issues. They are inclined towards endorsing companies that exhibit a dedication to social responsibility and sustainability.</w:t>
      </w:r>
    </w:p>
    <w:p w:rsidR="705DDE55" w:rsidP="08BA40B6" w:rsidRDefault="705DDE55" w14:paraId="22077FC8" w14:textId="68F8E61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Entrepreneurial fervor runs deep within a substantial portion of Generation Z. They hold independence in high regard and remain receptive to unconventional career avenues, including entrepreneurship and freelance ventures.</w:t>
      </w:r>
    </w:p>
    <w:p w:rsidR="705DDE55" w:rsidP="08BA40B6" w:rsidRDefault="705DDE55" w14:paraId="738B9814" w14:textId="4FAEB8A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Individualism: While they are socially conscious, Gen Z also values individualism. They tend to gravitate towards tailored experiences and prospects for self-expression in their professional endeavors.</w:t>
      </w:r>
    </w:p>
    <w:p w:rsidR="705DDE55" w:rsidP="08BA40B6" w:rsidRDefault="705DDE55" w14:paraId="143CD777" w14:textId="2524FC0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A proclivity for visual content, encompassing videos and images, rather than textual material, characterizes Generation Z's preferences. They are more likely to engage with visual storytelling and multimedia formats.</w:t>
      </w:r>
    </w:p>
    <w:p w:rsidR="705DDE55" w:rsidP="08BA40B6" w:rsidRDefault="705DDE55" w14:paraId="5461DEC6" w14:textId="65C695A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Short Attention Spans: Growing up in the age of information overload, Gen Z tends to have shorter attention spans. They prefer concise and visually engaging communication.</w:t>
      </w:r>
    </w:p>
    <w:p w:rsidR="705DDE55" w:rsidP="08BA40B6" w:rsidRDefault="705DDE55" w14:paraId="7FD164D3" w14:textId="17B9FEB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Understanding Gen Z's Lifestyle</w:t>
      </w:r>
    </w:p>
    <w:p w:rsidR="705DDE55" w:rsidP="08BA40B6" w:rsidRDefault="705DDE55" w14:paraId="750B658B" w14:textId="53638904">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The lifestyle of Generation Z is shaped by their unique characteristics and the world they have grown up in. Here are some key aspects of Gen Z's lifestyle:</w:t>
      </w:r>
    </w:p>
    <w:p w:rsidR="705DDE55" w:rsidP="08BA40B6" w:rsidRDefault="705DDE55" w14:paraId="2C4AA74E" w14:textId="5DEC72C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Digital Connectivity: Gen Z is constantly connected to digital devices and social media platforms. They employ technology not solely for communication but also for entertainment, education, and shopping.</w:t>
      </w:r>
    </w:p>
    <w:p w:rsidR="705DDE55" w:rsidP="08BA40B6" w:rsidRDefault="705DDE55" w14:paraId="12668460" w14:textId="4862E41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Flexible and Remote Work: Gen Z values flexibility in work arrangements. They are open to remote work options and often seek jobs that offer a good work-life balance.</w:t>
      </w:r>
    </w:p>
    <w:p w:rsidR="705DDE55" w:rsidP="08BA40B6" w:rsidRDefault="705DDE55" w14:paraId="3C17F64A" w14:textId="3FADCDD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Social Activism: Many Gen Z individuals are actively involved in social and environmental causes. They participate in protests, advocate for change on social media, and support brands that align with their values.</w:t>
      </w:r>
    </w:p>
    <w:p w:rsidR="705DDE55" w:rsidP="08BA40B6" w:rsidRDefault="705DDE55" w14:paraId="76065A22" w14:textId="1249E32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Health and Wellness: Gen Z places a strong emphasis on physical and mental health. They are likely to engage in activities such as yoga, meditation, and fitness to maintain well-being.</w:t>
      </w:r>
    </w:p>
    <w:p w:rsidR="705DDE55" w:rsidP="08BA40B6" w:rsidRDefault="705DDE55" w14:paraId="265838E7" w14:textId="0A9CD55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Diverse Interests: This generation has diverse interests and hobbies. They may be passionate about gaming, fashion, sustainability, or a wide range of other topics.</w:t>
      </w:r>
    </w:p>
    <w:p w:rsidR="705DDE55" w:rsidP="08BA40B6" w:rsidRDefault="705DDE55" w14:paraId="7FF12ADE" w14:textId="4A06074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Employment Needs of Generation Z</w:t>
      </w:r>
    </w:p>
    <w:p w:rsidR="705DDE55" w:rsidP="08BA40B6" w:rsidRDefault="705DDE55" w14:paraId="2AB812BE" w14:textId="151DFAE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Understanding the employment needs of Generation Z is crucial for organizations aiming to attract and retain talent from this cohort. Research suggests several key factors that influence Gen Z's career choices and expectations:</w:t>
      </w:r>
    </w:p>
    <w:p w:rsidR="705DDE55" w:rsidP="08BA40B6" w:rsidRDefault="705DDE55" w14:paraId="576DAF16" w14:textId="28DBDBE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Technology Integration: Gen Z expects seamless technology integration in the workplace. They prefer companies that leverage advanced tools and software to streamline work processes and enhance productivity.</w:t>
      </w:r>
    </w:p>
    <w:p w:rsidR="705DDE55" w:rsidP="08BA40B6" w:rsidRDefault="705DDE55" w14:paraId="5168790B" w14:textId="196070A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Professional Development: This generation values continuous learning and development. They seek employers who offer opportunities for skill enhancement and career growth.</w:t>
      </w:r>
    </w:p>
    <w:p w:rsidR="705DDE55" w:rsidP="08BA40B6" w:rsidRDefault="705DDE55" w14:paraId="587A5E68" w14:textId="6BCD487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Mentorship: Gen Z appreciates mentorship and guidance from experienced professionals. They flourish in settings that nurture mentor-mentee associations and offer avenues for the transfer of knowledge.</w:t>
      </w:r>
    </w:p>
    <w:p w:rsidR="705DDE55" w:rsidP="08BA40B6" w:rsidRDefault="705DDE55" w14:paraId="13DEA076" w14:textId="2A8E11C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Diversity and Inclusion: Companies that prioritize diversity and inclusion initiatives are more attractive to Gen Z. They seek workplaces that reflect a variety of backgrounds and perspectives.</w:t>
      </w:r>
    </w:p>
    <w:p w:rsidR="705DDE55" w:rsidP="08BA40B6" w:rsidRDefault="705DDE55" w14:paraId="0318D551" w14:textId="4ACBEDC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Achieving a harmonious work-life equilibrium holds paramount importance for Generation Z. They tend to favor employers who provide flexible work structures and place a premium on the welfare of their workforce.</w:t>
      </w:r>
    </w:p>
    <w:p w:rsidR="705DDE55" w:rsidP="08BA40B6" w:rsidRDefault="705DDE55" w14:paraId="070F4CE2" w14:textId="002DD19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Social accountability is a driving factor for Gen Z, leading them towards organizations that exhibit a dedication to ethical business practices and sustainability. They are inclined to endorse companies with a strong commitment to social responsibility.</w:t>
      </w:r>
    </w:p>
    <w:p w:rsidR="705DDE55" w:rsidP="08BA40B6" w:rsidRDefault="705DDE55" w14:paraId="7392673A" w14:textId="6E91E3D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Research on Generation Z</w:t>
      </w:r>
    </w:p>
    <w:p w:rsidR="705DDE55" w:rsidP="08BA40B6" w:rsidRDefault="705DDE55" w14:paraId="08113C52" w14:textId="77D684D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Research on Generation Z provides valuable insights into their attitudes and preferences in the workplace. Studies have highlighted some key findings:</w:t>
      </w:r>
    </w:p>
    <w:p w:rsidR="705DDE55" w:rsidP="08BA40B6" w:rsidRDefault="705DDE55" w14:paraId="0F6BEBE8" w14:textId="4051173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A Deloitte survey found that Gen Z values job stability and career advancement, with 84% of respondents considering these factors important when choosing an employer.</w:t>
      </w:r>
    </w:p>
    <w:p w:rsidR="705DDE55" w:rsidP="73D60B3E" w:rsidRDefault="705DDE55" w14:paraId="337B3AB1" w14:textId="124CEBC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As per findings from a </w:t>
      </w:r>
      <w:hyperlink r:id="R9d13fb23f0c24a9d">
        <w:r w:rsidRPr="73D60B3E" w:rsidR="705DDE55">
          <w:rPr>
            <w:rStyle w:val="Hyperlink"/>
            <w:rFonts w:ascii="Calibri" w:hAnsi="Calibri" w:eastAsia="Calibri" w:cs="Calibri"/>
            <w:b w:val="0"/>
            <w:bCs w:val="0"/>
            <w:i w:val="0"/>
            <w:iCs w:val="0"/>
            <w:caps w:val="0"/>
            <w:smallCaps w:val="0"/>
            <w:noProof w:val="0"/>
            <w:sz w:val="24"/>
            <w:szCs w:val="24"/>
            <w:lang w:val="en-US"/>
          </w:rPr>
          <w:t>McKinsey repo</w:t>
        </w:r>
        <w:r w:rsidRPr="73D60B3E" w:rsidR="3E357208">
          <w:rPr>
            <w:rStyle w:val="Hyperlink"/>
            <w:rFonts w:ascii="Calibri" w:hAnsi="Calibri" w:eastAsia="Calibri" w:cs="Calibri"/>
            <w:b w:val="0"/>
            <w:bCs w:val="0"/>
            <w:i w:val="0"/>
            <w:iCs w:val="0"/>
            <w:caps w:val="0"/>
            <w:smallCaps w:val="0"/>
            <w:noProof w:val="0"/>
            <w:sz w:val="24"/>
            <w:szCs w:val="24"/>
            <w:lang w:val="en-US"/>
          </w:rPr>
          <w:t>rt from 12</w:t>
        </w:r>
        <w:r w:rsidRPr="73D60B3E" w:rsidR="54D46FB1">
          <w:rPr>
            <w:rStyle w:val="Hyperlink"/>
            <w:rFonts w:ascii="Calibri" w:hAnsi="Calibri" w:eastAsia="Calibri" w:cs="Calibri"/>
            <w:b w:val="0"/>
            <w:bCs w:val="0"/>
            <w:i w:val="0"/>
            <w:iCs w:val="0"/>
            <w:caps w:val="0"/>
            <w:smallCaps w:val="0"/>
            <w:noProof w:val="0"/>
            <w:sz w:val="24"/>
            <w:szCs w:val="24"/>
            <w:lang w:val="en-US"/>
          </w:rPr>
          <w:t xml:space="preserve"> November 2018</w:t>
        </w:r>
      </w:hyperlink>
      <w:r w:rsidRPr="73D60B3E" w:rsidR="3E357208">
        <w:rPr>
          <w:rFonts w:ascii="Calibri" w:hAnsi="Calibri" w:eastAsia="Calibri" w:cs="Calibri"/>
          <w:b w:val="0"/>
          <w:bCs w:val="0"/>
          <w:i w:val="0"/>
          <w:iCs w:val="0"/>
          <w:caps w:val="0"/>
          <w:smallCaps w:val="0"/>
          <w:noProof w:val="0"/>
          <w:sz w:val="24"/>
          <w:szCs w:val="24"/>
          <w:lang w:val="en-US"/>
        </w:rPr>
        <w:t>,</w:t>
      </w:r>
      <w:r w:rsidRPr="73D60B3E" w:rsidR="705DDE55">
        <w:rPr>
          <w:rFonts w:ascii="Calibri" w:hAnsi="Calibri" w:eastAsia="Calibri" w:cs="Calibri"/>
          <w:b w:val="0"/>
          <w:bCs w:val="0"/>
          <w:i w:val="0"/>
          <w:iCs w:val="0"/>
          <w:caps w:val="0"/>
          <w:smallCaps w:val="0"/>
          <w:noProof w:val="0"/>
          <w:sz w:val="24"/>
          <w:szCs w:val="24"/>
          <w:lang w:val="en-US"/>
        </w:rPr>
        <w:t xml:space="preserve"> the Generation Z demographic</w:t>
      </w:r>
      <w:r w:rsidRPr="73D60B3E" w:rsidR="705DDE55">
        <w:rPr>
          <w:rFonts w:ascii="Calibri" w:hAnsi="Calibri" w:eastAsia="Calibri" w:cs="Calibri"/>
          <w:b w:val="0"/>
          <w:bCs w:val="0"/>
          <w:i w:val="0"/>
          <w:iCs w:val="0"/>
          <w:caps w:val="0"/>
          <w:smallCaps w:val="0"/>
          <w:noProof w:val="0"/>
          <w:sz w:val="24"/>
          <w:szCs w:val="24"/>
          <w:lang w:val="en-US"/>
        </w:rPr>
        <w:t xml:space="preserve"> </w:t>
      </w:r>
      <w:r w:rsidRPr="73D60B3E" w:rsidR="705DDE55">
        <w:rPr>
          <w:rFonts w:ascii="Calibri" w:hAnsi="Calibri" w:eastAsia="Calibri" w:cs="Calibri"/>
          <w:b w:val="0"/>
          <w:bCs w:val="0"/>
          <w:i w:val="0"/>
          <w:iCs w:val="0"/>
          <w:caps w:val="0"/>
          <w:smallCaps w:val="0"/>
          <w:noProof w:val="0"/>
          <w:sz w:val="24"/>
          <w:szCs w:val="24"/>
          <w:lang w:val="en-US"/>
        </w:rPr>
        <w:t>exhibit</w:t>
      </w:r>
      <w:r w:rsidRPr="73D60B3E" w:rsidR="705DDE55">
        <w:rPr>
          <w:rFonts w:ascii="Calibri" w:hAnsi="Calibri" w:eastAsia="Calibri" w:cs="Calibri"/>
          <w:b w:val="0"/>
          <w:bCs w:val="0"/>
          <w:i w:val="0"/>
          <w:iCs w:val="0"/>
          <w:caps w:val="0"/>
          <w:smallCaps w:val="0"/>
          <w:noProof w:val="0"/>
          <w:sz w:val="24"/>
          <w:szCs w:val="24"/>
          <w:lang w:val="en-US"/>
        </w:rPr>
        <w:t>s</w:t>
      </w:r>
      <w:r w:rsidRPr="73D60B3E" w:rsidR="705DDE55">
        <w:rPr>
          <w:rFonts w:ascii="Calibri" w:hAnsi="Calibri" w:eastAsia="Calibri" w:cs="Calibri"/>
          <w:b w:val="0"/>
          <w:bCs w:val="0"/>
          <w:i w:val="0"/>
          <w:iCs w:val="0"/>
          <w:caps w:val="0"/>
          <w:smallCaps w:val="0"/>
          <w:noProof w:val="0"/>
          <w:sz w:val="24"/>
          <w:szCs w:val="24"/>
          <w:lang w:val="en-US"/>
        </w:rPr>
        <w:t xml:space="preserve"> a pronounced</w:t>
      </w: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inclination towards pursuing part-time or freelance employment, underscoring their preference for adaptable work arrangements.</w:t>
      </w:r>
    </w:p>
    <w:p w:rsidR="705DDE55" w:rsidP="73D60B3E" w:rsidRDefault="705DDE55" w14:paraId="34A0ADCE" w14:textId="595CA7D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dbe7a256f4174df6">
        <w:r w:rsidRPr="73D60B3E" w:rsidR="705DDE55">
          <w:rPr>
            <w:rStyle w:val="Hyperlink"/>
            <w:rFonts w:ascii="Calibri" w:hAnsi="Calibri" w:eastAsia="Calibri" w:cs="Calibri"/>
            <w:b w:val="0"/>
            <w:bCs w:val="0"/>
            <w:i w:val="0"/>
            <w:iCs w:val="0"/>
            <w:caps w:val="0"/>
            <w:smallCaps w:val="0"/>
            <w:noProof w:val="0"/>
            <w:sz w:val="24"/>
            <w:szCs w:val="24"/>
            <w:lang w:val="en-US"/>
          </w:rPr>
          <w:t>The IBM Institute</w:t>
        </w:r>
      </w:hyperlink>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for Business Value has articulated that Generation Z places significant importance on ethical business conduct. An impressive 65% of respondents from Generation Z, as </w:t>
      </w: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identified</w:t>
      </w: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their survey, conscientiously factor in a company's ecological and societal footprint when deliberating on their purchasing choices.</w:t>
      </w:r>
    </w:p>
    <w:p w:rsidR="705DDE55" w:rsidP="73D60B3E" w:rsidRDefault="705DDE55" w14:paraId="7C412614" w14:textId="6DFDBB0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Research by </w:t>
      </w:r>
      <w:r w:rsidRPr="73D60B3E" w:rsidR="5BF7A565">
        <w:rPr>
          <w:rFonts w:ascii="Calibri" w:hAnsi="Calibri" w:eastAsia="Calibri" w:cs="Calibri"/>
          <w:b w:val="0"/>
          <w:bCs w:val="0"/>
          <w:i w:val="0"/>
          <w:iCs w:val="0"/>
          <w:caps w:val="0"/>
          <w:smallCaps w:val="0"/>
          <w:noProof w:val="0"/>
          <w:color w:val="000000" w:themeColor="text1" w:themeTint="FF" w:themeShade="FF"/>
          <w:sz w:val="24"/>
          <w:szCs w:val="24"/>
          <w:lang w:val="en-US"/>
        </w:rPr>
        <w:t>LinkedIn in</w:t>
      </w:r>
      <w:r w:rsidRPr="73D60B3E" w:rsidR="5BF7A5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2021</w:t>
      </w: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revealed that Gen Z is more likely to use online learning platforms t</w:t>
      </w: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 </w:t>
      </w: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acqui</w:t>
      </w: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re</w:t>
      </w: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new skills and that they value companies tha</w:t>
      </w: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 </w:t>
      </w: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provi</w:t>
      </w: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de</w:t>
      </w: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opportunities for continuous learning.</w:t>
      </w:r>
    </w:p>
    <w:p w:rsidR="705DDE55" w:rsidP="08BA40B6" w:rsidRDefault="705DDE55" w14:paraId="3B918CCB" w14:textId="0192987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In summary, Generation Z epitomizes a singular demographic with individualistic traits, lifestyles, and requisites in the realm of employment. Grasping these elements is imperative for companies aiming to allure, involve, and maintain Gen Z talent within their workforce. Research suggests that Gen Z values technology integration, professional development, mentorship, diversity, work-life balance, and social responsibility in their careers. Adapting HR strategies to align with these preferences can position organizations for success in attracting and retaining the talent of Generation Z.</w:t>
      </w:r>
    </w:p>
    <w:p w:rsidR="705DDE55" w:rsidP="08BA40B6" w:rsidRDefault="705DDE55" w14:paraId="3B1E9788" w14:textId="551130A4">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Building upon the insights garnered earlier, Hilton's trajectory within the ever-evolving hospitality landscape will be intricately shaped by its ability to seamlessly harmonize its storied heritage with the preferences and aspirations of Generation Z. This emerging demographic of guests, characterized by their unique values and digital proficiency, presents a compelling need for a fresh outlook. By astutely discerning and addressing their idiosyncrasies while upholding the industry's gold standards, Hilton finds itself at the forefront of pioneering novel paradigms in the world of hospitality.</w:t>
      </w:r>
    </w:p>
    <w:p w:rsidR="705DDE55" w:rsidP="08BA40B6" w:rsidRDefault="705DDE55" w14:paraId="682F8F73" w14:textId="104BE3D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8BA40B6" w:rsidR="705DDE55">
        <w:rPr>
          <w:rFonts w:ascii="Calibri" w:hAnsi="Calibri" w:eastAsia="Calibri" w:cs="Calibri"/>
          <w:b w:val="0"/>
          <w:bCs w:val="0"/>
          <w:i w:val="0"/>
          <w:iCs w:val="0"/>
          <w:caps w:val="0"/>
          <w:smallCaps w:val="0"/>
          <w:noProof w:val="0"/>
          <w:color w:val="000000" w:themeColor="text1" w:themeTint="FF" w:themeShade="FF"/>
          <w:sz w:val="24"/>
          <w:szCs w:val="24"/>
          <w:lang w:val="en-US"/>
        </w:rPr>
        <w:t>A pivotal pillar of this overarching strategy revolves around cultivating a deeply engaged workforce. Recognizing that contented employees invariably translate into unforgettable guest interactions, Hilton recognizes the vital importance of investing in their professional development and well-being. This investment not only ensures the delivery of impeccable service but also fosters an enduring sense of brand loyalty.</w:t>
      </w:r>
    </w:p>
    <w:p w:rsidR="705DDE55" w:rsidP="08BA40B6" w:rsidRDefault="705DDE55" w14:paraId="69D89173" w14:textId="67A0E47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705DDE55">
        <w:rPr>
          <w:rFonts w:ascii="Calibri" w:hAnsi="Calibri" w:eastAsia="Calibri" w:cs="Calibri"/>
          <w:b w:val="0"/>
          <w:bCs w:val="0"/>
          <w:i w:val="0"/>
          <w:iCs w:val="0"/>
          <w:caps w:val="0"/>
          <w:smallCaps w:val="0"/>
          <w:noProof w:val="0"/>
          <w:color w:val="000000" w:themeColor="text1" w:themeTint="FF" w:themeShade="FF"/>
          <w:sz w:val="24"/>
          <w:szCs w:val="24"/>
          <w:lang w:val="en-US"/>
        </w:rPr>
        <w:t>By wholeheartedly committing to this holistic approach, Hilton stands to reap substantial rewards. It extends beyond mere operational excellence; it is about curating an unparalleled guest journey that firmly cements Hilton's position as an enduring stalwart in the industry. As the path ahead unfolds, one can assert with confidence that Hilton will continue to reign supreme, sculpting a legacy that resonates harmoniously with both tradition and innovation.</w:t>
      </w:r>
    </w:p>
    <w:p w:rsidR="08BA40B6" w:rsidP="73D60B3E" w:rsidRDefault="08BA40B6" w14:paraId="2DA34F39" w14:textId="10E8508D">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Barrick, M. R., Thurgood, G. R., Smith, T. A., &amp; Courtright, S. H. (2015). Concurrent and lagged effects of human resource management practices on employee outcomes: A longitudinal study. Journal of Applied Psychology, 100(5), 1622-1633.</w:t>
      </w:r>
    </w:p>
    <w:p w:rsidR="08BA40B6" w:rsidP="73D60B3E" w:rsidRDefault="08BA40B6" w14:paraId="27CF8074" w14:textId="3360E321">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Baum, T. (2015). Human resources in tourism: Still waiting for change? – A 2015 reprise. Tourism Management.</w:t>
      </w:r>
    </w:p>
    <w:p w:rsidR="08BA40B6" w:rsidP="73D60B3E" w:rsidRDefault="08BA40B6" w14:paraId="43D86CDE" w14:textId="0B45C29A">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Baum, T., &amp; Hai, N. T. T. (2020). Hospitality, tourism, human </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rights</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the impact of COVID-19. International Journal of Contemporary Hospitality Management, 32(7), 2397-2407.</w:t>
      </w:r>
    </w:p>
    <w:p w:rsidR="08BA40B6" w:rsidP="73D60B3E" w:rsidRDefault="08BA40B6" w14:paraId="3E5CD0AE" w14:textId="4979F181">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Cone Communications (2017). Cone Gen Z CSR Study: How to Speak Z. Cone Communications.</w:t>
      </w:r>
    </w:p>
    <w:p w:rsidR="08BA40B6" w:rsidP="73D60B3E" w:rsidRDefault="08BA40B6" w14:paraId="69400C32" w14:textId="16AA5EBA">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Deloitte (2018). The Deloitte Global Millennial Survey 2018. Deloitte University Press.</w:t>
      </w:r>
    </w:p>
    <w:p w:rsidR="08BA40B6" w:rsidP="73D60B3E" w:rsidRDefault="08BA40B6" w14:paraId="46E854D5" w14:textId="178FA7DF">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Deery, M., &amp; Jago, L. (2015). Revisiting talent management, work-life balance, and retention strategies. International Journal of Contemporary Hospitality Management, 27(3), 453-472.</w:t>
      </w:r>
    </w:p>
    <w:p w:rsidR="08BA40B6" w:rsidP="73D60B3E" w:rsidRDefault="08BA40B6" w14:paraId="29849B9F" w14:textId="658562B8">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Gallup, Inc. (2016). How Millennials Want to Work and Live. Gallup, Inc.</w:t>
      </w:r>
    </w:p>
    <w:p w:rsidR="08BA40B6" w:rsidP="73D60B3E" w:rsidRDefault="08BA40B6" w14:paraId="5DC09081" w14:textId="6741E516">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Gursoy, D., Chi, C. G., &amp; Lu, L. (2016). Antecedents and outcomes of travelers' information-seeking behavior in the context of online social networks. Journal of Travel Research, 55(1), 52-66.</w:t>
      </w:r>
    </w:p>
    <w:p w:rsidR="08BA40B6" w:rsidP="73D60B3E" w:rsidRDefault="08BA40B6" w14:paraId="15387669" w14:textId="5B9848B9">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Hershatter</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A., &amp; Epstein, M. (2010). Millennials and the world of work: An organization and management perspective. Journal of Business and Psychology, 25(2), 211-223.</w:t>
      </w:r>
    </w:p>
    <w:p w:rsidR="08BA40B6" w:rsidP="73D60B3E" w:rsidRDefault="08BA40B6" w14:paraId="2B8A9D9F" w14:textId="3698FEA8">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Hilton Worldwide (2019). Hilton's Modern Approach to Recruitment and Employee Retention. Hilton Worldwide Holdings Inc.</w:t>
      </w:r>
    </w:p>
    <w:p w:rsidR="08BA40B6" w:rsidP="73D60B3E" w:rsidRDefault="08BA40B6" w14:paraId="69FA5CF2" w14:textId="60EE6AE9">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Kandampully</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J., Zhang, T., &amp; </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Bilgihan</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A. (2015). Customer loyalty: a review and future directions with a special focus on the hospitality industry. International Journal of Contemporary Hospitality Management, 27(3), 379-414.</w:t>
      </w:r>
    </w:p>
    <w:p w:rsidR="08BA40B6" w:rsidP="73D60B3E" w:rsidRDefault="08BA40B6" w14:paraId="12D1A7FD" w14:textId="0EDBBF2A">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McCrindle</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 (2014). Understanding Generation Z. </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McCrindle</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Research Pty Ltd.</w:t>
      </w:r>
    </w:p>
    <w:p w:rsidR="08BA40B6" w:rsidP="73D60B3E" w:rsidRDefault="08BA40B6" w14:paraId="4EA55505" w14:textId="786DDD35">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McCrindle</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 &amp; Wolfinger, E. (2014). The ABC of XYZ: Understanding the Global Generations. </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McCrindle</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Research Pty Ltd.</w:t>
      </w:r>
    </w:p>
    <w:p w:rsidR="08BA40B6" w:rsidP="73D60B3E" w:rsidRDefault="08BA40B6" w14:paraId="06A82C58" w14:textId="35000455">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Naim, M. F., &amp; Lenka, U. (2018). Reviewing the role of human resource practices (HRM) in green innovation. Journal of Cleaner Production, 196, 1648-1659.</w:t>
      </w:r>
    </w:p>
    <w:p w:rsidR="08BA40B6" w:rsidP="73D60B3E" w:rsidRDefault="08BA40B6" w14:paraId="68E049F1" w14:textId="6060A349">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Phillips, J. M., &amp; Gully, S. M. (2015). Multidisciplinary Perspectives on Human Capital and Human Resource Management. IGI Global.</w:t>
      </w:r>
    </w:p>
    <w:p w:rsidR="08BA40B6" w:rsidP="73D60B3E" w:rsidRDefault="08BA40B6" w14:paraId="65114D47" w14:textId="56F40AC9">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Pizam</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(2019). Employee wellness in the hospitality industry: </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Organisational</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strategies for improving well-being and performance. International Journal of Hospitality Management, 82, 230-237.</w:t>
      </w:r>
    </w:p>
    <w:p w:rsidR="08BA40B6" w:rsidP="73D60B3E" w:rsidRDefault="08BA40B6" w14:paraId="0C47AA22" w14:textId="7BAC7D84">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PwC. (2018). Workforce of the Future: The Competing Forces Shaping 2030. PricewaterhouseCoopers.</w:t>
      </w:r>
    </w:p>
    <w:p w:rsidR="08BA40B6" w:rsidP="73D60B3E" w:rsidRDefault="08BA40B6" w14:paraId="754DDD1D" w14:textId="2AFB73AE">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Rock, D. (2008). SCARF: a brain-based model for collaborating with and influencing others. </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NeuroLeadership</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Journal, 1(1), 44-52.</w:t>
      </w:r>
    </w:p>
    <w:p w:rsidR="08BA40B6" w:rsidP="73D60B3E" w:rsidRDefault="08BA40B6" w14:paraId="68218548" w14:textId="55098860">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Seemiller, C., &amp; Grace, M. (2016). Generation Z Goes to College. Jossey-Bass.</w:t>
      </w:r>
    </w:p>
    <w:p w:rsidR="08BA40B6" w:rsidP="73D60B3E" w:rsidRDefault="08BA40B6" w14:paraId="65340A25" w14:textId="023EA250">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Singh, A., &amp; </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Dangmei</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J. (2016). Understanding </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the generation</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Z: the future workforce. South-Asian Journal of Multidisciplinary Studies, 3(3), 1-6.</w:t>
      </w:r>
    </w:p>
    <w:p w:rsidR="08BA40B6" w:rsidP="73D60B3E" w:rsidRDefault="08BA40B6" w14:paraId="596858EC" w14:textId="3A3812A9">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Solnet</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D., Kralj, A., &amp; Baum, T. (2015). 360 degrees of pressure: The changing role of the HR professional in the hospitality industry. Journal of Hospitality and Tourism Research, 39(2), 271-292.</w:t>
      </w:r>
    </w:p>
    <w:p w:rsidR="08BA40B6" w:rsidP="73D60B3E" w:rsidRDefault="08BA40B6" w14:paraId="7942A39E" w14:textId="78D95927">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Stillman, D., &amp; Stillman, J. (2017). Gen Z at Work: How the Next Generation is Transforming the Workplace. Harper Business.</w:t>
      </w:r>
    </w:p>
    <w:p w:rsidR="08BA40B6" w:rsidP="73D60B3E" w:rsidRDefault="08BA40B6" w14:paraId="018359DF" w14:textId="3551BE02">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Tolbize, A. (2008). Generational differences in the workplace. Research and Training Center on Community Living, 1-20.</w:t>
      </w:r>
    </w:p>
    <w:p w:rsidR="08BA40B6" w:rsidP="73D60B3E" w:rsidRDefault="08BA40B6" w14:paraId="2E452988" w14:textId="7DCE0110">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Twenge, J. M. (2017). </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iGen</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Why Today’s Super-Connected Kids Are Growing Up Less Rebellious, More Tolerant, Less Happy – and Completely Unprepared for Adulthood. Atria Books.</w:t>
      </w:r>
    </w:p>
    <w:p w:rsidR="08BA40B6" w:rsidP="73D60B3E" w:rsidRDefault="08BA40B6" w14:paraId="022A8B16" w14:textId="238D2E11">
      <w:pPr>
        <w:pStyle w:val="ListParagraph"/>
        <w:numPr>
          <w:ilvl w:val="0"/>
          <w:numId w:val="26"/>
        </w:num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Twenge, J. M. (2017). </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iGen</w:t>
      </w:r>
      <w:r w:rsidRPr="73D60B3E" w:rsidR="15D9D74E">
        <w:rPr>
          <w:rFonts w:ascii="Calibri" w:hAnsi="Calibri" w:eastAsia="Calibri" w:cs="Calibri"/>
          <w:b w:val="0"/>
          <w:bCs w:val="0"/>
          <w:i w:val="0"/>
          <w:iCs w:val="0"/>
          <w:caps w:val="0"/>
          <w:smallCaps w:val="0"/>
          <w:noProof w:val="0"/>
          <w:color w:val="000000" w:themeColor="text1" w:themeTint="FF" w:themeShade="FF"/>
          <w:sz w:val="24"/>
          <w:szCs w:val="24"/>
          <w:lang w:val="en-US"/>
        </w:rPr>
        <w:t>: Why Today’s Super-Connected Kids Are Growing Up Less Rebellious, More Tolerant, Less Happy – and Completely Unprepared for Adulthood. Simon &amp; Schuster.</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6">
    <w:nsid w:val="e9d47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0962a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3865e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d0b67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486c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2579b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66130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de00e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b767d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c1dc1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3a211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8c05a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0e8b0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13839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20bdb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68bf5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04231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f2f7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63676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8c658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8eed3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9324e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5b8e5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ec579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2c633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9ac0e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446FC3"/>
    <w:rsid w:val="05D33165"/>
    <w:rsid w:val="075003FF"/>
    <w:rsid w:val="08BA40B6"/>
    <w:rsid w:val="110EC1A6"/>
    <w:rsid w:val="11F426B9"/>
    <w:rsid w:val="1335C121"/>
    <w:rsid w:val="138FF71A"/>
    <w:rsid w:val="14F5E054"/>
    <w:rsid w:val="15D9D74E"/>
    <w:rsid w:val="199C5785"/>
    <w:rsid w:val="1B81E0A2"/>
    <w:rsid w:val="1D03B27F"/>
    <w:rsid w:val="201A409A"/>
    <w:rsid w:val="23446FC3"/>
    <w:rsid w:val="27E35B80"/>
    <w:rsid w:val="2829F33F"/>
    <w:rsid w:val="29302585"/>
    <w:rsid w:val="2F96BBE9"/>
    <w:rsid w:val="3E357208"/>
    <w:rsid w:val="414762AB"/>
    <w:rsid w:val="435138A7"/>
    <w:rsid w:val="447F036D"/>
    <w:rsid w:val="462D7D9F"/>
    <w:rsid w:val="4C7543D4"/>
    <w:rsid w:val="4DBDE43F"/>
    <w:rsid w:val="4FF0A7D0"/>
    <w:rsid w:val="50200366"/>
    <w:rsid w:val="537077F5"/>
    <w:rsid w:val="54D46FB1"/>
    <w:rsid w:val="569C08D6"/>
    <w:rsid w:val="583F2BA9"/>
    <w:rsid w:val="5BF7A565"/>
    <w:rsid w:val="5F16A413"/>
    <w:rsid w:val="63616381"/>
    <w:rsid w:val="705DDE55"/>
    <w:rsid w:val="71CE07E8"/>
    <w:rsid w:val="72D4FC4A"/>
    <w:rsid w:val="73D60B3E"/>
    <w:rsid w:val="73FA51EC"/>
    <w:rsid w:val="78C54424"/>
    <w:rsid w:val="79EEB655"/>
    <w:rsid w:val="7B91D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46FC3"/>
  <w15:chartTrackingRefBased/>
  <w15:docId w15:val="{75BFF74A-880F-48F4-A815-20B397CFB4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a27f0e0760e1420f" /><Relationship Type="http://schemas.openxmlformats.org/officeDocument/2006/relationships/numbering" Target="numbering.xml" Id="Rfdec5509722b46e5" /><Relationship Type="http://schemas.openxmlformats.org/officeDocument/2006/relationships/hyperlink" Target="http://image.slidesharecdn.com/introductiontohumanresourcemanagement-140115121245-phpapp02/95/slide-1-638.jpg?cb=1389809684" TargetMode="External" Id="Rfd3844dc58ea484d" /><Relationship Type="http://schemas.openxmlformats.org/officeDocument/2006/relationships/hyperlink" Target="https://www.mckinsey.com/industries/consumer-packaged-goods/our-insights/true-gen-generation-z-and-its-implications-for-companies" TargetMode="External" Id="R9d13fb23f0c24a9d" /><Relationship Type="http://schemas.openxmlformats.org/officeDocument/2006/relationships/hyperlink" Target="https://www.ibm.com/thought-leadership/institute-business-value/en-us/report/uniquelygenz" TargetMode="External" Id="Rdbe7a256f4174d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2023-10-18T18:14:09.9822188Z</dcterms:created>
  <dcterms:modified xsi:type="dcterms:W3CDTF">2023-10-18T19:44:02.5594016Z</dcterms:modified>
  <dc:creator>Istvan Bardoczi</dc:creator>
  <lastModifiedBy>Istvan Bardoczi</lastModifiedBy>
</coreProperties>
</file>