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4FE95" w14:textId="77777777" w:rsidR="0075507C" w:rsidRPr="008D4CE3" w:rsidRDefault="0075507C" w:rsidP="0075507C">
      <w:pPr>
        <w:spacing w:line="360" w:lineRule="auto"/>
        <w:jc w:val="center"/>
        <w:rPr>
          <w:rFonts w:ascii="Arial" w:hAnsi="Arial" w:cs="Arial"/>
          <w:b/>
          <w:bCs/>
          <w:sz w:val="22"/>
          <w:szCs w:val="22"/>
        </w:rPr>
      </w:pPr>
    </w:p>
    <w:p w14:paraId="51E8E3DF" w14:textId="77777777" w:rsidR="0075507C" w:rsidRPr="008D4CE3" w:rsidRDefault="0075507C" w:rsidP="0075507C">
      <w:pPr>
        <w:spacing w:line="360" w:lineRule="auto"/>
        <w:jc w:val="center"/>
        <w:rPr>
          <w:rFonts w:ascii="Arial" w:hAnsi="Arial" w:cs="Arial"/>
          <w:b/>
          <w:bCs/>
          <w:sz w:val="22"/>
          <w:szCs w:val="22"/>
        </w:rPr>
      </w:pPr>
    </w:p>
    <w:p w14:paraId="78540B88" w14:textId="77777777" w:rsidR="0075507C" w:rsidRPr="008D4CE3" w:rsidRDefault="0075507C" w:rsidP="0075507C">
      <w:pPr>
        <w:spacing w:line="360" w:lineRule="auto"/>
        <w:jc w:val="center"/>
        <w:rPr>
          <w:rFonts w:ascii="Arial" w:hAnsi="Arial" w:cs="Arial"/>
          <w:b/>
          <w:bCs/>
          <w:sz w:val="22"/>
          <w:szCs w:val="22"/>
        </w:rPr>
      </w:pPr>
    </w:p>
    <w:p w14:paraId="268989A0" w14:textId="77777777" w:rsidR="0075507C" w:rsidRPr="008D4CE3" w:rsidRDefault="0075507C" w:rsidP="0075507C">
      <w:pPr>
        <w:spacing w:line="360" w:lineRule="auto"/>
        <w:jc w:val="center"/>
        <w:rPr>
          <w:rFonts w:ascii="Arial" w:hAnsi="Arial" w:cs="Arial"/>
          <w:b/>
          <w:bCs/>
          <w:sz w:val="22"/>
          <w:szCs w:val="22"/>
        </w:rPr>
      </w:pPr>
    </w:p>
    <w:p w14:paraId="713FB653" w14:textId="77777777" w:rsidR="0075507C" w:rsidRPr="008D4CE3" w:rsidRDefault="0075507C" w:rsidP="0075507C">
      <w:pPr>
        <w:spacing w:line="360" w:lineRule="auto"/>
        <w:jc w:val="center"/>
        <w:rPr>
          <w:rFonts w:ascii="Arial" w:hAnsi="Arial" w:cs="Arial"/>
          <w:b/>
          <w:bCs/>
          <w:sz w:val="22"/>
          <w:szCs w:val="22"/>
        </w:rPr>
      </w:pPr>
    </w:p>
    <w:p w14:paraId="3E1633F3" w14:textId="77777777" w:rsidR="00405E9B" w:rsidRPr="008D4CE3" w:rsidRDefault="0075507C" w:rsidP="0075507C">
      <w:pPr>
        <w:spacing w:line="360" w:lineRule="auto"/>
        <w:jc w:val="center"/>
        <w:rPr>
          <w:rFonts w:ascii="Arial" w:hAnsi="Arial" w:cs="Arial"/>
          <w:b/>
          <w:bCs/>
          <w:sz w:val="22"/>
          <w:szCs w:val="22"/>
        </w:rPr>
      </w:pPr>
      <w:r w:rsidRPr="008D4CE3">
        <w:rPr>
          <w:rFonts w:ascii="Arial" w:hAnsi="Arial" w:cs="Arial"/>
          <w:b/>
          <w:bCs/>
          <w:sz w:val="22"/>
          <w:szCs w:val="22"/>
        </w:rPr>
        <w:t>PSYCHOLOGY IN HEALTH AND SOCIAL CARE</w:t>
      </w:r>
    </w:p>
    <w:p w14:paraId="58BD6CAA" w14:textId="1810666D" w:rsidR="00405E9B" w:rsidRPr="008D4CE3" w:rsidRDefault="00405E9B" w:rsidP="0075507C">
      <w:pPr>
        <w:spacing w:line="360" w:lineRule="auto"/>
        <w:jc w:val="center"/>
        <w:rPr>
          <w:rFonts w:ascii="Arial" w:hAnsi="Arial" w:cs="Arial"/>
          <w:b/>
          <w:bCs/>
          <w:sz w:val="22"/>
          <w:szCs w:val="22"/>
        </w:rPr>
      </w:pPr>
      <w:r w:rsidRPr="008D4CE3">
        <w:rPr>
          <w:rFonts w:ascii="Arial" w:hAnsi="Arial" w:cs="Arial"/>
          <w:b/>
          <w:bCs/>
          <w:sz w:val="22"/>
          <w:szCs w:val="22"/>
        </w:rPr>
        <w:t>Student name: Zara Sheikh</w:t>
      </w:r>
    </w:p>
    <w:p w14:paraId="5F117AB6" w14:textId="2C5B4056" w:rsidR="00405E9B" w:rsidRPr="008D4CE3" w:rsidRDefault="00405E9B" w:rsidP="0075507C">
      <w:pPr>
        <w:spacing w:line="360" w:lineRule="auto"/>
        <w:jc w:val="center"/>
        <w:rPr>
          <w:rFonts w:ascii="Arial" w:hAnsi="Arial" w:cs="Arial"/>
          <w:b/>
          <w:bCs/>
          <w:sz w:val="22"/>
          <w:szCs w:val="22"/>
        </w:rPr>
      </w:pPr>
      <w:r w:rsidRPr="008D4CE3">
        <w:rPr>
          <w:rFonts w:ascii="Arial" w:hAnsi="Arial" w:cs="Arial"/>
          <w:b/>
          <w:bCs/>
          <w:sz w:val="22"/>
          <w:szCs w:val="22"/>
        </w:rPr>
        <w:t>Student number: 2408419</w:t>
      </w:r>
    </w:p>
    <w:p w14:paraId="32AE363B" w14:textId="1E9F1016" w:rsidR="00405E9B" w:rsidRPr="008D4CE3" w:rsidRDefault="00405E9B" w:rsidP="0075507C">
      <w:pPr>
        <w:spacing w:line="360" w:lineRule="auto"/>
        <w:jc w:val="center"/>
        <w:rPr>
          <w:rFonts w:ascii="Arial" w:hAnsi="Arial" w:cs="Arial"/>
          <w:b/>
          <w:bCs/>
          <w:sz w:val="22"/>
          <w:szCs w:val="22"/>
        </w:rPr>
      </w:pPr>
      <w:r w:rsidRPr="008D4CE3">
        <w:rPr>
          <w:rFonts w:ascii="Arial" w:hAnsi="Arial" w:cs="Arial"/>
          <w:b/>
          <w:bCs/>
          <w:sz w:val="22"/>
          <w:szCs w:val="22"/>
        </w:rPr>
        <w:t>Module code: LCHS4010</w:t>
      </w:r>
    </w:p>
    <w:p w14:paraId="38EC46BC" w14:textId="41DBD2B0" w:rsidR="00405E9B" w:rsidRPr="008D4CE3" w:rsidRDefault="00405E9B" w:rsidP="0075507C">
      <w:pPr>
        <w:spacing w:line="360" w:lineRule="auto"/>
        <w:jc w:val="center"/>
        <w:rPr>
          <w:rFonts w:ascii="Arial" w:hAnsi="Arial" w:cs="Arial"/>
          <w:b/>
          <w:bCs/>
          <w:sz w:val="22"/>
          <w:szCs w:val="22"/>
        </w:rPr>
      </w:pPr>
      <w:r w:rsidRPr="008D4CE3">
        <w:rPr>
          <w:rFonts w:ascii="Arial" w:hAnsi="Arial" w:cs="Arial"/>
          <w:b/>
          <w:bCs/>
          <w:sz w:val="22"/>
          <w:szCs w:val="22"/>
        </w:rPr>
        <w:t>Tutors name: Dr Helen Parsons</w:t>
      </w:r>
    </w:p>
    <w:p w14:paraId="768291FB" w14:textId="57EF226A" w:rsidR="00405E9B" w:rsidRPr="008D4CE3" w:rsidRDefault="00405E9B" w:rsidP="0075507C">
      <w:pPr>
        <w:spacing w:line="360" w:lineRule="auto"/>
        <w:jc w:val="center"/>
        <w:rPr>
          <w:rFonts w:ascii="Arial" w:hAnsi="Arial" w:cs="Arial"/>
          <w:b/>
          <w:bCs/>
          <w:sz w:val="22"/>
          <w:szCs w:val="22"/>
        </w:rPr>
      </w:pPr>
      <w:r w:rsidRPr="008D4CE3">
        <w:rPr>
          <w:rFonts w:ascii="Arial" w:hAnsi="Arial" w:cs="Arial"/>
          <w:b/>
          <w:bCs/>
          <w:sz w:val="22"/>
          <w:szCs w:val="22"/>
        </w:rPr>
        <w:t>Assignment 2</w:t>
      </w:r>
    </w:p>
    <w:p w14:paraId="1351389F" w14:textId="5F4DAD5E" w:rsidR="009029F6" w:rsidRPr="008D4CE3" w:rsidRDefault="009029F6" w:rsidP="0075507C">
      <w:pPr>
        <w:spacing w:line="360" w:lineRule="auto"/>
        <w:jc w:val="both"/>
        <w:rPr>
          <w:rFonts w:ascii="Arial" w:hAnsi="Arial" w:cs="Arial"/>
          <w:sz w:val="22"/>
          <w:szCs w:val="22"/>
        </w:rPr>
      </w:pPr>
    </w:p>
    <w:p w14:paraId="5F21D834" w14:textId="77777777" w:rsidR="0075507C" w:rsidRPr="008D4CE3" w:rsidRDefault="0075507C">
      <w:pPr>
        <w:rPr>
          <w:rFonts w:ascii="Arial" w:hAnsi="Arial" w:cs="Arial"/>
          <w:b/>
          <w:bCs/>
          <w:sz w:val="22"/>
          <w:szCs w:val="22"/>
        </w:rPr>
      </w:pPr>
      <w:r w:rsidRPr="008D4CE3">
        <w:rPr>
          <w:rFonts w:ascii="Arial" w:hAnsi="Arial" w:cs="Arial"/>
          <w:b/>
          <w:bCs/>
          <w:sz w:val="22"/>
          <w:szCs w:val="22"/>
        </w:rPr>
        <w:br w:type="page"/>
      </w:r>
    </w:p>
    <w:sdt>
      <w:sdtPr>
        <w:rPr>
          <w:rFonts w:ascii="Arial" w:eastAsiaTheme="minorHAnsi" w:hAnsi="Arial" w:cs="Arial"/>
          <w:b/>
          <w:bCs/>
          <w:color w:val="auto"/>
          <w:kern w:val="2"/>
          <w:sz w:val="22"/>
          <w:szCs w:val="22"/>
          <w:lang w:val="en-IN"/>
          <w14:ligatures w14:val="standardContextual"/>
        </w:rPr>
        <w:id w:val="1565530414"/>
        <w:docPartObj>
          <w:docPartGallery w:val="Table of Contents"/>
          <w:docPartUnique/>
        </w:docPartObj>
      </w:sdtPr>
      <w:sdtEndPr>
        <w:rPr>
          <w:noProof/>
        </w:rPr>
      </w:sdtEndPr>
      <w:sdtContent>
        <w:p w14:paraId="291C05CA" w14:textId="275CD01B" w:rsidR="0075507C" w:rsidRPr="008D4CE3" w:rsidRDefault="0075507C" w:rsidP="0075507C">
          <w:pPr>
            <w:pStyle w:val="TOCHeading"/>
            <w:spacing w:line="360" w:lineRule="auto"/>
            <w:jc w:val="center"/>
            <w:rPr>
              <w:rFonts w:ascii="Arial" w:hAnsi="Arial" w:cs="Arial"/>
              <w:b/>
              <w:bCs/>
              <w:color w:val="auto"/>
              <w:sz w:val="22"/>
              <w:szCs w:val="22"/>
            </w:rPr>
          </w:pPr>
          <w:r w:rsidRPr="008D4CE3">
            <w:rPr>
              <w:rFonts w:ascii="Arial" w:hAnsi="Arial" w:cs="Arial"/>
              <w:b/>
              <w:bCs/>
              <w:color w:val="auto"/>
              <w:sz w:val="22"/>
              <w:szCs w:val="22"/>
            </w:rPr>
            <w:t>Table of Contents</w:t>
          </w:r>
        </w:p>
        <w:p w14:paraId="22F04C7F" w14:textId="4B81E10E" w:rsidR="0075507C" w:rsidRPr="008D4CE3" w:rsidRDefault="0075507C" w:rsidP="0075507C">
          <w:pPr>
            <w:pStyle w:val="TOC1"/>
            <w:tabs>
              <w:tab w:val="right" w:leader="dot" w:pos="9016"/>
            </w:tabs>
            <w:spacing w:line="360" w:lineRule="auto"/>
            <w:jc w:val="center"/>
            <w:rPr>
              <w:rFonts w:ascii="Arial" w:hAnsi="Arial" w:cs="Arial"/>
              <w:noProof/>
              <w:sz w:val="22"/>
              <w:szCs w:val="22"/>
            </w:rPr>
          </w:pPr>
          <w:r w:rsidRPr="008D4CE3">
            <w:rPr>
              <w:rFonts w:ascii="Arial" w:hAnsi="Arial" w:cs="Arial"/>
              <w:sz w:val="22"/>
              <w:szCs w:val="22"/>
            </w:rPr>
            <w:fldChar w:fldCharType="begin"/>
          </w:r>
          <w:r w:rsidRPr="008D4CE3">
            <w:rPr>
              <w:rFonts w:ascii="Arial" w:hAnsi="Arial" w:cs="Arial"/>
              <w:sz w:val="22"/>
              <w:szCs w:val="22"/>
            </w:rPr>
            <w:instrText xml:space="preserve"> TOC \o "1-3" \h \z \u </w:instrText>
          </w:r>
          <w:r w:rsidRPr="008D4CE3">
            <w:rPr>
              <w:rFonts w:ascii="Arial" w:hAnsi="Arial" w:cs="Arial"/>
              <w:sz w:val="22"/>
              <w:szCs w:val="22"/>
            </w:rPr>
            <w:fldChar w:fldCharType="separate"/>
          </w:r>
          <w:hyperlink w:anchor="_Toc213863830" w:history="1">
            <w:r w:rsidRPr="008D4CE3">
              <w:rPr>
                <w:rStyle w:val="Hyperlink"/>
                <w:rFonts w:ascii="Arial" w:hAnsi="Arial" w:cs="Arial"/>
                <w:noProof/>
                <w:sz w:val="22"/>
                <w:szCs w:val="22"/>
              </w:rPr>
              <w:t>Introduction</w:t>
            </w:r>
            <w:r w:rsidRPr="008D4CE3">
              <w:rPr>
                <w:rFonts w:ascii="Arial" w:hAnsi="Arial" w:cs="Arial"/>
                <w:noProof/>
                <w:webHidden/>
                <w:sz w:val="22"/>
                <w:szCs w:val="22"/>
              </w:rPr>
              <w:tab/>
            </w:r>
            <w:r w:rsidRPr="008D4CE3">
              <w:rPr>
                <w:rFonts w:ascii="Arial" w:hAnsi="Arial" w:cs="Arial"/>
                <w:noProof/>
                <w:webHidden/>
                <w:sz w:val="22"/>
                <w:szCs w:val="22"/>
              </w:rPr>
              <w:fldChar w:fldCharType="begin"/>
            </w:r>
            <w:r w:rsidRPr="008D4CE3">
              <w:rPr>
                <w:rFonts w:ascii="Arial" w:hAnsi="Arial" w:cs="Arial"/>
                <w:noProof/>
                <w:webHidden/>
                <w:sz w:val="22"/>
                <w:szCs w:val="22"/>
              </w:rPr>
              <w:instrText xml:space="preserve"> PAGEREF _Toc213863830 \h </w:instrText>
            </w:r>
            <w:r w:rsidRPr="008D4CE3">
              <w:rPr>
                <w:rFonts w:ascii="Arial" w:hAnsi="Arial" w:cs="Arial"/>
                <w:noProof/>
                <w:webHidden/>
                <w:sz w:val="22"/>
                <w:szCs w:val="22"/>
              </w:rPr>
            </w:r>
            <w:r w:rsidRPr="008D4CE3">
              <w:rPr>
                <w:rFonts w:ascii="Arial" w:hAnsi="Arial" w:cs="Arial"/>
                <w:noProof/>
                <w:webHidden/>
                <w:sz w:val="22"/>
                <w:szCs w:val="22"/>
              </w:rPr>
              <w:fldChar w:fldCharType="separate"/>
            </w:r>
            <w:r w:rsidRPr="008D4CE3">
              <w:rPr>
                <w:rFonts w:ascii="Arial" w:hAnsi="Arial" w:cs="Arial"/>
                <w:noProof/>
                <w:webHidden/>
                <w:sz w:val="22"/>
                <w:szCs w:val="22"/>
              </w:rPr>
              <w:t>3</w:t>
            </w:r>
            <w:r w:rsidRPr="008D4CE3">
              <w:rPr>
                <w:rFonts w:ascii="Arial" w:hAnsi="Arial" w:cs="Arial"/>
                <w:noProof/>
                <w:webHidden/>
                <w:sz w:val="22"/>
                <w:szCs w:val="22"/>
              </w:rPr>
              <w:fldChar w:fldCharType="end"/>
            </w:r>
          </w:hyperlink>
        </w:p>
        <w:p w14:paraId="77B35D4E" w14:textId="32140F1C" w:rsidR="0075507C" w:rsidRPr="008D4CE3" w:rsidRDefault="0075507C" w:rsidP="0075507C">
          <w:pPr>
            <w:pStyle w:val="TOC1"/>
            <w:tabs>
              <w:tab w:val="right" w:leader="dot" w:pos="9016"/>
            </w:tabs>
            <w:spacing w:line="360" w:lineRule="auto"/>
            <w:jc w:val="center"/>
            <w:rPr>
              <w:rFonts w:ascii="Arial" w:hAnsi="Arial" w:cs="Arial"/>
              <w:noProof/>
              <w:sz w:val="22"/>
              <w:szCs w:val="22"/>
            </w:rPr>
          </w:pPr>
          <w:hyperlink w:anchor="_Toc213863831" w:history="1">
            <w:r w:rsidRPr="008D4CE3">
              <w:rPr>
                <w:rStyle w:val="Hyperlink"/>
                <w:rFonts w:ascii="Arial" w:hAnsi="Arial" w:cs="Arial"/>
                <w:noProof/>
                <w:sz w:val="22"/>
                <w:szCs w:val="22"/>
              </w:rPr>
              <w:t>Detailed Overview of Two Theories</w:t>
            </w:r>
            <w:r w:rsidRPr="008D4CE3">
              <w:rPr>
                <w:rFonts w:ascii="Arial" w:hAnsi="Arial" w:cs="Arial"/>
                <w:noProof/>
                <w:webHidden/>
                <w:sz w:val="22"/>
                <w:szCs w:val="22"/>
              </w:rPr>
              <w:tab/>
            </w:r>
            <w:r w:rsidRPr="008D4CE3">
              <w:rPr>
                <w:rFonts w:ascii="Arial" w:hAnsi="Arial" w:cs="Arial"/>
                <w:noProof/>
                <w:webHidden/>
                <w:sz w:val="22"/>
                <w:szCs w:val="22"/>
              </w:rPr>
              <w:fldChar w:fldCharType="begin"/>
            </w:r>
            <w:r w:rsidRPr="008D4CE3">
              <w:rPr>
                <w:rFonts w:ascii="Arial" w:hAnsi="Arial" w:cs="Arial"/>
                <w:noProof/>
                <w:webHidden/>
                <w:sz w:val="22"/>
                <w:szCs w:val="22"/>
              </w:rPr>
              <w:instrText xml:space="preserve"> PAGEREF _Toc213863831 \h </w:instrText>
            </w:r>
            <w:r w:rsidRPr="008D4CE3">
              <w:rPr>
                <w:rFonts w:ascii="Arial" w:hAnsi="Arial" w:cs="Arial"/>
                <w:noProof/>
                <w:webHidden/>
                <w:sz w:val="22"/>
                <w:szCs w:val="22"/>
              </w:rPr>
            </w:r>
            <w:r w:rsidRPr="008D4CE3">
              <w:rPr>
                <w:rFonts w:ascii="Arial" w:hAnsi="Arial" w:cs="Arial"/>
                <w:noProof/>
                <w:webHidden/>
                <w:sz w:val="22"/>
                <w:szCs w:val="22"/>
              </w:rPr>
              <w:fldChar w:fldCharType="separate"/>
            </w:r>
            <w:r w:rsidRPr="008D4CE3">
              <w:rPr>
                <w:rFonts w:ascii="Arial" w:hAnsi="Arial" w:cs="Arial"/>
                <w:noProof/>
                <w:webHidden/>
                <w:sz w:val="22"/>
                <w:szCs w:val="22"/>
              </w:rPr>
              <w:t>3</w:t>
            </w:r>
            <w:r w:rsidRPr="008D4CE3">
              <w:rPr>
                <w:rFonts w:ascii="Arial" w:hAnsi="Arial" w:cs="Arial"/>
                <w:noProof/>
                <w:webHidden/>
                <w:sz w:val="22"/>
                <w:szCs w:val="22"/>
              </w:rPr>
              <w:fldChar w:fldCharType="end"/>
            </w:r>
          </w:hyperlink>
        </w:p>
        <w:p w14:paraId="370F69E1" w14:textId="458C794B" w:rsidR="0075507C" w:rsidRPr="008D4CE3" w:rsidRDefault="0075507C" w:rsidP="0075507C">
          <w:pPr>
            <w:pStyle w:val="TOC1"/>
            <w:tabs>
              <w:tab w:val="right" w:leader="dot" w:pos="9016"/>
            </w:tabs>
            <w:spacing w:line="360" w:lineRule="auto"/>
            <w:jc w:val="center"/>
            <w:rPr>
              <w:rFonts w:ascii="Arial" w:hAnsi="Arial" w:cs="Arial"/>
              <w:noProof/>
              <w:sz w:val="22"/>
              <w:szCs w:val="22"/>
            </w:rPr>
          </w:pPr>
          <w:hyperlink w:anchor="_Toc213863832" w:history="1">
            <w:r w:rsidRPr="008D4CE3">
              <w:rPr>
                <w:rStyle w:val="Hyperlink"/>
                <w:rFonts w:ascii="Arial" w:hAnsi="Arial" w:cs="Arial"/>
                <w:noProof/>
                <w:sz w:val="22"/>
                <w:szCs w:val="22"/>
              </w:rPr>
              <w:t>Application in the Health and Social Care Context</w:t>
            </w:r>
            <w:r w:rsidRPr="008D4CE3">
              <w:rPr>
                <w:rFonts w:ascii="Arial" w:hAnsi="Arial" w:cs="Arial"/>
                <w:noProof/>
                <w:webHidden/>
                <w:sz w:val="22"/>
                <w:szCs w:val="22"/>
              </w:rPr>
              <w:tab/>
            </w:r>
            <w:r w:rsidRPr="008D4CE3">
              <w:rPr>
                <w:rFonts w:ascii="Arial" w:hAnsi="Arial" w:cs="Arial"/>
                <w:noProof/>
                <w:webHidden/>
                <w:sz w:val="22"/>
                <w:szCs w:val="22"/>
              </w:rPr>
              <w:fldChar w:fldCharType="begin"/>
            </w:r>
            <w:r w:rsidRPr="008D4CE3">
              <w:rPr>
                <w:rFonts w:ascii="Arial" w:hAnsi="Arial" w:cs="Arial"/>
                <w:noProof/>
                <w:webHidden/>
                <w:sz w:val="22"/>
                <w:szCs w:val="22"/>
              </w:rPr>
              <w:instrText xml:space="preserve"> PAGEREF _Toc213863832 \h </w:instrText>
            </w:r>
            <w:r w:rsidRPr="008D4CE3">
              <w:rPr>
                <w:rFonts w:ascii="Arial" w:hAnsi="Arial" w:cs="Arial"/>
                <w:noProof/>
                <w:webHidden/>
                <w:sz w:val="22"/>
                <w:szCs w:val="22"/>
              </w:rPr>
            </w:r>
            <w:r w:rsidRPr="008D4CE3">
              <w:rPr>
                <w:rFonts w:ascii="Arial" w:hAnsi="Arial" w:cs="Arial"/>
                <w:noProof/>
                <w:webHidden/>
                <w:sz w:val="22"/>
                <w:szCs w:val="22"/>
              </w:rPr>
              <w:fldChar w:fldCharType="separate"/>
            </w:r>
            <w:r w:rsidRPr="008D4CE3">
              <w:rPr>
                <w:rFonts w:ascii="Arial" w:hAnsi="Arial" w:cs="Arial"/>
                <w:noProof/>
                <w:webHidden/>
                <w:sz w:val="22"/>
                <w:szCs w:val="22"/>
              </w:rPr>
              <w:t>4</w:t>
            </w:r>
            <w:r w:rsidRPr="008D4CE3">
              <w:rPr>
                <w:rFonts w:ascii="Arial" w:hAnsi="Arial" w:cs="Arial"/>
                <w:noProof/>
                <w:webHidden/>
                <w:sz w:val="22"/>
                <w:szCs w:val="22"/>
              </w:rPr>
              <w:fldChar w:fldCharType="end"/>
            </w:r>
          </w:hyperlink>
        </w:p>
        <w:p w14:paraId="655DAFFB" w14:textId="1E9B1100" w:rsidR="0075507C" w:rsidRPr="008D4CE3" w:rsidRDefault="0075507C" w:rsidP="0075507C">
          <w:pPr>
            <w:pStyle w:val="TOC1"/>
            <w:tabs>
              <w:tab w:val="right" w:leader="dot" w:pos="9016"/>
            </w:tabs>
            <w:spacing w:line="360" w:lineRule="auto"/>
            <w:jc w:val="center"/>
            <w:rPr>
              <w:rFonts w:ascii="Arial" w:hAnsi="Arial" w:cs="Arial"/>
              <w:noProof/>
              <w:sz w:val="22"/>
              <w:szCs w:val="22"/>
            </w:rPr>
          </w:pPr>
          <w:hyperlink w:anchor="_Toc213863833" w:history="1">
            <w:r w:rsidRPr="008D4CE3">
              <w:rPr>
                <w:rStyle w:val="Hyperlink"/>
                <w:rFonts w:ascii="Arial" w:hAnsi="Arial" w:cs="Arial"/>
                <w:noProof/>
                <w:sz w:val="22"/>
                <w:szCs w:val="22"/>
              </w:rPr>
              <w:t>Conclusion</w:t>
            </w:r>
            <w:r w:rsidRPr="008D4CE3">
              <w:rPr>
                <w:rFonts w:ascii="Arial" w:hAnsi="Arial" w:cs="Arial"/>
                <w:noProof/>
                <w:webHidden/>
                <w:sz w:val="22"/>
                <w:szCs w:val="22"/>
              </w:rPr>
              <w:tab/>
            </w:r>
            <w:r w:rsidRPr="008D4CE3">
              <w:rPr>
                <w:rFonts w:ascii="Arial" w:hAnsi="Arial" w:cs="Arial"/>
                <w:noProof/>
                <w:webHidden/>
                <w:sz w:val="22"/>
                <w:szCs w:val="22"/>
              </w:rPr>
              <w:fldChar w:fldCharType="begin"/>
            </w:r>
            <w:r w:rsidRPr="008D4CE3">
              <w:rPr>
                <w:rFonts w:ascii="Arial" w:hAnsi="Arial" w:cs="Arial"/>
                <w:noProof/>
                <w:webHidden/>
                <w:sz w:val="22"/>
                <w:szCs w:val="22"/>
              </w:rPr>
              <w:instrText xml:space="preserve"> PAGEREF _Toc213863833 \h </w:instrText>
            </w:r>
            <w:r w:rsidRPr="008D4CE3">
              <w:rPr>
                <w:rFonts w:ascii="Arial" w:hAnsi="Arial" w:cs="Arial"/>
                <w:noProof/>
                <w:webHidden/>
                <w:sz w:val="22"/>
                <w:szCs w:val="22"/>
              </w:rPr>
            </w:r>
            <w:r w:rsidRPr="008D4CE3">
              <w:rPr>
                <w:rFonts w:ascii="Arial" w:hAnsi="Arial" w:cs="Arial"/>
                <w:noProof/>
                <w:webHidden/>
                <w:sz w:val="22"/>
                <w:szCs w:val="22"/>
              </w:rPr>
              <w:fldChar w:fldCharType="separate"/>
            </w:r>
            <w:r w:rsidRPr="008D4CE3">
              <w:rPr>
                <w:rFonts w:ascii="Arial" w:hAnsi="Arial" w:cs="Arial"/>
                <w:noProof/>
                <w:webHidden/>
                <w:sz w:val="22"/>
                <w:szCs w:val="22"/>
              </w:rPr>
              <w:t>6</w:t>
            </w:r>
            <w:r w:rsidRPr="008D4CE3">
              <w:rPr>
                <w:rFonts w:ascii="Arial" w:hAnsi="Arial" w:cs="Arial"/>
                <w:noProof/>
                <w:webHidden/>
                <w:sz w:val="22"/>
                <w:szCs w:val="22"/>
              </w:rPr>
              <w:fldChar w:fldCharType="end"/>
            </w:r>
          </w:hyperlink>
        </w:p>
        <w:p w14:paraId="563528D1" w14:textId="0827A59E" w:rsidR="0075507C" w:rsidRPr="008D4CE3" w:rsidRDefault="0075507C" w:rsidP="0075507C">
          <w:pPr>
            <w:pStyle w:val="TOC1"/>
            <w:tabs>
              <w:tab w:val="right" w:leader="dot" w:pos="9016"/>
            </w:tabs>
            <w:spacing w:line="360" w:lineRule="auto"/>
            <w:jc w:val="center"/>
            <w:rPr>
              <w:rFonts w:ascii="Arial" w:hAnsi="Arial" w:cs="Arial"/>
              <w:noProof/>
              <w:sz w:val="22"/>
              <w:szCs w:val="22"/>
            </w:rPr>
          </w:pPr>
          <w:hyperlink w:anchor="_Toc213863834" w:history="1">
            <w:r w:rsidRPr="008D4CE3">
              <w:rPr>
                <w:rStyle w:val="Hyperlink"/>
                <w:rFonts w:ascii="Arial" w:hAnsi="Arial" w:cs="Arial"/>
                <w:noProof/>
                <w:sz w:val="22"/>
                <w:szCs w:val="22"/>
              </w:rPr>
              <w:t>References</w:t>
            </w:r>
            <w:r w:rsidRPr="008D4CE3">
              <w:rPr>
                <w:rFonts w:ascii="Arial" w:hAnsi="Arial" w:cs="Arial"/>
                <w:noProof/>
                <w:webHidden/>
                <w:sz w:val="22"/>
                <w:szCs w:val="22"/>
              </w:rPr>
              <w:tab/>
            </w:r>
            <w:r w:rsidRPr="008D4CE3">
              <w:rPr>
                <w:rFonts w:ascii="Arial" w:hAnsi="Arial" w:cs="Arial"/>
                <w:noProof/>
                <w:webHidden/>
                <w:sz w:val="22"/>
                <w:szCs w:val="22"/>
              </w:rPr>
              <w:fldChar w:fldCharType="begin"/>
            </w:r>
            <w:r w:rsidRPr="008D4CE3">
              <w:rPr>
                <w:rFonts w:ascii="Arial" w:hAnsi="Arial" w:cs="Arial"/>
                <w:noProof/>
                <w:webHidden/>
                <w:sz w:val="22"/>
                <w:szCs w:val="22"/>
              </w:rPr>
              <w:instrText xml:space="preserve"> PAGEREF _Toc213863834 \h </w:instrText>
            </w:r>
            <w:r w:rsidRPr="008D4CE3">
              <w:rPr>
                <w:rFonts w:ascii="Arial" w:hAnsi="Arial" w:cs="Arial"/>
                <w:noProof/>
                <w:webHidden/>
                <w:sz w:val="22"/>
                <w:szCs w:val="22"/>
              </w:rPr>
            </w:r>
            <w:r w:rsidRPr="008D4CE3">
              <w:rPr>
                <w:rFonts w:ascii="Arial" w:hAnsi="Arial" w:cs="Arial"/>
                <w:noProof/>
                <w:webHidden/>
                <w:sz w:val="22"/>
                <w:szCs w:val="22"/>
              </w:rPr>
              <w:fldChar w:fldCharType="separate"/>
            </w:r>
            <w:r w:rsidRPr="008D4CE3">
              <w:rPr>
                <w:rFonts w:ascii="Arial" w:hAnsi="Arial" w:cs="Arial"/>
                <w:noProof/>
                <w:webHidden/>
                <w:sz w:val="22"/>
                <w:szCs w:val="22"/>
              </w:rPr>
              <w:t>7</w:t>
            </w:r>
            <w:r w:rsidRPr="008D4CE3">
              <w:rPr>
                <w:rFonts w:ascii="Arial" w:hAnsi="Arial" w:cs="Arial"/>
                <w:noProof/>
                <w:webHidden/>
                <w:sz w:val="22"/>
                <w:szCs w:val="22"/>
              </w:rPr>
              <w:fldChar w:fldCharType="end"/>
            </w:r>
          </w:hyperlink>
        </w:p>
        <w:p w14:paraId="3316CF2E" w14:textId="74096461" w:rsidR="0075507C" w:rsidRPr="008D4CE3" w:rsidRDefault="0075507C" w:rsidP="0075507C">
          <w:pPr>
            <w:spacing w:line="360" w:lineRule="auto"/>
            <w:jc w:val="center"/>
            <w:rPr>
              <w:rFonts w:ascii="Arial" w:hAnsi="Arial" w:cs="Arial"/>
              <w:sz w:val="22"/>
              <w:szCs w:val="22"/>
            </w:rPr>
          </w:pPr>
          <w:r w:rsidRPr="008D4CE3">
            <w:rPr>
              <w:rFonts w:ascii="Arial" w:hAnsi="Arial" w:cs="Arial"/>
              <w:b/>
              <w:bCs/>
              <w:noProof/>
              <w:sz w:val="22"/>
              <w:szCs w:val="22"/>
            </w:rPr>
            <w:fldChar w:fldCharType="end"/>
          </w:r>
        </w:p>
      </w:sdtContent>
    </w:sdt>
    <w:p w14:paraId="4F2D0B96" w14:textId="56A3A5F0" w:rsidR="009029F6" w:rsidRPr="008D4CE3" w:rsidRDefault="009029F6" w:rsidP="0075507C">
      <w:pPr>
        <w:spacing w:line="360" w:lineRule="auto"/>
        <w:jc w:val="center"/>
        <w:rPr>
          <w:rFonts w:ascii="Arial" w:hAnsi="Arial" w:cs="Arial"/>
          <w:b/>
          <w:bCs/>
          <w:sz w:val="22"/>
          <w:szCs w:val="22"/>
        </w:rPr>
      </w:pPr>
      <w:r w:rsidRPr="008D4CE3">
        <w:rPr>
          <w:rFonts w:ascii="Arial" w:hAnsi="Arial" w:cs="Arial"/>
          <w:b/>
          <w:bCs/>
          <w:sz w:val="22"/>
          <w:szCs w:val="22"/>
        </w:rPr>
        <w:br w:type="page"/>
      </w:r>
    </w:p>
    <w:p w14:paraId="2DF5F5B8" w14:textId="1585F5A2" w:rsidR="009029F6" w:rsidRPr="008D4CE3" w:rsidRDefault="009029F6" w:rsidP="0075507C">
      <w:pPr>
        <w:pStyle w:val="Heading1"/>
        <w:spacing w:line="360" w:lineRule="auto"/>
        <w:rPr>
          <w:rFonts w:ascii="Arial" w:hAnsi="Arial" w:cs="Arial"/>
          <w:sz w:val="22"/>
          <w:szCs w:val="22"/>
        </w:rPr>
      </w:pPr>
      <w:bookmarkStart w:id="0" w:name="_Toc213863830"/>
      <w:r w:rsidRPr="008D4CE3">
        <w:rPr>
          <w:rFonts w:ascii="Arial" w:hAnsi="Arial" w:cs="Arial"/>
          <w:sz w:val="22"/>
          <w:szCs w:val="22"/>
        </w:rPr>
        <w:lastRenderedPageBreak/>
        <w:t>Introduction</w:t>
      </w:r>
      <w:bookmarkEnd w:id="0"/>
    </w:p>
    <w:p w14:paraId="502571D3" w14:textId="228EFA30" w:rsidR="00606D3A" w:rsidRPr="008D4CE3" w:rsidRDefault="00606D3A" w:rsidP="00606D3A">
      <w:pPr>
        <w:rPr>
          <w:rFonts w:ascii="Arial" w:hAnsi="Arial" w:cs="Arial"/>
          <w:sz w:val="22"/>
          <w:szCs w:val="22"/>
        </w:rPr>
      </w:pPr>
      <w:r w:rsidRPr="008D4CE3">
        <w:rPr>
          <w:rFonts w:ascii="Arial" w:hAnsi="Arial" w:cs="Arial"/>
          <w:sz w:val="22"/>
          <w:szCs w:val="22"/>
        </w:rPr>
        <w:t>Dementia care homes support older adults aged 65 and over who may experience psychological difficulties such as memory loss, confusion, and changes in mood or behaviour. Understanding psychological theories can help staff provide better care and improve a person’s dignity, well-being and overall quality of life. This report focuses on two theories relevant to supporting older adults living with dementia: Person-Centred Care, which is linked to humanistic psychology and emphasises treating each person as an individual, and Social Support Theory, which looks at how relationships and social connections help reduce stress. The report will explain both theories, show how they can be used in a dementia care setting with practical examples, discuss challenges that staff may face, and suggest realistic strategies to overcome them.</w:t>
      </w:r>
    </w:p>
    <w:p w14:paraId="6BB7F3F7" w14:textId="7D0A0457" w:rsidR="009029F6" w:rsidRPr="008D4CE3" w:rsidRDefault="009029F6" w:rsidP="0075507C">
      <w:pPr>
        <w:pStyle w:val="Heading1"/>
        <w:spacing w:line="360" w:lineRule="auto"/>
        <w:rPr>
          <w:rFonts w:ascii="Arial" w:hAnsi="Arial" w:cs="Arial"/>
          <w:sz w:val="22"/>
          <w:szCs w:val="22"/>
        </w:rPr>
      </w:pPr>
      <w:bookmarkStart w:id="1" w:name="_Toc213863831"/>
      <w:r w:rsidRPr="008D4CE3">
        <w:rPr>
          <w:rFonts w:ascii="Arial" w:hAnsi="Arial" w:cs="Arial"/>
          <w:sz w:val="22"/>
          <w:szCs w:val="22"/>
        </w:rPr>
        <w:t>Detailed Overview of Two Theories</w:t>
      </w:r>
      <w:bookmarkEnd w:id="1"/>
    </w:p>
    <w:p w14:paraId="72FAB73E" w14:textId="77777777" w:rsidR="00073F30" w:rsidRPr="008D4CE3" w:rsidRDefault="00073F30" w:rsidP="00073F30">
      <w:pPr>
        <w:pStyle w:val="NormalWeb"/>
        <w:rPr>
          <w:rFonts w:ascii="Arial" w:hAnsi="Arial" w:cs="Arial"/>
          <w:sz w:val="22"/>
          <w:szCs w:val="22"/>
        </w:rPr>
      </w:pPr>
      <w:r w:rsidRPr="008D4CE3">
        <w:rPr>
          <w:rStyle w:val="Strong"/>
          <w:rFonts w:ascii="Arial" w:eastAsiaTheme="majorEastAsia" w:hAnsi="Arial" w:cs="Arial"/>
          <w:sz w:val="22"/>
          <w:szCs w:val="22"/>
        </w:rPr>
        <w:t>Person-Centred Care (PCC)</w:t>
      </w:r>
      <w:r w:rsidRPr="008D4CE3">
        <w:rPr>
          <w:rFonts w:ascii="Arial" w:hAnsi="Arial" w:cs="Arial"/>
          <w:sz w:val="22"/>
          <w:szCs w:val="22"/>
        </w:rPr>
        <w:t xml:space="preserve"> comes from humanistic psychology, which emphasises seeing each person as an individual with their own history, emotions, values and preferences </w:t>
      </w:r>
      <w:r w:rsidRPr="008D4CE3">
        <w:rPr>
          <w:rStyle w:val="Strong"/>
          <w:rFonts w:ascii="Arial" w:eastAsiaTheme="majorEastAsia" w:hAnsi="Arial" w:cs="Arial"/>
          <w:sz w:val="22"/>
          <w:szCs w:val="22"/>
        </w:rPr>
        <w:t>(</w:t>
      </w:r>
      <w:proofErr w:type="spellStart"/>
      <w:r w:rsidRPr="008D4CE3">
        <w:rPr>
          <w:rStyle w:val="Strong"/>
          <w:rFonts w:ascii="Arial" w:eastAsiaTheme="majorEastAsia" w:hAnsi="Arial" w:cs="Arial"/>
          <w:sz w:val="22"/>
          <w:szCs w:val="22"/>
        </w:rPr>
        <w:t>Kitwood</w:t>
      </w:r>
      <w:proofErr w:type="spellEnd"/>
      <w:r w:rsidRPr="008D4CE3">
        <w:rPr>
          <w:rStyle w:val="Strong"/>
          <w:rFonts w:ascii="Arial" w:eastAsiaTheme="majorEastAsia" w:hAnsi="Arial" w:cs="Arial"/>
          <w:sz w:val="22"/>
          <w:szCs w:val="22"/>
        </w:rPr>
        <w:t>, 1997)</w:t>
      </w:r>
      <w:r w:rsidRPr="008D4CE3">
        <w:rPr>
          <w:rFonts w:ascii="Arial" w:hAnsi="Arial" w:cs="Arial"/>
          <w:sz w:val="22"/>
          <w:szCs w:val="22"/>
        </w:rPr>
        <w:t>. Within dementia care, this approach recognises that even when someone’s memory or thinking changes, their identity, feelings and personal background still matter. PCC moves away from a purely medical view of dementia and instead focuses on meeting psychological needs such as autonomy, dignity, comfort and meaningful connection.</w:t>
      </w:r>
    </w:p>
    <w:p w14:paraId="1754BA31" w14:textId="77777777" w:rsidR="00073F30" w:rsidRPr="008D4CE3" w:rsidRDefault="00073F30" w:rsidP="00073F30">
      <w:pPr>
        <w:pStyle w:val="NormalWeb"/>
        <w:rPr>
          <w:rFonts w:ascii="Arial" w:hAnsi="Arial" w:cs="Arial"/>
          <w:sz w:val="22"/>
          <w:szCs w:val="22"/>
        </w:rPr>
      </w:pPr>
      <w:r w:rsidRPr="008D4CE3">
        <w:rPr>
          <w:rFonts w:ascii="Arial" w:hAnsi="Arial" w:cs="Arial"/>
          <w:sz w:val="22"/>
          <w:szCs w:val="22"/>
        </w:rPr>
        <w:t xml:space="preserve">For older adults aged 65 and over, especially those living with dementia, PCC is important because it helps reduce distress and supports emotional well-being </w:t>
      </w:r>
      <w:r w:rsidRPr="008D4CE3">
        <w:rPr>
          <w:rStyle w:val="Strong"/>
          <w:rFonts w:ascii="Arial" w:eastAsiaTheme="majorEastAsia" w:hAnsi="Arial" w:cs="Arial"/>
          <w:sz w:val="22"/>
          <w:szCs w:val="22"/>
        </w:rPr>
        <w:t>(Brooker &amp; Latham, 2016)</w:t>
      </w:r>
      <w:r w:rsidRPr="008D4CE3">
        <w:rPr>
          <w:rFonts w:ascii="Arial" w:hAnsi="Arial" w:cs="Arial"/>
          <w:sz w:val="22"/>
          <w:szCs w:val="22"/>
        </w:rPr>
        <w:t xml:space="preserve">. It acknowledges age-related challenges such as memory loss, confusion or reduced independence, but aims to maintain the person’s sense of self by involving them in choices and valuing their past experiences. Research also suggests that when staff communicate in a personalised and respectful way, residents often show less anxiety and respond more positively to care </w:t>
      </w:r>
      <w:r w:rsidRPr="008D4CE3">
        <w:rPr>
          <w:rStyle w:val="Strong"/>
          <w:rFonts w:ascii="Arial" w:eastAsiaTheme="majorEastAsia" w:hAnsi="Arial" w:cs="Arial"/>
          <w:sz w:val="22"/>
          <w:szCs w:val="22"/>
        </w:rPr>
        <w:t>(NICE, 2018)</w:t>
      </w:r>
      <w:r w:rsidRPr="008D4CE3">
        <w:rPr>
          <w:rFonts w:ascii="Arial" w:hAnsi="Arial" w:cs="Arial"/>
          <w:sz w:val="22"/>
          <w:szCs w:val="22"/>
        </w:rPr>
        <w:t>.</w:t>
      </w:r>
    </w:p>
    <w:p w14:paraId="21D3185F" w14:textId="034E2289" w:rsidR="009029F6" w:rsidRPr="008D4CE3" w:rsidRDefault="00073F30" w:rsidP="00073F30">
      <w:pPr>
        <w:pStyle w:val="NormalWeb"/>
        <w:rPr>
          <w:rFonts w:ascii="Arial" w:hAnsi="Arial" w:cs="Arial"/>
          <w:sz w:val="22"/>
          <w:szCs w:val="22"/>
        </w:rPr>
      </w:pPr>
      <w:r w:rsidRPr="008D4CE3">
        <w:rPr>
          <w:rFonts w:ascii="Arial" w:hAnsi="Arial" w:cs="Arial"/>
          <w:sz w:val="22"/>
          <w:szCs w:val="22"/>
        </w:rPr>
        <w:t xml:space="preserve">A key strength of PCC is that it helps prevent depersonalisation; instead of focusing only on the disease, it brings attention to the person behind the diagnosis. However, a challenge is that people with more advanced dementia may struggle to express their needs clearly, meaning staff must rely on observation and understanding of the person’s background to interpret what might help them </w:t>
      </w:r>
      <w:r w:rsidRPr="008D4CE3">
        <w:rPr>
          <w:rStyle w:val="Strong"/>
          <w:rFonts w:ascii="Arial" w:eastAsiaTheme="majorEastAsia" w:hAnsi="Arial" w:cs="Arial"/>
          <w:sz w:val="22"/>
          <w:szCs w:val="22"/>
        </w:rPr>
        <w:t>(Robertson &amp; Emerson, 2010)</w:t>
      </w:r>
      <w:r w:rsidRPr="008D4CE3">
        <w:rPr>
          <w:rFonts w:ascii="Arial" w:hAnsi="Arial" w:cs="Arial"/>
          <w:sz w:val="22"/>
          <w:szCs w:val="22"/>
        </w:rPr>
        <w:t>. Overall, PCC provides a compassionate psychological framework that supports older adults by promoting individuality, dignity and emotional safety.</w:t>
      </w:r>
    </w:p>
    <w:p w14:paraId="7BD52A07" w14:textId="77777777" w:rsidR="00073F30" w:rsidRPr="008D4CE3" w:rsidRDefault="00073F30" w:rsidP="00073F30">
      <w:pPr>
        <w:pStyle w:val="NormalWeb"/>
        <w:rPr>
          <w:rFonts w:ascii="Arial" w:hAnsi="Arial" w:cs="Arial"/>
          <w:sz w:val="22"/>
          <w:szCs w:val="22"/>
        </w:rPr>
      </w:pPr>
      <w:bookmarkStart w:id="2" w:name="_Toc213863832"/>
      <w:r w:rsidRPr="008D4CE3">
        <w:rPr>
          <w:rStyle w:val="Strong"/>
          <w:rFonts w:ascii="Arial" w:eastAsiaTheme="majorEastAsia" w:hAnsi="Arial" w:cs="Arial"/>
          <w:sz w:val="22"/>
          <w:szCs w:val="22"/>
        </w:rPr>
        <w:t>Social Support Theory</w:t>
      </w:r>
      <w:r w:rsidRPr="008D4CE3">
        <w:rPr>
          <w:rFonts w:ascii="Arial" w:hAnsi="Arial" w:cs="Arial"/>
          <w:sz w:val="22"/>
          <w:szCs w:val="22"/>
        </w:rPr>
        <w:t xml:space="preserve"> explains how relationships and social networks can protect people from stress and improve their emotional and mental well-being. Support can come in different forms, such as emotional comfort, practical help, or useful information, and these types of support can help people cope better during difficult stages of life </w:t>
      </w:r>
      <w:r w:rsidRPr="008D4CE3">
        <w:rPr>
          <w:rStyle w:val="Strong"/>
          <w:rFonts w:ascii="Arial" w:eastAsiaTheme="majorEastAsia" w:hAnsi="Arial" w:cs="Arial"/>
          <w:sz w:val="22"/>
          <w:szCs w:val="22"/>
        </w:rPr>
        <w:t>(Wang et al., 2018)</w:t>
      </w:r>
      <w:r w:rsidRPr="008D4CE3">
        <w:rPr>
          <w:rFonts w:ascii="Arial" w:hAnsi="Arial" w:cs="Arial"/>
          <w:sz w:val="22"/>
          <w:szCs w:val="22"/>
        </w:rPr>
        <w:t xml:space="preserve">. For older adults, especially those facing changes such as loss of independence, reduced mobility or bereavement, positive social connections can reduce feelings of isolation and encourage better coping. Social interaction is strongly linked with better mental health and a more positive outlook on ageing </w:t>
      </w:r>
      <w:r w:rsidRPr="008D4CE3">
        <w:rPr>
          <w:rStyle w:val="Strong"/>
          <w:rFonts w:ascii="Arial" w:eastAsiaTheme="majorEastAsia" w:hAnsi="Arial" w:cs="Arial"/>
          <w:sz w:val="22"/>
          <w:szCs w:val="22"/>
        </w:rPr>
        <w:t>(Robertson &amp; Emerson, 2010)</w:t>
      </w:r>
      <w:r w:rsidRPr="008D4CE3">
        <w:rPr>
          <w:rFonts w:ascii="Arial" w:hAnsi="Arial" w:cs="Arial"/>
          <w:sz w:val="22"/>
          <w:szCs w:val="22"/>
        </w:rPr>
        <w:t>.</w:t>
      </w:r>
    </w:p>
    <w:p w14:paraId="3BBA3B7D" w14:textId="77777777" w:rsidR="00073F30" w:rsidRPr="008D4CE3" w:rsidRDefault="00073F30" w:rsidP="00073F30">
      <w:pPr>
        <w:pStyle w:val="NormalWeb"/>
        <w:rPr>
          <w:rFonts w:ascii="Arial" w:hAnsi="Arial" w:cs="Arial"/>
          <w:sz w:val="22"/>
          <w:szCs w:val="22"/>
        </w:rPr>
      </w:pPr>
      <w:r w:rsidRPr="008D4CE3">
        <w:rPr>
          <w:rFonts w:ascii="Arial" w:hAnsi="Arial" w:cs="Arial"/>
          <w:sz w:val="22"/>
          <w:szCs w:val="22"/>
        </w:rPr>
        <w:t xml:space="preserve">For people aged 65 and over living with dementia, social support can help reduce anxiety, low mood and withdrawal. Taking part in group activities, conversations, or shared routines can give residents a sense of belonging and purpose. Studies have shown that regular social engagement can lower the risk of depression and maintain emotional stability, even when someone has dementia </w:t>
      </w:r>
      <w:r w:rsidRPr="008D4CE3">
        <w:rPr>
          <w:rStyle w:val="Strong"/>
          <w:rFonts w:ascii="Arial" w:eastAsiaTheme="majorEastAsia" w:hAnsi="Arial" w:cs="Arial"/>
          <w:sz w:val="22"/>
          <w:szCs w:val="22"/>
        </w:rPr>
        <w:t>(Choi et al., 2020)</w:t>
      </w:r>
      <w:r w:rsidRPr="008D4CE3">
        <w:rPr>
          <w:rFonts w:ascii="Arial" w:hAnsi="Arial" w:cs="Arial"/>
          <w:sz w:val="22"/>
          <w:szCs w:val="22"/>
        </w:rPr>
        <w:t xml:space="preserve">. Support from family members, friends and </w:t>
      </w:r>
      <w:r w:rsidRPr="008D4CE3">
        <w:rPr>
          <w:rFonts w:ascii="Arial" w:hAnsi="Arial" w:cs="Arial"/>
          <w:sz w:val="22"/>
          <w:szCs w:val="22"/>
        </w:rPr>
        <w:lastRenderedPageBreak/>
        <w:t xml:space="preserve">care staff also plays a key role, as feeling understood and valued can improve how a person responds to daily care </w:t>
      </w:r>
      <w:r w:rsidRPr="008D4CE3">
        <w:rPr>
          <w:rStyle w:val="Strong"/>
          <w:rFonts w:ascii="Arial" w:eastAsiaTheme="majorEastAsia" w:hAnsi="Arial" w:cs="Arial"/>
          <w:sz w:val="22"/>
          <w:szCs w:val="22"/>
        </w:rPr>
        <w:t>(NICE, 2018)</w:t>
      </w:r>
      <w:r w:rsidRPr="008D4CE3">
        <w:rPr>
          <w:rFonts w:ascii="Arial" w:hAnsi="Arial" w:cs="Arial"/>
          <w:sz w:val="22"/>
          <w:szCs w:val="22"/>
        </w:rPr>
        <w:t>.</w:t>
      </w:r>
    </w:p>
    <w:p w14:paraId="72890871" w14:textId="134C0236" w:rsidR="00073F30" w:rsidRPr="008D4CE3" w:rsidRDefault="00073F30" w:rsidP="00073F30">
      <w:pPr>
        <w:pStyle w:val="NormalWeb"/>
        <w:rPr>
          <w:rFonts w:ascii="Arial" w:hAnsi="Arial" w:cs="Arial"/>
          <w:sz w:val="22"/>
          <w:szCs w:val="22"/>
        </w:rPr>
      </w:pPr>
      <w:r w:rsidRPr="008D4CE3">
        <w:rPr>
          <w:rFonts w:ascii="Arial" w:hAnsi="Arial" w:cs="Arial"/>
          <w:sz w:val="22"/>
          <w:szCs w:val="22"/>
        </w:rPr>
        <w:t xml:space="preserve">However, not every resident has strong family involvement, and some may struggle to recognise relatives due to memory loss. This means the care home staff and peer relationships often become the main source of support. When staff take time to build trust and emotional connection, it can help residents feel safer and more settled, which contributes to better well-being </w:t>
      </w:r>
      <w:r w:rsidRPr="008D4CE3">
        <w:rPr>
          <w:rStyle w:val="Strong"/>
          <w:rFonts w:ascii="Arial" w:eastAsiaTheme="majorEastAsia" w:hAnsi="Arial" w:cs="Arial"/>
          <w:sz w:val="22"/>
          <w:szCs w:val="22"/>
        </w:rPr>
        <w:t>(Livingston et al., 2017)</w:t>
      </w:r>
    </w:p>
    <w:p w14:paraId="30C70FB3" w14:textId="4B4FA601" w:rsidR="009029F6" w:rsidRPr="008D4CE3" w:rsidRDefault="009029F6" w:rsidP="008D4CE3">
      <w:pPr>
        <w:pStyle w:val="Heading1"/>
        <w:spacing w:line="360" w:lineRule="auto"/>
        <w:rPr>
          <w:rFonts w:ascii="Arial" w:hAnsi="Arial" w:cs="Arial"/>
          <w:sz w:val="22"/>
          <w:szCs w:val="22"/>
        </w:rPr>
      </w:pPr>
      <w:r w:rsidRPr="008D4CE3">
        <w:rPr>
          <w:rFonts w:ascii="Arial" w:hAnsi="Arial" w:cs="Arial"/>
          <w:sz w:val="22"/>
          <w:szCs w:val="22"/>
        </w:rPr>
        <w:t>Application in the Health and Social Care Context</w:t>
      </w:r>
      <w:bookmarkEnd w:id="2"/>
    </w:p>
    <w:p w14:paraId="200A7648" w14:textId="77777777" w:rsidR="00073F30" w:rsidRPr="008D4CE3" w:rsidRDefault="00073F30" w:rsidP="00073F30">
      <w:pPr>
        <w:pStyle w:val="NormalWeb"/>
        <w:rPr>
          <w:rFonts w:ascii="Arial" w:hAnsi="Arial" w:cs="Arial"/>
          <w:sz w:val="22"/>
          <w:szCs w:val="22"/>
        </w:rPr>
      </w:pPr>
      <w:r w:rsidRPr="008D4CE3">
        <w:rPr>
          <w:rFonts w:ascii="Arial" w:hAnsi="Arial" w:cs="Arial"/>
          <w:sz w:val="22"/>
          <w:szCs w:val="22"/>
        </w:rPr>
        <w:t xml:space="preserve">In a dementia care home, Person-Centred Care can be used by tailoring support to each resident’s personal history, preferences and routines. For example, staff might include a resident’s previous hobbies in their daily activities, such as offering gardening tasks to someone who used to enjoy working outdoors, as this can reduce agitation and help them feel more like themselves </w:t>
      </w:r>
      <w:r w:rsidRPr="008D4CE3">
        <w:rPr>
          <w:rStyle w:val="Strong"/>
          <w:rFonts w:ascii="Arial" w:eastAsiaTheme="majorEastAsia" w:hAnsi="Arial" w:cs="Arial"/>
          <w:sz w:val="22"/>
          <w:szCs w:val="22"/>
        </w:rPr>
        <w:t>(Brooker &amp; Latham, 2016)</w:t>
      </w:r>
      <w:r w:rsidRPr="008D4CE3">
        <w:rPr>
          <w:rFonts w:ascii="Arial" w:hAnsi="Arial" w:cs="Arial"/>
          <w:sz w:val="22"/>
          <w:szCs w:val="22"/>
        </w:rPr>
        <w:t xml:space="preserve">. Using personalised communication, such as speaking about familiar topics or recognising the resident’s emotions, can make them feel understood and improve their well-being </w:t>
      </w:r>
      <w:r w:rsidRPr="008D4CE3">
        <w:rPr>
          <w:rStyle w:val="Strong"/>
          <w:rFonts w:ascii="Arial" w:eastAsiaTheme="majorEastAsia" w:hAnsi="Arial" w:cs="Arial"/>
          <w:sz w:val="22"/>
          <w:szCs w:val="22"/>
        </w:rPr>
        <w:t>(NICE, 2018)</w:t>
      </w:r>
      <w:r w:rsidRPr="008D4CE3">
        <w:rPr>
          <w:rFonts w:ascii="Arial" w:hAnsi="Arial" w:cs="Arial"/>
          <w:sz w:val="22"/>
          <w:szCs w:val="22"/>
        </w:rPr>
        <w:t xml:space="preserve">. Simple approaches, like placing memory boxes with personal items outside a resident’s room, can also support orientation and comfort, especially for those who become confused in unfamiliar environments </w:t>
      </w:r>
      <w:r w:rsidRPr="008D4CE3">
        <w:rPr>
          <w:rStyle w:val="Strong"/>
          <w:rFonts w:ascii="Arial" w:eastAsiaTheme="majorEastAsia" w:hAnsi="Arial" w:cs="Arial"/>
          <w:sz w:val="22"/>
          <w:szCs w:val="22"/>
        </w:rPr>
        <w:t>(</w:t>
      </w:r>
      <w:proofErr w:type="spellStart"/>
      <w:r w:rsidRPr="008D4CE3">
        <w:rPr>
          <w:rStyle w:val="Strong"/>
          <w:rFonts w:ascii="Arial" w:eastAsiaTheme="majorEastAsia" w:hAnsi="Arial" w:cs="Arial"/>
          <w:sz w:val="22"/>
          <w:szCs w:val="22"/>
        </w:rPr>
        <w:t>Kitwood</w:t>
      </w:r>
      <w:proofErr w:type="spellEnd"/>
      <w:r w:rsidRPr="008D4CE3">
        <w:rPr>
          <w:rStyle w:val="Strong"/>
          <w:rFonts w:ascii="Arial" w:eastAsiaTheme="majorEastAsia" w:hAnsi="Arial" w:cs="Arial"/>
          <w:sz w:val="22"/>
          <w:szCs w:val="22"/>
        </w:rPr>
        <w:t>, 1997)</w:t>
      </w:r>
      <w:r w:rsidRPr="008D4CE3">
        <w:rPr>
          <w:rFonts w:ascii="Arial" w:hAnsi="Arial" w:cs="Arial"/>
          <w:sz w:val="22"/>
          <w:szCs w:val="22"/>
        </w:rPr>
        <w:t>.</w:t>
      </w:r>
    </w:p>
    <w:p w14:paraId="4C686DB0" w14:textId="212AD1BA" w:rsidR="00073F30" w:rsidRPr="008D4CE3" w:rsidRDefault="00073F30" w:rsidP="00073F30">
      <w:pPr>
        <w:pStyle w:val="NormalWeb"/>
        <w:rPr>
          <w:rFonts w:ascii="Arial" w:hAnsi="Arial" w:cs="Arial"/>
          <w:sz w:val="22"/>
          <w:szCs w:val="22"/>
        </w:rPr>
      </w:pPr>
      <w:r w:rsidRPr="008D4CE3">
        <w:rPr>
          <w:rFonts w:ascii="Arial" w:hAnsi="Arial" w:cs="Arial"/>
          <w:sz w:val="22"/>
          <w:szCs w:val="22"/>
        </w:rPr>
        <w:t xml:space="preserve">PCC is also helpful for managing behavioural symptoms without medication. When staff focus on understanding what the resident is trying to express—such as boredom, pain or fear—they can respond in a calmer and more supportive way. This reduces distress and promotes a sense of safety for the resident </w:t>
      </w:r>
      <w:r w:rsidRPr="008D4CE3">
        <w:rPr>
          <w:rStyle w:val="Strong"/>
          <w:rFonts w:ascii="Arial" w:eastAsiaTheme="majorEastAsia" w:hAnsi="Arial" w:cs="Arial"/>
          <w:sz w:val="22"/>
          <w:szCs w:val="22"/>
        </w:rPr>
        <w:t>(Robertson &amp; Emerson, 2010)</w:t>
      </w:r>
      <w:r w:rsidRPr="008D4CE3">
        <w:rPr>
          <w:rFonts w:ascii="Arial" w:hAnsi="Arial" w:cs="Arial"/>
          <w:sz w:val="22"/>
          <w:szCs w:val="22"/>
        </w:rPr>
        <w:t>. Overall, using PCC in everyday practice helps maintain dignity and emotional well-being for older adults living with dementia.</w:t>
      </w:r>
    </w:p>
    <w:p w14:paraId="3D8D966C" w14:textId="77777777" w:rsidR="00073F30" w:rsidRPr="008D4CE3" w:rsidRDefault="009029F6" w:rsidP="00073F30">
      <w:pPr>
        <w:spacing w:line="360" w:lineRule="auto"/>
        <w:jc w:val="both"/>
        <w:rPr>
          <w:rFonts w:ascii="Arial" w:hAnsi="Arial" w:cs="Arial"/>
          <w:b/>
          <w:bCs/>
          <w:sz w:val="22"/>
          <w:szCs w:val="22"/>
        </w:rPr>
      </w:pPr>
      <w:r w:rsidRPr="008D4CE3">
        <w:rPr>
          <w:rFonts w:ascii="Arial" w:hAnsi="Arial" w:cs="Arial"/>
          <w:b/>
          <w:bCs/>
          <w:sz w:val="22"/>
          <w:szCs w:val="22"/>
        </w:rPr>
        <w:t>Application of Social Support Theory</w:t>
      </w:r>
    </w:p>
    <w:p w14:paraId="2D431FE7" w14:textId="77777777" w:rsidR="008D4CE3" w:rsidRPr="008D4CE3" w:rsidRDefault="008D4CE3" w:rsidP="008D4CE3">
      <w:pPr>
        <w:pStyle w:val="NormalWeb"/>
        <w:rPr>
          <w:rFonts w:ascii="Arial" w:hAnsi="Arial" w:cs="Arial"/>
          <w:sz w:val="22"/>
          <w:szCs w:val="22"/>
        </w:rPr>
      </w:pPr>
      <w:r w:rsidRPr="008D4CE3">
        <w:rPr>
          <w:rFonts w:ascii="Arial" w:hAnsi="Arial" w:cs="Arial"/>
          <w:sz w:val="22"/>
          <w:szCs w:val="22"/>
        </w:rPr>
        <w:t xml:space="preserve">Social Support Theory can be applied in dementia care homes by creating opportunities for residents to build and maintain social connections. Group activities such as music sessions, light exercise, reminiscence groups or shared meals can help reduce loneliness and encourage interaction </w:t>
      </w:r>
      <w:r w:rsidRPr="008D4CE3">
        <w:rPr>
          <w:rStyle w:val="Strong"/>
          <w:rFonts w:ascii="Arial" w:eastAsiaTheme="majorEastAsia" w:hAnsi="Arial" w:cs="Arial"/>
          <w:sz w:val="22"/>
          <w:szCs w:val="22"/>
        </w:rPr>
        <w:t>(Choi et al., 2020)</w:t>
      </w:r>
      <w:r w:rsidRPr="008D4CE3">
        <w:rPr>
          <w:rFonts w:ascii="Arial" w:hAnsi="Arial" w:cs="Arial"/>
          <w:sz w:val="22"/>
          <w:szCs w:val="22"/>
        </w:rPr>
        <w:t>. These activities also give residents a sense of routine and belonging, which can improve mood and reduce withdrawal.</w:t>
      </w:r>
    </w:p>
    <w:p w14:paraId="032B9F90" w14:textId="77777777" w:rsidR="008D4CE3" w:rsidRPr="008D4CE3" w:rsidRDefault="008D4CE3" w:rsidP="008D4CE3">
      <w:pPr>
        <w:pStyle w:val="NormalWeb"/>
        <w:rPr>
          <w:rFonts w:ascii="Arial" w:hAnsi="Arial" w:cs="Arial"/>
          <w:sz w:val="22"/>
          <w:szCs w:val="22"/>
        </w:rPr>
      </w:pPr>
      <w:r w:rsidRPr="008D4CE3">
        <w:rPr>
          <w:rFonts w:ascii="Arial" w:hAnsi="Arial" w:cs="Arial"/>
          <w:sz w:val="22"/>
          <w:szCs w:val="22"/>
        </w:rPr>
        <w:t xml:space="preserve">Staff can also support residents by building warm, trusting relationships through regular conversations, reassurance and emotional support. This can help residents feel safe and understood, especially when they experience confusion or distress </w:t>
      </w:r>
      <w:r w:rsidRPr="008D4CE3">
        <w:rPr>
          <w:rStyle w:val="Strong"/>
          <w:rFonts w:ascii="Arial" w:eastAsiaTheme="majorEastAsia" w:hAnsi="Arial" w:cs="Arial"/>
          <w:sz w:val="22"/>
          <w:szCs w:val="22"/>
        </w:rPr>
        <w:t>(NICE, 2018)</w:t>
      </w:r>
      <w:r w:rsidRPr="008D4CE3">
        <w:rPr>
          <w:rFonts w:ascii="Arial" w:hAnsi="Arial" w:cs="Arial"/>
          <w:sz w:val="22"/>
          <w:szCs w:val="22"/>
        </w:rPr>
        <w:t xml:space="preserve">. Encouraging families to stay involved through visits, phone calls or video calls can further strengthen emotional support networks </w:t>
      </w:r>
      <w:r w:rsidRPr="008D4CE3">
        <w:rPr>
          <w:rStyle w:val="Strong"/>
          <w:rFonts w:ascii="Arial" w:eastAsiaTheme="majorEastAsia" w:hAnsi="Arial" w:cs="Arial"/>
          <w:sz w:val="22"/>
          <w:szCs w:val="22"/>
        </w:rPr>
        <w:t>(Livingston et al., 2017)</w:t>
      </w:r>
      <w:r w:rsidRPr="008D4CE3">
        <w:rPr>
          <w:rFonts w:ascii="Arial" w:hAnsi="Arial" w:cs="Arial"/>
          <w:sz w:val="22"/>
          <w:szCs w:val="22"/>
        </w:rPr>
        <w:t>.</w:t>
      </w:r>
    </w:p>
    <w:p w14:paraId="1A5DAD35" w14:textId="2B063492" w:rsidR="008D4CE3" w:rsidRPr="008D4CE3" w:rsidRDefault="008D4CE3" w:rsidP="008D4CE3">
      <w:pPr>
        <w:pStyle w:val="NormalWeb"/>
        <w:rPr>
          <w:rFonts w:ascii="Arial" w:hAnsi="Arial" w:cs="Arial"/>
          <w:sz w:val="22"/>
          <w:szCs w:val="22"/>
        </w:rPr>
      </w:pPr>
      <w:r w:rsidRPr="008D4CE3">
        <w:rPr>
          <w:rFonts w:ascii="Arial" w:hAnsi="Arial" w:cs="Arial"/>
          <w:sz w:val="22"/>
          <w:szCs w:val="22"/>
        </w:rPr>
        <w:t xml:space="preserve">For residents who have limited family involvement, peer support and consistent relationships with staff become especially important. Simple actions such as sitting with a resident, joining them in an activity, or helping them participate at their own pace can make a significant difference to their well-being </w:t>
      </w:r>
      <w:r w:rsidRPr="008D4CE3">
        <w:rPr>
          <w:rStyle w:val="Strong"/>
          <w:rFonts w:ascii="Arial" w:eastAsiaTheme="majorEastAsia" w:hAnsi="Arial" w:cs="Arial"/>
          <w:sz w:val="22"/>
          <w:szCs w:val="22"/>
        </w:rPr>
        <w:t>(Robertson &amp; Emerson, 2010)</w:t>
      </w:r>
    </w:p>
    <w:p w14:paraId="24DC7E76" w14:textId="77777777" w:rsidR="008D4CE3" w:rsidRPr="008D4CE3" w:rsidRDefault="008D4CE3" w:rsidP="00073F30">
      <w:pPr>
        <w:spacing w:line="360" w:lineRule="auto"/>
        <w:jc w:val="both"/>
        <w:rPr>
          <w:rFonts w:ascii="Arial" w:hAnsi="Arial" w:cs="Arial"/>
          <w:b/>
          <w:bCs/>
          <w:sz w:val="22"/>
          <w:szCs w:val="22"/>
        </w:rPr>
      </w:pPr>
    </w:p>
    <w:p w14:paraId="6065377C" w14:textId="2CB86B09" w:rsidR="009029F6" w:rsidRPr="008D4CE3" w:rsidRDefault="009029F6" w:rsidP="0075507C">
      <w:pPr>
        <w:spacing w:line="360" w:lineRule="auto"/>
        <w:jc w:val="both"/>
        <w:rPr>
          <w:rFonts w:ascii="Arial" w:hAnsi="Arial" w:cs="Arial"/>
          <w:b/>
          <w:bCs/>
          <w:sz w:val="22"/>
          <w:szCs w:val="22"/>
        </w:rPr>
      </w:pPr>
      <w:r w:rsidRPr="008D4CE3">
        <w:rPr>
          <w:rFonts w:ascii="Arial" w:hAnsi="Arial" w:cs="Arial"/>
          <w:b/>
          <w:bCs/>
          <w:sz w:val="22"/>
          <w:szCs w:val="22"/>
        </w:rPr>
        <w:t>Potential Challenges and Strategies</w:t>
      </w:r>
    </w:p>
    <w:p w14:paraId="2F2FEC72" w14:textId="77777777" w:rsidR="00595D54" w:rsidRPr="008D4CE3" w:rsidRDefault="00595D54" w:rsidP="00595D54">
      <w:pPr>
        <w:pStyle w:val="NormalWeb"/>
        <w:rPr>
          <w:rFonts w:ascii="Arial" w:hAnsi="Arial" w:cs="Arial"/>
          <w:sz w:val="22"/>
          <w:szCs w:val="22"/>
        </w:rPr>
      </w:pPr>
      <w:r w:rsidRPr="008D4CE3">
        <w:rPr>
          <w:rFonts w:ascii="Arial" w:hAnsi="Arial" w:cs="Arial"/>
          <w:sz w:val="22"/>
          <w:szCs w:val="22"/>
        </w:rPr>
        <w:lastRenderedPageBreak/>
        <w:t xml:space="preserve">Introducing Person-Centred Care (PCC) in a dementia care home can bring several challenges. Some staff may be used to task-based routines and find it difficult to change to a more flexible, personalised approach </w:t>
      </w:r>
      <w:r w:rsidRPr="008D4CE3">
        <w:rPr>
          <w:rStyle w:val="Strong"/>
          <w:rFonts w:ascii="Arial" w:eastAsiaTheme="majorEastAsia" w:hAnsi="Arial" w:cs="Arial"/>
          <w:sz w:val="22"/>
          <w:szCs w:val="22"/>
        </w:rPr>
        <w:t>(Brooker &amp; Latham, 2016)</w:t>
      </w:r>
      <w:r w:rsidRPr="008D4CE3">
        <w:rPr>
          <w:rFonts w:ascii="Arial" w:hAnsi="Arial" w:cs="Arial"/>
          <w:sz w:val="22"/>
          <w:szCs w:val="22"/>
        </w:rPr>
        <w:t xml:space="preserve">. Limited time and staffing levels can also make it harder to provide individual attention. Another challenge is that some residents with advanced dementia may struggle to communicate their needs or preferences, which can make it difficult for staff to fully involve them in decisions. Cultural differences may also influence how residents express their feelings or respond to certain activities </w:t>
      </w:r>
      <w:r w:rsidRPr="008D4CE3">
        <w:rPr>
          <w:rStyle w:val="Strong"/>
          <w:rFonts w:ascii="Arial" w:eastAsiaTheme="majorEastAsia" w:hAnsi="Arial" w:cs="Arial"/>
          <w:sz w:val="22"/>
          <w:szCs w:val="22"/>
        </w:rPr>
        <w:t>(</w:t>
      </w:r>
      <w:proofErr w:type="spellStart"/>
      <w:r w:rsidRPr="008D4CE3">
        <w:rPr>
          <w:rStyle w:val="Strong"/>
          <w:rFonts w:ascii="Arial" w:eastAsiaTheme="majorEastAsia" w:hAnsi="Arial" w:cs="Arial"/>
          <w:sz w:val="22"/>
          <w:szCs w:val="22"/>
        </w:rPr>
        <w:t>Kitwood</w:t>
      </w:r>
      <w:proofErr w:type="spellEnd"/>
      <w:r w:rsidRPr="008D4CE3">
        <w:rPr>
          <w:rStyle w:val="Strong"/>
          <w:rFonts w:ascii="Arial" w:eastAsiaTheme="majorEastAsia" w:hAnsi="Arial" w:cs="Arial"/>
          <w:sz w:val="22"/>
          <w:szCs w:val="22"/>
        </w:rPr>
        <w:t>, 1997)</w:t>
      </w:r>
      <w:r w:rsidRPr="008D4CE3">
        <w:rPr>
          <w:rFonts w:ascii="Arial" w:hAnsi="Arial" w:cs="Arial"/>
          <w:sz w:val="22"/>
          <w:szCs w:val="22"/>
        </w:rPr>
        <w:t xml:space="preserve">. Strategies to overcome these issues include regular staff training on PCC principles, using observation tools to understand residents’ emotions, and adding simple visual aids or familiar objects to help those with memory problems </w:t>
      </w:r>
      <w:r w:rsidRPr="008D4CE3">
        <w:rPr>
          <w:rStyle w:val="Strong"/>
          <w:rFonts w:ascii="Arial" w:eastAsiaTheme="majorEastAsia" w:hAnsi="Arial" w:cs="Arial"/>
          <w:sz w:val="22"/>
          <w:szCs w:val="22"/>
        </w:rPr>
        <w:t>(NICE, 2018)</w:t>
      </w:r>
      <w:r w:rsidRPr="008D4CE3">
        <w:rPr>
          <w:rFonts w:ascii="Arial" w:hAnsi="Arial" w:cs="Arial"/>
          <w:sz w:val="22"/>
          <w:szCs w:val="22"/>
        </w:rPr>
        <w:t>.</w:t>
      </w:r>
    </w:p>
    <w:p w14:paraId="5C8EB092" w14:textId="77777777" w:rsidR="00595D54" w:rsidRPr="008D4CE3" w:rsidRDefault="00595D54" w:rsidP="00595D54">
      <w:pPr>
        <w:pStyle w:val="NormalWeb"/>
        <w:rPr>
          <w:rFonts w:ascii="Arial" w:hAnsi="Arial" w:cs="Arial"/>
          <w:sz w:val="22"/>
          <w:szCs w:val="22"/>
        </w:rPr>
      </w:pPr>
      <w:r w:rsidRPr="008D4CE3">
        <w:rPr>
          <w:rFonts w:ascii="Arial" w:hAnsi="Arial" w:cs="Arial"/>
          <w:sz w:val="22"/>
          <w:szCs w:val="22"/>
        </w:rPr>
        <w:t xml:space="preserve">There are also challenges when applying Social Support Theory. Not all residents have strong family involvement, and some may not recognise relatives due to memory loss. This can make social networks weaker than expected. Staff turnover can also disrupt relationships, as residents benefit from seeing familiar faces. In addition, sensory difficulties—such as hearing loss—can make it hard for older adults to join group activities </w:t>
      </w:r>
      <w:r w:rsidRPr="008D4CE3">
        <w:rPr>
          <w:rStyle w:val="Strong"/>
          <w:rFonts w:ascii="Arial" w:eastAsiaTheme="majorEastAsia" w:hAnsi="Arial" w:cs="Arial"/>
          <w:sz w:val="22"/>
          <w:szCs w:val="22"/>
        </w:rPr>
        <w:t>(Livingston et al., 2017)</w:t>
      </w:r>
      <w:r w:rsidRPr="008D4CE3">
        <w:rPr>
          <w:rFonts w:ascii="Arial" w:hAnsi="Arial" w:cs="Arial"/>
          <w:sz w:val="22"/>
          <w:szCs w:val="22"/>
        </w:rPr>
        <w:t xml:space="preserve">. To address these challenges, care homes can encourage regular group activities that are adapted to residents’ abilities, such as gentle exercise, music sessions, or shared reminiscence. Staff can also help strengthen support networks by creating calm, trust-based relationships and using communication techniques that suit each resident. Support for families, such as information sessions or phone/video contact, can also help maintain emotional connections </w:t>
      </w:r>
      <w:r w:rsidRPr="008D4CE3">
        <w:rPr>
          <w:rStyle w:val="Strong"/>
          <w:rFonts w:ascii="Arial" w:eastAsiaTheme="majorEastAsia" w:hAnsi="Arial" w:cs="Arial"/>
          <w:sz w:val="22"/>
          <w:szCs w:val="22"/>
        </w:rPr>
        <w:t>(Robertson &amp; Emerson, 2010)</w:t>
      </w:r>
      <w:r w:rsidRPr="008D4CE3">
        <w:rPr>
          <w:rFonts w:ascii="Arial" w:hAnsi="Arial" w:cs="Arial"/>
          <w:sz w:val="22"/>
          <w:szCs w:val="22"/>
        </w:rPr>
        <w:t>.</w:t>
      </w:r>
    </w:p>
    <w:p w14:paraId="4B5CF7C9" w14:textId="3FA0AB16" w:rsidR="009029F6" w:rsidRPr="008D4CE3" w:rsidRDefault="00595D54" w:rsidP="00595D54">
      <w:pPr>
        <w:pStyle w:val="NormalWeb"/>
        <w:rPr>
          <w:rFonts w:ascii="Arial" w:hAnsi="Arial" w:cs="Arial"/>
          <w:sz w:val="22"/>
          <w:szCs w:val="22"/>
        </w:rPr>
      </w:pPr>
      <w:r w:rsidRPr="008D4CE3">
        <w:rPr>
          <w:rFonts w:ascii="Arial" w:hAnsi="Arial" w:cs="Arial"/>
          <w:sz w:val="22"/>
          <w:szCs w:val="22"/>
        </w:rPr>
        <w:t>Overall, using both theories together helps create a supportive environment: PCC focuses on the individual, while Social Support Theory strengthens relationships and reduces isolation.</w:t>
      </w:r>
    </w:p>
    <w:p w14:paraId="2E5B36B7" w14:textId="64B9EA43" w:rsidR="009029F6" w:rsidRPr="008D4CE3" w:rsidRDefault="009029F6" w:rsidP="0075507C">
      <w:pPr>
        <w:pStyle w:val="Heading1"/>
        <w:spacing w:line="360" w:lineRule="auto"/>
        <w:rPr>
          <w:rFonts w:ascii="Arial" w:hAnsi="Arial" w:cs="Arial"/>
          <w:sz w:val="22"/>
          <w:szCs w:val="22"/>
        </w:rPr>
      </w:pPr>
      <w:bookmarkStart w:id="3" w:name="_Toc213863833"/>
      <w:r w:rsidRPr="008D4CE3">
        <w:rPr>
          <w:rFonts w:ascii="Arial" w:hAnsi="Arial" w:cs="Arial"/>
          <w:sz w:val="22"/>
          <w:szCs w:val="22"/>
        </w:rPr>
        <w:t>Conclusion</w:t>
      </w:r>
      <w:bookmarkEnd w:id="3"/>
    </w:p>
    <w:p w14:paraId="59D368E9" w14:textId="77777777" w:rsidR="00595D54" w:rsidRPr="008D4CE3" w:rsidRDefault="00595D54" w:rsidP="00595D54">
      <w:pPr>
        <w:pStyle w:val="NormalWeb"/>
        <w:rPr>
          <w:rFonts w:ascii="Arial" w:hAnsi="Arial" w:cs="Arial"/>
          <w:sz w:val="22"/>
          <w:szCs w:val="22"/>
        </w:rPr>
      </w:pPr>
      <w:r w:rsidRPr="008D4CE3">
        <w:rPr>
          <w:rFonts w:ascii="Arial" w:hAnsi="Arial" w:cs="Arial"/>
          <w:sz w:val="22"/>
          <w:szCs w:val="22"/>
        </w:rPr>
        <w:t>In conclusion, supporting older adults with dementia in a care home setting requires an understanding of how psychological theories can guide good practice. Person-Centred Care highlights the importance of seeing each resident as an individual and focusing on their emotions, history and personal preferences to protect their dignity and independence. Social Support Theory shows how relationships, involvement in activities and regular social contact can reduce stress and improve emotional well-being.</w:t>
      </w:r>
    </w:p>
    <w:p w14:paraId="1E6C934E" w14:textId="77777777" w:rsidR="00595D54" w:rsidRPr="008D4CE3" w:rsidRDefault="00595D54" w:rsidP="00595D54">
      <w:pPr>
        <w:pStyle w:val="NormalWeb"/>
        <w:rPr>
          <w:rFonts w:ascii="Arial" w:hAnsi="Arial" w:cs="Arial"/>
          <w:sz w:val="22"/>
          <w:szCs w:val="22"/>
        </w:rPr>
      </w:pPr>
      <w:r w:rsidRPr="008D4CE3">
        <w:rPr>
          <w:rFonts w:ascii="Arial" w:hAnsi="Arial" w:cs="Arial"/>
          <w:sz w:val="22"/>
          <w:szCs w:val="22"/>
        </w:rPr>
        <w:t>Both theories can be applied in everyday care through simple actions such as personalised activities, familiar routines, and opportunities for social interaction. These approaches help manage behavioural and psychological symptoms without relying on medication. Although challenges such as limited resources, communication difficulties and staff resistance can make implementation harder, these can be addressed through regular training, consistent staff practices and adapting activities to each resident’s ability.</w:t>
      </w:r>
    </w:p>
    <w:p w14:paraId="465BD6F3" w14:textId="77777777" w:rsidR="00595D54" w:rsidRPr="008D4CE3" w:rsidRDefault="00595D54" w:rsidP="00595D54">
      <w:pPr>
        <w:pStyle w:val="NormalWeb"/>
        <w:rPr>
          <w:rFonts w:ascii="Arial" w:hAnsi="Arial" w:cs="Arial"/>
          <w:sz w:val="22"/>
          <w:szCs w:val="22"/>
        </w:rPr>
      </w:pPr>
      <w:r w:rsidRPr="008D4CE3">
        <w:rPr>
          <w:rFonts w:ascii="Arial" w:hAnsi="Arial" w:cs="Arial"/>
          <w:sz w:val="22"/>
          <w:szCs w:val="22"/>
        </w:rPr>
        <w:t>Overall, using both theories together creates a more supportive, understanding and compassionate environment, helping older adults with dementia feel valued and improving their quality of life within the care home.</w:t>
      </w:r>
    </w:p>
    <w:p w14:paraId="7D1648DB" w14:textId="5AF5E6A7" w:rsidR="009029F6" w:rsidRPr="008D4CE3" w:rsidRDefault="009029F6" w:rsidP="0075507C">
      <w:pPr>
        <w:spacing w:line="360" w:lineRule="auto"/>
        <w:rPr>
          <w:rFonts w:ascii="Arial" w:hAnsi="Arial" w:cs="Arial"/>
          <w:sz w:val="22"/>
          <w:szCs w:val="22"/>
        </w:rPr>
      </w:pPr>
      <w:r w:rsidRPr="008D4CE3">
        <w:rPr>
          <w:rFonts w:ascii="Arial" w:hAnsi="Arial" w:cs="Arial"/>
          <w:sz w:val="22"/>
          <w:szCs w:val="22"/>
        </w:rPr>
        <w:br w:type="page"/>
      </w:r>
    </w:p>
    <w:p w14:paraId="269E807E" w14:textId="3C1E5A8B" w:rsidR="009029F6" w:rsidRPr="008D4CE3" w:rsidRDefault="009029F6" w:rsidP="0075507C">
      <w:pPr>
        <w:pStyle w:val="Heading1"/>
        <w:spacing w:line="360" w:lineRule="auto"/>
        <w:rPr>
          <w:rFonts w:ascii="Arial" w:hAnsi="Arial" w:cs="Arial"/>
          <w:sz w:val="22"/>
          <w:szCs w:val="22"/>
        </w:rPr>
      </w:pPr>
      <w:bookmarkStart w:id="4" w:name="_Toc213863834"/>
      <w:r w:rsidRPr="008D4CE3">
        <w:rPr>
          <w:rFonts w:ascii="Arial" w:hAnsi="Arial" w:cs="Arial"/>
          <w:sz w:val="22"/>
          <w:szCs w:val="22"/>
        </w:rPr>
        <w:lastRenderedPageBreak/>
        <w:t>References</w:t>
      </w:r>
      <w:bookmarkEnd w:id="4"/>
      <w:r w:rsidRPr="008D4CE3">
        <w:rPr>
          <w:rFonts w:ascii="Arial" w:hAnsi="Arial" w:cs="Arial"/>
          <w:sz w:val="22"/>
          <w:szCs w:val="22"/>
        </w:rPr>
        <w:t xml:space="preserve"> </w:t>
      </w:r>
    </w:p>
    <w:p w14:paraId="44551BC5" w14:textId="77777777" w:rsidR="005D1532" w:rsidRPr="008D4CE3" w:rsidRDefault="005D1532" w:rsidP="005D1532">
      <w:pPr>
        <w:pStyle w:val="NormalWeb"/>
        <w:rPr>
          <w:rFonts w:ascii="Arial" w:hAnsi="Arial" w:cs="Arial"/>
          <w:sz w:val="22"/>
          <w:szCs w:val="22"/>
        </w:rPr>
      </w:pPr>
      <w:r w:rsidRPr="008D4CE3">
        <w:rPr>
          <w:rStyle w:val="Strong"/>
          <w:rFonts w:ascii="Arial" w:eastAsiaTheme="majorEastAsia" w:hAnsi="Arial" w:cs="Arial"/>
          <w:sz w:val="22"/>
          <w:szCs w:val="22"/>
        </w:rPr>
        <w:t>Brooker, D. and Latham, I. (2016)</w:t>
      </w:r>
      <w:r w:rsidRPr="008D4CE3">
        <w:rPr>
          <w:rFonts w:ascii="Arial" w:hAnsi="Arial" w:cs="Arial"/>
          <w:sz w:val="22"/>
          <w:szCs w:val="22"/>
        </w:rPr>
        <w:t xml:space="preserve"> </w:t>
      </w:r>
      <w:r w:rsidRPr="008D4CE3">
        <w:rPr>
          <w:rStyle w:val="Emphasis"/>
          <w:rFonts w:ascii="Arial" w:eastAsiaTheme="majorEastAsia" w:hAnsi="Arial" w:cs="Arial"/>
          <w:sz w:val="22"/>
          <w:szCs w:val="22"/>
        </w:rPr>
        <w:t>Person-centred care for people with dementia: Making services better</w:t>
      </w:r>
      <w:r w:rsidRPr="008D4CE3">
        <w:rPr>
          <w:rFonts w:ascii="Arial" w:hAnsi="Arial" w:cs="Arial"/>
          <w:sz w:val="22"/>
          <w:szCs w:val="22"/>
        </w:rPr>
        <w:t>. London: Jessica Kingsley Publishers.</w:t>
      </w:r>
    </w:p>
    <w:p w14:paraId="101723B2" w14:textId="77777777" w:rsidR="005D1532" w:rsidRPr="008D4CE3" w:rsidRDefault="005D1532" w:rsidP="005D1532">
      <w:pPr>
        <w:pStyle w:val="NormalWeb"/>
        <w:rPr>
          <w:rFonts w:ascii="Arial" w:hAnsi="Arial" w:cs="Arial"/>
          <w:sz w:val="22"/>
          <w:szCs w:val="22"/>
        </w:rPr>
      </w:pPr>
      <w:r w:rsidRPr="008D4CE3">
        <w:rPr>
          <w:rStyle w:val="Strong"/>
          <w:rFonts w:ascii="Arial" w:eastAsiaTheme="majorEastAsia" w:hAnsi="Arial" w:cs="Arial"/>
          <w:sz w:val="22"/>
          <w:szCs w:val="22"/>
        </w:rPr>
        <w:t>Choi, N.G. et al. (2020)</w:t>
      </w:r>
      <w:r w:rsidRPr="008D4CE3">
        <w:rPr>
          <w:rFonts w:ascii="Arial" w:hAnsi="Arial" w:cs="Arial"/>
          <w:sz w:val="22"/>
          <w:szCs w:val="22"/>
        </w:rPr>
        <w:t xml:space="preserve"> ‘Social participation and psychological well-being in older adults with dementia’, </w:t>
      </w:r>
      <w:r w:rsidRPr="008D4CE3">
        <w:rPr>
          <w:rStyle w:val="Emphasis"/>
          <w:rFonts w:ascii="Arial" w:eastAsiaTheme="majorEastAsia" w:hAnsi="Arial" w:cs="Arial"/>
          <w:sz w:val="22"/>
          <w:szCs w:val="22"/>
        </w:rPr>
        <w:t>Dementia</w:t>
      </w:r>
      <w:r w:rsidRPr="008D4CE3">
        <w:rPr>
          <w:rFonts w:ascii="Arial" w:hAnsi="Arial" w:cs="Arial"/>
          <w:sz w:val="22"/>
          <w:szCs w:val="22"/>
        </w:rPr>
        <w:t>, 19(3), pp. 829–847.</w:t>
      </w:r>
    </w:p>
    <w:p w14:paraId="62C10FF2" w14:textId="77777777" w:rsidR="005D1532" w:rsidRPr="008D4CE3" w:rsidRDefault="005D1532" w:rsidP="005D1532">
      <w:pPr>
        <w:pStyle w:val="NormalWeb"/>
        <w:rPr>
          <w:rFonts w:ascii="Arial" w:hAnsi="Arial" w:cs="Arial"/>
          <w:sz w:val="22"/>
          <w:szCs w:val="22"/>
        </w:rPr>
      </w:pPr>
      <w:proofErr w:type="spellStart"/>
      <w:r w:rsidRPr="008D4CE3">
        <w:rPr>
          <w:rStyle w:val="Strong"/>
          <w:rFonts w:ascii="Arial" w:eastAsiaTheme="majorEastAsia" w:hAnsi="Arial" w:cs="Arial"/>
          <w:sz w:val="22"/>
          <w:szCs w:val="22"/>
        </w:rPr>
        <w:t>Kitwood</w:t>
      </w:r>
      <w:proofErr w:type="spellEnd"/>
      <w:r w:rsidRPr="008D4CE3">
        <w:rPr>
          <w:rStyle w:val="Strong"/>
          <w:rFonts w:ascii="Arial" w:eastAsiaTheme="majorEastAsia" w:hAnsi="Arial" w:cs="Arial"/>
          <w:sz w:val="22"/>
          <w:szCs w:val="22"/>
        </w:rPr>
        <w:t>, T. (1997)</w:t>
      </w:r>
      <w:r w:rsidRPr="008D4CE3">
        <w:rPr>
          <w:rFonts w:ascii="Arial" w:hAnsi="Arial" w:cs="Arial"/>
          <w:sz w:val="22"/>
          <w:szCs w:val="22"/>
        </w:rPr>
        <w:t xml:space="preserve"> </w:t>
      </w:r>
      <w:r w:rsidRPr="008D4CE3">
        <w:rPr>
          <w:rStyle w:val="Emphasis"/>
          <w:rFonts w:ascii="Arial" w:eastAsiaTheme="majorEastAsia" w:hAnsi="Arial" w:cs="Arial"/>
          <w:sz w:val="22"/>
          <w:szCs w:val="22"/>
        </w:rPr>
        <w:t>Dementia reconsidered: The person comes first</w:t>
      </w:r>
      <w:r w:rsidRPr="008D4CE3">
        <w:rPr>
          <w:rFonts w:ascii="Arial" w:hAnsi="Arial" w:cs="Arial"/>
          <w:sz w:val="22"/>
          <w:szCs w:val="22"/>
        </w:rPr>
        <w:t>. Buckingham: Open University Press.</w:t>
      </w:r>
    </w:p>
    <w:p w14:paraId="238D9E2B" w14:textId="77777777" w:rsidR="005D1532" w:rsidRPr="008D4CE3" w:rsidRDefault="005D1532" w:rsidP="005D1532">
      <w:pPr>
        <w:pStyle w:val="NormalWeb"/>
        <w:rPr>
          <w:rFonts w:ascii="Arial" w:hAnsi="Arial" w:cs="Arial"/>
          <w:sz w:val="22"/>
          <w:szCs w:val="22"/>
        </w:rPr>
      </w:pPr>
      <w:r w:rsidRPr="008D4CE3">
        <w:rPr>
          <w:rStyle w:val="Strong"/>
          <w:rFonts w:ascii="Arial" w:eastAsiaTheme="majorEastAsia" w:hAnsi="Arial" w:cs="Arial"/>
          <w:sz w:val="22"/>
          <w:szCs w:val="22"/>
        </w:rPr>
        <w:t>Livingston, G. et al. (2017)</w:t>
      </w:r>
      <w:r w:rsidRPr="008D4CE3">
        <w:rPr>
          <w:rFonts w:ascii="Arial" w:hAnsi="Arial" w:cs="Arial"/>
          <w:sz w:val="22"/>
          <w:szCs w:val="22"/>
        </w:rPr>
        <w:t xml:space="preserve"> ‘Dementia prevention, intervention and care’, </w:t>
      </w:r>
      <w:r w:rsidRPr="008D4CE3">
        <w:rPr>
          <w:rStyle w:val="Emphasis"/>
          <w:rFonts w:ascii="Arial" w:eastAsiaTheme="majorEastAsia" w:hAnsi="Arial" w:cs="Arial"/>
          <w:sz w:val="22"/>
          <w:szCs w:val="22"/>
        </w:rPr>
        <w:t>The Lancet</w:t>
      </w:r>
      <w:r w:rsidRPr="008D4CE3">
        <w:rPr>
          <w:rFonts w:ascii="Arial" w:hAnsi="Arial" w:cs="Arial"/>
          <w:sz w:val="22"/>
          <w:szCs w:val="22"/>
        </w:rPr>
        <w:t>, 390(10113), pp. 2673–2734.</w:t>
      </w:r>
    </w:p>
    <w:p w14:paraId="0AF996A4" w14:textId="77777777" w:rsidR="005D1532" w:rsidRPr="008D4CE3" w:rsidRDefault="005D1532" w:rsidP="005D1532">
      <w:pPr>
        <w:pStyle w:val="NormalWeb"/>
        <w:rPr>
          <w:rFonts w:ascii="Arial" w:hAnsi="Arial" w:cs="Arial"/>
          <w:sz w:val="22"/>
          <w:szCs w:val="22"/>
        </w:rPr>
      </w:pPr>
      <w:r w:rsidRPr="008D4CE3">
        <w:rPr>
          <w:rStyle w:val="Strong"/>
          <w:rFonts w:ascii="Arial" w:eastAsiaTheme="majorEastAsia" w:hAnsi="Arial" w:cs="Arial"/>
          <w:sz w:val="22"/>
          <w:szCs w:val="22"/>
        </w:rPr>
        <w:t>NICE (2018)</w:t>
      </w:r>
      <w:r w:rsidRPr="008D4CE3">
        <w:rPr>
          <w:rFonts w:ascii="Arial" w:hAnsi="Arial" w:cs="Arial"/>
          <w:sz w:val="22"/>
          <w:szCs w:val="22"/>
        </w:rPr>
        <w:t xml:space="preserve"> </w:t>
      </w:r>
      <w:r w:rsidRPr="008D4CE3">
        <w:rPr>
          <w:rStyle w:val="Emphasis"/>
          <w:rFonts w:ascii="Arial" w:eastAsiaTheme="majorEastAsia" w:hAnsi="Arial" w:cs="Arial"/>
          <w:sz w:val="22"/>
          <w:szCs w:val="22"/>
        </w:rPr>
        <w:t xml:space="preserve">Dementia: assessment, management and support for people living with dementia and their </w:t>
      </w:r>
      <w:proofErr w:type="spellStart"/>
      <w:r w:rsidRPr="008D4CE3">
        <w:rPr>
          <w:rStyle w:val="Emphasis"/>
          <w:rFonts w:ascii="Arial" w:eastAsiaTheme="majorEastAsia" w:hAnsi="Arial" w:cs="Arial"/>
          <w:sz w:val="22"/>
          <w:szCs w:val="22"/>
        </w:rPr>
        <w:t>carers</w:t>
      </w:r>
      <w:proofErr w:type="spellEnd"/>
      <w:r w:rsidRPr="008D4CE3">
        <w:rPr>
          <w:rFonts w:ascii="Arial" w:hAnsi="Arial" w:cs="Arial"/>
          <w:sz w:val="22"/>
          <w:szCs w:val="22"/>
        </w:rPr>
        <w:t>. NICE Guideline NG97.</w:t>
      </w:r>
    </w:p>
    <w:p w14:paraId="2414BBD7" w14:textId="77777777" w:rsidR="005D1532" w:rsidRPr="008D4CE3" w:rsidRDefault="005D1532" w:rsidP="005D1532">
      <w:pPr>
        <w:pStyle w:val="NormalWeb"/>
        <w:rPr>
          <w:rFonts w:ascii="Arial" w:hAnsi="Arial" w:cs="Arial"/>
          <w:sz w:val="22"/>
          <w:szCs w:val="22"/>
        </w:rPr>
      </w:pPr>
      <w:r w:rsidRPr="008D4CE3">
        <w:rPr>
          <w:rStyle w:val="Strong"/>
          <w:rFonts w:ascii="Arial" w:eastAsiaTheme="majorEastAsia" w:hAnsi="Arial" w:cs="Arial"/>
          <w:sz w:val="22"/>
          <w:szCs w:val="22"/>
        </w:rPr>
        <w:t>Robertson, J. and Emerson, E. (2010)</w:t>
      </w:r>
      <w:r w:rsidRPr="008D4CE3">
        <w:rPr>
          <w:rFonts w:ascii="Arial" w:hAnsi="Arial" w:cs="Arial"/>
          <w:sz w:val="22"/>
          <w:szCs w:val="22"/>
        </w:rPr>
        <w:t xml:space="preserve"> ‘Participation of people with dementia in everyday activities’, </w:t>
      </w:r>
      <w:r w:rsidRPr="008D4CE3">
        <w:rPr>
          <w:rStyle w:val="Emphasis"/>
          <w:rFonts w:ascii="Arial" w:eastAsiaTheme="majorEastAsia" w:hAnsi="Arial" w:cs="Arial"/>
          <w:sz w:val="22"/>
          <w:szCs w:val="22"/>
        </w:rPr>
        <w:t>Aging &amp; Mental Health</w:t>
      </w:r>
      <w:r w:rsidRPr="008D4CE3">
        <w:rPr>
          <w:rFonts w:ascii="Arial" w:hAnsi="Arial" w:cs="Arial"/>
          <w:sz w:val="22"/>
          <w:szCs w:val="22"/>
        </w:rPr>
        <w:t>, 14(1), pp. 13–20.</w:t>
      </w:r>
    </w:p>
    <w:p w14:paraId="679F6E57" w14:textId="7743539D" w:rsidR="00577E24" w:rsidRPr="005D1532" w:rsidRDefault="005D1532" w:rsidP="005D1532">
      <w:pPr>
        <w:pStyle w:val="NormalWeb"/>
      </w:pPr>
      <w:r w:rsidRPr="008D4CE3">
        <w:rPr>
          <w:rStyle w:val="Strong"/>
          <w:rFonts w:ascii="Arial" w:eastAsiaTheme="majorEastAsia" w:hAnsi="Arial" w:cs="Arial"/>
          <w:sz w:val="22"/>
          <w:szCs w:val="22"/>
        </w:rPr>
        <w:t>Wang, J. et al. (2018)</w:t>
      </w:r>
      <w:r w:rsidRPr="008D4CE3">
        <w:rPr>
          <w:rFonts w:ascii="Arial" w:hAnsi="Arial" w:cs="Arial"/>
          <w:sz w:val="22"/>
          <w:szCs w:val="22"/>
        </w:rPr>
        <w:t xml:space="preserve"> ‘Loneliness and social support among older adults’, </w:t>
      </w:r>
      <w:r w:rsidRPr="008D4CE3">
        <w:rPr>
          <w:rStyle w:val="Emphasis"/>
          <w:rFonts w:ascii="Arial" w:eastAsiaTheme="majorEastAsia" w:hAnsi="Arial" w:cs="Arial"/>
          <w:sz w:val="22"/>
          <w:szCs w:val="22"/>
        </w:rPr>
        <w:t>Psychiatry Research</w:t>
      </w:r>
      <w:r w:rsidRPr="008D4CE3">
        <w:rPr>
          <w:rFonts w:ascii="Arial" w:hAnsi="Arial" w:cs="Arial"/>
          <w:sz w:val="22"/>
          <w:szCs w:val="22"/>
        </w:rPr>
        <w:t>, 267, pp. 211–216.</w:t>
      </w:r>
      <w:r w:rsidR="00577E24" w:rsidRPr="002C6CCE">
        <w:rPr>
          <w:rFonts w:ascii="Arial" w:hAnsi="Arial" w:cs="Arial"/>
          <w:sz w:val="22"/>
          <w:szCs w:val="22"/>
        </w:rPr>
        <w:br w:type="page"/>
      </w:r>
    </w:p>
    <w:p w14:paraId="261FFF24" w14:textId="77777777" w:rsidR="00577E24" w:rsidRPr="002C6CCE" w:rsidRDefault="00577E24" w:rsidP="0075507C">
      <w:pPr>
        <w:spacing w:line="360" w:lineRule="auto"/>
        <w:jc w:val="both"/>
        <w:rPr>
          <w:rFonts w:ascii="Arial" w:hAnsi="Arial" w:cs="Arial"/>
          <w:sz w:val="22"/>
          <w:szCs w:val="22"/>
        </w:rPr>
      </w:pPr>
    </w:p>
    <w:p w14:paraId="3BA35216" w14:textId="77777777" w:rsidR="009029F6" w:rsidRPr="002C6CCE" w:rsidRDefault="009029F6" w:rsidP="0075507C">
      <w:pPr>
        <w:spacing w:line="360" w:lineRule="auto"/>
        <w:rPr>
          <w:rFonts w:ascii="Arial" w:hAnsi="Arial" w:cs="Arial"/>
          <w:sz w:val="22"/>
          <w:szCs w:val="22"/>
        </w:rPr>
      </w:pPr>
    </w:p>
    <w:sectPr w:rsidR="009029F6" w:rsidRPr="002C6CCE" w:rsidSect="00405E9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BC425" w14:textId="77777777" w:rsidR="00ED1124" w:rsidRDefault="00ED1124" w:rsidP="0075507C">
      <w:pPr>
        <w:spacing w:after="0" w:line="240" w:lineRule="auto"/>
      </w:pPr>
      <w:r>
        <w:separator/>
      </w:r>
    </w:p>
  </w:endnote>
  <w:endnote w:type="continuationSeparator" w:id="0">
    <w:p w14:paraId="53353D22" w14:textId="77777777" w:rsidR="00ED1124" w:rsidRDefault="00ED1124" w:rsidP="00755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238084104"/>
      <w:docPartObj>
        <w:docPartGallery w:val="Page Numbers (Bottom of Page)"/>
        <w:docPartUnique/>
      </w:docPartObj>
    </w:sdtPr>
    <w:sdtEndPr>
      <w:rPr>
        <w:noProof/>
      </w:rPr>
    </w:sdtEndPr>
    <w:sdtContent>
      <w:p w14:paraId="1786E9EE" w14:textId="17315871" w:rsidR="0075507C" w:rsidRPr="0075507C" w:rsidRDefault="0075507C">
        <w:pPr>
          <w:pStyle w:val="Footer"/>
          <w:jc w:val="right"/>
          <w:rPr>
            <w:sz w:val="20"/>
            <w:szCs w:val="20"/>
          </w:rPr>
        </w:pPr>
        <w:r w:rsidRPr="0075507C">
          <w:rPr>
            <w:sz w:val="20"/>
            <w:szCs w:val="20"/>
          </w:rPr>
          <w:fldChar w:fldCharType="begin"/>
        </w:r>
        <w:r w:rsidRPr="0075507C">
          <w:rPr>
            <w:sz w:val="20"/>
            <w:szCs w:val="20"/>
          </w:rPr>
          <w:instrText xml:space="preserve"> PAGE   \* MERGEFORMAT </w:instrText>
        </w:r>
        <w:r w:rsidRPr="0075507C">
          <w:rPr>
            <w:sz w:val="20"/>
            <w:szCs w:val="20"/>
          </w:rPr>
          <w:fldChar w:fldCharType="separate"/>
        </w:r>
        <w:r w:rsidRPr="0075507C">
          <w:rPr>
            <w:noProof/>
            <w:sz w:val="20"/>
            <w:szCs w:val="20"/>
          </w:rPr>
          <w:t>2</w:t>
        </w:r>
        <w:r w:rsidRPr="0075507C">
          <w:rPr>
            <w:noProof/>
            <w:sz w:val="20"/>
            <w:szCs w:val="20"/>
          </w:rPr>
          <w:fldChar w:fldCharType="end"/>
        </w:r>
      </w:p>
    </w:sdtContent>
  </w:sdt>
  <w:p w14:paraId="72C00EA6" w14:textId="77777777" w:rsidR="0075507C" w:rsidRDefault="007550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EEB70" w14:textId="77777777" w:rsidR="00ED1124" w:rsidRDefault="00ED1124" w:rsidP="0075507C">
      <w:pPr>
        <w:spacing w:after="0" w:line="240" w:lineRule="auto"/>
      </w:pPr>
      <w:r>
        <w:separator/>
      </w:r>
    </w:p>
  </w:footnote>
  <w:footnote w:type="continuationSeparator" w:id="0">
    <w:p w14:paraId="20A1CE3E" w14:textId="77777777" w:rsidR="00ED1124" w:rsidRDefault="00ED1124" w:rsidP="007550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9F6"/>
    <w:rsid w:val="00073F30"/>
    <w:rsid w:val="001713CC"/>
    <w:rsid w:val="002C6CCE"/>
    <w:rsid w:val="00405E9B"/>
    <w:rsid w:val="00552607"/>
    <w:rsid w:val="00577E24"/>
    <w:rsid w:val="00595D54"/>
    <w:rsid w:val="005D1532"/>
    <w:rsid w:val="00606D3A"/>
    <w:rsid w:val="00613952"/>
    <w:rsid w:val="00695BCF"/>
    <w:rsid w:val="006D38EA"/>
    <w:rsid w:val="006E54D6"/>
    <w:rsid w:val="0075507C"/>
    <w:rsid w:val="007E58C8"/>
    <w:rsid w:val="008D4CE3"/>
    <w:rsid w:val="009029F6"/>
    <w:rsid w:val="00C379DC"/>
    <w:rsid w:val="00ED1124"/>
    <w:rsid w:val="00F45E5E"/>
    <w:rsid w:val="00FA2FE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EC2226"/>
  <w15:chartTrackingRefBased/>
  <w15:docId w15:val="{C9A0D627-EB73-4820-89AF-067D57E21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9F6"/>
    <w:rPr>
      <w:rFonts w:ascii="Times New Roman" w:hAnsi="Times New Roman" w:cs="Times New Roman"/>
      <w:sz w:val="24"/>
      <w:szCs w:val="24"/>
    </w:rPr>
  </w:style>
  <w:style w:type="paragraph" w:styleId="Heading1">
    <w:name w:val="heading 1"/>
    <w:basedOn w:val="Normal"/>
    <w:next w:val="Normal"/>
    <w:link w:val="Heading1Char"/>
    <w:uiPriority w:val="9"/>
    <w:qFormat/>
    <w:rsid w:val="009029F6"/>
    <w:pPr>
      <w:jc w:val="both"/>
      <w:outlineLvl w:val="0"/>
    </w:pPr>
    <w:rPr>
      <w:b/>
      <w:bCs/>
    </w:rPr>
  </w:style>
  <w:style w:type="paragraph" w:styleId="Heading2">
    <w:name w:val="heading 2"/>
    <w:basedOn w:val="Normal"/>
    <w:next w:val="Normal"/>
    <w:link w:val="Heading2Char"/>
    <w:uiPriority w:val="9"/>
    <w:semiHidden/>
    <w:unhideWhenUsed/>
    <w:qFormat/>
    <w:rsid w:val="009029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029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029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029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029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29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29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29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9F6"/>
    <w:rPr>
      <w:rFonts w:ascii="Times New Roman" w:hAnsi="Times New Roman" w:cs="Times New Roman"/>
      <w:b/>
      <w:bCs/>
      <w:sz w:val="24"/>
      <w:szCs w:val="24"/>
    </w:rPr>
  </w:style>
  <w:style w:type="character" w:customStyle="1" w:styleId="Heading2Char">
    <w:name w:val="Heading 2 Char"/>
    <w:basedOn w:val="DefaultParagraphFont"/>
    <w:link w:val="Heading2"/>
    <w:uiPriority w:val="9"/>
    <w:semiHidden/>
    <w:rsid w:val="009029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029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029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029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029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29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29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29F6"/>
    <w:rPr>
      <w:rFonts w:eastAsiaTheme="majorEastAsia" w:cstheme="majorBidi"/>
      <w:color w:val="272727" w:themeColor="text1" w:themeTint="D8"/>
    </w:rPr>
  </w:style>
  <w:style w:type="paragraph" w:styleId="Title">
    <w:name w:val="Title"/>
    <w:basedOn w:val="Normal"/>
    <w:next w:val="Normal"/>
    <w:link w:val="TitleChar"/>
    <w:uiPriority w:val="10"/>
    <w:qFormat/>
    <w:rsid w:val="009029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29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29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29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29F6"/>
    <w:pPr>
      <w:spacing w:before="160"/>
      <w:jc w:val="center"/>
    </w:pPr>
    <w:rPr>
      <w:i/>
      <w:iCs/>
      <w:color w:val="404040" w:themeColor="text1" w:themeTint="BF"/>
    </w:rPr>
  </w:style>
  <w:style w:type="character" w:customStyle="1" w:styleId="QuoteChar">
    <w:name w:val="Quote Char"/>
    <w:basedOn w:val="DefaultParagraphFont"/>
    <w:link w:val="Quote"/>
    <w:uiPriority w:val="29"/>
    <w:rsid w:val="009029F6"/>
    <w:rPr>
      <w:i/>
      <w:iCs/>
      <w:color w:val="404040" w:themeColor="text1" w:themeTint="BF"/>
    </w:rPr>
  </w:style>
  <w:style w:type="paragraph" w:styleId="ListParagraph">
    <w:name w:val="List Paragraph"/>
    <w:basedOn w:val="Normal"/>
    <w:uiPriority w:val="34"/>
    <w:qFormat/>
    <w:rsid w:val="009029F6"/>
    <w:pPr>
      <w:ind w:left="720"/>
      <w:contextualSpacing/>
    </w:pPr>
  </w:style>
  <w:style w:type="character" w:styleId="IntenseEmphasis">
    <w:name w:val="Intense Emphasis"/>
    <w:basedOn w:val="DefaultParagraphFont"/>
    <w:uiPriority w:val="21"/>
    <w:qFormat/>
    <w:rsid w:val="009029F6"/>
    <w:rPr>
      <w:i/>
      <w:iCs/>
      <w:color w:val="2F5496" w:themeColor="accent1" w:themeShade="BF"/>
    </w:rPr>
  </w:style>
  <w:style w:type="paragraph" w:styleId="IntenseQuote">
    <w:name w:val="Intense Quote"/>
    <w:basedOn w:val="Normal"/>
    <w:next w:val="Normal"/>
    <w:link w:val="IntenseQuoteChar"/>
    <w:uiPriority w:val="30"/>
    <w:qFormat/>
    <w:rsid w:val="009029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029F6"/>
    <w:rPr>
      <w:i/>
      <w:iCs/>
      <w:color w:val="2F5496" w:themeColor="accent1" w:themeShade="BF"/>
    </w:rPr>
  </w:style>
  <w:style w:type="character" w:styleId="IntenseReference">
    <w:name w:val="Intense Reference"/>
    <w:basedOn w:val="DefaultParagraphFont"/>
    <w:uiPriority w:val="32"/>
    <w:qFormat/>
    <w:rsid w:val="009029F6"/>
    <w:rPr>
      <w:b/>
      <w:bCs/>
      <w:smallCaps/>
      <w:color w:val="2F5496" w:themeColor="accent1" w:themeShade="BF"/>
      <w:spacing w:val="5"/>
    </w:rPr>
  </w:style>
  <w:style w:type="character" w:styleId="Hyperlink">
    <w:name w:val="Hyperlink"/>
    <w:basedOn w:val="DefaultParagraphFont"/>
    <w:uiPriority w:val="99"/>
    <w:unhideWhenUsed/>
    <w:rsid w:val="009029F6"/>
    <w:rPr>
      <w:color w:val="0563C1" w:themeColor="hyperlink"/>
      <w:u w:val="single"/>
    </w:rPr>
  </w:style>
  <w:style w:type="paragraph" w:styleId="TOCHeading">
    <w:name w:val="TOC Heading"/>
    <w:basedOn w:val="Heading1"/>
    <w:next w:val="Normal"/>
    <w:uiPriority w:val="39"/>
    <w:unhideWhenUsed/>
    <w:qFormat/>
    <w:rsid w:val="0075507C"/>
    <w:pPr>
      <w:keepNext/>
      <w:keepLines/>
      <w:spacing w:before="240" w:after="0"/>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75507C"/>
    <w:pPr>
      <w:spacing w:after="100"/>
    </w:pPr>
  </w:style>
  <w:style w:type="paragraph" w:styleId="Header">
    <w:name w:val="header"/>
    <w:basedOn w:val="Normal"/>
    <w:link w:val="HeaderChar"/>
    <w:uiPriority w:val="99"/>
    <w:unhideWhenUsed/>
    <w:rsid w:val="007550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07C"/>
    <w:rPr>
      <w:rFonts w:ascii="Times New Roman" w:hAnsi="Times New Roman" w:cs="Times New Roman"/>
      <w:sz w:val="24"/>
      <w:szCs w:val="24"/>
    </w:rPr>
  </w:style>
  <w:style w:type="paragraph" w:styleId="Footer">
    <w:name w:val="footer"/>
    <w:basedOn w:val="Normal"/>
    <w:link w:val="FooterChar"/>
    <w:uiPriority w:val="99"/>
    <w:unhideWhenUsed/>
    <w:rsid w:val="007550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07C"/>
    <w:rPr>
      <w:rFonts w:ascii="Times New Roman" w:hAnsi="Times New Roman" w:cs="Times New Roman"/>
      <w:sz w:val="24"/>
      <w:szCs w:val="24"/>
    </w:rPr>
  </w:style>
  <w:style w:type="paragraph" w:styleId="NormalWeb">
    <w:name w:val="Normal (Web)"/>
    <w:basedOn w:val="Normal"/>
    <w:uiPriority w:val="99"/>
    <w:unhideWhenUsed/>
    <w:rsid w:val="00073F30"/>
    <w:pPr>
      <w:spacing w:before="100" w:beforeAutospacing="1" w:after="100" w:afterAutospacing="1" w:line="240" w:lineRule="auto"/>
    </w:pPr>
    <w:rPr>
      <w:rFonts w:eastAsia="Times New Roman"/>
      <w:kern w:val="0"/>
      <w:lang w:val="en-GB" w:eastAsia="en-GB"/>
      <w14:ligatures w14:val="none"/>
    </w:rPr>
  </w:style>
  <w:style w:type="character" w:styleId="Strong">
    <w:name w:val="Strong"/>
    <w:basedOn w:val="DefaultParagraphFont"/>
    <w:uiPriority w:val="22"/>
    <w:qFormat/>
    <w:rsid w:val="00073F30"/>
    <w:rPr>
      <w:b/>
      <w:bCs/>
    </w:rPr>
  </w:style>
  <w:style w:type="character" w:styleId="UnresolvedMention">
    <w:name w:val="Unresolved Mention"/>
    <w:basedOn w:val="DefaultParagraphFont"/>
    <w:uiPriority w:val="99"/>
    <w:semiHidden/>
    <w:unhideWhenUsed/>
    <w:rsid w:val="00577E24"/>
    <w:rPr>
      <w:color w:val="605E5C"/>
      <w:shd w:val="clear" w:color="auto" w:fill="E1DFDD"/>
    </w:rPr>
  </w:style>
  <w:style w:type="character" w:styleId="FollowedHyperlink">
    <w:name w:val="FollowedHyperlink"/>
    <w:basedOn w:val="DefaultParagraphFont"/>
    <w:uiPriority w:val="99"/>
    <w:semiHidden/>
    <w:unhideWhenUsed/>
    <w:rsid w:val="00577E24"/>
    <w:rPr>
      <w:color w:val="954F72" w:themeColor="followedHyperlink"/>
      <w:u w:val="single"/>
    </w:rPr>
  </w:style>
  <w:style w:type="character" w:styleId="Emphasis">
    <w:name w:val="Emphasis"/>
    <w:basedOn w:val="DefaultParagraphFont"/>
    <w:uiPriority w:val="20"/>
    <w:qFormat/>
    <w:rsid w:val="005D15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BBB10-7FEA-4285-8AAF-8CABCC2C1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1728</Words>
  <Characters>9855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Zara Sheikh (2408419)</cp:lastModifiedBy>
  <cp:revision>5</cp:revision>
  <dcterms:created xsi:type="dcterms:W3CDTF">2025-11-12T12:31:00Z</dcterms:created>
  <dcterms:modified xsi:type="dcterms:W3CDTF">2025-11-14T21:32:00Z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236623c4-778d-4140-8944-5b6d305a5f55</vt:lpwstr>
  </property>
</Properties>
</file>