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3C5AA0" w14:textId="77777777" w:rsidR="001E66CF" w:rsidRPr="001E66CF" w:rsidRDefault="001E66CF" w:rsidP="001E66CF">
      <w:pPr>
        <w:pStyle w:val="NormalWeb"/>
        <w:spacing w:before="0" w:beforeAutospacing="0" w:after="0" w:afterAutospacing="0" w:line="360" w:lineRule="auto"/>
        <w:rPr>
          <w:rFonts w:ascii="Arial" w:hAnsi="Arial" w:cs="Arial"/>
          <w:b/>
          <w:bCs/>
          <w:color w:val="0E101A"/>
        </w:rPr>
      </w:pPr>
    </w:p>
    <w:p w14:paraId="366D9F4A" w14:textId="77777777" w:rsidR="001E66CF" w:rsidRPr="001E66CF" w:rsidRDefault="001E66CF" w:rsidP="001E66CF">
      <w:pPr>
        <w:pStyle w:val="NormalWeb"/>
        <w:spacing w:before="0" w:beforeAutospacing="0" w:after="0" w:afterAutospacing="0" w:line="360" w:lineRule="auto"/>
        <w:jc w:val="center"/>
        <w:rPr>
          <w:rFonts w:ascii="Arial" w:hAnsi="Arial" w:cs="Arial"/>
          <w:b/>
          <w:bCs/>
          <w:color w:val="0E101A"/>
        </w:rPr>
      </w:pPr>
      <w:r w:rsidRPr="001E66CF">
        <w:rPr>
          <w:rFonts w:ascii="Arial" w:hAnsi="Arial" w:cs="Arial"/>
          <w:b/>
          <w:bCs/>
          <w:color w:val="0E101A"/>
        </w:rPr>
        <w:t>MODULE: INTERPRETING THE HEBREW BIBLE (TRDL6018)</w:t>
      </w:r>
    </w:p>
    <w:p w14:paraId="2684BAB1" w14:textId="77777777" w:rsidR="001E66CF" w:rsidRPr="001E66CF" w:rsidRDefault="001E66CF" w:rsidP="001E66CF">
      <w:pPr>
        <w:pStyle w:val="NormalWeb"/>
        <w:spacing w:before="0" w:beforeAutospacing="0" w:after="0" w:afterAutospacing="0" w:line="360" w:lineRule="auto"/>
        <w:jc w:val="center"/>
        <w:rPr>
          <w:rFonts w:ascii="Arial" w:hAnsi="Arial" w:cs="Arial"/>
          <w:b/>
          <w:bCs/>
          <w:color w:val="0E101A"/>
        </w:rPr>
      </w:pPr>
      <w:r w:rsidRPr="001E66CF">
        <w:rPr>
          <w:rFonts w:ascii="Arial" w:hAnsi="Arial" w:cs="Arial"/>
          <w:b/>
          <w:bCs/>
          <w:color w:val="0E101A"/>
        </w:rPr>
        <w:t>ESSAY TITLE: “ACCESS TWO ONLINE JOURNAL ARTICLES THAT DISCUSS A SPECIFIC TEXT FROM THE BOOK OF GENESIS. GIVE A BRIEF SUMMARY OF THEIR ARGUMENTS AND STATE WHAT YOU DISCOVERED FROM READING THEM THAT YOU DID NOT KNOW BEFORE.”</w:t>
      </w:r>
    </w:p>
    <w:p w14:paraId="4CFAE5DA" w14:textId="77777777" w:rsidR="001E66CF" w:rsidRPr="001E66CF" w:rsidRDefault="001E66CF" w:rsidP="001E66CF">
      <w:pPr>
        <w:pStyle w:val="NormalWeb"/>
        <w:spacing w:before="0" w:beforeAutospacing="0" w:after="0" w:afterAutospacing="0" w:line="360" w:lineRule="auto"/>
        <w:jc w:val="center"/>
        <w:rPr>
          <w:rFonts w:ascii="Arial" w:hAnsi="Arial" w:cs="Arial"/>
          <w:b/>
          <w:bCs/>
          <w:color w:val="0E101A"/>
        </w:rPr>
      </w:pPr>
      <w:r w:rsidRPr="001E66CF">
        <w:rPr>
          <w:rFonts w:ascii="Arial" w:hAnsi="Arial" w:cs="Arial"/>
          <w:b/>
          <w:bCs/>
          <w:color w:val="0E101A"/>
        </w:rPr>
        <w:t>MAXIMUM WORD LIMIT: 1000</w:t>
      </w:r>
    </w:p>
    <w:p w14:paraId="5050B5F5" w14:textId="77777777" w:rsidR="001E66CF" w:rsidRPr="001E66CF" w:rsidRDefault="001E66CF" w:rsidP="001E66CF">
      <w:pPr>
        <w:pStyle w:val="NormalWeb"/>
        <w:spacing w:before="0" w:beforeAutospacing="0" w:after="0" w:afterAutospacing="0" w:line="360" w:lineRule="auto"/>
        <w:jc w:val="center"/>
        <w:rPr>
          <w:rFonts w:ascii="Arial" w:hAnsi="Arial" w:cs="Arial"/>
          <w:b/>
          <w:bCs/>
          <w:color w:val="0E101A"/>
        </w:rPr>
      </w:pPr>
      <w:r w:rsidRPr="001E66CF">
        <w:rPr>
          <w:rFonts w:ascii="Arial" w:hAnsi="Arial" w:cs="Arial"/>
          <w:b/>
          <w:bCs/>
          <w:color w:val="0E101A"/>
        </w:rPr>
        <w:t>ESSAY WORD LIMIT: 1000</w:t>
      </w:r>
    </w:p>
    <w:p w14:paraId="43616912" w14:textId="77777777" w:rsidR="001E66CF" w:rsidRPr="001E66CF" w:rsidRDefault="001E66CF" w:rsidP="001E66CF">
      <w:pPr>
        <w:pStyle w:val="NormalWeb"/>
        <w:spacing w:before="0" w:beforeAutospacing="0" w:after="0" w:afterAutospacing="0" w:line="360" w:lineRule="auto"/>
        <w:jc w:val="center"/>
        <w:rPr>
          <w:rFonts w:ascii="Arial" w:hAnsi="Arial" w:cs="Arial"/>
          <w:b/>
          <w:bCs/>
          <w:color w:val="0E101A"/>
        </w:rPr>
      </w:pPr>
      <w:r w:rsidRPr="001E66CF">
        <w:rPr>
          <w:rFonts w:ascii="Arial" w:hAnsi="Arial" w:cs="Arial"/>
          <w:b/>
          <w:bCs/>
          <w:color w:val="0E101A"/>
        </w:rPr>
        <w:t>STUDENT ID: 2000647</w:t>
      </w:r>
    </w:p>
    <w:p w14:paraId="0B08B50E" w14:textId="77777777" w:rsidR="001E66CF" w:rsidRPr="001E66CF" w:rsidRDefault="001E66CF" w:rsidP="001E66CF">
      <w:pPr>
        <w:pStyle w:val="NormalWeb"/>
        <w:spacing w:before="0" w:beforeAutospacing="0" w:after="0" w:afterAutospacing="0" w:line="360" w:lineRule="auto"/>
        <w:jc w:val="center"/>
        <w:rPr>
          <w:rFonts w:ascii="Arial" w:hAnsi="Arial" w:cs="Arial"/>
          <w:b/>
          <w:bCs/>
          <w:color w:val="0E101A"/>
        </w:rPr>
      </w:pPr>
      <w:r w:rsidRPr="001E66CF">
        <w:rPr>
          <w:rStyle w:val="Strong"/>
          <w:rFonts w:ascii="Arial" w:hAnsi="Arial" w:cs="Arial"/>
          <w:color w:val="0E101A"/>
        </w:rPr>
        <w:t>MODULE TUTOR:</w:t>
      </w:r>
      <w:r w:rsidRPr="001E66CF">
        <w:rPr>
          <w:rFonts w:ascii="Arial" w:hAnsi="Arial" w:cs="Arial"/>
          <w:b/>
          <w:bCs/>
          <w:color w:val="0E101A"/>
        </w:rPr>
        <w:t>  DR JESSICA KEADY</w:t>
      </w:r>
    </w:p>
    <w:p w14:paraId="3F1A64A1" w14:textId="77777777" w:rsidR="001E66CF" w:rsidRPr="001E66CF" w:rsidRDefault="001E66CF" w:rsidP="001E66CF">
      <w:pPr>
        <w:pStyle w:val="NormalWeb"/>
        <w:spacing w:before="0" w:beforeAutospacing="0" w:after="0" w:afterAutospacing="0" w:line="360" w:lineRule="auto"/>
        <w:jc w:val="center"/>
        <w:rPr>
          <w:rStyle w:val="Strong"/>
          <w:rFonts w:ascii="Arial" w:hAnsi="Arial" w:cs="Arial"/>
          <w:color w:val="0E101A"/>
          <w:u w:val="single"/>
        </w:rPr>
      </w:pPr>
    </w:p>
    <w:p w14:paraId="19B4CCBB" w14:textId="77777777" w:rsidR="001E66CF" w:rsidRPr="001E66CF" w:rsidRDefault="001E66CF" w:rsidP="001E66CF">
      <w:pPr>
        <w:pStyle w:val="NormalWeb"/>
        <w:spacing w:before="0" w:beforeAutospacing="0" w:after="0" w:afterAutospacing="0" w:line="360" w:lineRule="auto"/>
        <w:jc w:val="center"/>
        <w:rPr>
          <w:rStyle w:val="Strong"/>
          <w:rFonts w:ascii="Arial" w:hAnsi="Arial" w:cs="Arial"/>
          <w:color w:val="0E101A"/>
          <w:u w:val="single"/>
        </w:rPr>
      </w:pPr>
    </w:p>
    <w:p w14:paraId="64BC8E7C" w14:textId="77777777" w:rsidR="001E66CF" w:rsidRDefault="001E66CF" w:rsidP="000E3036">
      <w:pPr>
        <w:pStyle w:val="NormalWeb"/>
        <w:spacing w:before="0" w:beforeAutospacing="0" w:after="0" w:afterAutospacing="0" w:line="360" w:lineRule="auto"/>
        <w:rPr>
          <w:rStyle w:val="Strong"/>
          <w:rFonts w:ascii="Arial" w:hAnsi="Arial" w:cs="Arial"/>
          <w:color w:val="0E101A"/>
          <w:u w:val="single"/>
        </w:rPr>
      </w:pPr>
    </w:p>
    <w:p w14:paraId="5F92C157" w14:textId="77777777" w:rsidR="001E66CF" w:rsidRDefault="001E66CF" w:rsidP="000E3036">
      <w:pPr>
        <w:pStyle w:val="NormalWeb"/>
        <w:spacing w:before="0" w:beforeAutospacing="0" w:after="0" w:afterAutospacing="0" w:line="360" w:lineRule="auto"/>
        <w:rPr>
          <w:rStyle w:val="Strong"/>
          <w:rFonts w:ascii="Arial" w:hAnsi="Arial" w:cs="Arial"/>
          <w:color w:val="0E101A"/>
          <w:u w:val="single"/>
        </w:rPr>
      </w:pPr>
    </w:p>
    <w:p w14:paraId="30DBF9D3" w14:textId="77777777" w:rsidR="001E66CF" w:rsidRDefault="001E66CF" w:rsidP="000E3036">
      <w:pPr>
        <w:pStyle w:val="NormalWeb"/>
        <w:spacing w:before="0" w:beforeAutospacing="0" w:after="0" w:afterAutospacing="0" w:line="360" w:lineRule="auto"/>
        <w:rPr>
          <w:rStyle w:val="Strong"/>
          <w:rFonts w:ascii="Arial" w:hAnsi="Arial" w:cs="Arial"/>
          <w:color w:val="0E101A"/>
          <w:u w:val="single"/>
        </w:rPr>
      </w:pPr>
    </w:p>
    <w:p w14:paraId="1B21F4CC" w14:textId="77777777" w:rsidR="001E66CF" w:rsidRDefault="001E66CF" w:rsidP="000E3036">
      <w:pPr>
        <w:pStyle w:val="NormalWeb"/>
        <w:spacing w:before="0" w:beforeAutospacing="0" w:after="0" w:afterAutospacing="0" w:line="360" w:lineRule="auto"/>
        <w:rPr>
          <w:rStyle w:val="Strong"/>
          <w:rFonts w:ascii="Arial" w:hAnsi="Arial" w:cs="Arial"/>
          <w:color w:val="0E101A"/>
          <w:u w:val="single"/>
        </w:rPr>
      </w:pPr>
    </w:p>
    <w:p w14:paraId="53CBA6CD" w14:textId="77777777" w:rsidR="001E66CF" w:rsidRDefault="001E66CF" w:rsidP="000E3036">
      <w:pPr>
        <w:pStyle w:val="NormalWeb"/>
        <w:spacing w:before="0" w:beforeAutospacing="0" w:after="0" w:afterAutospacing="0" w:line="360" w:lineRule="auto"/>
        <w:rPr>
          <w:rStyle w:val="Strong"/>
          <w:rFonts w:ascii="Arial" w:hAnsi="Arial" w:cs="Arial"/>
          <w:color w:val="0E101A"/>
          <w:u w:val="single"/>
        </w:rPr>
      </w:pPr>
    </w:p>
    <w:p w14:paraId="7042D7BD" w14:textId="77777777" w:rsidR="001E66CF" w:rsidRDefault="001E66CF" w:rsidP="000E3036">
      <w:pPr>
        <w:pStyle w:val="NormalWeb"/>
        <w:spacing w:before="0" w:beforeAutospacing="0" w:after="0" w:afterAutospacing="0" w:line="360" w:lineRule="auto"/>
        <w:rPr>
          <w:rStyle w:val="Strong"/>
          <w:rFonts w:ascii="Arial" w:hAnsi="Arial" w:cs="Arial"/>
          <w:color w:val="0E101A"/>
          <w:u w:val="single"/>
        </w:rPr>
      </w:pPr>
    </w:p>
    <w:p w14:paraId="00115A5E" w14:textId="77777777" w:rsidR="001E66CF" w:rsidRDefault="001E66CF" w:rsidP="000E3036">
      <w:pPr>
        <w:pStyle w:val="NormalWeb"/>
        <w:spacing w:before="0" w:beforeAutospacing="0" w:after="0" w:afterAutospacing="0" w:line="360" w:lineRule="auto"/>
        <w:rPr>
          <w:rStyle w:val="Strong"/>
          <w:rFonts w:ascii="Arial" w:hAnsi="Arial" w:cs="Arial"/>
          <w:color w:val="0E101A"/>
          <w:u w:val="single"/>
        </w:rPr>
      </w:pPr>
    </w:p>
    <w:p w14:paraId="6E4677A3" w14:textId="77777777" w:rsidR="001E66CF" w:rsidRDefault="001E66CF" w:rsidP="000E3036">
      <w:pPr>
        <w:pStyle w:val="NormalWeb"/>
        <w:spacing w:before="0" w:beforeAutospacing="0" w:after="0" w:afterAutospacing="0" w:line="360" w:lineRule="auto"/>
        <w:rPr>
          <w:rStyle w:val="Strong"/>
          <w:rFonts w:ascii="Arial" w:hAnsi="Arial" w:cs="Arial"/>
          <w:color w:val="0E101A"/>
          <w:u w:val="single"/>
        </w:rPr>
      </w:pPr>
    </w:p>
    <w:p w14:paraId="6609F0F8" w14:textId="77777777" w:rsidR="001E66CF" w:rsidRDefault="001E66CF" w:rsidP="000E3036">
      <w:pPr>
        <w:pStyle w:val="NormalWeb"/>
        <w:spacing w:before="0" w:beforeAutospacing="0" w:after="0" w:afterAutospacing="0" w:line="360" w:lineRule="auto"/>
        <w:rPr>
          <w:rStyle w:val="Strong"/>
          <w:rFonts w:ascii="Arial" w:hAnsi="Arial" w:cs="Arial"/>
          <w:color w:val="0E101A"/>
          <w:u w:val="single"/>
        </w:rPr>
      </w:pPr>
    </w:p>
    <w:p w14:paraId="6FF8A4E5" w14:textId="77777777" w:rsidR="001E66CF" w:rsidRDefault="001E66CF" w:rsidP="000E3036">
      <w:pPr>
        <w:pStyle w:val="NormalWeb"/>
        <w:spacing w:before="0" w:beforeAutospacing="0" w:after="0" w:afterAutospacing="0" w:line="360" w:lineRule="auto"/>
        <w:rPr>
          <w:rStyle w:val="Strong"/>
          <w:rFonts w:ascii="Arial" w:hAnsi="Arial" w:cs="Arial"/>
          <w:color w:val="0E101A"/>
          <w:u w:val="single"/>
        </w:rPr>
      </w:pPr>
    </w:p>
    <w:p w14:paraId="5640A0A6" w14:textId="77777777" w:rsidR="001E66CF" w:rsidRDefault="001E66CF" w:rsidP="000E3036">
      <w:pPr>
        <w:pStyle w:val="NormalWeb"/>
        <w:spacing w:before="0" w:beforeAutospacing="0" w:after="0" w:afterAutospacing="0" w:line="360" w:lineRule="auto"/>
        <w:rPr>
          <w:rStyle w:val="Strong"/>
          <w:rFonts w:ascii="Arial" w:hAnsi="Arial" w:cs="Arial"/>
          <w:color w:val="0E101A"/>
          <w:u w:val="single"/>
        </w:rPr>
      </w:pPr>
    </w:p>
    <w:p w14:paraId="640383CA" w14:textId="77777777" w:rsidR="001E66CF" w:rsidRDefault="001E66CF" w:rsidP="000E3036">
      <w:pPr>
        <w:pStyle w:val="NormalWeb"/>
        <w:spacing w:before="0" w:beforeAutospacing="0" w:after="0" w:afterAutospacing="0" w:line="360" w:lineRule="auto"/>
        <w:rPr>
          <w:rStyle w:val="Strong"/>
          <w:rFonts w:ascii="Arial" w:hAnsi="Arial" w:cs="Arial"/>
          <w:color w:val="0E101A"/>
          <w:u w:val="single"/>
        </w:rPr>
      </w:pPr>
    </w:p>
    <w:p w14:paraId="3BD55A40" w14:textId="77777777" w:rsidR="001E66CF" w:rsidRDefault="001E66CF" w:rsidP="000E3036">
      <w:pPr>
        <w:pStyle w:val="NormalWeb"/>
        <w:spacing w:before="0" w:beforeAutospacing="0" w:after="0" w:afterAutospacing="0" w:line="360" w:lineRule="auto"/>
        <w:rPr>
          <w:rStyle w:val="Strong"/>
          <w:rFonts w:ascii="Arial" w:hAnsi="Arial" w:cs="Arial"/>
          <w:color w:val="0E101A"/>
          <w:u w:val="single"/>
        </w:rPr>
      </w:pPr>
    </w:p>
    <w:p w14:paraId="6A4682C9" w14:textId="77777777" w:rsidR="001E66CF" w:rsidRDefault="001E66CF" w:rsidP="000E3036">
      <w:pPr>
        <w:pStyle w:val="NormalWeb"/>
        <w:spacing w:before="0" w:beforeAutospacing="0" w:after="0" w:afterAutospacing="0" w:line="360" w:lineRule="auto"/>
        <w:rPr>
          <w:rStyle w:val="Strong"/>
          <w:rFonts w:ascii="Arial" w:hAnsi="Arial" w:cs="Arial"/>
          <w:color w:val="0E101A"/>
          <w:u w:val="single"/>
        </w:rPr>
      </w:pPr>
    </w:p>
    <w:p w14:paraId="5A6E2DE3" w14:textId="77777777" w:rsidR="001E66CF" w:rsidRDefault="001E66CF" w:rsidP="000E3036">
      <w:pPr>
        <w:pStyle w:val="NormalWeb"/>
        <w:spacing w:before="0" w:beforeAutospacing="0" w:after="0" w:afterAutospacing="0" w:line="360" w:lineRule="auto"/>
        <w:rPr>
          <w:rStyle w:val="Strong"/>
          <w:rFonts w:ascii="Arial" w:hAnsi="Arial" w:cs="Arial"/>
          <w:color w:val="0E101A"/>
          <w:u w:val="single"/>
        </w:rPr>
      </w:pPr>
    </w:p>
    <w:p w14:paraId="5A40A358" w14:textId="77777777" w:rsidR="001E66CF" w:rsidRDefault="001E66CF" w:rsidP="000E3036">
      <w:pPr>
        <w:pStyle w:val="NormalWeb"/>
        <w:spacing w:before="0" w:beforeAutospacing="0" w:after="0" w:afterAutospacing="0" w:line="360" w:lineRule="auto"/>
        <w:rPr>
          <w:rStyle w:val="Strong"/>
          <w:rFonts w:ascii="Arial" w:hAnsi="Arial" w:cs="Arial"/>
          <w:color w:val="0E101A"/>
          <w:u w:val="single"/>
        </w:rPr>
      </w:pPr>
    </w:p>
    <w:p w14:paraId="0480E631" w14:textId="77777777" w:rsidR="001E66CF" w:rsidRDefault="001E66CF" w:rsidP="000E3036">
      <w:pPr>
        <w:pStyle w:val="NormalWeb"/>
        <w:spacing w:before="0" w:beforeAutospacing="0" w:after="0" w:afterAutospacing="0" w:line="360" w:lineRule="auto"/>
        <w:rPr>
          <w:rStyle w:val="Strong"/>
          <w:rFonts w:ascii="Arial" w:hAnsi="Arial" w:cs="Arial"/>
          <w:color w:val="0E101A"/>
          <w:u w:val="single"/>
        </w:rPr>
      </w:pPr>
    </w:p>
    <w:p w14:paraId="38C781AC" w14:textId="77777777" w:rsidR="001E66CF" w:rsidRDefault="001E66CF" w:rsidP="000E3036">
      <w:pPr>
        <w:pStyle w:val="NormalWeb"/>
        <w:spacing w:before="0" w:beforeAutospacing="0" w:after="0" w:afterAutospacing="0" w:line="360" w:lineRule="auto"/>
        <w:rPr>
          <w:rStyle w:val="Strong"/>
          <w:rFonts w:ascii="Arial" w:hAnsi="Arial" w:cs="Arial"/>
          <w:color w:val="0E101A"/>
          <w:u w:val="single"/>
        </w:rPr>
      </w:pPr>
    </w:p>
    <w:p w14:paraId="4FF0FFC6" w14:textId="77777777" w:rsidR="001E66CF" w:rsidRDefault="001E66CF" w:rsidP="000E3036">
      <w:pPr>
        <w:pStyle w:val="NormalWeb"/>
        <w:spacing w:before="0" w:beforeAutospacing="0" w:after="0" w:afterAutospacing="0" w:line="360" w:lineRule="auto"/>
        <w:rPr>
          <w:rStyle w:val="Strong"/>
          <w:rFonts w:ascii="Arial" w:hAnsi="Arial" w:cs="Arial"/>
          <w:color w:val="0E101A"/>
          <w:u w:val="single"/>
        </w:rPr>
      </w:pPr>
    </w:p>
    <w:p w14:paraId="3D14C560" w14:textId="77777777" w:rsidR="001E66CF" w:rsidRDefault="001E66CF" w:rsidP="000E3036">
      <w:pPr>
        <w:pStyle w:val="NormalWeb"/>
        <w:spacing w:before="0" w:beforeAutospacing="0" w:after="0" w:afterAutospacing="0" w:line="360" w:lineRule="auto"/>
        <w:rPr>
          <w:rStyle w:val="Strong"/>
          <w:rFonts w:ascii="Arial" w:hAnsi="Arial" w:cs="Arial"/>
          <w:color w:val="0E101A"/>
          <w:u w:val="single"/>
        </w:rPr>
      </w:pPr>
    </w:p>
    <w:p w14:paraId="41E057BE" w14:textId="77777777" w:rsidR="001E66CF" w:rsidRDefault="001E66CF" w:rsidP="000E3036">
      <w:pPr>
        <w:pStyle w:val="NormalWeb"/>
        <w:spacing w:before="0" w:beforeAutospacing="0" w:after="0" w:afterAutospacing="0" w:line="360" w:lineRule="auto"/>
        <w:rPr>
          <w:rStyle w:val="Strong"/>
          <w:rFonts w:ascii="Arial" w:hAnsi="Arial" w:cs="Arial"/>
          <w:color w:val="0E101A"/>
          <w:u w:val="single"/>
        </w:rPr>
      </w:pPr>
    </w:p>
    <w:p w14:paraId="0985C345" w14:textId="77777777" w:rsidR="00F14250" w:rsidRDefault="00F14250" w:rsidP="000E3036">
      <w:pPr>
        <w:pStyle w:val="NormalWeb"/>
        <w:spacing w:before="0" w:beforeAutospacing="0" w:after="0" w:afterAutospacing="0" w:line="360" w:lineRule="auto"/>
        <w:rPr>
          <w:rStyle w:val="Strong"/>
          <w:rFonts w:ascii="Arial" w:hAnsi="Arial" w:cs="Arial"/>
          <w:color w:val="0E101A"/>
          <w:u w:val="single"/>
        </w:rPr>
      </w:pPr>
    </w:p>
    <w:p w14:paraId="3D48762F" w14:textId="7780212D" w:rsidR="000E10C3" w:rsidRPr="000E3036" w:rsidRDefault="00302F55" w:rsidP="000E3036">
      <w:pPr>
        <w:pStyle w:val="NormalWeb"/>
        <w:spacing w:before="0" w:beforeAutospacing="0" w:after="0" w:afterAutospacing="0" w:line="360" w:lineRule="auto"/>
        <w:rPr>
          <w:rFonts w:ascii="Arial" w:hAnsi="Arial" w:cs="Arial"/>
          <w:color w:val="0E101A"/>
        </w:rPr>
      </w:pPr>
      <w:r>
        <w:rPr>
          <w:rStyle w:val="Strong"/>
          <w:rFonts w:ascii="Arial" w:hAnsi="Arial" w:cs="Arial"/>
          <w:color w:val="0E101A"/>
          <w:u w:val="single"/>
        </w:rPr>
        <w:lastRenderedPageBreak/>
        <w:t>FIRST ARTICLE</w:t>
      </w:r>
      <w:r w:rsidR="000E10C3" w:rsidRPr="000E3036">
        <w:rPr>
          <w:rStyle w:val="Strong"/>
          <w:rFonts w:ascii="Arial" w:hAnsi="Arial" w:cs="Arial"/>
          <w:color w:val="0E101A"/>
          <w:u w:val="single"/>
        </w:rPr>
        <w:t xml:space="preserve"> - GENESIS 2 </w:t>
      </w:r>
    </w:p>
    <w:p w14:paraId="1FEAAE3C" w14:textId="385BFA1C" w:rsidR="000E10C3" w:rsidRPr="000E3036" w:rsidRDefault="000E10C3" w:rsidP="000E3036">
      <w:pPr>
        <w:pStyle w:val="NormalWeb"/>
        <w:spacing w:before="0" w:beforeAutospacing="0" w:after="0" w:afterAutospacing="0" w:line="360" w:lineRule="auto"/>
        <w:rPr>
          <w:rFonts w:ascii="Arial" w:hAnsi="Arial" w:cs="Arial"/>
          <w:color w:val="0E101A"/>
        </w:rPr>
      </w:pPr>
      <w:r w:rsidRPr="000E3036">
        <w:rPr>
          <w:rFonts w:ascii="Arial" w:hAnsi="Arial" w:cs="Arial"/>
          <w:color w:val="0E101A"/>
        </w:rPr>
        <w:t>Estes (2016) argued from the standpoint of disability by using Creamer (2009, cited in Estes, 2016, p. 4) theory of limits to interpret Genesis 2</w:t>
      </w:r>
      <w:r w:rsidR="00BD5D74" w:rsidRPr="000E3036">
        <w:rPr>
          <w:rFonts w:ascii="Arial" w:hAnsi="Arial" w:cs="Arial"/>
          <w:color w:val="0E101A"/>
        </w:rPr>
        <w:t>.</w:t>
      </w:r>
    </w:p>
    <w:p w14:paraId="019B408B" w14:textId="77777777" w:rsidR="00C0078D" w:rsidRPr="000E3036" w:rsidRDefault="00C0078D" w:rsidP="000E3036">
      <w:pPr>
        <w:pStyle w:val="NormalWeb"/>
        <w:spacing w:before="0" w:beforeAutospacing="0" w:after="0" w:afterAutospacing="0" w:line="360" w:lineRule="auto"/>
        <w:rPr>
          <w:rFonts w:ascii="Arial" w:hAnsi="Arial" w:cs="Arial"/>
          <w:color w:val="0E101A"/>
        </w:rPr>
      </w:pPr>
    </w:p>
    <w:p w14:paraId="46A46F5C" w14:textId="77777777" w:rsidR="00C0078D" w:rsidRPr="000E3036" w:rsidRDefault="000E10C3" w:rsidP="000E3036">
      <w:pPr>
        <w:pStyle w:val="NormalWeb"/>
        <w:spacing w:before="0" w:beforeAutospacing="0" w:after="0" w:afterAutospacing="0" w:line="360" w:lineRule="auto"/>
        <w:rPr>
          <w:rFonts w:ascii="Arial" w:hAnsi="Arial" w:cs="Arial"/>
          <w:color w:val="0E101A"/>
        </w:rPr>
      </w:pPr>
      <w:r w:rsidRPr="000E3036">
        <w:rPr>
          <w:rFonts w:ascii="Arial" w:hAnsi="Arial" w:cs="Arial"/>
          <w:color w:val="0E101A"/>
        </w:rPr>
        <w:t xml:space="preserve">Estes (2016) challenges the definition of the term “disability” and encourages theologians to avoid limiting the definition of “disability” to only medical perspectives and consider cultural, political, and environmental factors of what makes somebody disabled. Estes (2016) asserts that such a broader perception of disability interprets Genesis 2 more clearer. It becomes understandable that although Adam and Eve did not have an apparent physical disability as it was in the case of Paul’s affliction and Mephibosheth, that did not necessarily mean they were not limited in some aspects of their lives (Estes 2016, p. 2). </w:t>
      </w:r>
    </w:p>
    <w:p w14:paraId="150FE502" w14:textId="77777777" w:rsidR="00C0078D" w:rsidRPr="000E3036" w:rsidRDefault="00C0078D" w:rsidP="000E3036">
      <w:pPr>
        <w:pStyle w:val="NormalWeb"/>
        <w:spacing w:before="0" w:beforeAutospacing="0" w:after="0" w:afterAutospacing="0" w:line="360" w:lineRule="auto"/>
        <w:rPr>
          <w:rFonts w:ascii="Arial" w:hAnsi="Arial" w:cs="Arial"/>
          <w:color w:val="0E101A"/>
        </w:rPr>
      </w:pPr>
    </w:p>
    <w:p w14:paraId="092B0061" w14:textId="2D50EFE5" w:rsidR="000E10C3" w:rsidRPr="000E3036" w:rsidRDefault="000E10C3" w:rsidP="000E3036">
      <w:pPr>
        <w:pStyle w:val="NormalWeb"/>
        <w:spacing w:before="0" w:beforeAutospacing="0" w:after="0" w:afterAutospacing="0" w:line="360" w:lineRule="auto"/>
        <w:rPr>
          <w:rFonts w:ascii="Arial" w:hAnsi="Arial" w:cs="Arial"/>
          <w:color w:val="0E101A"/>
        </w:rPr>
      </w:pPr>
      <w:r w:rsidRPr="000E3036">
        <w:rPr>
          <w:rFonts w:ascii="Arial" w:hAnsi="Arial" w:cs="Arial"/>
          <w:color w:val="0E101A"/>
        </w:rPr>
        <w:t>Therefore defining “disability” from the broader point of view would help avoid ableism, labelling or differentiating humans as “disabled or abled” (Estes 2016, p. 3).</w:t>
      </w:r>
    </w:p>
    <w:p w14:paraId="1227C647" w14:textId="77777777" w:rsidR="00C0078D" w:rsidRPr="000E3036" w:rsidRDefault="00C0078D" w:rsidP="000E3036">
      <w:pPr>
        <w:pStyle w:val="NormalWeb"/>
        <w:spacing w:before="0" w:beforeAutospacing="0" w:after="0" w:afterAutospacing="0" w:line="360" w:lineRule="auto"/>
        <w:rPr>
          <w:rFonts w:ascii="Arial" w:hAnsi="Arial" w:cs="Arial"/>
          <w:color w:val="0E101A"/>
        </w:rPr>
      </w:pPr>
    </w:p>
    <w:p w14:paraId="51BA2EC7" w14:textId="5953910C" w:rsidR="000E10C3" w:rsidRPr="000E3036" w:rsidRDefault="000E10C3" w:rsidP="000E3036">
      <w:pPr>
        <w:pStyle w:val="NormalWeb"/>
        <w:spacing w:before="0" w:beforeAutospacing="0" w:after="0" w:afterAutospacing="0" w:line="360" w:lineRule="auto"/>
        <w:rPr>
          <w:rFonts w:ascii="Arial" w:hAnsi="Arial" w:cs="Arial"/>
          <w:color w:val="0E101A"/>
        </w:rPr>
      </w:pPr>
      <w:r w:rsidRPr="000E3036">
        <w:rPr>
          <w:rFonts w:ascii="Arial" w:hAnsi="Arial" w:cs="Arial"/>
          <w:color w:val="0E101A"/>
        </w:rPr>
        <w:t>Estes (2016, p. 19) summarises Genesis 2 into three themes: “Embodiment, Imperfection and Relationship.” Under the theme “embodiment</w:t>
      </w:r>
      <w:r w:rsidR="00FA4E83">
        <w:rPr>
          <w:rFonts w:ascii="Arial" w:hAnsi="Arial" w:cs="Arial"/>
          <w:color w:val="0E101A"/>
        </w:rPr>
        <w:t>,</w:t>
      </w:r>
      <w:r w:rsidRPr="000E3036">
        <w:rPr>
          <w:rFonts w:ascii="Arial" w:hAnsi="Arial" w:cs="Arial"/>
          <w:color w:val="0E101A"/>
        </w:rPr>
        <w:t xml:space="preserve">” Estes (2016) argued by referring to the book of Genesis and said God moulded man out of the dust like a porter and did breathe into humans’ nostrils the breath of life for humans’ bodies to become a living soul (Gen. 2:7). Because </w:t>
      </w:r>
      <w:r w:rsidR="009D0084">
        <w:rPr>
          <w:rFonts w:ascii="Arial" w:hAnsi="Arial" w:cs="Arial"/>
          <w:color w:val="0E101A"/>
        </w:rPr>
        <w:t>h</w:t>
      </w:r>
      <w:r w:rsidRPr="000E3036">
        <w:rPr>
          <w:rFonts w:ascii="Arial" w:hAnsi="Arial" w:cs="Arial"/>
          <w:color w:val="0E101A"/>
        </w:rPr>
        <w:t>umans are bodies, with different types, subject to change, grow, develop, and age, these attributes of the body make every human experience limitation or become “disabled” at some in their lives – The theory of limits by Creamer (2009, cited in Estes, 2016, p. 4).</w:t>
      </w:r>
    </w:p>
    <w:p w14:paraId="7E08C1AC" w14:textId="77777777" w:rsidR="00C0078D" w:rsidRPr="000E3036" w:rsidRDefault="00C0078D" w:rsidP="000E3036">
      <w:pPr>
        <w:pStyle w:val="NormalWeb"/>
        <w:spacing w:before="0" w:beforeAutospacing="0" w:after="0" w:afterAutospacing="0" w:line="360" w:lineRule="auto"/>
        <w:rPr>
          <w:rFonts w:ascii="Arial" w:hAnsi="Arial" w:cs="Arial"/>
          <w:color w:val="0E101A"/>
        </w:rPr>
      </w:pPr>
    </w:p>
    <w:p w14:paraId="6EA16234" w14:textId="1673C35E" w:rsidR="000E10C3" w:rsidRPr="000E3036" w:rsidRDefault="000E10C3" w:rsidP="000E3036">
      <w:pPr>
        <w:pStyle w:val="NormalWeb"/>
        <w:spacing w:before="0" w:beforeAutospacing="0" w:after="0" w:afterAutospacing="0" w:line="360" w:lineRule="auto"/>
        <w:rPr>
          <w:rFonts w:ascii="Arial" w:hAnsi="Arial" w:cs="Arial"/>
          <w:color w:val="0E101A"/>
        </w:rPr>
      </w:pPr>
      <w:r w:rsidRPr="000E3036">
        <w:rPr>
          <w:rFonts w:ascii="Arial" w:hAnsi="Arial" w:cs="Arial"/>
          <w:color w:val="0E101A"/>
        </w:rPr>
        <w:t>Under the theme “perfection</w:t>
      </w:r>
      <w:r w:rsidR="005E2C94">
        <w:rPr>
          <w:rFonts w:ascii="Arial" w:hAnsi="Arial" w:cs="Arial"/>
          <w:color w:val="0E101A"/>
        </w:rPr>
        <w:t>,</w:t>
      </w:r>
      <w:r w:rsidRPr="000E3036">
        <w:rPr>
          <w:rFonts w:ascii="Arial" w:hAnsi="Arial" w:cs="Arial"/>
          <w:color w:val="0E101A"/>
        </w:rPr>
        <w:t>” Estes (2016) disputes the long-standing interpretation of Genesis 2 by theologians that have been arguing that Adam and Eve were perfect humans, never experienced any limits or having any disability until they disobeyed God. Estes (2016) explained why the creation of humans was not perfect even before the fall of Adam and Eve by quoting from the book of Genesis - “Then the Lord God said, “It is not good that the man should be alone; I will make him a helper as his partner” (Gen. 2:18).</w:t>
      </w:r>
    </w:p>
    <w:p w14:paraId="454E126C" w14:textId="77777777" w:rsidR="00C0078D" w:rsidRPr="000E3036" w:rsidRDefault="00C0078D" w:rsidP="000E3036">
      <w:pPr>
        <w:pStyle w:val="NormalWeb"/>
        <w:spacing w:before="0" w:beforeAutospacing="0" w:after="0" w:afterAutospacing="0" w:line="360" w:lineRule="auto"/>
        <w:rPr>
          <w:rFonts w:ascii="Arial" w:hAnsi="Arial" w:cs="Arial"/>
          <w:color w:val="0E101A"/>
        </w:rPr>
      </w:pPr>
    </w:p>
    <w:p w14:paraId="404163E5" w14:textId="5F259FCF" w:rsidR="000E10C3" w:rsidRPr="000E3036" w:rsidRDefault="000E10C3" w:rsidP="000E3036">
      <w:pPr>
        <w:pStyle w:val="NormalWeb"/>
        <w:spacing w:before="0" w:beforeAutospacing="0" w:after="0" w:afterAutospacing="0" w:line="360" w:lineRule="auto"/>
        <w:rPr>
          <w:rFonts w:ascii="Arial" w:hAnsi="Arial" w:cs="Arial"/>
          <w:color w:val="0E101A"/>
        </w:rPr>
      </w:pPr>
      <w:r w:rsidRPr="000E3036">
        <w:rPr>
          <w:rFonts w:ascii="Arial" w:hAnsi="Arial" w:cs="Arial"/>
          <w:color w:val="0E101A"/>
        </w:rPr>
        <w:lastRenderedPageBreak/>
        <w:t>Estes (2016) points out that God Himself, at some point, declared from His lips that His creation “was not good,” meaning God acknowledged something had fallen short for not creating Eve and that needed to be fixed. After God evaluated His actions, He decided to create Eve as Adam’s companion to ensure what He considered as “not good” became “good” (Estes 2016, p. 11). Besides this reason, there is no evidence anywhere in Genesis 2 that God described His creation as “perfect” (Estes 2016, p. 10).</w:t>
      </w:r>
    </w:p>
    <w:p w14:paraId="4170BB97" w14:textId="77777777" w:rsidR="00C0078D" w:rsidRPr="000E3036" w:rsidRDefault="00C0078D" w:rsidP="000E3036">
      <w:pPr>
        <w:pStyle w:val="NormalWeb"/>
        <w:spacing w:before="0" w:beforeAutospacing="0" w:after="0" w:afterAutospacing="0" w:line="360" w:lineRule="auto"/>
        <w:rPr>
          <w:rFonts w:ascii="Arial" w:hAnsi="Arial" w:cs="Arial"/>
          <w:color w:val="0E101A"/>
        </w:rPr>
      </w:pPr>
    </w:p>
    <w:p w14:paraId="27A21D89" w14:textId="0BE6A492" w:rsidR="000E10C3" w:rsidRPr="000E3036" w:rsidRDefault="000E10C3" w:rsidP="000E3036">
      <w:pPr>
        <w:pStyle w:val="NormalWeb"/>
        <w:spacing w:before="0" w:beforeAutospacing="0" w:after="0" w:afterAutospacing="0" w:line="360" w:lineRule="auto"/>
        <w:rPr>
          <w:rFonts w:ascii="Arial" w:hAnsi="Arial" w:cs="Arial"/>
          <w:color w:val="0E101A"/>
        </w:rPr>
      </w:pPr>
      <w:r w:rsidRPr="000E3036">
        <w:rPr>
          <w:rFonts w:ascii="Arial" w:hAnsi="Arial" w:cs="Arial"/>
          <w:color w:val="0E101A"/>
        </w:rPr>
        <w:t>Under the theme “Relationship</w:t>
      </w:r>
      <w:r w:rsidR="005E2C94">
        <w:rPr>
          <w:rFonts w:ascii="Arial" w:hAnsi="Arial" w:cs="Arial"/>
          <w:color w:val="0E101A"/>
        </w:rPr>
        <w:t>,</w:t>
      </w:r>
      <w:r w:rsidRPr="000E3036">
        <w:rPr>
          <w:rFonts w:ascii="Arial" w:hAnsi="Arial" w:cs="Arial"/>
          <w:color w:val="0E101A"/>
        </w:rPr>
        <w:t>”</w:t>
      </w:r>
      <w:r w:rsidR="005E2C94">
        <w:rPr>
          <w:rFonts w:ascii="Arial" w:hAnsi="Arial" w:cs="Arial"/>
          <w:color w:val="0E101A"/>
        </w:rPr>
        <w:t xml:space="preserve"> </w:t>
      </w:r>
      <w:r w:rsidRPr="000E3036">
        <w:rPr>
          <w:rFonts w:ascii="Arial" w:hAnsi="Arial" w:cs="Arial"/>
          <w:color w:val="0E101A"/>
        </w:rPr>
        <w:t>Estes (2016) argues that humans do not need only God in their lives, but most importantly, their fellow humans as the most fundamental desire of humans are to be in companionship with each other and live interdependently (Estes 2016, p. 17). </w:t>
      </w:r>
    </w:p>
    <w:p w14:paraId="5A263571" w14:textId="77777777" w:rsidR="00C0078D" w:rsidRPr="000E3036" w:rsidRDefault="00C0078D" w:rsidP="000E3036">
      <w:pPr>
        <w:pStyle w:val="NormalWeb"/>
        <w:spacing w:before="0" w:beforeAutospacing="0" w:after="0" w:afterAutospacing="0" w:line="360" w:lineRule="auto"/>
        <w:rPr>
          <w:rFonts w:ascii="Arial" w:hAnsi="Arial" w:cs="Arial"/>
          <w:color w:val="0E101A"/>
        </w:rPr>
      </w:pPr>
    </w:p>
    <w:p w14:paraId="20BEEE23" w14:textId="77777777" w:rsidR="00C0078D" w:rsidRPr="000E3036" w:rsidRDefault="000E10C3" w:rsidP="000E3036">
      <w:pPr>
        <w:pStyle w:val="NormalWeb"/>
        <w:spacing w:before="0" w:beforeAutospacing="0" w:after="0" w:afterAutospacing="0" w:line="360" w:lineRule="auto"/>
        <w:rPr>
          <w:rFonts w:ascii="Arial" w:hAnsi="Arial" w:cs="Arial"/>
          <w:color w:val="0E101A"/>
        </w:rPr>
      </w:pPr>
      <w:r w:rsidRPr="000E3036">
        <w:rPr>
          <w:rFonts w:ascii="Arial" w:hAnsi="Arial" w:cs="Arial"/>
          <w:color w:val="0E101A"/>
        </w:rPr>
        <w:t>Estes (2016) concluded that through the lens of disability, all three themes (Embodiments, Imperfection, and Relationship) bear fruits to limitations. Therefore, disability should be seen as ordinary, a fundamental aspect of God’s divine plan in creation. </w:t>
      </w:r>
    </w:p>
    <w:p w14:paraId="5A6B7738" w14:textId="77777777" w:rsidR="00C0078D" w:rsidRPr="000E3036" w:rsidRDefault="00C0078D" w:rsidP="000E3036">
      <w:pPr>
        <w:pStyle w:val="NormalWeb"/>
        <w:spacing w:before="0" w:beforeAutospacing="0" w:after="0" w:afterAutospacing="0" w:line="360" w:lineRule="auto"/>
        <w:rPr>
          <w:rFonts w:ascii="Arial" w:hAnsi="Arial" w:cs="Arial"/>
          <w:color w:val="0E101A"/>
        </w:rPr>
      </w:pPr>
    </w:p>
    <w:p w14:paraId="4D6359FB" w14:textId="50B63FC8" w:rsidR="0046208A" w:rsidRDefault="000E10C3" w:rsidP="000E3036">
      <w:pPr>
        <w:pStyle w:val="NormalWeb"/>
        <w:spacing w:before="0" w:beforeAutospacing="0" w:after="0" w:afterAutospacing="0" w:line="360" w:lineRule="auto"/>
        <w:rPr>
          <w:rFonts w:ascii="Arial" w:hAnsi="Arial" w:cs="Arial"/>
          <w:color w:val="0E101A"/>
        </w:rPr>
      </w:pPr>
      <w:r w:rsidRPr="000E3036">
        <w:rPr>
          <w:rFonts w:ascii="Arial" w:hAnsi="Arial" w:cs="Arial"/>
          <w:color w:val="0E101A"/>
        </w:rPr>
        <w:t xml:space="preserve">Although I was trained and continue working in a health sector environment for a more extended period and read the Bible, I have never read Genesis 2 from the disability point of view. </w:t>
      </w:r>
    </w:p>
    <w:p w14:paraId="7AB9C620" w14:textId="77777777" w:rsidR="003E2705" w:rsidRPr="000E3036" w:rsidRDefault="003E2705" w:rsidP="000E3036">
      <w:pPr>
        <w:pStyle w:val="NormalWeb"/>
        <w:spacing w:before="0" w:beforeAutospacing="0" w:after="0" w:afterAutospacing="0" w:line="360" w:lineRule="auto"/>
        <w:rPr>
          <w:rFonts w:ascii="Arial" w:hAnsi="Arial" w:cs="Arial"/>
          <w:color w:val="0E101A"/>
        </w:rPr>
      </w:pPr>
    </w:p>
    <w:p w14:paraId="5AB85BB7" w14:textId="66F12D4A" w:rsidR="000E10C3" w:rsidRPr="000E3036" w:rsidRDefault="000E10C3" w:rsidP="000E3036">
      <w:pPr>
        <w:pStyle w:val="NormalWeb"/>
        <w:spacing w:before="0" w:beforeAutospacing="0" w:after="0" w:afterAutospacing="0" w:line="360" w:lineRule="auto"/>
        <w:rPr>
          <w:rFonts w:ascii="Arial" w:hAnsi="Arial" w:cs="Arial"/>
          <w:color w:val="0E101A"/>
        </w:rPr>
      </w:pPr>
      <w:r w:rsidRPr="000E3036">
        <w:rPr>
          <w:rFonts w:ascii="Arial" w:hAnsi="Arial" w:cs="Arial"/>
          <w:color w:val="0E101A"/>
        </w:rPr>
        <w:t>I now understand that God was aware of the possibility of humans loving or rejecting Him before the fall as He created humans with free will to choose evil or good. Therefore, the tree of knowledge of good and evil God put in Eden to warn humans not to eat from it was a sign of this possibility (Gen. 2:17). The implications of the tree of knowledge of good and evil, the ability of humans to make a free will choice, seems to mean, as argued by Estes (2016), that God’s creation, in general, is an “unfinished product,” remains changeable and opened to so many possibilities.</w:t>
      </w:r>
    </w:p>
    <w:p w14:paraId="42075FDD" w14:textId="7DEDC666" w:rsidR="000E10C3" w:rsidRPr="000E3036" w:rsidRDefault="000E10C3" w:rsidP="000E3036">
      <w:pPr>
        <w:pStyle w:val="NormalWeb"/>
        <w:spacing w:before="0" w:beforeAutospacing="0" w:after="0" w:afterAutospacing="0" w:line="360" w:lineRule="auto"/>
        <w:rPr>
          <w:rFonts w:ascii="Arial" w:hAnsi="Arial" w:cs="Arial"/>
          <w:color w:val="0E101A"/>
        </w:rPr>
      </w:pPr>
      <w:r w:rsidRPr="000E3036">
        <w:rPr>
          <w:rFonts w:ascii="Arial" w:hAnsi="Arial" w:cs="Arial"/>
          <w:color w:val="0E101A"/>
        </w:rPr>
        <w:t> </w:t>
      </w:r>
    </w:p>
    <w:p w14:paraId="2FF57D4C" w14:textId="70EEEC4D" w:rsidR="000E10C3" w:rsidRPr="000E3036" w:rsidRDefault="00302F55" w:rsidP="000E3036">
      <w:pPr>
        <w:pStyle w:val="NormalWeb"/>
        <w:spacing w:before="0" w:beforeAutospacing="0" w:after="0" w:afterAutospacing="0" w:line="360" w:lineRule="auto"/>
        <w:rPr>
          <w:rFonts w:ascii="Arial" w:hAnsi="Arial" w:cs="Arial"/>
          <w:color w:val="0E101A"/>
        </w:rPr>
      </w:pPr>
      <w:r>
        <w:rPr>
          <w:rStyle w:val="Strong"/>
          <w:rFonts w:ascii="Arial" w:hAnsi="Arial" w:cs="Arial"/>
          <w:color w:val="0E101A"/>
          <w:u w:val="single"/>
        </w:rPr>
        <w:t xml:space="preserve">SECOND </w:t>
      </w:r>
      <w:r w:rsidR="000E10C3" w:rsidRPr="000E3036">
        <w:rPr>
          <w:rStyle w:val="Strong"/>
          <w:rFonts w:ascii="Arial" w:hAnsi="Arial" w:cs="Arial"/>
          <w:color w:val="0E101A"/>
          <w:u w:val="single"/>
        </w:rPr>
        <w:t>ARTICLE - GENESIS 1-2</w:t>
      </w:r>
    </w:p>
    <w:p w14:paraId="77D4A88B" w14:textId="1D7B027B" w:rsidR="000E10C3" w:rsidRPr="000E3036" w:rsidRDefault="000E10C3" w:rsidP="000E3036">
      <w:pPr>
        <w:pStyle w:val="NormalWeb"/>
        <w:spacing w:before="0" w:beforeAutospacing="0" w:after="0" w:afterAutospacing="0" w:line="360" w:lineRule="auto"/>
        <w:rPr>
          <w:rFonts w:ascii="Arial" w:hAnsi="Arial" w:cs="Arial"/>
          <w:color w:val="0E101A"/>
        </w:rPr>
      </w:pPr>
      <w:r w:rsidRPr="000E3036">
        <w:rPr>
          <w:rFonts w:ascii="Arial" w:hAnsi="Arial" w:cs="Arial"/>
          <w:color w:val="0E101A"/>
        </w:rPr>
        <w:t>Murphy (2017</w:t>
      </w:r>
      <w:r w:rsidR="00F44421">
        <w:rPr>
          <w:rFonts w:ascii="Arial" w:hAnsi="Arial" w:cs="Arial"/>
          <w:color w:val="0E101A"/>
        </w:rPr>
        <w:t>, p. 1</w:t>
      </w:r>
      <w:r w:rsidRPr="000E3036">
        <w:rPr>
          <w:rFonts w:ascii="Arial" w:hAnsi="Arial" w:cs="Arial"/>
          <w:color w:val="0E101A"/>
        </w:rPr>
        <w:t>) points out that same-sex marriage has become so common in this modern society that one cannot simply say it a sin and justify it with few biblical texts</w:t>
      </w:r>
      <w:r w:rsidR="005D1F47" w:rsidRPr="000E3036">
        <w:rPr>
          <w:rFonts w:ascii="Arial" w:hAnsi="Arial" w:cs="Arial"/>
          <w:color w:val="0E101A"/>
        </w:rPr>
        <w:t xml:space="preserve"> – “clobber passages.”</w:t>
      </w:r>
      <w:r w:rsidRPr="000E3036">
        <w:rPr>
          <w:rFonts w:ascii="Arial" w:hAnsi="Arial" w:cs="Arial"/>
          <w:color w:val="0E101A"/>
        </w:rPr>
        <w:t xml:space="preserve"> Morden society believes that once same-sex marriage is </w:t>
      </w:r>
      <w:r w:rsidRPr="000E3036">
        <w:rPr>
          <w:rFonts w:ascii="Arial" w:hAnsi="Arial" w:cs="Arial"/>
          <w:color w:val="0E101A"/>
        </w:rPr>
        <w:lastRenderedPageBreak/>
        <w:t>legali</w:t>
      </w:r>
      <w:r w:rsidR="00857BAF">
        <w:rPr>
          <w:rFonts w:ascii="Arial" w:hAnsi="Arial" w:cs="Arial"/>
          <w:color w:val="0E101A"/>
        </w:rPr>
        <w:t>s</w:t>
      </w:r>
      <w:r w:rsidRPr="000E3036">
        <w:rPr>
          <w:rFonts w:ascii="Arial" w:hAnsi="Arial" w:cs="Arial"/>
          <w:color w:val="0E101A"/>
        </w:rPr>
        <w:t>ed and approved by the government, it is no longer considered a sin.</w:t>
      </w:r>
      <w:r w:rsidRPr="000E3036">
        <w:rPr>
          <w:rStyle w:val="Strong"/>
          <w:rFonts w:ascii="Arial" w:hAnsi="Arial" w:cs="Arial"/>
          <w:color w:val="0E101A"/>
        </w:rPr>
        <w:t> </w:t>
      </w:r>
      <w:r w:rsidRPr="000E3036">
        <w:rPr>
          <w:rFonts w:ascii="Arial" w:hAnsi="Arial" w:cs="Arial"/>
          <w:color w:val="0E101A"/>
        </w:rPr>
        <w:t xml:space="preserve">The book of Romans is commonly referred to as the basis of the argument for people that are in same-sex relationships - </w:t>
      </w:r>
      <w:r w:rsidRPr="00BC64A2">
        <w:rPr>
          <w:rFonts w:ascii="Arial" w:hAnsi="Arial" w:cs="Arial"/>
          <w:color w:val="0E101A"/>
        </w:rPr>
        <w:t>“</w:t>
      </w:r>
      <w:r w:rsidR="00BC64A2" w:rsidRPr="00BC64A2">
        <w:rPr>
          <w:rFonts w:ascii="Arial" w:hAnsi="Arial" w:cs="Arial"/>
          <w:color w:val="000000"/>
          <w:shd w:val="clear" w:color="auto" w:fill="FFFFFF"/>
        </w:rPr>
        <w:t>Let every person be subject to the governing authorities; for there is no authority except from God, and those authorities that exist have been instituted by God …”</w:t>
      </w:r>
      <w:r w:rsidRPr="00BC64A2">
        <w:rPr>
          <w:rFonts w:ascii="Arial" w:hAnsi="Arial" w:cs="Arial"/>
          <w:color w:val="0E101A"/>
        </w:rPr>
        <w:t xml:space="preserve"> (Rom. 13</w:t>
      </w:r>
      <w:r w:rsidR="00BC64A2" w:rsidRPr="00BC64A2">
        <w:rPr>
          <w:rFonts w:ascii="Arial" w:hAnsi="Arial" w:cs="Arial"/>
          <w:color w:val="0E101A"/>
        </w:rPr>
        <w:t>:1-7</w:t>
      </w:r>
      <w:r w:rsidRPr="00BC64A2">
        <w:rPr>
          <w:rFonts w:ascii="Arial" w:hAnsi="Arial" w:cs="Arial"/>
          <w:color w:val="0E101A"/>
        </w:rPr>
        <w:t>).</w:t>
      </w:r>
    </w:p>
    <w:p w14:paraId="4B093C9F" w14:textId="77777777" w:rsidR="0046208A" w:rsidRPr="000E3036" w:rsidRDefault="0046208A" w:rsidP="000E3036">
      <w:pPr>
        <w:pStyle w:val="NormalWeb"/>
        <w:spacing w:before="0" w:beforeAutospacing="0" w:after="0" w:afterAutospacing="0" w:line="360" w:lineRule="auto"/>
        <w:rPr>
          <w:rFonts w:ascii="Arial" w:hAnsi="Arial" w:cs="Arial"/>
          <w:color w:val="0E101A"/>
        </w:rPr>
      </w:pPr>
    </w:p>
    <w:p w14:paraId="3452D7D4" w14:textId="41492ECB" w:rsidR="000E10C3" w:rsidRPr="000E3036" w:rsidRDefault="000E10C3" w:rsidP="000E3036">
      <w:pPr>
        <w:pStyle w:val="NormalWeb"/>
        <w:spacing w:before="0" w:beforeAutospacing="0" w:after="0" w:afterAutospacing="0" w:line="360" w:lineRule="auto"/>
        <w:rPr>
          <w:rFonts w:ascii="Arial" w:hAnsi="Arial" w:cs="Arial"/>
          <w:color w:val="0E101A"/>
        </w:rPr>
      </w:pPr>
      <w:r w:rsidRPr="000E3036">
        <w:rPr>
          <w:rFonts w:ascii="Arial" w:hAnsi="Arial" w:cs="Arial"/>
          <w:color w:val="0E101A"/>
        </w:rPr>
        <w:t>However, Murphy (2017) argues that it does not matter what and how society would do, but what matters is how God defines marriage as instituted in Genesis 1-2. Murphy (2017) asserted that God created males and females in His likeness (Gen. 2:7) to have dominion over the creation of the earth and procreate so that God’s creation could be multiplied and fill the earth (Gen 1:28). Moreover, it is this purpose of procreation that was why God did not create two men in the garden of Eden but instead created a woman, a “distinctive gender” instead of the “same-gender</w:t>
      </w:r>
      <w:r w:rsidR="00CF6CF6">
        <w:rPr>
          <w:rFonts w:ascii="Arial" w:hAnsi="Arial" w:cs="Arial"/>
          <w:color w:val="0E101A"/>
        </w:rPr>
        <w:t>.</w:t>
      </w:r>
      <w:r w:rsidRPr="000E3036">
        <w:rPr>
          <w:rFonts w:ascii="Arial" w:hAnsi="Arial" w:cs="Arial"/>
          <w:color w:val="0E101A"/>
        </w:rPr>
        <w:t xml:space="preserve">” </w:t>
      </w:r>
      <w:r w:rsidR="00CF6CF6">
        <w:rPr>
          <w:rFonts w:ascii="Arial" w:hAnsi="Arial" w:cs="Arial"/>
          <w:color w:val="0E101A"/>
        </w:rPr>
        <w:t xml:space="preserve">This is unmistakably </w:t>
      </w:r>
      <w:r w:rsidR="005D3011" w:rsidRPr="000E3036">
        <w:rPr>
          <w:rFonts w:ascii="Arial" w:hAnsi="Arial" w:cs="Arial"/>
          <w:color w:val="0E101A"/>
        </w:rPr>
        <w:t>an</w:t>
      </w:r>
      <w:r w:rsidRPr="000E3036">
        <w:rPr>
          <w:rFonts w:ascii="Arial" w:hAnsi="Arial" w:cs="Arial"/>
          <w:color w:val="0E101A"/>
        </w:rPr>
        <w:t xml:space="preserve"> </w:t>
      </w:r>
      <w:r w:rsidR="005D3011">
        <w:rPr>
          <w:rFonts w:ascii="Arial" w:hAnsi="Arial" w:cs="Arial"/>
          <w:color w:val="0E101A"/>
        </w:rPr>
        <w:t xml:space="preserve">original </w:t>
      </w:r>
      <w:r w:rsidRPr="000E3036">
        <w:rPr>
          <w:rFonts w:ascii="Arial" w:hAnsi="Arial" w:cs="Arial"/>
          <w:color w:val="0E101A"/>
        </w:rPr>
        <w:t>purpose of marriage God intended</w:t>
      </w:r>
      <w:r w:rsidR="00CF6CF6">
        <w:rPr>
          <w:rFonts w:ascii="Arial" w:hAnsi="Arial" w:cs="Arial"/>
          <w:color w:val="0E101A"/>
        </w:rPr>
        <w:t xml:space="preserve"> for humans. </w:t>
      </w:r>
    </w:p>
    <w:p w14:paraId="68FE7720" w14:textId="77777777" w:rsidR="0046208A" w:rsidRPr="000E3036" w:rsidRDefault="0046208A" w:rsidP="000E3036">
      <w:pPr>
        <w:pStyle w:val="NormalWeb"/>
        <w:spacing w:before="0" w:beforeAutospacing="0" w:after="0" w:afterAutospacing="0" w:line="360" w:lineRule="auto"/>
        <w:rPr>
          <w:rFonts w:ascii="Arial" w:hAnsi="Arial" w:cs="Arial"/>
          <w:color w:val="0E101A"/>
        </w:rPr>
      </w:pPr>
    </w:p>
    <w:p w14:paraId="692EB941" w14:textId="568F3FD3" w:rsidR="000E10C3" w:rsidRPr="000E3036" w:rsidRDefault="000E10C3" w:rsidP="000E3036">
      <w:pPr>
        <w:pStyle w:val="NormalWeb"/>
        <w:spacing w:before="0" w:beforeAutospacing="0" w:after="0" w:afterAutospacing="0" w:line="360" w:lineRule="auto"/>
        <w:rPr>
          <w:rFonts w:ascii="Arial" w:hAnsi="Arial" w:cs="Arial"/>
          <w:color w:val="0E101A"/>
        </w:rPr>
      </w:pPr>
      <w:r w:rsidRPr="000E3036">
        <w:rPr>
          <w:rFonts w:ascii="Arial" w:hAnsi="Arial" w:cs="Arial"/>
          <w:color w:val="0E101A"/>
        </w:rPr>
        <w:t xml:space="preserve">Murphy (2017) </w:t>
      </w:r>
      <w:r w:rsidR="0046208A" w:rsidRPr="000E3036">
        <w:rPr>
          <w:rFonts w:ascii="Arial" w:hAnsi="Arial" w:cs="Arial"/>
          <w:color w:val="0E101A"/>
        </w:rPr>
        <w:t>concluded</w:t>
      </w:r>
      <w:r w:rsidRPr="000E3036">
        <w:rPr>
          <w:rFonts w:ascii="Arial" w:hAnsi="Arial" w:cs="Arial"/>
          <w:color w:val="0E101A"/>
        </w:rPr>
        <w:t xml:space="preserve"> that any marriage contrary to the union between a man and a woman could not be classified as a biblical marriage as it considers all other forms of marriage as a sin. Murphy (2017) referred to numerous Bible texts to support the argument that carries a similar meaning of Genesis 1-2 to point out that same-sex marriage physical relation is a sin, a perversion of God’s original intentions for marriage (Matt: 19:6-6; I Cor. 6:9; Gen. 19:1-9; Lev. 18). </w:t>
      </w:r>
    </w:p>
    <w:p w14:paraId="4085D944" w14:textId="77777777" w:rsidR="000E10C3" w:rsidRPr="000E3036" w:rsidRDefault="000E10C3" w:rsidP="000E3036">
      <w:pPr>
        <w:pStyle w:val="NormalWeb"/>
        <w:spacing w:before="0" w:beforeAutospacing="0" w:after="0" w:afterAutospacing="0" w:line="360" w:lineRule="auto"/>
        <w:rPr>
          <w:rFonts w:ascii="Arial" w:hAnsi="Arial" w:cs="Arial"/>
          <w:color w:val="0E101A"/>
        </w:rPr>
      </w:pPr>
    </w:p>
    <w:p w14:paraId="69ECD9B2" w14:textId="5A1BE46F" w:rsidR="000E10C3" w:rsidRPr="000E3036" w:rsidRDefault="000E10C3" w:rsidP="000E3036">
      <w:pPr>
        <w:pStyle w:val="NormalWeb"/>
        <w:spacing w:before="0" w:beforeAutospacing="0" w:after="0" w:afterAutospacing="0" w:line="360" w:lineRule="auto"/>
        <w:rPr>
          <w:rFonts w:ascii="Arial" w:hAnsi="Arial" w:cs="Arial"/>
          <w:color w:val="0E101A"/>
        </w:rPr>
      </w:pPr>
      <w:r w:rsidRPr="000E3036">
        <w:rPr>
          <w:rFonts w:ascii="Arial" w:hAnsi="Arial" w:cs="Arial"/>
          <w:color w:val="0E101A"/>
        </w:rPr>
        <w:t>I had not heard the term “clobber” passage as pointed out by Murphy (2017, p. 1). These passages in the Bible include </w:t>
      </w:r>
      <w:hyperlink r:id="rId6" w:tgtFrame="_blank" w:history="1">
        <w:r w:rsidRPr="000E3036">
          <w:rPr>
            <w:rStyle w:val="Hyperlink"/>
            <w:rFonts w:ascii="Arial" w:hAnsi="Arial" w:cs="Arial"/>
            <w:color w:val="auto"/>
            <w:u w:val="none"/>
          </w:rPr>
          <w:t>Gen. 19:1-38</w:t>
        </w:r>
      </w:hyperlink>
      <w:r w:rsidRPr="000E3036">
        <w:rPr>
          <w:rFonts w:ascii="Arial" w:hAnsi="Arial" w:cs="Arial"/>
        </w:rPr>
        <w:t>; Le</w:t>
      </w:r>
      <w:r w:rsidRPr="000E3036">
        <w:rPr>
          <w:rFonts w:ascii="Arial" w:hAnsi="Arial" w:cs="Arial"/>
          <w:color w:val="0E101A"/>
        </w:rPr>
        <w:t>v. 18:22; Lev. 20:13, Rom. 1:26-27; 1 cor. 6:9-11; 1Tim. 1:9-10</w:t>
      </w:r>
      <w:r w:rsidR="005E2C94">
        <w:rPr>
          <w:rFonts w:ascii="Arial" w:hAnsi="Arial" w:cs="Arial"/>
          <w:color w:val="0E101A"/>
        </w:rPr>
        <w:t xml:space="preserve">, </w:t>
      </w:r>
      <w:r w:rsidRPr="000E3036">
        <w:rPr>
          <w:rFonts w:ascii="Arial" w:hAnsi="Arial" w:cs="Arial"/>
          <w:color w:val="0E101A"/>
        </w:rPr>
        <w:t xml:space="preserve">other theologians commonly refer to oppose same-sex marriages. </w:t>
      </w:r>
    </w:p>
    <w:p w14:paraId="50C90BD6" w14:textId="3C764C80" w:rsidR="00C70B8C" w:rsidRDefault="00C70B8C" w:rsidP="00C760D8">
      <w:pPr>
        <w:shd w:val="clear" w:color="auto" w:fill="FFFFFF"/>
        <w:spacing w:before="100" w:beforeAutospacing="1" w:after="100" w:afterAutospacing="1"/>
        <w:rPr>
          <w:rFonts w:ascii="baskerville-display-pt" w:hAnsi="baskerville-display-pt"/>
          <w:color w:val="222222"/>
          <w:spacing w:val="3"/>
          <w:sz w:val="27"/>
          <w:szCs w:val="27"/>
        </w:rPr>
      </w:pPr>
    </w:p>
    <w:p w14:paraId="216191E9" w14:textId="37274F18" w:rsidR="00DF11B4" w:rsidRDefault="00DF11B4" w:rsidP="00C760D8">
      <w:pPr>
        <w:shd w:val="clear" w:color="auto" w:fill="FFFFFF"/>
        <w:spacing w:before="100" w:beforeAutospacing="1" w:after="100" w:afterAutospacing="1"/>
        <w:rPr>
          <w:rFonts w:ascii="baskerville-display-pt" w:hAnsi="baskerville-display-pt"/>
          <w:color w:val="222222"/>
          <w:spacing w:val="3"/>
          <w:sz w:val="27"/>
          <w:szCs w:val="27"/>
        </w:rPr>
      </w:pPr>
    </w:p>
    <w:p w14:paraId="7A120F13" w14:textId="21D9576C" w:rsidR="00DF11B4" w:rsidRDefault="00DF11B4" w:rsidP="00C760D8">
      <w:pPr>
        <w:shd w:val="clear" w:color="auto" w:fill="FFFFFF"/>
        <w:spacing w:before="100" w:beforeAutospacing="1" w:after="100" w:afterAutospacing="1"/>
        <w:rPr>
          <w:rFonts w:ascii="baskerville-display-pt" w:hAnsi="baskerville-display-pt"/>
          <w:color w:val="222222"/>
          <w:spacing w:val="3"/>
          <w:sz w:val="27"/>
          <w:szCs w:val="27"/>
        </w:rPr>
      </w:pPr>
    </w:p>
    <w:p w14:paraId="29FB861B" w14:textId="3154724E" w:rsidR="00DF11B4" w:rsidRDefault="00DF11B4" w:rsidP="00C760D8">
      <w:pPr>
        <w:shd w:val="clear" w:color="auto" w:fill="FFFFFF"/>
        <w:spacing w:before="100" w:beforeAutospacing="1" w:after="100" w:afterAutospacing="1"/>
        <w:rPr>
          <w:rFonts w:ascii="baskerville-display-pt" w:hAnsi="baskerville-display-pt"/>
          <w:color w:val="222222"/>
          <w:spacing w:val="3"/>
          <w:sz w:val="27"/>
          <w:szCs w:val="27"/>
        </w:rPr>
      </w:pPr>
    </w:p>
    <w:p w14:paraId="5CBA79BC" w14:textId="77777777" w:rsidR="00DF11B4" w:rsidRDefault="00DF11B4" w:rsidP="00DF11B4">
      <w:pPr>
        <w:pStyle w:val="NormalWeb"/>
        <w:spacing w:before="0" w:beforeAutospacing="0" w:after="0" w:afterAutospacing="0"/>
        <w:rPr>
          <w:rStyle w:val="Strong"/>
          <w:color w:val="0E101A"/>
          <w:u w:val="single"/>
        </w:rPr>
      </w:pPr>
    </w:p>
    <w:p w14:paraId="4A32E0C3" w14:textId="77777777" w:rsidR="009A3978" w:rsidRDefault="009A3978" w:rsidP="00DF11B4">
      <w:pPr>
        <w:pStyle w:val="NormalWeb"/>
        <w:spacing w:before="0" w:beforeAutospacing="0" w:after="0" w:afterAutospacing="0"/>
        <w:rPr>
          <w:rStyle w:val="Strong"/>
          <w:color w:val="0E101A"/>
          <w:u w:val="single"/>
        </w:rPr>
      </w:pPr>
    </w:p>
    <w:p w14:paraId="51E52497" w14:textId="69A06AEC" w:rsidR="00DF11B4" w:rsidRDefault="00DF11B4" w:rsidP="00DF11B4">
      <w:pPr>
        <w:pStyle w:val="NormalWeb"/>
        <w:spacing w:before="0" w:beforeAutospacing="0" w:after="0" w:afterAutospacing="0"/>
        <w:rPr>
          <w:color w:val="0E101A"/>
        </w:rPr>
      </w:pPr>
      <w:r>
        <w:rPr>
          <w:rStyle w:val="Strong"/>
          <w:color w:val="0E101A"/>
          <w:u w:val="single"/>
        </w:rPr>
        <w:lastRenderedPageBreak/>
        <w:t>JOURNAL REFERENCE (</w:t>
      </w:r>
      <w:r w:rsidR="00A17574">
        <w:rPr>
          <w:rStyle w:val="Strong"/>
          <w:color w:val="0E101A"/>
          <w:u w:val="single"/>
        </w:rPr>
        <w:t xml:space="preserve">FIRST </w:t>
      </w:r>
      <w:r>
        <w:rPr>
          <w:rStyle w:val="Strong"/>
          <w:color w:val="0E101A"/>
          <w:u w:val="single"/>
        </w:rPr>
        <w:t>ARTICLE):</w:t>
      </w:r>
    </w:p>
    <w:p w14:paraId="5EB99B35" w14:textId="77777777" w:rsidR="00DF11B4" w:rsidRDefault="00DF11B4" w:rsidP="00DF11B4">
      <w:pPr>
        <w:pStyle w:val="NormalWeb"/>
        <w:spacing w:before="0" w:beforeAutospacing="0" w:after="0" w:afterAutospacing="0"/>
        <w:rPr>
          <w:color w:val="0E101A"/>
        </w:rPr>
      </w:pPr>
      <w:r>
        <w:rPr>
          <w:color w:val="0E101A"/>
        </w:rPr>
        <w:t>Estes, J.D. (2016) ‘Imperfection In Paradise: Reading Genesis 2 Through the Lens of Disability and a Theology of Limits’,</w:t>
      </w:r>
      <w:r>
        <w:rPr>
          <w:rStyle w:val="Emphasis"/>
          <w:color w:val="0E101A"/>
        </w:rPr>
        <w:t> Horizons in biblical Theology</w:t>
      </w:r>
      <w:r>
        <w:rPr>
          <w:color w:val="0E101A"/>
        </w:rPr>
        <w:t>, 38, pp. 1-21.</w:t>
      </w:r>
    </w:p>
    <w:p w14:paraId="11841EBE" w14:textId="0AE1242C" w:rsidR="00DF11B4" w:rsidRDefault="00DF11B4" w:rsidP="00DF11B4">
      <w:pPr>
        <w:pStyle w:val="NormalWeb"/>
        <w:spacing w:before="0" w:beforeAutospacing="0" w:after="0" w:afterAutospacing="0"/>
        <w:rPr>
          <w:color w:val="0E101A"/>
        </w:rPr>
      </w:pPr>
      <w:r>
        <w:rPr>
          <w:rStyle w:val="Strong"/>
          <w:color w:val="0E101A"/>
          <w:u w:val="single"/>
        </w:rPr>
        <w:t>BIBLICAL REFERENCE LIST</w:t>
      </w:r>
      <w:r w:rsidR="00974EF4">
        <w:rPr>
          <w:rStyle w:val="Strong"/>
          <w:color w:val="0E101A"/>
          <w:u w:val="single"/>
        </w:rPr>
        <w:t>S</w:t>
      </w:r>
      <w:r>
        <w:rPr>
          <w:rStyle w:val="Strong"/>
          <w:color w:val="0E101A"/>
          <w:u w:val="single"/>
        </w:rPr>
        <w:t xml:space="preserve"> </w:t>
      </w:r>
      <w:r w:rsidR="00A17574">
        <w:rPr>
          <w:rStyle w:val="Strong"/>
          <w:color w:val="0E101A"/>
          <w:u w:val="single"/>
        </w:rPr>
        <w:t>(FIRST ARTICLE):</w:t>
      </w:r>
    </w:p>
    <w:p w14:paraId="149C1460" w14:textId="08BC0088" w:rsidR="00DF11B4" w:rsidRDefault="00DF11B4" w:rsidP="00DF11B4">
      <w:pPr>
        <w:pStyle w:val="NormalWeb"/>
        <w:spacing w:before="0" w:beforeAutospacing="0" w:after="0" w:afterAutospacing="0"/>
        <w:rPr>
          <w:color w:val="0E101A"/>
        </w:rPr>
      </w:pPr>
      <w:r>
        <w:rPr>
          <w:color w:val="0E101A"/>
        </w:rPr>
        <w:t>Gen 2:7; Gen 2:17</w:t>
      </w:r>
    </w:p>
    <w:p w14:paraId="2F6D0A52" w14:textId="0629840F" w:rsidR="00DF11B4" w:rsidRDefault="00DF11B4" w:rsidP="00DF11B4">
      <w:pPr>
        <w:pStyle w:val="NormalWeb"/>
        <w:spacing w:before="0" w:beforeAutospacing="0" w:after="0" w:afterAutospacing="0"/>
        <w:rPr>
          <w:color w:val="0E101A"/>
        </w:rPr>
      </w:pPr>
    </w:p>
    <w:p w14:paraId="01BBE13C" w14:textId="77777777" w:rsidR="00A17574" w:rsidRDefault="00A17574" w:rsidP="00DF11B4">
      <w:pPr>
        <w:pStyle w:val="NormalWeb"/>
        <w:spacing w:before="0" w:beforeAutospacing="0" w:after="0" w:afterAutospacing="0"/>
        <w:rPr>
          <w:color w:val="0E101A"/>
        </w:rPr>
      </w:pPr>
    </w:p>
    <w:p w14:paraId="42C666F0" w14:textId="7F9078E3" w:rsidR="00DF11B4" w:rsidRDefault="00DF11B4" w:rsidP="00DF11B4">
      <w:pPr>
        <w:pStyle w:val="NormalWeb"/>
        <w:spacing w:before="0" w:beforeAutospacing="0" w:after="0" w:afterAutospacing="0"/>
        <w:rPr>
          <w:color w:val="0E101A"/>
        </w:rPr>
      </w:pPr>
      <w:r>
        <w:rPr>
          <w:rStyle w:val="Strong"/>
          <w:color w:val="0E101A"/>
          <w:u w:val="single"/>
        </w:rPr>
        <w:t>JOURNAL REFERENCE (</w:t>
      </w:r>
      <w:r w:rsidR="00A17574">
        <w:rPr>
          <w:rStyle w:val="Strong"/>
          <w:color w:val="0E101A"/>
          <w:u w:val="single"/>
        </w:rPr>
        <w:t>SECOND</w:t>
      </w:r>
      <w:r>
        <w:rPr>
          <w:rStyle w:val="Strong"/>
          <w:color w:val="0E101A"/>
          <w:u w:val="single"/>
        </w:rPr>
        <w:t xml:space="preserve"> </w:t>
      </w:r>
      <w:r w:rsidR="00A17574">
        <w:rPr>
          <w:rStyle w:val="Strong"/>
          <w:color w:val="0E101A"/>
          <w:u w:val="single"/>
        </w:rPr>
        <w:t>ARTICLE</w:t>
      </w:r>
      <w:r>
        <w:rPr>
          <w:rStyle w:val="Strong"/>
          <w:color w:val="0E101A"/>
          <w:u w:val="single"/>
        </w:rPr>
        <w:t>):</w:t>
      </w:r>
    </w:p>
    <w:p w14:paraId="5067EAA4" w14:textId="77777777" w:rsidR="00DF11B4" w:rsidRDefault="00DF11B4" w:rsidP="00DF11B4">
      <w:pPr>
        <w:pStyle w:val="NormalWeb"/>
        <w:spacing w:before="0" w:beforeAutospacing="0" w:after="0" w:afterAutospacing="0"/>
        <w:rPr>
          <w:color w:val="0E101A"/>
        </w:rPr>
      </w:pPr>
      <w:r>
        <w:rPr>
          <w:color w:val="0E101A"/>
        </w:rPr>
        <w:t>Murphy, B. (2017) ‘Is Same Sex Marriage A Sin?’, </w:t>
      </w:r>
      <w:r>
        <w:rPr>
          <w:rStyle w:val="Emphasis"/>
          <w:color w:val="0E101A"/>
        </w:rPr>
        <w:t>The Master’s Seminary, </w:t>
      </w:r>
      <w:r>
        <w:rPr>
          <w:color w:val="0E101A"/>
        </w:rPr>
        <w:t>28(2), pp. 135-144.</w:t>
      </w:r>
    </w:p>
    <w:p w14:paraId="4E8975EB" w14:textId="7A355A10" w:rsidR="00A17574" w:rsidRPr="00A17574" w:rsidRDefault="00DF11B4" w:rsidP="00DF11B4">
      <w:pPr>
        <w:pStyle w:val="NormalWeb"/>
        <w:spacing w:before="0" w:beforeAutospacing="0" w:after="0" w:afterAutospacing="0"/>
        <w:rPr>
          <w:b/>
          <w:bCs/>
          <w:color w:val="0E101A"/>
          <w:u w:val="single"/>
        </w:rPr>
      </w:pPr>
      <w:r>
        <w:rPr>
          <w:rStyle w:val="Strong"/>
          <w:color w:val="0E101A"/>
          <w:u w:val="single"/>
        </w:rPr>
        <w:t>BIBLICAL REFERENCE LIST</w:t>
      </w:r>
      <w:r w:rsidR="00974EF4">
        <w:rPr>
          <w:rStyle w:val="Strong"/>
          <w:color w:val="0E101A"/>
          <w:u w:val="single"/>
        </w:rPr>
        <w:t>S</w:t>
      </w:r>
      <w:r>
        <w:rPr>
          <w:rStyle w:val="Strong"/>
          <w:color w:val="0E101A"/>
          <w:u w:val="single"/>
        </w:rPr>
        <w:t xml:space="preserve"> </w:t>
      </w:r>
      <w:r w:rsidR="00A17574">
        <w:rPr>
          <w:rStyle w:val="Strong"/>
          <w:color w:val="0E101A"/>
          <w:u w:val="single"/>
        </w:rPr>
        <w:t>(SECOND ARTICLE):</w:t>
      </w:r>
    </w:p>
    <w:p w14:paraId="74E5F16B" w14:textId="77777777" w:rsidR="00DF11B4" w:rsidRPr="00DF11B4" w:rsidRDefault="00DF11B4" w:rsidP="00DF11B4">
      <w:pPr>
        <w:pStyle w:val="NormalWeb"/>
        <w:spacing w:before="0" w:beforeAutospacing="0" w:after="0" w:afterAutospacing="0"/>
      </w:pPr>
      <w:r w:rsidRPr="00DF11B4">
        <w:t>Matt: 19:6-6; I Cor. 6:9; Gen. 19:1-9; Gen 1:28</w:t>
      </w:r>
      <w:r w:rsidRPr="00DF11B4">
        <w:rPr>
          <w:rStyle w:val="Strong"/>
        </w:rPr>
        <w:t>; </w:t>
      </w:r>
      <w:r w:rsidRPr="00DF11B4">
        <w:t>Lev. 18; Rom. 13</w:t>
      </w:r>
    </w:p>
    <w:p w14:paraId="346B9E2B" w14:textId="77777777" w:rsidR="00DF11B4" w:rsidRDefault="00EF13F3" w:rsidP="00DF11B4">
      <w:pPr>
        <w:pStyle w:val="NormalWeb"/>
        <w:spacing w:before="0" w:beforeAutospacing="0" w:after="0" w:afterAutospacing="0"/>
        <w:rPr>
          <w:color w:val="0E101A"/>
        </w:rPr>
      </w:pPr>
      <w:hyperlink r:id="rId7" w:tgtFrame="_blank" w:history="1">
        <w:r w:rsidR="00DF11B4" w:rsidRPr="00DF11B4">
          <w:rPr>
            <w:rStyle w:val="Hyperlink"/>
            <w:color w:val="auto"/>
            <w:u w:val="none"/>
          </w:rPr>
          <w:t>Gen. 19:1-38</w:t>
        </w:r>
      </w:hyperlink>
      <w:r w:rsidR="00DF11B4">
        <w:rPr>
          <w:color w:val="0E101A"/>
        </w:rPr>
        <w:t>; Lev. 18:22; Lev. 20:13, Rom. 1:26-27; 1 cor. 6:9-11; 1Tim. 1:9-10</w:t>
      </w:r>
    </w:p>
    <w:p w14:paraId="1E58639D" w14:textId="3FF24405" w:rsidR="00DF11B4" w:rsidRDefault="00DF11B4" w:rsidP="00C760D8">
      <w:pPr>
        <w:shd w:val="clear" w:color="auto" w:fill="FFFFFF"/>
        <w:spacing w:before="100" w:beforeAutospacing="1" w:after="100" w:afterAutospacing="1"/>
        <w:rPr>
          <w:rFonts w:ascii="baskerville-display-pt" w:hAnsi="baskerville-display-pt"/>
          <w:color w:val="222222"/>
          <w:spacing w:val="3"/>
          <w:sz w:val="27"/>
          <w:szCs w:val="27"/>
        </w:rPr>
      </w:pPr>
    </w:p>
    <w:p w14:paraId="4C284051" w14:textId="77777777" w:rsidR="00DF11B4" w:rsidRDefault="00DF11B4" w:rsidP="00C760D8">
      <w:pPr>
        <w:shd w:val="clear" w:color="auto" w:fill="FFFFFF"/>
        <w:spacing w:before="100" w:beforeAutospacing="1" w:after="100" w:afterAutospacing="1"/>
        <w:rPr>
          <w:rFonts w:ascii="baskerville-display-pt" w:hAnsi="baskerville-display-pt"/>
          <w:color w:val="222222"/>
          <w:spacing w:val="3"/>
          <w:sz w:val="27"/>
          <w:szCs w:val="27"/>
        </w:rPr>
      </w:pPr>
    </w:p>
    <w:sectPr w:rsidR="00DF11B4" w:rsidSect="000855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65C210" w14:textId="77777777" w:rsidR="00EF13F3" w:rsidRDefault="00EF13F3" w:rsidP="00433F07">
      <w:r>
        <w:separator/>
      </w:r>
    </w:p>
  </w:endnote>
  <w:endnote w:type="continuationSeparator" w:id="0">
    <w:p w14:paraId="64D27A46" w14:textId="77777777" w:rsidR="00EF13F3" w:rsidRDefault="00EF13F3" w:rsidP="00433F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baskerville-display-pt">
    <w:altName w:val="Baskerville Old Face"/>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4F0BDE" w14:textId="77777777" w:rsidR="00EF13F3" w:rsidRDefault="00EF13F3" w:rsidP="00433F07">
      <w:r>
        <w:separator/>
      </w:r>
    </w:p>
  </w:footnote>
  <w:footnote w:type="continuationSeparator" w:id="0">
    <w:p w14:paraId="4197B7B5" w14:textId="77777777" w:rsidR="00EF13F3" w:rsidRDefault="00EF13F3" w:rsidP="00433F0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F07"/>
    <w:rsid w:val="0008552C"/>
    <w:rsid w:val="00097DB0"/>
    <w:rsid w:val="000D3FA4"/>
    <w:rsid w:val="000E10C3"/>
    <w:rsid w:val="000E3036"/>
    <w:rsid w:val="001E66CF"/>
    <w:rsid w:val="002D6179"/>
    <w:rsid w:val="00300078"/>
    <w:rsid w:val="00302F55"/>
    <w:rsid w:val="003E2705"/>
    <w:rsid w:val="003E613D"/>
    <w:rsid w:val="00433F07"/>
    <w:rsid w:val="0046208A"/>
    <w:rsid w:val="00522393"/>
    <w:rsid w:val="005661EC"/>
    <w:rsid w:val="005D1F47"/>
    <w:rsid w:val="005D3011"/>
    <w:rsid w:val="005E2C94"/>
    <w:rsid w:val="00601CE0"/>
    <w:rsid w:val="00677D5E"/>
    <w:rsid w:val="00783A7B"/>
    <w:rsid w:val="008409C0"/>
    <w:rsid w:val="00857BAF"/>
    <w:rsid w:val="0091785B"/>
    <w:rsid w:val="00974EF4"/>
    <w:rsid w:val="009954EE"/>
    <w:rsid w:val="009A3978"/>
    <w:rsid w:val="009D0084"/>
    <w:rsid w:val="009D7231"/>
    <w:rsid w:val="00A17574"/>
    <w:rsid w:val="00BA3EE5"/>
    <w:rsid w:val="00BB23E2"/>
    <w:rsid w:val="00BC64A2"/>
    <w:rsid w:val="00BD5D74"/>
    <w:rsid w:val="00C0078D"/>
    <w:rsid w:val="00C07842"/>
    <w:rsid w:val="00C17487"/>
    <w:rsid w:val="00C70B8C"/>
    <w:rsid w:val="00C760D8"/>
    <w:rsid w:val="00CF010A"/>
    <w:rsid w:val="00CF6CF6"/>
    <w:rsid w:val="00D64E04"/>
    <w:rsid w:val="00DC583F"/>
    <w:rsid w:val="00DF11B4"/>
    <w:rsid w:val="00EF13F3"/>
    <w:rsid w:val="00F14250"/>
    <w:rsid w:val="00F44421"/>
    <w:rsid w:val="00FA4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4B897"/>
  <w15:docId w15:val="{6357BC99-CD54-4399-A75F-E64CA486C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3F07"/>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433F07"/>
    <w:rPr>
      <w:vertAlign w:val="superscript"/>
    </w:rPr>
  </w:style>
  <w:style w:type="paragraph" w:styleId="NormalWeb">
    <w:name w:val="Normal (Web)"/>
    <w:basedOn w:val="Normal"/>
    <w:uiPriority w:val="99"/>
    <w:semiHidden/>
    <w:unhideWhenUsed/>
    <w:rsid w:val="000E10C3"/>
    <w:pPr>
      <w:spacing w:before="100" w:beforeAutospacing="1" w:after="100" w:afterAutospacing="1"/>
    </w:pPr>
    <w:rPr>
      <w:sz w:val="24"/>
      <w:szCs w:val="24"/>
    </w:rPr>
  </w:style>
  <w:style w:type="character" w:styleId="Strong">
    <w:name w:val="Strong"/>
    <w:basedOn w:val="DefaultParagraphFont"/>
    <w:uiPriority w:val="22"/>
    <w:qFormat/>
    <w:rsid w:val="000E10C3"/>
    <w:rPr>
      <w:b/>
      <w:bCs/>
    </w:rPr>
  </w:style>
  <w:style w:type="character" w:styleId="Hyperlink">
    <w:name w:val="Hyperlink"/>
    <w:basedOn w:val="DefaultParagraphFont"/>
    <w:uiPriority w:val="99"/>
    <w:semiHidden/>
    <w:unhideWhenUsed/>
    <w:rsid w:val="000E10C3"/>
    <w:rPr>
      <w:color w:val="0000FF"/>
      <w:u w:val="single"/>
    </w:rPr>
  </w:style>
  <w:style w:type="character" w:styleId="Emphasis">
    <w:name w:val="Emphasis"/>
    <w:basedOn w:val="DefaultParagraphFont"/>
    <w:uiPriority w:val="20"/>
    <w:qFormat/>
    <w:rsid w:val="00DF11B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8171324">
      <w:bodyDiv w:val="1"/>
      <w:marLeft w:val="0"/>
      <w:marRight w:val="0"/>
      <w:marTop w:val="0"/>
      <w:marBottom w:val="0"/>
      <w:divBdr>
        <w:top w:val="none" w:sz="0" w:space="0" w:color="auto"/>
        <w:left w:val="none" w:sz="0" w:space="0" w:color="auto"/>
        <w:bottom w:val="none" w:sz="0" w:space="0" w:color="auto"/>
        <w:right w:val="none" w:sz="0" w:space="0" w:color="auto"/>
      </w:divBdr>
    </w:div>
    <w:div w:id="1197884779">
      <w:bodyDiv w:val="1"/>
      <w:marLeft w:val="0"/>
      <w:marRight w:val="0"/>
      <w:marTop w:val="0"/>
      <w:marBottom w:val="0"/>
      <w:divBdr>
        <w:top w:val="none" w:sz="0" w:space="0" w:color="auto"/>
        <w:left w:val="none" w:sz="0" w:space="0" w:color="auto"/>
        <w:bottom w:val="none" w:sz="0" w:space="0" w:color="auto"/>
        <w:right w:val="none" w:sz="0" w:space="0" w:color="auto"/>
      </w:divBdr>
    </w:div>
    <w:div w:id="1587960268">
      <w:bodyDiv w:val="1"/>
      <w:marLeft w:val="0"/>
      <w:marRight w:val="0"/>
      <w:marTop w:val="0"/>
      <w:marBottom w:val="0"/>
      <w:divBdr>
        <w:top w:val="none" w:sz="0" w:space="0" w:color="auto"/>
        <w:left w:val="none" w:sz="0" w:space="0" w:color="auto"/>
        <w:bottom w:val="none" w:sz="0" w:space="0" w:color="auto"/>
        <w:right w:val="none" w:sz="0" w:space="0" w:color="auto"/>
      </w:divBdr>
    </w:div>
    <w:div w:id="1630932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biblia.com/bible/nrsv/Gen%2019.1-38"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iblia.com/bible/nrsv/Gen%2019.1-38"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1060</Words>
  <Characters>6048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sa002</dc:creator>
  <cp:keywords/>
  <dc:description/>
  <cp:lastModifiedBy>BCOT .</cp:lastModifiedBy>
  <cp:revision>2</cp:revision>
  <dcterms:created xsi:type="dcterms:W3CDTF">2021-07-11T20:09:00Z</dcterms:created>
  <dcterms:modified xsi:type="dcterms:W3CDTF">2021-07-11T20:09:00Z</dcterms:modified>
</cp:coreProperties>
</file>