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114300</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tabs>
          <w:tab w:val="left" w:leader="none" w:pos="6540"/>
        </w:tabs>
        <w:spacing w:after="160" w:line="360" w:lineRule="auto"/>
        <w:rPr>
          <w:sz w:val="28"/>
          <w:szCs w:val="28"/>
        </w:rPr>
      </w:pPr>
      <w:r w:rsidDel="00000000" w:rsidR="00000000" w:rsidRPr="00000000">
        <w:rPr>
          <w:b w:val="1"/>
          <w:bCs w:val="1"/>
          <w:sz w:val="28"/>
          <w:szCs w:val="28"/>
          <w:rtl w:val="0"/>
        </w:rPr>
        <w:t xml:space="preserve">Student name</w:t>
      </w:r>
      <w:r w:rsidDel="00000000" w:rsidR="00000000" w:rsidRPr="00000000">
        <w:rPr>
          <w:sz w:val="28"/>
          <w:szCs w:val="28"/>
          <w:rtl w:val="0"/>
        </w:rPr>
        <w:t xml:space="preserve">: Adriana Ilona Rana-Ryng</w:t>
      </w:r>
    </w:p>
    <w:p w:rsidR="00000000" w:rsidDel="00000000" w:rsidP="00000000" w:rsidRDefault="00000000" w:rsidRPr="00000000" w14:paraId="00000007">
      <w:pPr>
        <w:tabs>
          <w:tab w:val="left" w:leader="none" w:pos="6540"/>
        </w:tabs>
        <w:spacing w:after="160" w:line="360" w:lineRule="auto"/>
        <w:rPr>
          <w:sz w:val="28"/>
          <w:szCs w:val="28"/>
        </w:rPr>
      </w:pPr>
      <w:r w:rsidDel="00000000" w:rsidR="00000000" w:rsidRPr="00000000">
        <w:rPr>
          <w:b w:val="1"/>
          <w:bCs w:val="1"/>
          <w:sz w:val="28"/>
          <w:szCs w:val="28"/>
          <w:rtl w:val="0"/>
        </w:rPr>
        <w:t xml:space="preserve">Student ID</w:t>
      </w:r>
      <w:r w:rsidDel="00000000" w:rsidR="00000000" w:rsidRPr="00000000">
        <w:rPr>
          <w:sz w:val="28"/>
          <w:szCs w:val="28"/>
          <w:rtl w:val="0"/>
        </w:rPr>
        <w:t xml:space="preserve">: 2430426</w:t>
      </w:r>
    </w:p>
    <w:p w:rsidR="00000000" w:rsidDel="00000000" w:rsidP="00000000" w:rsidRDefault="00000000" w:rsidRPr="00000000" w14:paraId="00000008">
      <w:pPr>
        <w:tabs>
          <w:tab w:val="left" w:leader="none" w:pos="6540"/>
        </w:tabs>
        <w:spacing w:after="160" w:line="360" w:lineRule="auto"/>
        <w:rPr>
          <w:sz w:val="28"/>
          <w:szCs w:val="28"/>
        </w:rPr>
      </w:pPr>
      <w:r w:rsidDel="00000000" w:rsidR="00000000" w:rsidRPr="00000000">
        <w:rPr>
          <w:b w:val="1"/>
          <w:bCs w:val="1"/>
          <w:sz w:val="28"/>
          <w:szCs w:val="28"/>
          <w:rtl w:val="0"/>
        </w:rPr>
        <w:t xml:space="preserve">Module name</w:t>
      </w:r>
      <w:r w:rsidDel="00000000" w:rsidR="00000000" w:rsidRPr="00000000">
        <w:rPr>
          <w:sz w:val="28"/>
          <w:szCs w:val="28"/>
          <w:rtl w:val="0"/>
        </w:rPr>
        <w:t xml:space="preserve">: Introduction to Independent Research Skills.</w:t>
      </w:r>
    </w:p>
    <w:p w:rsidR="00000000" w:rsidDel="00000000" w:rsidP="00000000" w:rsidRDefault="00000000" w:rsidRPr="00000000" w14:paraId="00000009">
      <w:pPr>
        <w:tabs>
          <w:tab w:val="left" w:leader="none" w:pos="6540"/>
        </w:tabs>
        <w:spacing w:after="160" w:line="360" w:lineRule="auto"/>
        <w:rPr>
          <w:sz w:val="28"/>
          <w:szCs w:val="28"/>
        </w:rPr>
      </w:pPr>
      <w:r w:rsidDel="00000000" w:rsidR="00000000" w:rsidRPr="00000000">
        <w:rPr>
          <w:b w:val="1"/>
          <w:bCs w:val="1"/>
          <w:sz w:val="28"/>
          <w:szCs w:val="28"/>
          <w:rtl w:val="0"/>
        </w:rPr>
        <w:t xml:space="preserve">Module code</w:t>
      </w:r>
      <w:r w:rsidDel="00000000" w:rsidR="00000000" w:rsidRPr="00000000">
        <w:rPr>
          <w:sz w:val="28"/>
          <w:szCs w:val="28"/>
          <w:rtl w:val="0"/>
        </w:rPr>
        <w:t xml:space="preserve">: BMHP 5019.</w:t>
      </w:r>
    </w:p>
    <w:p w:rsidR="00000000" w:rsidDel="00000000" w:rsidP="00000000" w:rsidRDefault="00000000" w:rsidRPr="00000000" w14:paraId="0000000A">
      <w:pPr>
        <w:tabs>
          <w:tab w:val="left" w:leader="none" w:pos="6540"/>
        </w:tabs>
        <w:spacing w:after="160" w:line="360" w:lineRule="auto"/>
        <w:rPr>
          <w:sz w:val="28"/>
          <w:szCs w:val="28"/>
        </w:rPr>
      </w:pPr>
      <w:r w:rsidDel="00000000" w:rsidR="00000000" w:rsidRPr="00000000">
        <w:rPr>
          <w:b w:val="1"/>
          <w:bCs w:val="1"/>
          <w:sz w:val="28"/>
          <w:szCs w:val="28"/>
          <w:rtl w:val="0"/>
        </w:rPr>
        <w:t xml:space="preserve">Lecturer name</w:t>
      </w:r>
      <w:r w:rsidDel="00000000" w:rsidR="00000000" w:rsidRPr="00000000">
        <w:rPr>
          <w:sz w:val="28"/>
          <w:szCs w:val="28"/>
          <w:rtl w:val="0"/>
        </w:rPr>
        <w:t xml:space="preserve">: Muhammad Aliyu.</w:t>
      </w:r>
    </w:p>
    <w:p w:rsidR="00000000" w:rsidDel="00000000" w:rsidP="00000000" w:rsidRDefault="00000000" w:rsidRPr="00000000" w14:paraId="0000000B">
      <w:pPr>
        <w:rPr>
          <w:sz w:val="28"/>
          <w:szCs w:val="28"/>
        </w:rPr>
      </w:pPr>
      <w:r w:rsidDel="00000000" w:rsidR="00000000" w:rsidRPr="00000000">
        <w:rPr>
          <w:b w:val="1"/>
          <w:bCs w:val="1"/>
          <w:sz w:val="28"/>
          <w:szCs w:val="28"/>
          <w:rtl w:val="0"/>
        </w:rPr>
        <w:t xml:space="preserve">Component 1</w:t>
      </w:r>
      <w:r w:rsidDel="00000000" w:rsidR="00000000" w:rsidRPr="00000000">
        <w:rPr>
          <w:sz w:val="28"/>
          <w:szCs w:val="28"/>
          <w:rtl w:val="0"/>
        </w:rPr>
        <w:t xml:space="preserve">: Writing Assignment - Research proposal.</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sz w:val="34"/>
          <w:szCs w:val="34"/>
        </w:rPr>
      </w:pPr>
      <w:r w:rsidDel="00000000" w:rsidR="00000000" w:rsidRPr="00000000">
        <w:rPr>
          <w:sz w:val="34"/>
          <w:szCs w:val="34"/>
          <w:rtl w:val="0"/>
        </w:rPr>
        <w:t xml:space="preserve">The role of genetic testing in predicting the risk of Parkinson's disease in the UK: proposal a scoping review.</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spacing w:after="240" w:line="360" w:lineRule="auto"/>
        <w:rPr>
          <w:b w:val="1"/>
          <w:bCs w:val="1"/>
          <w:sz w:val="30"/>
          <w:szCs w:val="30"/>
        </w:rPr>
      </w:pPr>
      <w:r w:rsidDel="00000000" w:rsidR="00000000" w:rsidRPr="00000000">
        <w:rPr>
          <w:b w:val="1"/>
          <w:bCs w:val="1"/>
          <w:sz w:val="30"/>
          <w:szCs w:val="30"/>
          <w:rtl w:val="0"/>
        </w:rPr>
        <w:t xml:space="preserve">Table of contents:</w:t>
      </w:r>
    </w:p>
    <w:p w:rsidR="00000000" w:rsidDel="00000000" w:rsidP="00000000" w:rsidRDefault="00000000" w:rsidRPr="00000000" w14:paraId="0000001A">
      <w:pPr>
        <w:numPr>
          <w:ilvl w:val="0"/>
          <w:numId w:val="1"/>
        </w:numPr>
        <w:ind w:left="720" w:hanging="360"/>
        <w:rPr>
          <w:sz w:val="30"/>
          <w:szCs w:val="30"/>
        </w:rPr>
      </w:pPr>
      <w:r w:rsidDel="00000000" w:rsidR="00000000" w:rsidRPr="00000000">
        <w:rPr>
          <w:sz w:val="30"/>
          <w:szCs w:val="30"/>
          <w:rtl w:val="0"/>
        </w:rPr>
        <w:t xml:space="preserve">Introduction.</w:t>
      </w:r>
    </w:p>
    <w:p w:rsidR="00000000" w:rsidDel="00000000" w:rsidP="00000000" w:rsidRDefault="00000000" w:rsidRPr="00000000" w14:paraId="0000001B">
      <w:pPr>
        <w:numPr>
          <w:ilvl w:val="0"/>
          <w:numId w:val="1"/>
        </w:numPr>
        <w:ind w:left="720" w:hanging="360"/>
        <w:rPr>
          <w:sz w:val="30"/>
          <w:szCs w:val="30"/>
        </w:rPr>
      </w:pPr>
      <w:r w:rsidDel="00000000" w:rsidR="00000000" w:rsidRPr="00000000">
        <w:rPr>
          <w:sz w:val="30"/>
          <w:szCs w:val="30"/>
          <w:rtl w:val="0"/>
        </w:rPr>
        <w:t xml:space="preserve">Review question.</w:t>
      </w:r>
    </w:p>
    <w:p w:rsidR="00000000" w:rsidDel="00000000" w:rsidP="00000000" w:rsidRDefault="00000000" w:rsidRPr="00000000" w14:paraId="0000001C">
      <w:pPr>
        <w:numPr>
          <w:ilvl w:val="0"/>
          <w:numId w:val="1"/>
        </w:numPr>
        <w:ind w:left="720" w:hanging="360"/>
        <w:rPr>
          <w:sz w:val="30"/>
          <w:szCs w:val="30"/>
        </w:rPr>
      </w:pPr>
      <w:r w:rsidDel="00000000" w:rsidR="00000000" w:rsidRPr="00000000">
        <w:rPr>
          <w:sz w:val="30"/>
          <w:szCs w:val="30"/>
          <w:rtl w:val="0"/>
        </w:rPr>
        <w:t xml:space="preserve">In this objective review we will answer the questions.</w:t>
      </w:r>
    </w:p>
    <w:p w:rsidR="00000000" w:rsidDel="00000000" w:rsidP="00000000" w:rsidRDefault="00000000" w:rsidRPr="00000000" w14:paraId="0000001D">
      <w:pPr>
        <w:numPr>
          <w:ilvl w:val="0"/>
          <w:numId w:val="1"/>
        </w:numPr>
        <w:ind w:left="720" w:hanging="360"/>
        <w:rPr>
          <w:sz w:val="30"/>
          <w:szCs w:val="30"/>
        </w:rPr>
      </w:pPr>
      <w:r w:rsidDel="00000000" w:rsidR="00000000" w:rsidRPr="00000000">
        <w:rPr>
          <w:sz w:val="30"/>
          <w:szCs w:val="30"/>
          <w:rtl w:val="0"/>
        </w:rPr>
        <w:t xml:space="preserve">Rationale.</w:t>
      </w:r>
    </w:p>
    <w:p w:rsidR="00000000" w:rsidDel="00000000" w:rsidP="00000000" w:rsidRDefault="00000000" w:rsidRPr="00000000" w14:paraId="0000001E">
      <w:pPr>
        <w:numPr>
          <w:ilvl w:val="0"/>
          <w:numId w:val="1"/>
        </w:numPr>
        <w:ind w:left="720" w:hanging="360"/>
        <w:rPr>
          <w:sz w:val="30"/>
          <w:szCs w:val="30"/>
        </w:rPr>
      </w:pPr>
      <w:r w:rsidDel="00000000" w:rsidR="00000000" w:rsidRPr="00000000">
        <w:rPr>
          <w:sz w:val="30"/>
          <w:szCs w:val="30"/>
          <w:rtl w:val="0"/>
        </w:rPr>
        <w:t xml:space="preserve">Methods and ethical considerations.</w:t>
      </w:r>
    </w:p>
    <w:p w:rsidR="00000000" w:rsidDel="00000000" w:rsidP="00000000" w:rsidRDefault="00000000" w:rsidRPr="00000000" w14:paraId="0000001F">
      <w:pPr>
        <w:numPr>
          <w:ilvl w:val="0"/>
          <w:numId w:val="1"/>
        </w:numPr>
        <w:ind w:left="720" w:hanging="360"/>
        <w:rPr>
          <w:sz w:val="26"/>
          <w:szCs w:val="26"/>
        </w:rPr>
      </w:pPr>
      <w:r w:rsidDel="00000000" w:rsidR="00000000" w:rsidRPr="00000000">
        <w:rPr>
          <w:sz w:val="30"/>
          <w:szCs w:val="30"/>
          <w:rtl w:val="0"/>
        </w:rPr>
        <w:t xml:space="preserve">References</w:t>
      </w:r>
      <w:r w:rsidDel="00000000" w:rsidR="00000000" w:rsidRPr="00000000">
        <w:rPr>
          <w:sz w:val="26"/>
          <w:szCs w:val="26"/>
          <w:rtl w:val="0"/>
        </w:rPr>
        <w:t xml:space="preserve">.</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spacing w:after="240" w:before="240" w:lineRule="auto"/>
        <w:rPr/>
      </w:pPr>
      <w:r w:rsidDel="00000000" w:rsidR="00000000" w:rsidRPr="00000000">
        <w:rPr>
          <w:b w:val="1"/>
          <w:bCs w:val="1"/>
          <w:sz w:val="24"/>
          <w:szCs w:val="24"/>
          <w:rtl w:val="0"/>
        </w:rPr>
        <w:t xml:space="preserve">Introduction</w:t>
      </w:r>
      <w:r w:rsidDel="00000000" w:rsidR="00000000" w:rsidRPr="00000000">
        <w:rPr>
          <w:rtl w:val="0"/>
        </w:rPr>
        <w:t xml:space="preserve">.</w:t>
      </w:r>
    </w:p>
    <w:p w:rsidR="00000000" w:rsidDel="00000000" w:rsidP="00000000" w:rsidRDefault="00000000" w:rsidRPr="00000000" w14:paraId="00000026">
      <w:pPr>
        <w:spacing w:after="240" w:before="240" w:lineRule="auto"/>
        <w:rPr/>
      </w:pPr>
      <w:r w:rsidDel="00000000" w:rsidR="00000000" w:rsidRPr="00000000">
        <w:rPr>
          <w:rtl w:val="0"/>
        </w:rPr>
        <w:t xml:space="preserve">Parkinson’s disease (PD) is a neurological disorder affecting individuals, families and health care services. Variants in genes such as LRRK2, SNCA and GBA can increase PD risk (Dulski et al., 2024; Gasser, 2023).</w:t>
      </w:r>
    </w:p>
    <w:p w:rsidR="00000000" w:rsidDel="00000000" w:rsidP="00000000" w:rsidRDefault="00000000" w:rsidRPr="00000000" w14:paraId="00000027">
      <w:pPr>
        <w:spacing w:after="240" w:before="240" w:lineRule="auto"/>
        <w:rPr>
          <w:b w:val="1"/>
          <w:bCs w:val="1"/>
          <w:sz w:val="24"/>
          <w:szCs w:val="24"/>
        </w:rPr>
      </w:pPr>
      <w:r w:rsidDel="00000000" w:rsidR="00000000" w:rsidRPr="00000000">
        <w:rPr>
          <w:b w:val="1"/>
          <w:bCs w:val="1"/>
          <w:sz w:val="24"/>
          <w:szCs w:val="24"/>
          <w:rtl w:val="0"/>
        </w:rPr>
        <w:t xml:space="preserve">Review question.</w:t>
      </w:r>
    </w:p>
    <w:p w:rsidR="00000000" w:rsidDel="00000000" w:rsidP="00000000" w:rsidRDefault="00000000" w:rsidRPr="00000000" w14:paraId="00000028">
      <w:pPr>
        <w:spacing w:after="240" w:before="240" w:lineRule="auto"/>
        <w:rPr/>
      </w:pPr>
      <w:r w:rsidDel="00000000" w:rsidR="00000000" w:rsidRPr="00000000">
        <w:rPr>
          <w:rtl w:val="0"/>
        </w:rPr>
        <w:t xml:space="preserve">How important and effective is genetic testing for predicting Parkinson’s disease (PD) risk in the UK?</w:t>
      </w:r>
    </w:p>
    <w:p w:rsidR="00000000" w:rsidDel="00000000" w:rsidP="00000000" w:rsidRDefault="00000000" w:rsidRPr="00000000" w14:paraId="00000029">
      <w:pPr>
        <w:spacing w:after="240" w:before="240" w:lineRule="auto"/>
        <w:rPr/>
      </w:pPr>
      <w:r w:rsidDel="00000000" w:rsidR="00000000" w:rsidRPr="00000000">
        <w:rPr>
          <w:rtl w:val="0"/>
        </w:rPr>
      </w:r>
    </w:p>
    <w:p w:rsidR="00000000" w:rsidDel="00000000" w:rsidP="00000000" w:rsidRDefault="00000000" w:rsidRPr="00000000" w14:paraId="0000002A">
      <w:pPr>
        <w:spacing w:after="240" w:before="240" w:lineRule="auto"/>
        <w:rPr>
          <w:b w:val="1"/>
          <w:bCs w:val="1"/>
          <w:sz w:val="24"/>
          <w:szCs w:val="24"/>
        </w:rPr>
      </w:pPr>
      <w:r w:rsidDel="00000000" w:rsidR="00000000" w:rsidRPr="00000000">
        <w:rPr>
          <w:b w:val="1"/>
          <w:bCs w:val="1"/>
          <w:sz w:val="24"/>
          <w:szCs w:val="24"/>
          <w:rtl w:val="0"/>
        </w:rPr>
        <w:t xml:space="preserve">The objective review.</w:t>
      </w:r>
    </w:p>
    <w:p w:rsidR="00000000" w:rsidDel="00000000" w:rsidP="00000000" w:rsidRDefault="00000000" w:rsidRPr="00000000" w14:paraId="0000002B">
      <w:pPr>
        <w:spacing w:after="240" w:before="240" w:lineRule="auto"/>
        <w:rPr/>
      </w:pPr>
      <w:r w:rsidDel="00000000" w:rsidR="00000000" w:rsidRPr="00000000">
        <w:rPr>
          <w:rtl w:val="0"/>
        </w:rPr>
      </w:r>
    </w:p>
    <w:p w:rsidR="00000000" w:rsidDel="00000000" w:rsidP="00000000" w:rsidRDefault="00000000" w:rsidRPr="00000000" w14:paraId="0000002C">
      <w:pPr>
        <w:numPr>
          <w:ilvl w:val="0"/>
          <w:numId w:val="2"/>
        </w:numPr>
        <w:spacing w:after="0" w:afterAutospacing="0" w:before="240" w:lineRule="auto"/>
        <w:ind w:left="720" w:hanging="360"/>
        <w:rPr>
          <w:u w:val="none"/>
        </w:rPr>
      </w:pPr>
      <w:r w:rsidDel="00000000" w:rsidR="00000000" w:rsidRPr="00000000">
        <w:rPr>
          <w:rtl w:val="0"/>
        </w:rPr>
        <w:t xml:space="preserve">How genetic variants are linked to increased risk of PD?.</w:t>
      </w:r>
    </w:p>
    <w:p w:rsidR="00000000" w:rsidDel="00000000" w:rsidP="00000000" w:rsidRDefault="00000000" w:rsidRPr="00000000" w14:paraId="0000002D">
      <w:pPr>
        <w:numPr>
          <w:ilvl w:val="0"/>
          <w:numId w:val="2"/>
        </w:numPr>
        <w:spacing w:after="0" w:afterAutospacing="0" w:before="0" w:beforeAutospacing="0" w:lineRule="auto"/>
        <w:ind w:left="720" w:hanging="360"/>
        <w:rPr>
          <w:u w:val="none"/>
        </w:rPr>
      </w:pPr>
      <w:r w:rsidDel="00000000" w:rsidR="00000000" w:rsidRPr="00000000">
        <w:rPr>
          <w:rtl w:val="0"/>
        </w:rPr>
        <w:t xml:space="preserve">Which genetic testing can identify/increase risk of PD?.</w:t>
      </w:r>
    </w:p>
    <w:p w:rsidR="00000000" w:rsidDel="00000000" w:rsidP="00000000" w:rsidRDefault="00000000" w:rsidRPr="00000000" w14:paraId="0000002E">
      <w:pPr>
        <w:numPr>
          <w:ilvl w:val="0"/>
          <w:numId w:val="2"/>
        </w:numPr>
        <w:spacing w:after="0" w:afterAutospacing="0" w:before="0" w:beforeAutospacing="0" w:lineRule="auto"/>
        <w:ind w:left="720" w:hanging="360"/>
        <w:rPr>
          <w:u w:val="none"/>
        </w:rPr>
      </w:pPr>
      <w:r w:rsidDel="00000000" w:rsidR="00000000" w:rsidRPr="00000000">
        <w:rPr>
          <w:rtl w:val="0"/>
        </w:rPr>
        <w:t xml:space="preserve">The ethical and legal issues related to the use of genetic information for the early risk identification of PD in the UK?.</w:t>
      </w:r>
    </w:p>
    <w:p w:rsidR="00000000" w:rsidDel="00000000" w:rsidP="00000000" w:rsidRDefault="00000000" w:rsidRPr="00000000" w14:paraId="0000002F">
      <w:pPr>
        <w:numPr>
          <w:ilvl w:val="0"/>
          <w:numId w:val="2"/>
        </w:numPr>
        <w:spacing w:after="0" w:afterAutospacing="0" w:before="0" w:beforeAutospacing="0" w:lineRule="auto"/>
        <w:ind w:left="720" w:hanging="360"/>
        <w:rPr>
          <w:u w:val="none"/>
        </w:rPr>
      </w:pPr>
      <w:r w:rsidDel="00000000" w:rsidR="00000000" w:rsidRPr="00000000">
        <w:rPr>
          <w:rtl w:val="0"/>
        </w:rPr>
        <w:t xml:space="preserve">The researchers have identified: the limitations and strengths of the research method regarding genetic testing for preventing PD in the UK - implication.</w:t>
      </w:r>
    </w:p>
    <w:p w:rsidR="00000000" w:rsidDel="00000000" w:rsidP="00000000" w:rsidRDefault="00000000" w:rsidRPr="00000000" w14:paraId="00000030">
      <w:pPr>
        <w:numPr>
          <w:ilvl w:val="0"/>
          <w:numId w:val="2"/>
        </w:numPr>
        <w:spacing w:after="240" w:before="0" w:beforeAutospacing="0" w:lineRule="auto"/>
        <w:ind w:left="720" w:hanging="360"/>
      </w:pPr>
      <w:r w:rsidDel="00000000" w:rsidR="00000000" w:rsidRPr="00000000">
        <w:rPr>
          <w:rtl w:val="0"/>
        </w:rPr>
        <w:t xml:space="preserve">Will genetic risk factors be useful for prevention-orientated interventions that focus on lifestyle, environmental changes and genetic testing?.</w:t>
      </w:r>
    </w:p>
    <w:p w:rsidR="00000000" w:rsidDel="00000000" w:rsidP="00000000" w:rsidRDefault="00000000" w:rsidRPr="00000000" w14:paraId="00000031">
      <w:pPr>
        <w:spacing w:after="240" w:before="240" w:lineRule="auto"/>
        <w:rPr/>
      </w:pPr>
      <w:r w:rsidDel="00000000" w:rsidR="00000000" w:rsidRPr="00000000">
        <w:rPr>
          <w:rtl w:val="0"/>
        </w:rPr>
      </w:r>
    </w:p>
    <w:p w:rsidR="00000000" w:rsidDel="00000000" w:rsidP="00000000" w:rsidRDefault="00000000" w:rsidRPr="00000000" w14:paraId="00000032">
      <w:pPr>
        <w:spacing w:after="240" w:before="240" w:lineRule="auto"/>
        <w:rPr>
          <w:b w:val="1"/>
          <w:bCs w:val="1"/>
          <w:sz w:val="24"/>
          <w:szCs w:val="24"/>
        </w:rPr>
      </w:pPr>
      <w:r w:rsidDel="00000000" w:rsidR="00000000" w:rsidRPr="00000000">
        <w:rPr>
          <w:b w:val="1"/>
          <w:bCs w:val="1"/>
          <w:sz w:val="24"/>
          <w:szCs w:val="24"/>
          <w:rtl w:val="0"/>
        </w:rPr>
        <w:t xml:space="preserve">Rationale.</w:t>
      </w:r>
    </w:p>
    <w:p w:rsidR="00000000" w:rsidDel="00000000" w:rsidP="00000000" w:rsidRDefault="00000000" w:rsidRPr="00000000" w14:paraId="00000033">
      <w:pPr>
        <w:spacing w:after="240" w:before="240" w:lineRule="auto"/>
        <w:rPr/>
      </w:pPr>
      <w:r w:rsidDel="00000000" w:rsidR="00000000" w:rsidRPr="00000000">
        <w:rPr>
          <w:rtl w:val="0"/>
        </w:rPr>
        <w:t xml:space="preserve">PD has multifactorial causes as genetic, environmental and lifestyle factors (Parkinson’s UK, nd; Reynoso et al., 2024; Brolin et al., 2025). Genetic tests may help with the identification of  PD risk; however, predicting this and white value for prevention is uncertain. Future research must address the gaps between genetic susceptibility and clinical outcomes before routine use. </w:t>
      </w:r>
    </w:p>
    <w:p w:rsidR="00000000" w:rsidDel="00000000" w:rsidP="00000000" w:rsidRDefault="00000000" w:rsidRPr="00000000" w14:paraId="00000034">
      <w:pPr>
        <w:spacing w:after="240" w:before="240" w:lineRule="auto"/>
        <w:rPr/>
      </w:pPr>
      <w:r w:rsidDel="00000000" w:rsidR="00000000" w:rsidRPr="00000000">
        <w:rPr>
          <w:rtl w:val="0"/>
        </w:rPr>
        <w:t xml:space="preserve">Studies that identify individuals at risk for early preventative interventions may be useful (Ng et al., 2024; Blauwendraat et al., 2025). Currently not found any evidence of funding to support the claim that genetic testing or lifestyle modification can prevent Parkinson’s disease in genetically susceptible individuals (Cook et al., 2021; Menozzi et al., 2023). Individuals with PD receive multidisciplinary care with the right for choice (NICE, 2017). Predictive genetic testing poses ethical issues of patient autonomy, informed consent and the involvement of appropriate specialists (Dheensa, Fenwick and Lucassen, 2020; Schaeffer et al., 2024).</w:t>
      </w:r>
    </w:p>
    <w:p w:rsidR="00000000" w:rsidDel="00000000" w:rsidP="00000000" w:rsidRDefault="00000000" w:rsidRPr="00000000" w14:paraId="00000035">
      <w:pPr>
        <w:spacing w:after="240" w:before="240" w:lineRule="auto"/>
        <w:rPr/>
      </w:pPr>
      <w:r w:rsidDel="00000000" w:rsidR="00000000" w:rsidRPr="00000000">
        <w:rPr>
          <w:rtl w:val="0"/>
        </w:rPr>
        <w:t xml:space="preserve">Although genetic testing identifies Parkinson’s disease risk, its predictive accuracy and preventive value remain uncertain. A difference between genetic susceptibility and clinical outcomes highlights limitations requiring further research before routine implementation. A scoping review would be an appropriate methodology to describe the state of current evidence that field and identify gaps.</w:t>
      </w:r>
    </w:p>
    <w:p w:rsidR="00000000" w:rsidDel="00000000" w:rsidP="00000000" w:rsidRDefault="00000000" w:rsidRPr="00000000" w14:paraId="00000036">
      <w:pPr>
        <w:spacing w:after="240" w:before="240" w:lineRule="auto"/>
        <w:rPr/>
      </w:pPr>
      <w:r w:rsidDel="00000000" w:rsidR="00000000" w:rsidRPr="00000000">
        <w:rPr>
          <w:rtl w:val="0"/>
        </w:rPr>
      </w:r>
    </w:p>
    <w:p w:rsidR="00000000" w:rsidDel="00000000" w:rsidP="00000000" w:rsidRDefault="00000000" w:rsidRPr="00000000" w14:paraId="00000037">
      <w:pPr>
        <w:spacing w:after="240" w:before="240" w:lineRule="auto"/>
        <w:rPr>
          <w:b w:val="1"/>
          <w:bCs w:val="1"/>
          <w:sz w:val="24"/>
          <w:szCs w:val="24"/>
        </w:rPr>
      </w:pPr>
      <w:r w:rsidDel="00000000" w:rsidR="00000000" w:rsidRPr="00000000">
        <w:rPr>
          <w:b w:val="1"/>
          <w:bCs w:val="1"/>
          <w:sz w:val="24"/>
          <w:szCs w:val="24"/>
          <w:rtl w:val="0"/>
        </w:rPr>
        <w:t xml:space="preserve">Methods and ethical considerations.</w:t>
      </w:r>
    </w:p>
    <w:p w:rsidR="00000000" w:rsidDel="00000000" w:rsidP="00000000" w:rsidRDefault="00000000" w:rsidRPr="00000000" w14:paraId="00000038">
      <w:pPr>
        <w:spacing w:after="240" w:before="240" w:lineRule="auto"/>
        <w:rPr/>
      </w:pPr>
      <w:r w:rsidDel="00000000" w:rsidR="00000000" w:rsidRPr="00000000">
        <w:rPr>
          <w:rtl w:val="0"/>
        </w:rPr>
      </w:r>
    </w:p>
    <w:p w:rsidR="00000000" w:rsidDel="00000000" w:rsidP="00000000" w:rsidRDefault="00000000" w:rsidRPr="00000000" w14:paraId="00000039">
      <w:pPr>
        <w:spacing w:after="240" w:before="240" w:lineRule="auto"/>
        <w:rPr/>
      </w:pPr>
      <w:r w:rsidDel="00000000" w:rsidR="00000000" w:rsidRPr="00000000">
        <w:rPr>
          <w:rtl w:val="0"/>
        </w:rPr>
        <w:t xml:space="preserve">The review will follow JBI methodology and PRISMA-ScR guidelines. PubMed, CINAHL and Scopus will be searched using terms including ‘Parkinson’s disease’, ‘genetic testing’, ‘genetic risk’, ‘LRRK2’, ‘SNCA’, ‘GBA’, ‘prediction’ and ‘prevention’. Studies will be selected using predefined eligibility criteria, including relevance, publication date, study design and UK applicability. Data will be charted in a table, and findings will highlight methodological strengths and limitations. Although the review involves no direct participant contact, it will address academic integrity, accurate evidence reporting, referencing and plagiarism. Ethical issues regarding prediction in genetic testing with autonomy and risk communication are discussed.</w:t>
      </w:r>
    </w:p>
    <w:p w:rsidR="00000000" w:rsidDel="00000000" w:rsidP="00000000" w:rsidRDefault="00000000" w:rsidRPr="00000000" w14:paraId="0000003A">
      <w:pPr>
        <w:spacing w:after="240" w:before="240" w:lineRule="auto"/>
        <w:rPr/>
      </w:pPr>
      <w:r w:rsidDel="00000000" w:rsidR="00000000" w:rsidRPr="00000000">
        <w:rPr>
          <w:rtl w:val="0"/>
        </w:rPr>
      </w:r>
    </w:p>
    <w:p w:rsidR="00000000" w:rsidDel="00000000" w:rsidP="00000000" w:rsidRDefault="00000000" w:rsidRPr="00000000" w14:paraId="0000003B">
      <w:pPr>
        <w:rPr>
          <w:b w:val="1"/>
          <w:bCs w:val="1"/>
          <w:sz w:val="24"/>
          <w:szCs w:val="24"/>
        </w:rPr>
      </w:pPr>
      <w:r w:rsidDel="00000000" w:rsidR="00000000" w:rsidRPr="00000000">
        <w:rPr>
          <w:b w:val="1"/>
          <w:bCs w:val="1"/>
          <w:sz w:val="24"/>
          <w:szCs w:val="24"/>
          <w:rtl w:val="0"/>
        </w:rPr>
        <w:t xml:space="preserve">References: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Blauwendraat, C., Morris, H.R., Van Keuren-Jensen, K., Noyce, A.J. and Singleton, A.B. (2025) ‘The temporal order of genetic, environmental, and pathological risk factors in Parkinson’s disease: paving the way to prevention’, The Lancet Neurology, 24(11), pp. 969–975. doi: 10.1016/S1474-4422(25)00271-6.</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Brolin, K.A., Schaeffer, E., Kuri, A., Rumrich, I.K., Schumacher Schuh, A.F., Darweesh, S.K.L., Kaasinen, V., Tolppanen, A.M., Chahine, L.M. and Noyce, A.J. (2025) ‘Environmental risk factors for Parkinson’s disease: a critical review and policy implications’, Movement Disorders, 40(2), pp. 204–221. doi: 10.1002/mds.30067.</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Cook, L., Tosun, D., Aarsland, D. et al. (2021) ‘Genetic testing for Parkinson disease: Are we ready?’, Neurology: Clinical Practice, 11(1), pp. 69–77. doi: 10.1212/CPJ.0000000000000831.</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Dheensa, S., Fenwick, A. and Lucassen, A. (2020) ‘Genetic testing for neurodegenerative diseases: ethical and health communication challenges’, Frontiers in Genetics, 11, 433. doi: 10.3389/fgene.2020.00433.</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Dulski, J. et al. (2024) ‘Genetics of Parkinson’s disease: state-of-the-art and role in clinical settings’, Neurologia i Neurochirurgia Polska, 58(1), pp. 38–46. doi: 10.5603/pjnns.97806.</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Gasser, T. (2023) ‘Genetic testing in Parkinson’s disease’, Journal of Neural Transmission, 130, pp. 1–10.</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Menozzi, E. et al. (2023) ‘[Genetic risk and penetrance in Parkinson’s disease]’, Current Opinion in Neurology, 36, pp. 1–8.</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National Institute for Health and Care Excellence (NICE) (2017) Parkinson’s disease in adults. NICE guideline NG71. Available at: https://www.nice.org.uk/guidance/ng71 (Accessed: 10 October 2026).</w:t>
      </w:r>
    </w:p>
    <w:p w:rsidR="00000000" w:rsidDel="00000000" w:rsidP="00000000" w:rsidRDefault="00000000" w:rsidRPr="00000000" w14:paraId="0000004C">
      <w:pPr>
        <w:spacing w:after="240" w:before="240" w:lineRule="auto"/>
        <w:rPr/>
      </w:pPr>
      <w:r w:rsidDel="00000000" w:rsidR="00000000" w:rsidRPr="00000000">
        <w:rPr>
          <w:rtl w:val="0"/>
        </w:rPr>
        <w:t xml:space="preserve">Ng, M.G., Chan, B.J.L., Koh, R.Y., Ng, K.Y. and Chye, S.M. (2024) ‘Prevention of Parkinson’s Disease: From Risk Factors to Early Interventions’, </w:t>
      </w:r>
      <w:r w:rsidDel="00000000" w:rsidR="00000000" w:rsidRPr="00000000">
        <w:rPr>
          <w:i w:val="1"/>
          <w:iCs w:val="1"/>
          <w:rtl w:val="0"/>
        </w:rPr>
        <w:t xml:space="preserve">CNS &amp; Neurological Disorders - Drug Targets</w:t>
      </w:r>
      <w:r w:rsidDel="00000000" w:rsidR="00000000" w:rsidRPr="00000000">
        <w:rPr>
          <w:rtl w:val="0"/>
        </w:rPr>
        <w:t xml:space="preserve">, 23(6), pp. 746–760. doi: 10.2174/1871527322666230616092054.</w:t>
      </w:r>
    </w:p>
    <w:p w:rsidR="00000000" w:rsidDel="00000000" w:rsidP="00000000" w:rsidRDefault="00000000" w:rsidRPr="00000000" w14:paraId="0000004D">
      <w:pPr>
        <w:spacing w:after="240" w:before="240" w:lineRule="auto"/>
        <w:rPr/>
      </w:pPr>
      <w:r w:rsidDel="00000000" w:rsidR="00000000" w:rsidRPr="00000000">
        <w:rPr>
          <w:rtl w:val="0"/>
        </w:rPr>
        <w:t xml:space="preserve">Parkinson’s UK (n.d.) </w:t>
      </w:r>
      <w:r w:rsidDel="00000000" w:rsidR="00000000" w:rsidRPr="00000000">
        <w:rPr>
          <w:i w:val="1"/>
          <w:iCs w:val="1"/>
          <w:rtl w:val="0"/>
        </w:rPr>
        <w:t xml:space="preserve">What causes Parkinson’s?</w:t>
      </w:r>
      <w:r w:rsidDel="00000000" w:rsidR="00000000" w:rsidRPr="00000000">
        <w:rPr>
          <w:rtl w:val="0"/>
        </w:rPr>
        <w:t xml:space="preserve"> Available at: Parkinson’s UK — What causes Parkinson’s?⁠ (Accessed: 10 October 2026).</w:t>
      </w:r>
    </w:p>
    <w:p w:rsidR="00000000" w:rsidDel="00000000" w:rsidP="00000000" w:rsidRDefault="00000000" w:rsidRPr="00000000" w14:paraId="0000004E">
      <w:pPr>
        <w:rPr/>
      </w:pPr>
      <w:r w:rsidDel="00000000" w:rsidR="00000000" w:rsidRPr="00000000">
        <w:rPr>
          <w:rtl w:val="0"/>
        </w:rPr>
        <w:t xml:space="preserve">Reynoso, A. et al. (2024) ‘Gene-environment interactions for Parkinson’s disease’, Annals of Neurology, 95(4), pp. 677–687. doi: 10.1002/ana.26852. </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Schaeffer, E., Yilmaz, R., St Louis, E.K. and Noyce, A.J. (2024) ‘Ethical considerations for identifying individuals in the prodromal/early phase of Parkinson’s disease: a narrative review’, Journal of Parkinson’s Disease, 14(S2), pp. S307–S319. doi: 10.3233/JPD-230428.</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Searle, S.D. et al. (2023) ‘Genetic testing in Parkinson’s disease’, Movement Disorders, 38(9).</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Tricco, A.C. et al. (2018) ‘PRISMA extension for scoping reviews (PRISMA-ScR): checklist and explanation’, Annals of Internal Medicine, 169(7), pp. 467–473. doi: 10.7326/M18-0850.</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Munn, Z., Peters, M.D.J., Stern, C., Tufanaru, C., McArthur, A. and Aromataris, E. (2018) ‘Systematic review or scoping review? Guidance for authors when choosing between a systematic or scoping review approach’, BMC Medical Research Methodology, 18, 143. doi: 10.1186/s12874-018-0611-x.</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Vieira, M. et al. (2024) ‘[Genetic testing and counselling in Parkinson’s disease]’, Movement Disorders, 39, pp. 1–10.</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spacing w:after="240" w:before="240" w:lineRule="auto"/>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