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224D5" w14:textId="28B48352" w:rsidR="00A64D13" w:rsidRDefault="00A64D13" w:rsidP="00A64D13">
      <w:pPr>
        <w:rPr>
          <w:rFonts w:ascii="Arial" w:hAnsi="Arial" w:cs="Arial"/>
          <w:b/>
          <w:bCs/>
          <w:sz w:val="22"/>
          <w:szCs w:val="22"/>
        </w:rPr>
      </w:pPr>
      <w:r w:rsidRPr="00A64D13">
        <w:rPr>
          <w:rFonts w:ascii="Arial" w:hAnsi="Arial" w:cs="Arial"/>
          <w:b/>
          <w:bCs/>
          <w:noProof/>
          <w:sz w:val="22"/>
          <w:szCs w:val="22"/>
        </w:rPr>
        <w:drawing>
          <wp:inline distT="0" distB="0" distL="0" distR="0" wp14:anchorId="301EAE31" wp14:editId="26CC0296">
            <wp:extent cx="1607185" cy="1552554"/>
            <wp:effectExtent l="0" t="0" r="0" b="0"/>
            <wp:docPr id="10" name="Picture 9" descr="University of Wales Trinity Saint David | LinkedIn">
              <a:extLst xmlns:a="http://schemas.openxmlformats.org/drawingml/2006/main">
                <a:ext uri="{FF2B5EF4-FFF2-40B4-BE49-F238E27FC236}">
                  <a16:creationId xmlns:a16="http://schemas.microsoft.com/office/drawing/2014/main" id="{6BEA3B57-95B7-F3B7-6BCC-20A0B9C4790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University of Wales Trinity Saint David | LinkedIn">
                      <a:extLst>
                        <a:ext uri="{FF2B5EF4-FFF2-40B4-BE49-F238E27FC236}">
                          <a16:creationId xmlns:a16="http://schemas.microsoft.com/office/drawing/2014/main" id="{6BEA3B57-95B7-F3B7-6BCC-20A0B9C4790F}"/>
                        </a:ext>
                      </a:extLst>
                    </pic:cNvPr>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17113" cy="1562145"/>
                    </a:xfrm>
                    <a:prstGeom prst="rect">
                      <a:avLst/>
                    </a:prstGeom>
                    <a:noFill/>
                    <a:ln>
                      <a:noFill/>
                    </a:ln>
                  </pic:spPr>
                </pic:pic>
              </a:graphicData>
            </a:graphic>
          </wp:inline>
        </w:drawing>
      </w:r>
    </w:p>
    <w:p w14:paraId="3CA4663B" w14:textId="77777777" w:rsidR="00667FEF" w:rsidRDefault="00667FEF" w:rsidP="00A64D13">
      <w:pPr>
        <w:spacing w:line="360" w:lineRule="auto"/>
        <w:ind w:left="720"/>
        <w:rPr>
          <w:rFonts w:ascii="Arial" w:hAnsi="Arial" w:cs="Arial"/>
          <w:b/>
          <w:bCs/>
          <w:sz w:val="22"/>
          <w:szCs w:val="22"/>
        </w:rPr>
      </w:pPr>
    </w:p>
    <w:p w14:paraId="3E2E0E4C" w14:textId="77777777" w:rsidR="00667FEF" w:rsidRDefault="00667FEF" w:rsidP="00A64D13">
      <w:pPr>
        <w:spacing w:line="360" w:lineRule="auto"/>
        <w:ind w:left="720"/>
        <w:rPr>
          <w:rFonts w:ascii="Arial" w:hAnsi="Arial" w:cs="Arial"/>
          <w:b/>
          <w:bCs/>
          <w:sz w:val="22"/>
          <w:szCs w:val="22"/>
        </w:rPr>
      </w:pPr>
    </w:p>
    <w:p w14:paraId="190F9CED" w14:textId="09F2AEF1" w:rsidR="00A64D13" w:rsidRPr="00667FEF" w:rsidRDefault="00A64D13" w:rsidP="00EA1A72">
      <w:pPr>
        <w:spacing w:line="480" w:lineRule="auto"/>
        <w:ind w:left="720"/>
        <w:rPr>
          <w:rFonts w:ascii="Arial" w:hAnsi="Arial" w:cs="Arial"/>
          <w:sz w:val="22"/>
          <w:szCs w:val="22"/>
        </w:rPr>
      </w:pPr>
      <w:r w:rsidRPr="00667FEF">
        <w:rPr>
          <w:rFonts w:ascii="Arial" w:hAnsi="Arial" w:cs="Arial"/>
          <w:b/>
          <w:bCs/>
          <w:sz w:val="22"/>
          <w:szCs w:val="22"/>
        </w:rPr>
        <w:t xml:space="preserve">Programme: BSc (Hons) Health and Social Care  </w:t>
      </w:r>
    </w:p>
    <w:p w14:paraId="0703F051" w14:textId="77777777" w:rsidR="00A64D13" w:rsidRPr="00667FEF" w:rsidRDefault="00A64D13" w:rsidP="00EA1A72">
      <w:pPr>
        <w:spacing w:line="480" w:lineRule="auto"/>
        <w:ind w:left="720"/>
        <w:rPr>
          <w:rFonts w:ascii="Arial" w:hAnsi="Arial" w:cs="Arial"/>
          <w:sz w:val="22"/>
          <w:szCs w:val="22"/>
        </w:rPr>
      </w:pPr>
      <w:r w:rsidRPr="00667FEF">
        <w:rPr>
          <w:rFonts w:ascii="Arial" w:hAnsi="Arial" w:cs="Arial"/>
          <w:b/>
          <w:bCs/>
          <w:sz w:val="22"/>
          <w:szCs w:val="22"/>
        </w:rPr>
        <w:t>Module: Health, Wellbeing and Sustainable Development</w:t>
      </w:r>
    </w:p>
    <w:p w14:paraId="3D26FA17" w14:textId="77777777" w:rsidR="00A64D13" w:rsidRPr="00667FEF" w:rsidRDefault="00A64D13" w:rsidP="00EA1A72">
      <w:pPr>
        <w:spacing w:line="480" w:lineRule="auto"/>
        <w:ind w:left="720"/>
        <w:rPr>
          <w:rFonts w:ascii="Arial" w:hAnsi="Arial" w:cs="Arial"/>
          <w:sz w:val="22"/>
          <w:szCs w:val="22"/>
        </w:rPr>
      </w:pPr>
      <w:r w:rsidRPr="00667FEF">
        <w:rPr>
          <w:rFonts w:ascii="Arial" w:hAnsi="Arial" w:cs="Arial"/>
          <w:b/>
          <w:bCs/>
          <w:sz w:val="22"/>
          <w:szCs w:val="22"/>
        </w:rPr>
        <w:t>Module Code: BMHP6030</w:t>
      </w:r>
    </w:p>
    <w:p w14:paraId="3C82D792" w14:textId="588EB75F" w:rsidR="00EA1A72" w:rsidRDefault="00A64D13" w:rsidP="00EA1A72">
      <w:pPr>
        <w:spacing w:line="480" w:lineRule="auto"/>
        <w:ind w:left="720"/>
        <w:rPr>
          <w:rFonts w:ascii="Arial" w:hAnsi="Arial" w:cs="Arial"/>
          <w:b/>
          <w:bCs/>
          <w:sz w:val="22"/>
          <w:szCs w:val="22"/>
        </w:rPr>
      </w:pPr>
      <w:r w:rsidRPr="00667FEF">
        <w:rPr>
          <w:rFonts w:ascii="Arial" w:hAnsi="Arial" w:cs="Arial"/>
          <w:b/>
          <w:bCs/>
          <w:sz w:val="22"/>
          <w:szCs w:val="22"/>
          <w:lang w:val="en-US"/>
        </w:rPr>
        <w:t xml:space="preserve">Assignment Title: </w:t>
      </w:r>
      <w:r w:rsidRPr="00667FEF">
        <w:rPr>
          <w:rFonts w:ascii="Arial" w:hAnsi="Arial" w:cs="Arial"/>
          <w:b/>
          <w:bCs/>
          <w:sz w:val="22"/>
          <w:szCs w:val="22"/>
        </w:rPr>
        <w:t xml:space="preserve">Component </w:t>
      </w:r>
      <w:r w:rsidR="00EA1A72">
        <w:rPr>
          <w:rFonts w:ascii="Arial" w:hAnsi="Arial" w:cs="Arial"/>
          <w:b/>
          <w:bCs/>
          <w:sz w:val="22"/>
          <w:szCs w:val="22"/>
        </w:rPr>
        <w:t>2</w:t>
      </w:r>
      <w:r w:rsidR="00C847EC">
        <w:rPr>
          <w:rFonts w:ascii="Arial" w:hAnsi="Arial" w:cs="Arial"/>
          <w:b/>
          <w:bCs/>
          <w:sz w:val="22"/>
          <w:szCs w:val="22"/>
        </w:rPr>
        <w:t>: Report</w:t>
      </w:r>
    </w:p>
    <w:p w14:paraId="29E1C7F1" w14:textId="27CE88FA" w:rsidR="00A64D13" w:rsidRPr="00EA1A72" w:rsidRDefault="00A64D13" w:rsidP="00EA1A72">
      <w:pPr>
        <w:spacing w:line="480" w:lineRule="auto"/>
        <w:ind w:left="720"/>
        <w:rPr>
          <w:rFonts w:ascii="Arial" w:hAnsi="Arial" w:cs="Arial"/>
          <w:b/>
          <w:bCs/>
          <w:sz w:val="22"/>
          <w:szCs w:val="22"/>
        </w:rPr>
      </w:pPr>
      <w:r w:rsidRPr="00667FEF">
        <w:rPr>
          <w:rFonts w:ascii="Arial" w:hAnsi="Arial" w:cs="Arial"/>
          <w:b/>
          <w:bCs/>
          <w:sz w:val="22"/>
          <w:szCs w:val="22"/>
          <w:lang w:val="en-US"/>
        </w:rPr>
        <w:t xml:space="preserve">Lecturer’s Name: </w:t>
      </w:r>
      <w:r w:rsidRPr="00667FEF">
        <w:rPr>
          <w:rFonts w:ascii="Arial" w:hAnsi="Arial" w:cs="Arial"/>
          <w:b/>
          <w:bCs/>
          <w:sz w:val="22"/>
          <w:szCs w:val="22"/>
        </w:rPr>
        <w:t>Parese Ahmed</w:t>
      </w:r>
      <w:r w:rsidRPr="00667FEF">
        <w:rPr>
          <w:rFonts w:ascii="Arial" w:hAnsi="Arial" w:cs="Arial"/>
          <w:b/>
          <w:bCs/>
          <w:sz w:val="22"/>
          <w:szCs w:val="22"/>
        </w:rPr>
        <w:br/>
      </w:r>
      <w:r w:rsidRPr="00667FEF">
        <w:rPr>
          <w:rFonts w:ascii="Arial" w:hAnsi="Arial" w:cs="Arial"/>
          <w:b/>
          <w:bCs/>
          <w:sz w:val="22"/>
          <w:szCs w:val="22"/>
          <w:lang w:val="en-US"/>
        </w:rPr>
        <w:t xml:space="preserve">Name:     Mehwish Arshad </w:t>
      </w:r>
      <w:r w:rsidRPr="00667FEF">
        <w:rPr>
          <w:rFonts w:ascii="Arial" w:hAnsi="Arial" w:cs="Arial"/>
          <w:b/>
          <w:bCs/>
          <w:sz w:val="22"/>
          <w:szCs w:val="22"/>
          <w:lang w:val="en-US"/>
        </w:rPr>
        <w:br/>
        <w:t>Student Number:  2312904</w:t>
      </w:r>
    </w:p>
    <w:p w14:paraId="55C04370" w14:textId="77777777" w:rsidR="00A64D13" w:rsidRPr="00A64D13" w:rsidRDefault="00A64D13" w:rsidP="00EA1A72">
      <w:pPr>
        <w:spacing w:line="480" w:lineRule="auto"/>
        <w:rPr>
          <w:rFonts w:ascii="Arial" w:hAnsi="Arial" w:cs="Arial"/>
          <w:sz w:val="22"/>
          <w:szCs w:val="22"/>
        </w:rPr>
      </w:pPr>
      <w:r w:rsidRPr="00A64D13">
        <w:rPr>
          <w:rFonts w:ascii="Arial" w:hAnsi="Arial" w:cs="Arial"/>
          <w:b/>
          <w:bCs/>
          <w:sz w:val="22"/>
          <w:szCs w:val="22"/>
        </w:rPr>
        <w:t> </w:t>
      </w:r>
    </w:p>
    <w:p w14:paraId="4FD9AD40" w14:textId="77777777" w:rsidR="00A64D13" w:rsidRDefault="00A64D13">
      <w:pPr>
        <w:rPr>
          <w:rFonts w:ascii="Arial" w:hAnsi="Arial" w:cs="Arial"/>
          <w:sz w:val="22"/>
          <w:szCs w:val="22"/>
        </w:rPr>
      </w:pPr>
    </w:p>
    <w:p w14:paraId="46736B89" w14:textId="77777777" w:rsidR="00667FEF" w:rsidRDefault="00667FEF">
      <w:pPr>
        <w:rPr>
          <w:rFonts w:ascii="Arial" w:hAnsi="Arial" w:cs="Arial"/>
          <w:sz w:val="22"/>
          <w:szCs w:val="22"/>
        </w:rPr>
      </w:pPr>
    </w:p>
    <w:p w14:paraId="45120050" w14:textId="77777777" w:rsidR="00667FEF" w:rsidRDefault="00667FEF">
      <w:pPr>
        <w:rPr>
          <w:rFonts w:ascii="Arial" w:hAnsi="Arial" w:cs="Arial"/>
          <w:sz w:val="22"/>
          <w:szCs w:val="22"/>
        </w:rPr>
      </w:pPr>
    </w:p>
    <w:p w14:paraId="25BF88C0" w14:textId="77777777" w:rsidR="00667FEF" w:rsidRDefault="00667FEF">
      <w:pPr>
        <w:rPr>
          <w:rFonts w:ascii="Arial" w:hAnsi="Arial" w:cs="Arial"/>
          <w:sz w:val="22"/>
          <w:szCs w:val="22"/>
        </w:rPr>
      </w:pPr>
    </w:p>
    <w:p w14:paraId="270B1B88" w14:textId="77777777" w:rsidR="00667FEF" w:rsidRDefault="00667FEF">
      <w:pPr>
        <w:rPr>
          <w:rFonts w:ascii="Arial" w:hAnsi="Arial" w:cs="Arial"/>
          <w:sz w:val="22"/>
          <w:szCs w:val="22"/>
        </w:rPr>
      </w:pPr>
    </w:p>
    <w:p w14:paraId="640DAA81" w14:textId="77777777" w:rsidR="00667FEF" w:rsidRDefault="00667FEF">
      <w:pPr>
        <w:rPr>
          <w:rFonts w:ascii="Arial" w:hAnsi="Arial" w:cs="Arial"/>
          <w:sz w:val="22"/>
          <w:szCs w:val="22"/>
        </w:rPr>
      </w:pPr>
    </w:p>
    <w:p w14:paraId="3D413D81" w14:textId="77777777" w:rsidR="00667FEF" w:rsidRDefault="00667FEF">
      <w:pPr>
        <w:rPr>
          <w:rFonts w:ascii="Arial" w:hAnsi="Arial" w:cs="Arial"/>
          <w:sz w:val="22"/>
          <w:szCs w:val="22"/>
        </w:rPr>
      </w:pPr>
    </w:p>
    <w:p w14:paraId="011F6F61" w14:textId="77777777" w:rsidR="00667FEF" w:rsidRDefault="00667FEF">
      <w:pPr>
        <w:rPr>
          <w:rFonts w:ascii="Arial" w:hAnsi="Arial" w:cs="Arial"/>
          <w:sz w:val="22"/>
          <w:szCs w:val="22"/>
        </w:rPr>
      </w:pPr>
    </w:p>
    <w:p w14:paraId="64FE0384" w14:textId="77777777" w:rsidR="00667FEF" w:rsidRDefault="00667FEF">
      <w:pPr>
        <w:rPr>
          <w:rFonts w:ascii="Arial" w:hAnsi="Arial" w:cs="Arial"/>
          <w:sz w:val="22"/>
          <w:szCs w:val="22"/>
        </w:rPr>
      </w:pPr>
    </w:p>
    <w:p w14:paraId="61B0C191" w14:textId="77777777" w:rsidR="00667FEF" w:rsidRDefault="00667FEF">
      <w:pPr>
        <w:rPr>
          <w:rFonts w:ascii="Arial" w:hAnsi="Arial" w:cs="Arial"/>
          <w:sz w:val="22"/>
          <w:szCs w:val="22"/>
        </w:rPr>
      </w:pPr>
    </w:p>
    <w:p w14:paraId="28D8E511" w14:textId="77777777" w:rsidR="00525EA0" w:rsidRDefault="00525EA0" w:rsidP="00D93CBC">
      <w:pPr>
        <w:spacing w:line="360" w:lineRule="auto"/>
        <w:jc w:val="both"/>
        <w:rPr>
          <w:rFonts w:ascii="Arial" w:hAnsi="Arial" w:cs="Arial"/>
          <w:sz w:val="22"/>
          <w:szCs w:val="22"/>
        </w:rPr>
      </w:pPr>
    </w:p>
    <w:sdt>
      <w:sdtPr>
        <w:rPr>
          <w:rFonts w:asciiTheme="minorHAnsi" w:eastAsiaTheme="minorHAnsi" w:hAnsiTheme="minorHAnsi" w:cstheme="minorBidi"/>
          <w:b w:val="0"/>
          <w:color w:val="auto"/>
          <w:kern w:val="2"/>
          <w:sz w:val="24"/>
          <w:szCs w:val="24"/>
          <w:lang w:val="en-GB"/>
          <w14:ligatures w14:val="standardContextual"/>
        </w:rPr>
        <w:id w:val="1623568595"/>
        <w:docPartObj>
          <w:docPartGallery w:val="Table of Contents"/>
          <w:docPartUnique/>
        </w:docPartObj>
      </w:sdtPr>
      <w:sdtEndPr>
        <w:rPr>
          <w:rFonts w:ascii="Arial" w:hAnsi="Arial" w:cs="Arial"/>
          <w:bCs/>
          <w:noProof/>
          <w:sz w:val="22"/>
          <w:szCs w:val="22"/>
        </w:rPr>
      </w:sdtEndPr>
      <w:sdtContent>
        <w:p w14:paraId="10623115" w14:textId="5D546CFB" w:rsidR="00113891" w:rsidRDefault="00113891">
          <w:pPr>
            <w:pStyle w:val="TOCHeading"/>
          </w:pPr>
          <w:r>
            <w:t>Table of Contents</w:t>
          </w:r>
        </w:p>
        <w:p w14:paraId="5982ECD0" w14:textId="6FE1A85D" w:rsidR="001013B5" w:rsidRDefault="00113891">
          <w:pPr>
            <w:pStyle w:val="TOC1"/>
            <w:tabs>
              <w:tab w:val="right" w:leader="dot" w:pos="9016"/>
            </w:tabs>
            <w:rPr>
              <w:rFonts w:eastAsiaTheme="minorEastAsia"/>
              <w:noProof/>
              <w:lang w:eastAsia="en-GB"/>
            </w:rPr>
          </w:pPr>
          <w:r w:rsidRPr="0064480B">
            <w:rPr>
              <w:rFonts w:ascii="Arial" w:hAnsi="Arial" w:cs="Arial"/>
              <w:sz w:val="22"/>
              <w:szCs w:val="22"/>
            </w:rPr>
            <w:fldChar w:fldCharType="begin"/>
          </w:r>
          <w:r w:rsidRPr="0064480B">
            <w:rPr>
              <w:rFonts w:ascii="Arial" w:hAnsi="Arial" w:cs="Arial"/>
              <w:sz w:val="22"/>
              <w:szCs w:val="22"/>
            </w:rPr>
            <w:instrText xml:space="preserve"> TOC \o "1-3" \h \z \u </w:instrText>
          </w:r>
          <w:r w:rsidRPr="0064480B">
            <w:rPr>
              <w:rFonts w:ascii="Arial" w:hAnsi="Arial" w:cs="Arial"/>
              <w:sz w:val="22"/>
              <w:szCs w:val="22"/>
            </w:rPr>
            <w:fldChar w:fldCharType="separate"/>
          </w:r>
          <w:hyperlink w:anchor="_Toc235273253" w:history="1">
            <w:r w:rsidR="001013B5" w:rsidRPr="0047118F">
              <w:rPr>
                <w:rStyle w:val="Hyperlink"/>
                <w:noProof/>
              </w:rPr>
              <w:t>Evaluating the Role of SDG 3 and SDG 10 in Advancing Global Health and Reducing Health Inequalities</w:t>
            </w:r>
            <w:r w:rsidR="001013B5">
              <w:rPr>
                <w:noProof/>
                <w:webHidden/>
              </w:rPr>
              <w:tab/>
            </w:r>
            <w:r w:rsidR="001013B5">
              <w:rPr>
                <w:noProof/>
                <w:webHidden/>
              </w:rPr>
              <w:fldChar w:fldCharType="begin"/>
            </w:r>
            <w:r w:rsidR="001013B5">
              <w:rPr>
                <w:noProof/>
                <w:webHidden/>
              </w:rPr>
              <w:instrText xml:space="preserve"> PAGEREF _Toc235273253 \h </w:instrText>
            </w:r>
            <w:r w:rsidR="001013B5">
              <w:rPr>
                <w:noProof/>
                <w:webHidden/>
              </w:rPr>
            </w:r>
            <w:r w:rsidR="001013B5">
              <w:rPr>
                <w:noProof/>
                <w:webHidden/>
              </w:rPr>
              <w:fldChar w:fldCharType="separate"/>
            </w:r>
            <w:r w:rsidR="001013B5">
              <w:rPr>
                <w:noProof/>
                <w:webHidden/>
              </w:rPr>
              <w:t>3</w:t>
            </w:r>
            <w:r w:rsidR="001013B5">
              <w:rPr>
                <w:noProof/>
                <w:webHidden/>
              </w:rPr>
              <w:fldChar w:fldCharType="end"/>
            </w:r>
          </w:hyperlink>
        </w:p>
        <w:p w14:paraId="0EC3CFCB" w14:textId="3CDE3454" w:rsidR="001013B5" w:rsidRDefault="001013B5">
          <w:pPr>
            <w:pStyle w:val="TOC1"/>
            <w:tabs>
              <w:tab w:val="right" w:leader="dot" w:pos="9016"/>
            </w:tabs>
            <w:rPr>
              <w:rFonts w:eastAsiaTheme="minorEastAsia"/>
              <w:noProof/>
              <w:lang w:eastAsia="en-GB"/>
            </w:rPr>
          </w:pPr>
          <w:hyperlink w:anchor="_Toc235273254" w:history="1">
            <w:r w:rsidRPr="0047118F">
              <w:rPr>
                <w:rStyle w:val="Hyperlink"/>
                <w:noProof/>
              </w:rPr>
              <w:t>Introduction</w:t>
            </w:r>
            <w:r>
              <w:rPr>
                <w:noProof/>
                <w:webHidden/>
              </w:rPr>
              <w:tab/>
            </w:r>
            <w:r>
              <w:rPr>
                <w:noProof/>
                <w:webHidden/>
              </w:rPr>
              <w:fldChar w:fldCharType="begin"/>
            </w:r>
            <w:r>
              <w:rPr>
                <w:noProof/>
                <w:webHidden/>
              </w:rPr>
              <w:instrText xml:space="preserve"> PAGEREF _Toc235273254 \h </w:instrText>
            </w:r>
            <w:r>
              <w:rPr>
                <w:noProof/>
                <w:webHidden/>
              </w:rPr>
            </w:r>
            <w:r>
              <w:rPr>
                <w:noProof/>
                <w:webHidden/>
              </w:rPr>
              <w:fldChar w:fldCharType="separate"/>
            </w:r>
            <w:r>
              <w:rPr>
                <w:noProof/>
                <w:webHidden/>
              </w:rPr>
              <w:t>3</w:t>
            </w:r>
            <w:r>
              <w:rPr>
                <w:noProof/>
                <w:webHidden/>
              </w:rPr>
              <w:fldChar w:fldCharType="end"/>
            </w:r>
          </w:hyperlink>
        </w:p>
        <w:p w14:paraId="09074543" w14:textId="5E2EC915" w:rsidR="001013B5" w:rsidRDefault="001013B5">
          <w:pPr>
            <w:pStyle w:val="TOC1"/>
            <w:tabs>
              <w:tab w:val="right" w:leader="dot" w:pos="9016"/>
            </w:tabs>
            <w:rPr>
              <w:rFonts w:eastAsiaTheme="minorEastAsia"/>
              <w:noProof/>
              <w:lang w:eastAsia="en-GB"/>
            </w:rPr>
          </w:pPr>
          <w:hyperlink w:anchor="_Toc235273255" w:history="1">
            <w:r w:rsidRPr="0047118F">
              <w:rPr>
                <w:rStyle w:val="Hyperlink"/>
                <w:noProof/>
              </w:rPr>
              <w:t>Section 1: Sustainable Development Goal 3  Good Health and Well-being</w:t>
            </w:r>
            <w:r>
              <w:rPr>
                <w:noProof/>
                <w:webHidden/>
              </w:rPr>
              <w:tab/>
            </w:r>
            <w:r>
              <w:rPr>
                <w:noProof/>
                <w:webHidden/>
              </w:rPr>
              <w:fldChar w:fldCharType="begin"/>
            </w:r>
            <w:r>
              <w:rPr>
                <w:noProof/>
                <w:webHidden/>
              </w:rPr>
              <w:instrText xml:space="preserve"> PAGEREF _Toc235273255 \h </w:instrText>
            </w:r>
            <w:r>
              <w:rPr>
                <w:noProof/>
                <w:webHidden/>
              </w:rPr>
            </w:r>
            <w:r>
              <w:rPr>
                <w:noProof/>
                <w:webHidden/>
              </w:rPr>
              <w:fldChar w:fldCharType="separate"/>
            </w:r>
            <w:r>
              <w:rPr>
                <w:noProof/>
                <w:webHidden/>
              </w:rPr>
              <w:t>4</w:t>
            </w:r>
            <w:r>
              <w:rPr>
                <w:noProof/>
                <w:webHidden/>
              </w:rPr>
              <w:fldChar w:fldCharType="end"/>
            </w:r>
          </w:hyperlink>
        </w:p>
        <w:p w14:paraId="76F8DCC0" w14:textId="43DAE1EA" w:rsidR="001013B5" w:rsidRDefault="001013B5">
          <w:pPr>
            <w:pStyle w:val="TOC2"/>
            <w:tabs>
              <w:tab w:val="right" w:leader="dot" w:pos="9016"/>
            </w:tabs>
            <w:rPr>
              <w:rFonts w:eastAsiaTheme="minorEastAsia"/>
              <w:noProof/>
              <w:lang w:eastAsia="en-GB"/>
            </w:rPr>
          </w:pPr>
          <w:hyperlink w:anchor="_Toc235273256" w:history="1">
            <w:r w:rsidRPr="0047118F">
              <w:rPr>
                <w:rStyle w:val="Hyperlink"/>
                <w:noProof/>
              </w:rPr>
              <w:t>1.1 Purpose and objectives of SDG 3</w:t>
            </w:r>
            <w:r>
              <w:rPr>
                <w:noProof/>
                <w:webHidden/>
              </w:rPr>
              <w:tab/>
            </w:r>
            <w:r>
              <w:rPr>
                <w:noProof/>
                <w:webHidden/>
              </w:rPr>
              <w:fldChar w:fldCharType="begin"/>
            </w:r>
            <w:r>
              <w:rPr>
                <w:noProof/>
                <w:webHidden/>
              </w:rPr>
              <w:instrText xml:space="preserve"> PAGEREF _Toc235273256 \h </w:instrText>
            </w:r>
            <w:r>
              <w:rPr>
                <w:noProof/>
                <w:webHidden/>
              </w:rPr>
            </w:r>
            <w:r>
              <w:rPr>
                <w:noProof/>
                <w:webHidden/>
              </w:rPr>
              <w:fldChar w:fldCharType="separate"/>
            </w:r>
            <w:r>
              <w:rPr>
                <w:noProof/>
                <w:webHidden/>
              </w:rPr>
              <w:t>4</w:t>
            </w:r>
            <w:r>
              <w:rPr>
                <w:noProof/>
                <w:webHidden/>
              </w:rPr>
              <w:fldChar w:fldCharType="end"/>
            </w:r>
          </w:hyperlink>
        </w:p>
        <w:p w14:paraId="4439A18B" w14:textId="538E80EE" w:rsidR="001013B5" w:rsidRDefault="001013B5">
          <w:pPr>
            <w:pStyle w:val="TOC2"/>
            <w:tabs>
              <w:tab w:val="right" w:leader="dot" w:pos="9016"/>
            </w:tabs>
            <w:rPr>
              <w:rFonts w:eastAsiaTheme="minorEastAsia"/>
              <w:noProof/>
              <w:lang w:eastAsia="en-GB"/>
            </w:rPr>
          </w:pPr>
          <w:hyperlink w:anchor="_Toc235273257" w:history="1">
            <w:r w:rsidRPr="0047118F">
              <w:rPr>
                <w:rStyle w:val="Hyperlink"/>
                <w:noProof/>
              </w:rPr>
              <w:t>1.2 Assessment of International  Policies and Initiatives</w:t>
            </w:r>
            <w:r>
              <w:rPr>
                <w:noProof/>
                <w:webHidden/>
              </w:rPr>
              <w:tab/>
            </w:r>
            <w:r>
              <w:rPr>
                <w:noProof/>
                <w:webHidden/>
              </w:rPr>
              <w:fldChar w:fldCharType="begin"/>
            </w:r>
            <w:r>
              <w:rPr>
                <w:noProof/>
                <w:webHidden/>
              </w:rPr>
              <w:instrText xml:space="preserve"> PAGEREF _Toc235273257 \h </w:instrText>
            </w:r>
            <w:r>
              <w:rPr>
                <w:noProof/>
                <w:webHidden/>
              </w:rPr>
            </w:r>
            <w:r>
              <w:rPr>
                <w:noProof/>
                <w:webHidden/>
              </w:rPr>
              <w:fldChar w:fldCharType="separate"/>
            </w:r>
            <w:r>
              <w:rPr>
                <w:noProof/>
                <w:webHidden/>
              </w:rPr>
              <w:t>4</w:t>
            </w:r>
            <w:r>
              <w:rPr>
                <w:noProof/>
                <w:webHidden/>
              </w:rPr>
              <w:fldChar w:fldCharType="end"/>
            </w:r>
          </w:hyperlink>
        </w:p>
        <w:p w14:paraId="71F72BA2" w14:textId="7F39E990" w:rsidR="001013B5" w:rsidRDefault="001013B5">
          <w:pPr>
            <w:pStyle w:val="TOC2"/>
            <w:tabs>
              <w:tab w:val="right" w:leader="dot" w:pos="9016"/>
            </w:tabs>
            <w:rPr>
              <w:rFonts w:eastAsiaTheme="minorEastAsia"/>
              <w:noProof/>
              <w:lang w:eastAsia="en-GB"/>
            </w:rPr>
          </w:pPr>
          <w:hyperlink w:anchor="_Toc235273258" w:history="1">
            <w:r w:rsidRPr="0047118F">
              <w:rPr>
                <w:rStyle w:val="Hyperlink"/>
                <w:noProof/>
              </w:rPr>
              <w:t>1.3 Evaluation of UK National and Local Initiatives</w:t>
            </w:r>
            <w:r>
              <w:rPr>
                <w:noProof/>
                <w:webHidden/>
              </w:rPr>
              <w:tab/>
            </w:r>
            <w:r>
              <w:rPr>
                <w:noProof/>
                <w:webHidden/>
              </w:rPr>
              <w:fldChar w:fldCharType="begin"/>
            </w:r>
            <w:r>
              <w:rPr>
                <w:noProof/>
                <w:webHidden/>
              </w:rPr>
              <w:instrText xml:space="preserve"> PAGEREF _Toc235273258 \h </w:instrText>
            </w:r>
            <w:r>
              <w:rPr>
                <w:noProof/>
                <w:webHidden/>
              </w:rPr>
            </w:r>
            <w:r>
              <w:rPr>
                <w:noProof/>
                <w:webHidden/>
              </w:rPr>
              <w:fldChar w:fldCharType="separate"/>
            </w:r>
            <w:r>
              <w:rPr>
                <w:noProof/>
                <w:webHidden/>
              </w:rPr>
              <w:t>5</w:t>
            </w:r>
            <w:r>
              <w:rPr>
                <w:noProof/>
                <w:webHidden/>
              </w:rPr>
              <w:fldChar w:fldCharType="end"/>
            </w:r>
          </w:hyperlink>
        </w:p>
        <w:p w14:paraId="3251D366" w14:textId="14CC32A3" w:rsidR="001013B5" w:rsidRDefault="001013B5">
          <w:pPr>
            <w:pStyle w:val="TOC2"/>
            <w:tabs>
              <w:tab w:val="right" w:leader="dot" w:pos="9016"/>
            </w:tabs>
            <w:rPr>
              <w:rFonts w:eastAsiaTheme="minorEastAsia"/>
              <w:noProof/>
              <w:lang w:eastAsia="en-GB"/>
            </w:rPr>
          </w:pPr>
          <w:hyperlink w:anchor="_Toc235273259" w:history="1">
            <w:r w:rsidRPr="0047118F">
              <w:rPr>
                <w:rStyle w:val="Hyperlink"/>
                <w:noProof/>
              </w:rPr>
              <w:t>1.4 Application of Relevant Health Theories and Models</w:t>
            </w:r>
            <w:r>
              <w:rPr>
                <w:noProof/>
                <w:webHidden/>
              </w:rPr>
              <w:tab/>
            </w:r>
            <w:r>
              <w:rPr>
                <w:noProof/>
                <w:webHidden/>
              </w:rPr>
              <w:fldChar w:fldCharType="begin"/>
            </w:r>
            <w:r>
              <w:rPr>
                <w:noProof/>
                <w:webHidden/>
              </w:rPr>
              <w:instrText xml:space="preserve"> PAGEREF _Toc235273259 \h </w:instrText>
            </w:r>
            <w:r>
              <w:rPr>
                <w:noProof/>
                <w:webHidden/>
              </w:rPr>
            </w:r>
            <w:r>
              <w:rPr>
                <w:noProof/>
                <w:webHidden/>
              </w:rPr>
              <w:fldChar w:fldCharType="separate"/>
            </w:r>
            <w:r>
              <w:rPr>
                <w:noProof/>
                <w:webHidden/>
              </w:rPr>
              <w:t>6</w:t>
            </w:r>
            <w:r>
              <w:rPr>
                <w:noProof/>
                <w:webHidden/>
              </w:rPr>
              <w:fldChar w:fldCharType="end"/>
            </w:r>
          </w:hyperlink>
        </w:p>
        <w:p w14:paraId="0827B91D" w14:textId="5F78A4C3" w:rsidR="001013B5" w:rsidRDefault="001013B5">
          <w:pPr>
            <w:pStyle w:val="TOC2"/>
            <w:tabs>
              <w:tab w:val="right" w:leader="dot" w:pos="9016"/>
            </w:tabs>
            <w:rPr>
              <w:rFonts w:eastAsiaTheme="minorEastAsia"/>
              <w:noProof/>
              <w:lang w:eastAsia="en-GB"/>
            </w:rPr>
          </w:pPr>
          <w:hyperlink w:anchor="_Toc235273260" w:history="1">
            <w:r w:rsidRPr="0047118F">
              <w:rPr>
                <w:rStyle w:val="Hyperlink"/>
                <w:rFonts w:cs="Arial"/>
                <w:bCs/>
                <w:noProof/>
              </w:rPr>
              <w:t>1</w:t>
            </w:r>
            <w:r w:rsidRPr="0047118F">
              <w:rPr>
                <w:rStyle w:val="Hyperlink"/>
                <w:noProof/>
              </w:rPr>
              <w:t>.5 Recommendations for Future Practice</w:t>
            </w:r>
            <w:r>
              <w:rPr>
                <w:noProof/>
                <w:webHidden/>
              </w:rPr>
              <w:tab/>
            </w:r>
            <w:r>
              <w:rPr>
                <w:noProof/>
                <w:webHidden/>
              </w:rPr>
              <w:fldChar w:fldCharType="begin"/>
            </w:r>
            <w:r>
              <w:rPr>
                <w:noProof/>
                <w:webHidden/>
              </w:rPr>
              <w:instrText xml:space="preserve"> PAGEREF _Toc235273260 \h </w:instrText>
            </w:r>
            <w:r>
              <w:rPr>
                <w:noProof/>
                <w:webHidden/>
              </w:rPr>
            </w:r>
            <w:r>
              <w:rPr>
                <w:noProof/>
                <w:webHidden/>
              </w:rPr>
              <w:fldChar w:fldCharType="separate"/>
            </w:r>
            <w:r>
              <w:rPr>
                <w:noProof/>
                <w:webHidden/>
              </w:rPr>
              <w:t>6</w:t>
            </w:r>
            <w:r>
              <w:rPr>
                <w:noProof/>
                <w:webHidden/>
              </w:rPr>
              <w:fldChar w:fldCharType="end"/>
            </w:r>
          </w:hyperlink>
        </w:p>
        <w:p w14:paraId="76F544D4" w14:textId="1D101A0E" w:rsidR="001013B5" w:rsidRDefault="001013B5">
          <w:pPr>
            <w:pStyle w:val="TOC1"/>
            <w:tabs>
              <w:tab w:val="right" w:leader="dot" w:pos="9016"/>
            </w:tabs>
            <w:rPr>
              <w:rFonts w:eastAsiaTheme="minorEastAsia"/>
              <w:noProof/>
              <w:lang w:eastAsia="en-GB"/>
            </w:rPr>
          </w:pPr>
          <w:hyperlink w:anchor="_Toc235273261" w:history="1">
            <w:r w:rsidRPr="0047118F">
              <w:rPr>
                <w:rStyle w:val="Hyperlink"/>
                <w:noProof/>
              </w:rPr>
              <w:t>Section 2: Sustainable Development Goal  10: Reduced Inequalities</w:t>
            </w:r>
            <w:r>
              <w:rPr>
                <w:noProof/>
                <w:webHidden/>
              </w:rPr>
              <w:tab/>
            </w:r>
            <w:r>
              <w:rPr>
                <w:noProof/>
                <w:webHidden/>
              </w:rPr>
              <w:fldChar w:fldCharType="begin"/>
            </w:r>
            <w:r>
              <w:rPr>
                <w:noProof/>
                <w:webHidden/>
              </w:rPr>
              <w:instrText xml:space="preserve"> PAGEREF _Toc235273261 \h </w:instrText>
            </w:r>
            <w:r>
              <w:rPr>
                <w:noProof/>
                <w:webHidden/>
              </w:rPr>
            </w:r>
            <w:r>
              <w:rPr>
                <w:noProof/>
                <w:webHidden/>
              </w:rPr>
              <w:fldChar w:fldCharType="separate"/>
            </w:r>
            <w:r>
              <w:rPr>
                <w:noProof/>
                <w:webHidden/>
              </w:rPr>
              <w:t>6</w:t>
            </w:r>
            <w:r>
              <w:rPr>
                <w:noProof/>
                <w:webHidden/>
              </w:rPr>
              <w:fldChar w:fldCharType="end"/>
            </w:r>
          </w:hyperlink>
        </w:p>
        <w:p w14:paraId="3A5E7B2B" w14:textId="3EB793EE" w:rsidR="001013B5" w:rsidRDefault="001013B5">
          <w:pPr>
            <w:pStyle w:val="TOC2"/>
            <w:tabs>
              <w:tab w:val="right" w:leader="dot" w:pos="9016"/>
            </w:tabs>
            <w:rPr>
              <w:rFonts w:eastAsiaTheme="minorEastAsia"/>
              <w:noProof/>
              <w:lang w:eastAsia="en-GB"/>
            </w:rPr>
          </w:pPr>
          <w:hyperlink w:anchor="_Toc235273262" w:history="1">
            <w:r w:rsidRPr="0047118F">
              <w:rPr>
                <w:rStyle w:val="Hyperlink"/>
                <w:noProof/>
              </w:rPr>
              <w:t>2.1 Purpose and objectives of SDG 10</w:t>
            </w:r>
            <w:r>
              <w:rPr>
                <w:noProof/>
                <w:webHidden/>
              </w:rPr>
              <w:tab/>
            </w:r>
            <w:r>
              <w:rPr>
                <w:noProof/>
                <w:webHidden/>
              </w:rPr>
              <w:fldChar w:fldCharType="begin"/>
            </w:r>
            <w:r>
              <w:rPr>
                <w:noProof/>
                <w:webHidden/>
              </w:rPr>
              <w:instrText xml:space="preserve"> PAGEREF _Toc235273262 \h </w:instrText>
            </w:r>
            <w:r>
              <w:rPr>
                <w:noProof/>
                <w:webHidden/>
              </w:rPr>
            </w:r>
            <w:r>
              <w:rPr>
                <w:noProof/>
                <w:webHidden/>
              </w:rPr>
              <w:fldChar w:fldCharType="separate"/>
            </w:r>
            <w:r>
              <w:rPr>
                <w:noProof/>
                <w:webHidden/>
              </w:rPr>
              <w:t>6</w:t>
            </w:r>
            <w:r>
              <w:rPr>
                <w:noProof/>
                <w:webHidden/>
              </w:rPr>
              <w:fldChar w:fldCharType="end"/>
            </w:r>
          </w:hyperlink>
        </w:p>
        <w:p w14:paraId="55A7E7BA" w14:textId="22053A21" w:rsidR="001013B5" w:rsidRDefault="001013B5">
          <w:pPr>
            <w:pStyle w:val="TOC2"/>
            <w:tabs>
              <w:tab w:val="right" w:leader="dot" w:pos="9016"/>
            </w:tabs>
            <w:rPr>
              <w:rFonts w:eastAsiaTheme="minorEastAsia"/>
              <w:noProof/>
              <w:lang w:eastAsia="en-GB"/>
            </w:rPr>
          </w:pPr>
          <w:hyperlink w:anchor="_Toc235273263" w:history="1">
            <w:r w:rsidRPr="0047118F">
              <w:rPr>
                <w:rStyle w:val="Hyperlink"/>
                <w:noProof/>
              </w:rPr>
              <w:t>2.2 Assessment of International  Policies and Initiatives</w:t>
            </w:r>
            <w:r>
              <w:rPr>
                <w:noProof/>
                <w:webHidden/>
              </w:rPr>
              <w:tab/>
            </w:r>
            <w:r>
              <w:rPr>
                <w:noProof/>
                <w:webHidden/>
              </w:rPr>
              <w:fldChar w:fldCharType="begin"/>
            </w:r>
            <w:r>
              <w:rPr>
                <w:noProof/>
                <w:webHidden/>
              </w:rPr>
              <w:instrText xml:space="preserve"> PAGEREF _Toc235273263 \h </w:instrText>
            </w:r>
            <w:r>
              <w:rPr>
                <w:noProof/>
                <w:webHidden/>
              </w:rPr>
            </w:r>
            <w:r>
              <w:rPr>
                <w:noProof/>
                <w:webHidden/>
              </w:rPr>
              <w:fldChar w:fldCharType="separate"/>
            </w:r>
            <w:r>
              <w:rPr>
                <w:noProof/>
                <w:webHidden/>
              </w:rPr>
              <w:t>7</w:t>
            </w:r>
            <w:r>
              <w:rPr>
                <w:noProof/>
                <w:webHidden/>
              </w:rPr>
              <w:fldChar w:fldCharType="end"/>
            </w:r>
          </w:hyperlink>
        </w:p>
        <w:p w14:paraId="2571B2DF" w14:textId="6A283CEA" w:rsidR="001013B5" w:rsidRDefault="001013B5">
          <w:pPr>
            <w:pStyle w:val="TOC2"/>
            <w:tabs>
              <w:tab w:val="right" w:leader="dot" w:pos="9016"/>
            </w:tabs>
            <w:rPr>
              <w:rFonts w:eastAsiaTheme="minorEastAsia"/>
              <w:noProof/>
              <w:lang w:eastAsia="en-GB"/>
            </w:rPr>
          </w:pPr>
          <w:hyperlink w:anchor="_Toc235273264" w:history="1">
            <w:r w:rsidRPr="0047118F">
              <w:rPr>
                <w:rStyle w:val="Hyperlink"/>
                <w:noProof/>
              </w:rPr>
              <w:t>2.3 Evaluation of UK National and Local Initiatives</w:t>
            </w:r>
            <w:r>
              <w:rPr>
                <w:noProof/>
                <w:webHidden/>
              </w:rPr>
              <w:tab/>
            </w:r>
            <w:r>
              <w:rPr>
                <w:noProof/>
                <w:webHidden/>
              </w:rPr>
              <w:fldChar w:fldCharType="begin"/>
            </w:r>
            <w:r>
              <w:rPr>
                <w:noProof/>
                <w:webHidden/>
              </w:rPr>
              <w:instrText xml:space="preserve"> PAGEREF _Toc235273264 \h </w:instrText>
            </w:r>
            <w:r>
              <w:rPr>
                <w:noProof/>
                <w:webHidden/>
              </w:rPr>
            </w:r>
            <w:r>
              <w:rPr>
                <w:noProof/>
                <w:webHidden/>
              </w:rPr>
              <w:fldChar w:fldCharType="separate"/>
            </w:r>
            <w:r>
              <w:rPr>
                <w:noProof/>
                <w:webHidden/>
              </w:rPr>
              <w:t>7</w:t>
            </w:r>
            <w:r>
              <w:rPr>
                <w:noProof/>
                <w:webHidden/>
              </w:rPr>
              <w:fldChar w:fldCharType="end"/>
            </w:r>
          </w:hyperlink>
        </w:p>
        <w:p w14:paraId="15E7E8DC" w14:textId="6BBB62EA" w:rsidR="001013B5" w:rsidRDefault="001013B5">
          <w:pPr>
            <w:pStyle w:val="TOC2"/>
            <w:tabs>
              <w:tab w:val="right" w:leader="dot" w:pos="9016"/>
            </w:tabs>
            <w:rPr>
              <w:rFonts w:eastAsiaTheme="minorEastAsia"/>
              <w:noProof/>
              <w:lang w:eastAsia="en-GB"/>
            </w:rPr>
          </w:pPr>
          <w:hyperlink w:anchor="_Toc235273265" w:history="1">
            <w:r w:rsidRPr="0047118F">
              <w:rPr>
                <w:rStyle w:val="Hyperlink"/>
                <w:noProof/>
              </w:rPr>
              <w:t>2.4 Application of Relevant Health Theories and Models</w:t>
            </w:r>
            <w:r>
              <w:rPr>
                <w:noProof/>
                <w:webHidden/>
              </w:rPr>
              <w:tab/>
            </w:r>
            <w:r>
              <w:rPr>
                <w:noProof/>
                <w:webHidden/>
              </w:rPr>
              <w:fldChar w:fldCharType="begin"/>
            </w:r>
            <w:r>
              <w:rPr>
                <w:noProof/>
                <w:webHidden/>
              </w:rPr>
              <w:instrText xml:space="preserve"> PAGEREF _Toc235273265 \h </w:instrText>
            </w:r>
            <w:r>
              <w:rPr>
                <w:noProof/>
                <w:webHidden/>
              </w:rPr>
            </w:r>
            <w:r>
              <w:rPr>
                <w:noProof/>
                <w:webHidden/>
              </w:rPr>
              <w:fldChar w:fldCharType="separate"/>
            </w:r>
            <w:r>
              <w:rPr>
                <w:noProof/>
                <w:webHidden/>
              </w:rPr>
              <w:t>8</w:t>
            </w:r>
            <w:r>
              <w:rPr>
                <w:noProof/>
                <w:webHidden/>
              </w:rPr>
              <w:fldChar w:fldCharType="end"/>
            </w:r>
          </w:hyperlink>
        </w:p>
        <w:p w14:paraId="7CDCFD36" w14:textId="25F8F17E" w:rsidR="001013B5" w:rsidRDefault="001013B5">
          <w:pPr>
            <w:pStyle w:val="TOC2"/>
            <w:tabs>
              <w:tab w:val="right" w:leader="dot" w:pos="9016"/>
            </w:tabs>
            <w:rPr>
              <w:rFonts w:eastAsiaTheme="minorEastAsia"/>
              <w:noProof/>
              <w:lang w:eastAsia="en-GB"/>
            </w:rPr>
          </w:pPr>
          <w:hyperlink w:anchor="_Toc235273266" w:history="1">
            <w:r w:rsidRPr="0047118F">
              <w:rPr>
                <w:rStyle w:val="Hyperlink"/>
                <w:noProof/>
              </w:rPr>
              <w:t>2.5 Recommendations for Future Practice</w:t>
            </w:r>
            <w:r>
              <w:rPr>
                <w:noProof/>
                <w:webHidden/>
              </w:rPr>
              <w:tab/>
            </w:r>
            <w:r>
              <w:rPr>
                <w:noProof/>
                <w:webHidden/>
              </w:rPr>
              <w:fldChar w:fldCharType="begin"/>
            </w:r>
            <w:r>
              <w:rPr>
                <w:noProof/>
                <w:webHidden/>
              </w:rPr>
              <w:instrText xml:space="preserve"> PAGEREF _Toc235273266 \h </w:instrText>
            </w:r>
            <w:r>
              <w:rPr>
                <w:noProof/>
                <w:webHidden/>
              </w:rPr>
            </w:r>
            <w:r>
              <w:rPr>
                <w:noProof/>
                <w:webHidden/>
              </w:rPr>
              <w:fldChar w:fldCharType="separate"/>
            </w:r>
            <w:r>
              <w:rPr>
                <w:noProof/>
                <w:webHidden/>
              </w:rPr>
              <w:t>8</w:t>
            </w:r>
            <w:r>
              <w:rPr>
                <w:noProof/>
                <w:webHidden/>
              </w:rPr>
              <w:fldChar w:fldCharType="end"/>
            </w:r>
          </w:hyperlink>
        </w:p>
        <w:p w14:paraId="44EAF0C9" w14:textId="10F58D12" w:rsidR="001013B5" w:rsidRDefault="001013B5">
          <w:pPr>
            <w:pStyle w:val="TOC1"/>
            <w:tabs>
              <w:tab w:val="right" w:leader="dot" w:pos="9016"/>
            </w:tabs>
            <w:rPr>
              <w:rFonts w:eastAsiaTheme="minorEastAsia"/>
              <w:noProof/>
              <w:lang w:eastAsia="en-GB"/>
            </w:rPr>
          </w:pPr>
          <w:hyperlink w:anchor="_Toc235273267" w:history="1">
            <w:r w:rsidRPr="0047118F">
              <w:rPr>
                <w:rStyle w:val="Hyperlink"/>
                <w:noProof/>
              </w:rPr>
              <w:t>Conclusion</w:t>
            </w:r>
            <w:r>
              <w:rPr>
                <w:noProof/>
                <w:webHidden/>
              </w:rPr>
              <w:tab/>
            </w:r>
            <w:r>
              <w:rPr>
                <w:noProof/>
                <w:webHidden/>
              </w:rPr>
              <w:fldChar w:fldCharType="begin"/>
            </w:r>
            <w:r>
              <w:rPr>
                <w:noProof/>
                <w:webHidden/>
              </w:rPr>
              <w:instrText xml:space="preserve"> PAGEREF _Toc235273267 \h </w:instrText>
            </w:r>
            <w:r>
              <w:rPr>
                <w:noProof/>
                <w:webHidden/>
              </w:rPr>
            </w:r>
            <w:r>
              <w:rPr>
                <w:noProof/>
                <w:webHidden/>
              </w:rPr>
              <w:fldChar w:fldCharType="separate"/>
            </w:r>
            <w:r>
              <w:rPr>
                <w:noProof/>
                <w:webHidden/>
              </w:rPr>
              <w:t>9</w:t>
            </w:r>
            <w:r>
              <w:rPr>
                <w:noProof/>
                <w:webHidden/>
              </w:rPr>
              <w:fldChar w:fldCharType="end"/>
            </w:r>
          </w:hyperlink>
        </w:p>
        <w:p w14:paraId="042425B7" w14:textId="04B9D91F" w:rsidR="001013B5" w:rsidRDefault="001013B5">
          <w:pPr>
            <w:pStyle w:val="TOC1"/>
            <w:tabs>
              <w:tab w:val="right" w:leader="dot" w:pos="9016"/>
            </w:tabs>
            <w:rPr>
              <w:rFonts w:eastAsiaTheme="minorEastAsia"/>
              <w:noProof/>
              <w:lang w:eastAsia="en-GB"/>
            </w:rPr>
          </w:pPr>
          <w:hyperlink w:anchor="_Toc235273268" w:history="1">
            <w:r w:rsidRPr="0047118F">
              <w:rPr>
                <w:rStyle w:val="Hyperlink"/>
                <w:noProof/>
                <w:lang w:val="en-US"/>
              </w:rPr>
              <w:t>Reference List</w:t>
            </w:r>
            <w:r>
              <w:rPr>
                <w:noProof/>
                <w:webHidden/>
              </w:rPr>
              <w:tab/>
            </w:r>
            <w:r>
              <w:rPr>
                <w:noProof/>
                <w:webHidden/>
              </w:rPr>
              <w:fldChar w:fldCharType="begin"/>
            </w:r>
            <w:r>
              <w:rPr>
                <w:noProof/>
                <w:webHidden/>
              </w:rPr>
              <w:instrText xml:space="preserve"> PAGEREF _Toc235273268 \h </w:instrText>
            </w:r>
            <w:r>
              <w:rPr>
                <w:noProof/>
                <w:webHidden/>
              </w:rPr>
            </w:r>
            <w:r>
              <w:rPr>
                <w:noProof/>
                <w:webHidden/>
              </w:rPr>
              <w:fldChar w:fldCharType="separate"/>
            </w:r>
            <w:r>
              <w:rPr>
                <w:noProof/>
                <w:webHidden/>
              </w:rPr>
              <w:t>10</w:t>
            </w:r>
            <w:r>
              <w:rPr>
                <w:noProof/>
                <w:webHidden/>
              </w:rPr>
              <w:fldChar w:fldCharType="end"/>
            </w:r>
          </w:hyperlink>
        </w:p>
        <w:p w14:paraId="2201BC5C" w14:textId="79C79706" w:rsidR="00113891" w:rsidRPr="0064480B" w:rsidRDefault="00113891">
          <w:pPr>
            <w:rPr>
              <w:rFonts w:ascii="Arial" w:hAnsi="Arial" w:cs="Arial"/>
              <w:sz w:val="22"/>
              <w:szCs w:val="22"/>
            </w:rPr>
          </w:pPr>
          <w:r w:rsidRPr="0064480B">
            <w:rPr>
              <w:rFonts w:ascii="Arial" w:hAnsi="Arial" w:cs="Arial"/>
              <w:b/>
              <w:bCs/>
              <w:noProof/>
              <w:sz w:val="22"/>
              <w:szCs w:val="22"/>
            </w:rPr>
            <w:fldChar w:fldCharType="end"/>
          </w:r>
        </w:p>
      </w:sdtContent>
    </w:sdt>
    <w:p w14:paraId="4688B7D3" w14:textId="77777777" w:rsidR="00507E67" w:rsidRPr="0064480B" w:rsidRDefault="00507E67" w:rsidP="00D93CBC">
      <w:pPr>
        <w:spacing w:line="360" w:lineRule="auto"/>
        <w:jc w:val="both"/>
        <w:rPr>
          <w:rFonts w:ascii="Arial" w:hAnsi="Arial" w:cs="Arial"/>
          <w:sz w:val="22"/>
          <w:szCs w:val="22"/>
        </w:rPr>
      </w:pPr>
    </w:p>
    <w:p w14:paraId="6F9AE2A6" w14:textId="77777777" w:rsidR="00507E67" w:rsidRPr="0064480B" w:rsidRDefault="00507E67" w:rsidP="00D93CBC">
      <w:pPr>
        <w:spacing w:line="360" w:lineRule="auto"/>
        <w:jc w:val="both"/>
        <w:rPr>
          <w:rFonts w:ascii="Arial" w:hAnsi="Arial" w:cs="Arial"/>
          <w:sz w:val="22"/>
          <w:szCs w:val="22"/>
        </w:rPr>
      </w:pPr>
    </w:p>
    <w:p w14:paraId="2A201272" w14:textId="77777777" w:rsidR="00507E67" w:rsidRPr="0064480B" w:rsidRDefault="00507E67" w:rsidP="00D93CBC">
      <w:pPr>
        <w:spacing w:line="360" w:lineRule="auto"/>
        <w:jc w:val="both"/>
        <w:rPr>
          <w:rFonts w:ascii="Arial" w:hAnsi="Arial" w:cs="Arial"/>
          <w:sz w:val="22"/>
          <w:szCs w:val="22"/>
        </w:rPr>
      </w:pPr>
    </w:p>
    <w:p w14:paraId="14786955" w14:textId="77777777" w:rsidR="00507E67" w:rsidRDefault="00507E67" w:rsidP="00D93CBC">
      <w:pPr>
        <w:spacing w:line="360" w:lineRule="auto"/>
        <w:jc w:val="both"/>
        <w:rPr>
          <w:rFonts w:ascii="Arial" w:hAnsi="Arial" w:cs="Arial"/>
          <w:sz w:val="22"/>
          <w:szCs w:val="22"/>
        </w:rPr>
      </w:pPr>
    </w:p>
    <w:p w14:paraId="0A0D29F7" w14:textId="77777777" w:rsidR="00507E67" w:rsidRDefault="00507E67" w:rsidP="00D93CBC">
      <w:pPr>
        <w:spacing w:line="360" w:lineRule="auto"/>
        <w:jc w:val="both"/>
        <w:rPr>
          <w:rFonts w:ascii="Arial" w:hAnsi="Arial" w:cs="Arial"/>
          <w:sz w:val="22"/>
          <w:szCs w:val="22"/>
        </w:rPr>
      </w:pPr>
    </w:p>
    <w:p w14:paraId="1121C0D5" w14:textId="77777777" w:rsidR="00507E67" w:rsidRDefault="00507E67" w:rsidP="00D93CBC">
      <w:pPr>
        <w:spacing w:line="360" w:lineRule="auto"/>
        <w:jc w:val="both"/>
        <w:rPr>
          <w:rFonts w:ascii="Arial" w:hAnsi="Arial" w:cs="Arial"/>
          <w:sz w:val="22"/>
          <w:szCs w:val="22"/>
        </w:rPr>
      </w:pPr>
    </w:p>
    <w:p w14:paraId="39B1D6BD" w14:textId="77777777" w:rsidR="00507E67" w:rsidRDefault="00507E67" w:rsidP="00D93CBC">
      <w:pPr>
        <w:spacing w:line="360" w:lineRule="auto"/>
        <w:jc w:val="both"/>
        <w:rPr>
          <w:rFonts w:ascii="Arial" w:hAnsi="Arial" w:cs="Arial"/>
          <w:sz w:val="22"/>
          <w:szCs w:val="22"/>
        </w:rPr>
      </w:pPr>
    </w:p>
    <w:p w14:paraId="5516FADF" w14:textId="77777777" w:rsidR="00507E67" w:rsidRDefault="00507E67" w:rsidP="00D93CBC">
      <w:pPr>
        <w:spacing w:line="360" w:lineRule="auto"/>
        <w:jc w:val="both"/>
        <w:rPr>
          <w:rFonts w:ascii="Arial" w:hAnsi="Arial" w:cs="Arial"/>
          <w:sz w:val="22"/>
          <w:szCs w:val="22"/>
        </w:rPr>
      </w:pPr>
    </w:p>
    <w:p w14:paraId="279BD93F" w14:textId="77777777" w:rsidR="00507E67" w:rsidRDefault="00507E67" w:rsidP="00D93CBC">
      <w:pPr>
        <w:spacing w:line="360" w:lineRule="auto"/>
        <w:jc w:val="both"/>
        <w:rPr>
          <w:rFonts w:ascii="Arial" w:hAnsi="Arial" w:cs="Arial"/>
          <w:sz w:val="22"/>
          <w:szCs w:val="22"/>
        </w:rPr>
      </w:pPr>
    </w:p>
    <w:p w14:paraId="4B6C3251" w14:textId="77777777" w:rsidR="00507E67" w:rsidRDefault="00507E67" w:rsidP="00D93CBC">
      <w:pPr>
        <w:spacing w:line="360" w:lineRule="auto"/>
        <w:jc w:val="both"/>
        <w:rPr>
          <w:rFonts w:ascii="Arial" w:hAnsi="Arial" w:cs="Arial"/>
          <w:sz w:val="22"/>
          <w:szCs w:val="22"/>
        </w:rPr>
      </w:pPr>
    </w:p>
    <w:p w14:paraId="12C0C8E8" w14:textId="77777777" w:rsidR="00507E67" w:rsidRDefault="00507E67" w:rsidP="00D93CBC">
      <w:pPr>
        <w:spacing w:line="360" w:lineRule="auto"/>
        <w:jc w:val="both"/>
        <w:rPr>
          <w:rFonts w:ascii="Arial" w:hAnsi="Arial" w:cs="Arial"/>
          <w:sz w:val="22"/>
          <w:szCs w:val="22"/>
        </w:rPr>
      </w:pPr>
    </w:p>
    <w:p w14:paraId="638A49F2" w14:textId="77777777" w:rsidR="00113891" w:rsidRDefault="00113891" w:rsidP="00113891">
      <w:pPr>
        <w:pStyle w:val="Heading1"/>
      </w:pPr>
    </w:p>
    <w:p w14:paraId="515F9F07" w14:textId="47C7CF5C" w:rsidR="00E46D20" w:rsidRPr="00E46D20" w:rsidRDefault="00E46D20" w:rsidP="00113891">
      <w:pPr>
        <w:pStyle w:val="Heading1"/>
      </w:pPr>
      <w:bookmarkStart w:id="0" w:name="_Toc235273253"/>
      <w:r w:rsidRPr="00E46D20">
        <w:t xml:space="preserve">Evaluating the </w:t>
      </w:r>
      <w:r w:rsidR="0064480B">
        <w:t>Role</w:t>
      </w:r>
      <w:r w:rsidRPr="00E46D20">
        <w:t xml:space="preserve"> of SDG 3 and SDG 10 </w:t>
      </w:r>
      <w:r w:rsidR="0064480B">
        <w:t xml:space="preserve">in Advancing </w:t>
      </w:r>
      <w:r w:rsidRPr="00E46D20">
        <w:t xml:space="preserve">Global Health and Reducing </w:t>
      </w:r>
      <w:r w:rsidR="0064480B">
        <w:t xml:space="preserve">Health </w:t>
      </w:r>
      <w:r w:rsidRPr="00E46D20">
        <w:t>Inequalities</w:t>
      </w:r>
      <w:bookmarkEnd w:id="0"/>
    </w:p>
    <w:p w14:paraId="5C64B778" w14:textId="619BC394" w:rsidR="00E46D20" w:rsidRDefault="00E46D20" w:rsidP="00113891">
      <w:pPr>
        <w:pStyle w:val="Heading1"/>
      </w:pPr>
      <w:bookmarkStart w:id="1" w:name="_Toc235273254"/>
      <w:r w:rsidRPr="00E46D20">
        <w:t>Introduction</w:t>
      </w:r>
      <w:bookmarkEnd w:id="1"/>
      <w:r w:rsidRPr="00E46D20">
        <w:t xml:space="preserve"> </w:t>
      </w:r>
    </w:p>
    <w:p w14:paraId="3B88F3BE" w14:textId="308A1BFC" w:rsidR="00BF2A99" w:rsidRDefault="001013B5" w:rsidP="00BF2A99">
      <w:pPr>
        <w:spacing w:line="360" w:lineRule="auto"/>
        <w:jc w:val="both"/>
        <w:rPr>
          <w:rFonts w:ascii="Arial" w:hAnsi="Arial" w:cs="Arial"/>
          <w:sz w:val="22"/>
          <w:szCs w:val="22"/>
        </w:rPr>
      </w:pPr>
      <w:r>
        <w:rPr>
          <w:rFonts w:ascii="Arial" w:hAnsi="Arial" w:cs="Arial"/>
          <w:sz w:val="22"/>
          <w:szCs w:val="22"/>
        </w:rPr>
        <w:t>The</w:t>
      </w:r>
      <w:r w:rsidRPr="001013B5">
        <w:rPr>
          <w:rFonts w:ascii="Arial" w:hAnsi="Arial" w:cs="Arial"/>
          <w:sz w:val="22"/>
          <w:szCs w:val="22"/>
        </w:rPr>
        <w:t xml:space="preserve"> United Nations introduced the Sustainable Development Goals (SDGs) in 2015 as a universal framework to address major economic, social, and environmental challenges while promoting sustainable development and improving quality of life worldwide</w:t>
      </w:r>
      <w:r w:rsidR="004C6D20" w:rsidRPr="004C6D20">
        <w:rPr>
          <w:rFonts w:ascii="Arial" w:hAnsi="Arial" w:cs="Arial"/>
          <w:sz w:val="22"/>
          <w:szCs w:val="22"/>
        </w:rPr>
        <w:t>(Baker, 2006; McArthur et al., 2018)</w:t>
      </w:r>
      <w:r w:rsidR="00BF2A99" w:rsidRPr="00BF2A99">
        <w:rPr>
          <w:rFonts w:ascii="Arial" w:hAnsi="Arial" w:cs="Arial"/>
          <w:sz w:val="22"/>
          <w:szCs w:val="22"/>
        </w:rPr>
        <w:t xml:space="preserve">. </w:t>
      </w:r>
      <w:r w:rsidRPr="001013B5">
        <w:rPr>
          <w:rFonts w:ascii="Arial" w:hAnsi="Arial" w:cs="Arial"/>
          <w:sz w:val="22"/>
          <w:szCs w:val="22"/>
        </w:rPr>
        <w:t xml:space="preserve">Among these goals, Sustainable Development Goal 3 (SDG 3) seeks to improve health and well-being by strengthening healthcare systems, expanding access to essential services, and preventing </w:t>
      </w:r>
      <w:r>
        <w:rPr>
          <w:rFonts w:ascii="Arial" w:hAnsi="Arial" w:cs="Arial"/>
          <w:sz w:val="22"/>
          <w:szCs w:val="22"/>
        </w:rPr>
        <w:t xml:space="preserve">disease </w:t>
      </w:r>
      <w:r w:rsidR="00BF2A99" w:rsidRPr="00BF2A99">
        <w:rPr>
          <w:rFonts w:ascii="Arial" w:hAnsi="Arial" w:cs="Arial"/>
          <w:sz w:val="22"/>
          <w:szCs w:val="22"/>
        </w:rPr>
        <w:t>(United Nations, 2024).</w:t>
      </w:r>
      <w:r w:rsidR="00471EA9">
        <w:rPr>
          <w:rFonts w:ascii="Arial" w:hAnsi="Arial" w:cs="Arial"/>
          <w:sz w:val="22"/>
          <w:szCs w:val="22"/>
        </w:rPr>
        <w:t xml:space="preserve"> </w:t>
      </w:r>
      <w:r w:rsidR="00471EA9" w:rsidRPr="00471EA9">
        <w:rPr>
          <w:rFonts w:ascii="Arial" w:hAnsi="Arial" w:cs="Arial"/>
          <w:sz w:val="22"/>
          <w:szCs w:val="22"/>
        </w:rPr>
        <w:t>Health and well-being include physical, mental and social dimensions that influence quality of life (Harvey and Taylor, 2013; Dolan and Metcalfe, 2011).</w:t>
      </w:r>
      <w:r w:rsidR="00471EA9">
        <w:rPr>
          <w:rFonts w:ascii="Arial" w:hAnsi="Arial" w:cs="Arial"/>
          <w:sz w:val="22"/>
          <w:szCs w:val="22"/>
        </w:rPr>
        <w:t xml:space="preserve"> </w:t>
      </w:r>
      <w:r w:rsidR="00BF2A99" w:rsidRPr="00BF2A99">
        <w:rPr>
          <w:rFonts w:ascii="Arial" w:hAnsi="Arial" w:cs="Arial"/>
          <w:sz w:val="22"/>
          <w:szCs w:val="22"/>
        </w:rPr>
        <w:t xml:space="preserve">However, achieving SDG 3 is closely connected to </w:t>
      </w:r>
      <w:r w:rsidR="00EF30B0">
        <w:rPr>
          <w:rFonts w:ascii="Arial" w:hAnsi="Arial" w:cs="Arial"/>
          <w:sz w:val="22"/>
          <w:szCs w:val="22"/>
        </w:rPr>
        <w:t xml:space="preserve">SDG 10 </w:t>
      </w:r>
      <w:r w:rsidR="00AF53E7" w:rsidRPr="00AF53E7">
        <w:rPr>
          <w:rFonts w:ascii="Arial" w:hAnsi="Arial" w:cs="Arial"/>
          <w:sz w:val="22"/>
          <w:szCs w:val="22"/>
        </w:rPr>
        <w:t xml:space="preserve">s inequalities in income, education, employment, housing, and the wider environment have a substantial influence on health </w:t>
      </w:r>
      <w:r w:rsidR="00AF53E7">
        <w:rPr>
          <w:rFonts w:ascii="Arial" w:hAnsi="Arial" w:cs="Arial"/>
          <w:sz w:val="22"/>
          <w:szCs w:val="22"/>
        </w:rPr>
        <w:t xml:space="preserve">outcomes </w:t>
      </w:r>
      <w:r w:rsidR="00BF2A99" w:rsidRPr="00BF2A99">
        <w:rPr>
          <w:rFonts w:ascii="Arial" w:hAnsi="Arial" w:cs="Arial"/>
          <w:sz w:val="22"/>
          <w:szCs w:val="22"/>
        </w:rPr>
        <w:t>(WHO, 2023).</w:t>
      </w:r>
    </w:p>
    <w:p w14:paraId="0FFBA5B4" w14:textId="2544024D" w:rsidR="00BF2A99" w:rsidRPr="00BF2A99" w:rsidRDefault="00507703" w:rsidP="009D374D">
      <w:pPr>
        <w:spacing w:line="360" w:lineRule="auto"/>
        <w:jc w:val="both"/>
        <w:rPr>
          <w:rFonts w:ascii="Arial" w:hAnsi="Arial" w:cs="Arial"/>
          <w:sz w:val="22"/>
          <w:szCs w:val="22"/>
        </w:rPr>
      </w:pPr>
      <w:r w:rsidRPr="00507703">
        <w:rPr>
          <w:rFonts w:ascii="Arial" w:hAnsi="Arial" w:cs="Arial"/>
          <w:sz w:val="22"/>
          <w:szCs w:val="22"/>
        </w:rPr>
        <w:t xml:space="preserve">According to the United Nations Sustainable Development Goals Report (2025), </w:t>
      </w:r>
      <w:r w:rsidR="00806781" w:rsidRPr="00806781">
        <w:rPr>
          <w:rFonts w:ascii="Arial" w:hAnsi="Arial" w:cs="Arial"/>
          <w:sz w:val="22"/>
          <w:szCs w:val="22"/>
        </w:rPr>
        <w:t>estimates that approximately 4.5 billion people lacked access to essential health services in</w:t>
      </w:r>
      <w:r w:rsidRPr="00507703">
        <w:rPr>
          <w:rFonts w:ascii="Arial" w:hAnsi="Arial" w:cs="Arial"/>
          <w:sz w:val="22"/>
          <w:szCs w:val="22"/>
        </w:rPr>
        <w:t xml:space="preserve"> 2021, while only about </w:t>
      </w:r>
      <w:r w:rsidR="007330E3">
        <w:rPr>
          <w:rFonts w:ascii="Arial" w:hAnsi="Arial" w:cs="Arial"/>
          <w:sz w:val="22"/>
          <w:szCs w:val="22"/>
        </w:rPr>
        <w:t>one-third</w:t>
      </w:r>
      <w:r w:rsidRPr="00507703">
        <w:rPr>
          <w:rFonts w:ascii="Arial" w:hAnsi="Arial" w:cs="Arial"/>
          <w:sz w:val="22"/>
          <w:szCs w:val="22"/>
        </w:rPr>
        <w:t xml:space="preserve"> of countries are on track to achieve SDG 3 by 2030, demonstrating that major barriers remain despite global progress (United Nations, 2025)</w:t>
      </w:r>
      <w:r w:rsidR="009D374D" w:rsidRPr="009D374D">
        <w:rPr>
          <w:rFonts w:ascii="Arial" w:hAnsi="Arial" w:cs="Arial"/>
          <w:sz w:val="22"/>
          <w:szCs w:val="22"/>
        </w:rPr>
        <w:t xml:space="preserve">. </w:t>
      </w:r>
      <w:r w:rsidR="006854C2" w:rsidRPr="006854C2">
        <w:rPr>
          <w:rFonts w:ascii="Arial" w:hAnsi="Arial" w:cs="Arial"/>
          <w:sz w:val="22"/>
          <w:szCs w:val="22"/>
        </w:rPr>
        <w:t>Although global health improvements have occurred through international cooperation, progress remains unequal.</w:t>
      </w:r>
      <w:r w:rsidR="006854C2">
        <w:rPr>
          <w:rFonts w:ascii="Arial" w:hAnsi="Arial" w:cs="Arial"/>
          <w:sz w:val="22"/>
          <w:szCs w:val="22"/>
        </w:rPr>
        <w:t xml:space="preserve"> </w:t>
      </w:r>
      <w:r w:rsidR="00806781" w:rsidRPr="00806781">
        <w:rPr>
          <w:rFonts w:ascii="Arial" w:hAnsi="Arial" w:cs="Arial"/>
          <w:sz w:val="22"/>
          <w:szCs w:val="22"/>
        </w:rPr>
        <w:t>The COVID-19 pandemic further highlighted weaknesses in healthcare systems and exposed inequalities in access to healthcare resources and emergency preparedness</w:t>
      </w:r>
      <w:r w:rsidR="00775594">
        <w:rPr>
          <w:rFonts w:ascii="Arial" w:hAnsi="Arial" w:cs="Arial"/>
          <w:sz w:val="22"/>
          <w:szCs w:val="22"/>
        </w:rPr>
        <w:t>.</w:t>
      </w:r>
      <w:r w:rsidR="00BF2A99" w:rsidRPr="009D374D">
        <w:rPr>
          <w:rFonts w:ascii="Arial" w:hAnsi="Arial" w:cs="Arial"/>
          <w:sz w:val="22"/>
          <w:szCs w:val="22"/>
        </w:rPr>
        <w:t xml:space="preserve"> </w:t>
      </w:r>
      <w:r w:rsidR="00775594">
        <w:rPr>
          <w:rFonts w:ascii="Arial" w:hAnsi="Arial" w:cs="Arial"/>
          <w:sz w:val="22"/>
          <w:szCs w:val="22"/>
        </w:rPr>
        <w:t>W</w:t>
      </w:r>
      <w:r w:rsidR="00BF2A99" w:rsidRPr="009D374D">
        <w:rPr>
          <w:rFonts w:ascii="Arial" w:hAnsi="Arial" w:cs="Arial"/>
          <w:sz w:val="22"/>
          <w:szCs w:val="22"/>
        </w:rPr>
        <w:t xml:space="preserve">ithin the UK, </w:t>
      </w:r>
      <w:r w:rsidR="00775594">
        <w:rPr>
          <w:rFonts w:ascii="Arial" w:hAnsi="Arial" w:cs="Arial"/>
          <w:sz w:val="22"/>
          <w:szCs w:val="22"/>
        </w:rPr>
        <w:t xml:space="preserve">the </w:t>
      </w:r>
      <w:r w:rsidR="00BF2A99" w:rsidRPr="009D374D">
        <w:rPr>
          <w:rFonts w:ascii="Arial" w:hAnsi="Arial" w:cs="Arial"/>
          <w:sz w:val="22"/>
          <w:szCs w:val="22"/>
        </w:rPr>
        <w:t xml:space="preserve">NHS </w:t>
      </w:r>
      <w:r w:rsidR="00775594" w:rsidRPr="00775594">
        <w:rPr>
          <w:rFonts w:ascii="Arial" w:hAnsi="Arial" w:cs="Arial"/>
          <w:sz w:val="22"/>
          <w:szCs w:val="22"/>
        </w:rPr>
        <w:t>has improved access to healthcare; however, substantial differences in health outcomes continue to exist because of wider social and economic inequalities</w:t>
      </w:r>
      <w:r w:rsidR="00775594">
        <w:rPr>
          <w:rFonts w:ascii="Arial" w:hAnsi="Arial" w:cs="Arial"/>
          <w:sz w:val="22"/>
          <w:szCs w:val="22"/>
        </w:rPr>
        <w:t xml:space="preserve"> </w:t>
      </w:r>
      <w:r w:rsidR="00BF2A99" w:rsidRPr="00BF2A99">
        <w:rPr>
          <w:rFonts w:ascii="Arial" w:hAnsi="Arial" w:cs="Arial"/>
          <w:sz w:val="22"/>
          <w:szCs w:val="22"/>
        </w:rPr>
        <w:t>(Marmot et al., 2020).</w:t>
      </w:r>
    </w:p>
    <w:p w14:paraId="4410B086" w14:textId="302E7457" w:rsidR="00BF2A99" w:rsidRPr="00BF2A99" w:rsidRDefault="00BF2A99" w:rsidP="00BF2A99">
      <w:pPr>
        <w:spacing w:line="360" w:lineRule="auto"/>
        <w:jc w:val="both"/>
        <w:rPr>
          <w:rFonts w:ascii="Arial" w:hAnsi="Arial" w:cs="Arial"/>
          <w:sz w:val="22"/>
          <w:szCs w:val="22"/>
        </w:rPr>
      </w:pPr>
      <w:r w:rsidRPr="00BF2A99">
        <w:rPr>
          <w:rFonts w:ascii="Arial" w:hAnsi="Arial" w:cs="Arial"/>
          <w:sz w:val="22"/>
          <w:szCs w:val="22"/>
        </w:rPr>
        <w:t>This report critically e</w:t>
      </w:r>
      <w:r w:rsidR="00775594">
        <w:rPr>
          <w:rFonts w:ascii="Arial" w:hAnsi="Arial" w:cs="Arial"/>
          <w:sz w:val="22"/>
          <w:szCs w:val="22"/>
        </w:rPr>
        <w:t>xamines the contribution of</w:t>
      </w:r>
      <w:r w:rsidRPr="00BF2A99">
        <w:rPr>
          <w:rFonts w:ascii="Arial" w:hAnsi="Arial" w:cs="Arial"/>
          <w:sz w:val="22"/>
          <w:szCs w:val="22"/>
        </w:rPr>
        <w:t xml:space="preserve"> SDG 3 and SDG 10 </w:t>
      </w:r>
      <w:r w:rsidR="00775594">
        <w:rPr>
          <w:rFonts w:ascii="Arial" w:hAnsi="Arial" w:cs="Arial"/>
          <w:sz w:val="22"/>
          <w:szCs w:val="22"/>
        </w:rPr>
        <w:t xml:space="preserve">to improving </w:t>
      </w:r>
      <w:r w:rsidRPr="00BF2A99">
        <w:rPr>
          <w:rFonts w:ascii="Arial" w:hAnsi="Arial" w:cs="Arial"/>
          <w:sz w:val="22"/>
          <w:szCs w:val="22"/>
        </w:rPr>
        <w:t xml:space="preserve">and improving </w:t>
      </w:r>
      <w:r w:rsidR="00775594">
        <w:rPr>
          <w:rFonts w:ascii="Arial" w:hAnsi="Arial" w:cs="Arial"/>
          <w:sz w:val="22"/>
          <w:szCs w:val="22"/>
        </w:rPr>
        <w:t xml:space="preserve">global </w:t>
      </w:r>
      <w:r w:rsidRPr="00BF2A99">
        <w:rPr>
          <w:rFonts w:ascii="Arial" w:hAnsi="Arial" w:cs="Arial"/>
          <w:sz w:val="22"/>
          <w:szCs w:val="22"/>
        </w:rPr>
        <w:t xml:space="preserve">health and reducing inequalities. The Dahlgren and Whitehead model, </w:t>
      </w:r>
      <w:r w:rsidR="00775594">
        <w:rPr>
          <w:rFonts w:ascii="Arial" w:hAnsi="Arial" w:cs="Arial"/>
          <w:sz w:val="22"/>
          <w:szCs w:val="22"/>
        </w:rPr>
        <w:t xml:space="preserve">the </w:t>
      </w:r>
      <w:r w:rsidRPr="00BF2A99">
        <w:rPr>
          <w:rFonts w:ascii="Arial" w:hAnsi="Arial" w:cs="Arial"/>
          <w:sz w:val="22"/>
          <w:szCs w:val="22"/>
        </w:rPr>
        <w:t xml:space="preserve">Health Belief Model (HBM), and Social Cognitive Theory (SCT) </w:t>
      </w:r>
      <w:r w:rsidR="00775594">
        <w:rPr>
          <w:rFonts w:ascii="Arial" w:hAnsi="Arial" w:cs="Arial"/>
          <w:sz w:val="22"/>
          <w:szCs w:val="22"/>
        </w:rPr>
        <w:t xml:space="preserve">to explore the </w:t>
      </w:r>
      <w:r w:rsidRPr="00BF2A99">
        <w:rPr>
          <w:rFonts w:ascii="Arial" w:hAnsi="Arial" w:cs="Arial"/>
          <w:sz w:val="22"/>
          <w:szCs w:val="22"/>
        </w:rPr>
        <w:t>behavioural and structural influences on outcomes. Finally, evidence-informed recommendations are proposed to strengthen policy implementation and improve equity.</w:t>
      </w:r>
    </w:p>
    <w:p w14:paraId="2FD15383" w14:textId="77777777" w:rsidR="00BF2A99" w:rsidRPr="00BF2A99" w:rsidRDefault="00BF2A99" w:rsidP="00BF2A99">
      <w:pPr>
        <w:spacing w:line="360" w:lineRule="auto"/>
        <w:jc w:val="both"/>
        <w:rPr>
          <w:rFonts w:ascii="Arial" w:hAnsi="Arial" w:cs="Arial"/>
          <w:sz w:val="22"/>
          <w:szCs w:val="22"/>
        </w:rPr>
      </w:pPr>
    </w:p>
    <w:p w14:paraId="2E9B43BA" w14:textId="0B9232A5" w:rsidR="00525EA0" w:rsidRPr="00A2179F" w:rsidRDefault="00525EA0" w:rsidP="00113891">
      <w:pPr>
        <w:pStyle w:val="Heading1"/>
      </w:pPr>
      <w:bookmarkStart w:id="2" w:name="_Toc235273255"/>
      <w:r w:rsidRPr="00A2179F">
        <w:lastRenderedPageBreak/>
        <w:t xml:space="preserve">Section 1: </w:t>
      </w:r>
      <w:r w:rsidR="0064480B">
        <w:t xml:space="preserve">Sustainable Development Goal 3 </w:t>
      </w:r>
      <w:r w:rsidRPr="00A2179F">
        <w:t xml:space="preserve"> Good Health and Well-being</w:t>
      </w:r>
      <w:bookmarkEnd w:id="2"/>
    </w:p>
    <w:p w14:paraId="15820878" w14:textId="4706D6B5" w:rsidR="00525EA0" w:rsidRDefault="00113891" w:rsidP="00113891">
      <w:pPr>
        <w:pStyle w:val="Heading2"/>
      </w:pPr>
      <w:bookmarkStart w:id="3" w:name="_Toc235273256"/>
      <w:r>
        <w:t xml:space="preserve">1.1 </w:t>
      </w:r>
      <w:r w:rsidR="0064480B">
        <w:t xml:space="preserve">Purpose and objectives </w:t>
      </w:r>
      <w:r w:rsidR="00525EA0" w:rsidRPr="00A2179F">
        <w:t>of SDG 3</w:t>
      </w:r>
      <w:bookmarkEnd w:id="3"/>
    </w:p>
    <w:p w14:paraId="03F86768" w14:textId="2DF39A1B" w:rsidR="00F93B2B" w:rsidRDefault="00D36DFB" w:rsidP="00F93B2B">
      <w:pPr>
        <w:spacing w:line="360" w:lineRule="auto"/>
        <w:jc w:val="both"/>
        <w:rPr>
          <w:rFonts w:ascii="Arial" w:hAnsi="Arial" w:cs="Arial"/>
          <w:sz w:val="22"/>
          <w:szCs w:val="22"/>
        </w:rPr>
      </w:pPr>
      <w:r w:rsidRPr="00D36DFB">
        <w:rPr>
          <w:rFonts w:ascii="Arial" w:hAnsi="Arial" w:cs="Arial"/>
          <w:sz w:val="22"/>
          <w:szCs w:val="22"/>
        </w:rPr>
        <w:t>SDG 3 focuses on improving health outcomes worldwide by strengthening healthcare systems, expanding access to essential services, preventing disease, and ensuring that people of all ages can receive affordable, quality health</w:t>
      </w:r>
      <w:r>
        <w:rPr>
          <w:rFonts w:ascii="Arial" w:hAnsi="Arial" w:cs="Arial"/>
          <w:sz w:val="22"/>
          <w:szCs w:val="22"/>
        </w:rPr>
        <w:t xml:space="preserve">care </w:t>
      </w:r>
      <w:r w:rsidR="00F93B2B" w:rsidRPr="00F93B2B">
        <w:rPr>
          <w:rFonts w:ascii="Arial" w:hAnsi="Arial" w:cs="Arial"/>
          <w:sz w:val="22"/>
          <w:szCs w:val="22"/>
        </w:rPr>
        <w:t xml:space="preserve">(United Nations, 2023). </w:t>
      </w:r>
    </w:p>
    <w:p w14:paraId="64A4D989" w14:textId="213C88CA" w:rsidR="004C65F8" w:rsidRPr="00F93B2B" w:rsidRDefault="004C65F8" w:rsidP="00F93B2B">
      <w:pPr>
        <w:spacing w:line="360" w:lineRule="auto"/>
        <w:jc w:val="both"/>
        <w:rPr>
          <w:rFonts w:ascii="Arial" w:hAnsi="Arial" w:cs="Arial"/>
          <w:sz w:val="22"/>
          <w:szCs w:val="22"/>
        </w:rPr>
      </w:pPr>
      <w:r w:rsidRPr="004C65F8">
        <w:rPr>
          <w:rFonts w:ascii="Arial" w:hAnsi="Arial" w:cs="Arial"/>
          <w:sz w:val="22"/>
          <w:szCs w:val="22"/>
        </w:rPr>
        <w:t>SDG 3 includes 13 targets focusing on reducing maternal and child mortality, controlling diseases, promoting mental health, achieving Universal Health Coverage, and strengthening health emergency preparedness (United Nations, 2024). Achieving these targets requires strong health systems and action on social inequalities.</w:t>
      </w:r>
    </w:p>
    <w:p w14:paraId="14915E3F" w14:textId="22A738DD" w:rsidR="00E043F8" w:rsidRPr="00E043F8" w:rsidRDefault="00E043F8" w:rsidP="000D6C2F">
      <w:pPr>
        <w:spacing w:line="360" w:lineRule="auto"/>
        <w:jc w:val="both"/>
        <w:rPr>
          <w:rFonts w:ascii="Arial" w:hAnsi="Arial" w:cs="Arial"/>
          <w:sz w:val="22"/>
          <w:szCs w:val="22"/>
        </w:rPr>
      </w:pPr>
      <w:r w:rsidRPr="00E043F8">
        <w:rPr>
          <w:rFonts w:ascii="Arial" w:hAnsi="Arial" w:cs="Arial"/>
          <w:sz w:val="22"/>
          <w:szCs w:val="22"/>
        </w:rPr>
        <w:t>The 2025 SDG Report also found that AIDS-related deaths declined from 1.4 million in 2010 to 630,000 in 2024, while tuberculosis affected 10.8 million people and malaria caused 263 million cases globally in 2023, highlighting continued progress alongside major global health challenges (United Nations, 2025).</w:t>
      </w:r>
    </w:p>
    <w:p w14:paraId="122F5208" w14:textId="64D895DA" w:rsidR="000D6C2F" w:rsidRPr="000D6C2F" w:rsidRDefault="000D6C2F" w:rsidP="000D6C2F">
      <w:pPr>
        <w:spacing w:line="360" w:lineRule="auto"/>
        <w:jc w:val="both"/>
        <w:rPr>
          <w:rFonts w:ascii="Arial" w:hAnsi="Arial" w:cs="Arial"/>
          <w:b/>
          <w:bCs/>
          <w:sz w:val="22"/>
          <w:szCs w:val="22"/>
        </w:rPr>
      </w:pPr>
      <w:r w:rsidRPr="000D6C2F">
        <w:rPr>
          <w:rFonts w:ascii="Arial" w:hAnsi="Arial" w:cs="Arial"/>
          <w:sz w:val="22"/>
          <w:szCs w:val="22"/>
        </w:rPr>
        <w:t xml:space="preserve">However, the success of SDG 3 cannot be measured only through healthcare availability. </w:t>
      </w:r>
      <w:r w:rsidR="00F93B2B" w:rsidRPr="00F93B2B">
        <w:rPr>
          <w:rFonts w:ascii="Arial" w:hAnsi="Arial" w:cs="Arial"/>
          <w:sz w:val="22"/>
          <w:szCs w:val="22"/>
        </w:rPr>
        <w:t>The WHO argues that health outcomes are strongly influenced by social determinants such as income, education, employment, and housing, meaning healthcare alone cannot eliminate health inequalities (WHO, 2023).</w:t>
      </w:r>
    </w:p>
    <w:p w14:paraId="3C6AB447" w14:textId="58E8CD07" w:rsidR="000D6C2F" w:rsidRPr="00553329" w:rsidRDefault="00113891" w:rsidP="00113891">
      <w:pPr>
        <w:pStyle w:val="Heading2"/>
      </w:pPr>
      <w:bookmarkStart w:id="4" w:name="_Toc235273257"/>
      <w:r>
        <w:t xml:space="preserve">1.2 </w:t>
      </w:r>
      <w:r w:rsidR="0064480B">
        <w:t xml:space="preserve">Assessment of International </w:t>
      </w:r>
      <w:r w:rsidR="000D6C2F" w:rsidRPr="00553329">
        <w:t xml:space="preserve"> Policies and Initiatives</w:t>
      </w:r>
      <w:bookmarkEnd w:id="4"/>
    </w:p>
    <w:p w14:paraId="762DB235" w14:textId="29958DDC" w:rsidR="00553329" w:rsidRPr="00553329" w:rsidRDefault="00507E67" w:rsidP="00553329">
      <w:pPr>
        <w:spacing w:line="360" w:lineRule="auto"/>
        <w:jc w:val="both"/>
        <w:rPr>
          <w:rFonts w:ascii="Arial" w:hAnsi="Arial" w:cs="Arial"/>
          <w:sz w:val="22"/>
          <w:szCs w:val="22"/>
        </w:rPr>
      </w:pPr>
      <w:r>
        <w:rPr>
          <w:rFonts w:ascii="Arial" w:hAnsi="Arial" w:cs="Arial"/>
          <w:sz w:val="22"/>
          <w:szCs w:val="22"/>
        </w:rPr>
        <w:t>Organisations, including the WHO and the Global Fund, have supported global progress towards SDG 3</w:t>
      </w:r>
      <w:r w:rsidR="00553329" w:rsidRPr="00553329">
        <w:rPr>
          <w:rFonts w:ascii="Arial" w:hAnsi="Arial" w:cs="Arial"/>
          <w:sz w:val="22"/>
          <w:szCs w:val="22"/>
        </w:rPr>
        <w:t>. The WHO Global Action Plan for Healthy Lives and Well-being for All promotes collaboration between international agencies to strengthen health systems and accelerate progress towards health-related SDG targets (WHO, 2024).</w:t>
      </w:r>
      <w:r w:rsidR="00FF77D9">
        <w:rPr>
          <w:rFonts w:ascii="Arial" w:hAnsi="Arial" w:cs="Arial"/>
          <w:sz w:val="22"/>
          <w:szCs w:val="22"/>
        </w:rPr>
        <w:t xml:space="preserve"> </w:t>
      </w:r>
      <w:r w:rsidR="00FF77D9" w:rsidRPr="00FF77D9">
        <w:rPr>
          <w:rFonts w:ascii="Arial" w:hAnsi="Arial" w:cs="Arial"/>
          <w:sz w:val="22"/>
          <w:szCs w:val="22"/>
        </w:rPr>
        <w:t>A key strength is its recognition that global health challenges require coordination.</w:t>
      </w:r>
      <w:r w:rsidR="00FF77D9">
        <w:rPr>
          <w:rFonts w:ascii="Arial" w:hAnsi="Arial" w:cs="Arial"/>
          <w:sz w:val="22"/>
          <w:szCs w:val="22"/>
        </w:rPr>
        <w:t xml:space="preserve"> </w:t>
      </w:r>
      <w:r w:rsidR="00553329" w:rsidRPr="00553329">
        <w:rPr>
          <w:rFonts w:ascii="Arial" w:hAnsi="Arial" w:cs="Arial"/>
          <w:sz w:val="22"/>
          <w:szCs w:val="22"/>
        </w:rPr>
        <w:t>However, implementation remains uneven because countries differ in financial resources, infrastructure, and political stability. The Global Fund has significantly reduced HIV, tuberculosis, and malaria through investment in prevention and treatment, particularly in low-income countries (The Global Fund, 2025). Nevertheless, dependence on donor funding raises concerns regarding long-term sustainability, suggesting that international partnerships should complement rather than replace resilient national health systems (Gostin and Friedman, 2015).</w:t>
      </w:r>
    </w:p>
    <w:p w14:paraId="521A86C6" w14:textId="77777777" w:rsidR="00553329" w:rsidRPr="00553329" w:rsidRDefault="00553329" w:rsidP="00553329">
      <w:pPr>
        <w:spacing w:line="360" w:lineRule="auto"/>
        <w:jc w:val="both"/>
        <w:rPr>
          <w:rFonts w:ascii="Arial" w:hAnsi="Arial" w:cs="Arial"/>
          <w:sz w:val="22"/>
          <w:szCs w:val="22"/>
        </w:rPr>
      </w:pPr>
      <w:r w:rsidRPr="00553329">
        <w:rPr>
          <w:rFonts w:ascii="Arial" w:hAnsi="Arial" w:cs="Arial"/>
          <w:sz w:val="22"/>
          <w:szCs w:val="22"/>
        </w:rPr>
        <w:t xml:space="preserve">The COVID-19 pandemic further exposed weaknesses in global health governance. Unequal vaccine distribution demonstrated that wealthier countries had greater access to healthcare resources, while poorer nations experienced significant delays (Bambra et al., 2020). This highlights that achieving SDG 3 requires equitable resource allocation alongside medical innovation. Furthermore, the WHO’s emphasis on social determinants, supported by the </w:t>
      </w:r>
      <w:r w:rsidRPr="00553329">
        <w:rPr>
          <w:rFonts w:ascii="Arial" w:hAnsi="Arial" w:cs="Arial"/>
          <w:sz w:val="22"/>
          <w:szCs w:val="22"/>
        </w:rPr>
        <w:lastRenderedPageBreak/>
        <w:t>Dahlgren and Whitehead model, demonstrates that improving health requires action beyond clinical services to address wider social and economic conditions (WHO, 2023; Dahlgren and Whitehead, 1991).</w:t>
      </w:r>
    </w:p>
    <w:p w14:paraId="77DB5442" w14:textId="77777777" w:rsidR="00553329" w:rsidRPr="00553329" w:rsidRDefault="00553329" w:rsidP="00553329">
      <w:pPr>
        <w:pStyle w:val="ListParagraph"/>
        <w:spacing w:line="360" w:lineRule="auto"/>
        <w:ind w:left="372"/>
        <w:jc w:val="both"/>
        <w:rPr>
          <w:rFonts w:ascii="Arial" w:hAnsi="Arial" w:cs="Arial"/>
          <w:sz w:val="22"/>
          <w:szCs w:val="22"/>
        </w:rPr>
      </w:pPr>
    </w:p>
    <w:p w14:paraId="6B03264F" w14:textId="7F798504" w:rsidR="00751963" w:rsidRDefault="00113891" w:rsidP="00113891">
      <w:pPr>
        <w:pStyle w:val="Heading2"/>
      </w:pPr>
      <w:bookmarkStart w:id="5" w:name="_Toc235273258"/>
      <w:r>
        <w:t xml:space="preserve">1.3 </w:t>
      </w:r>
      <w:r w:rsidR="000D6C2F" w:rsidRPr="00E65ACE">
        <w:t xml:space="preserve">Evaluation of </w:t>
      </w:r>
      <w:r w:rsidR="0064480B">
        <w:t xml:space="preserve">UK </w:t>
      </w:r>
      <w:r w:rsidR="000D6C2F" w:rsidRPr="00E65ACE">
        <w:t xml:space="preserve">National and Local </w:t>
      </w:r>
      <w:r w:rsidR="0064480B">
        <w:t>Initiatives</w:t>
      </w:r>
      <w:bookmarkEnd w:id="5"/>
    </w:p>
    <w:p w14:paraId="07ED0290" w14:textId="77777777" w:rsidR="00FF6FC4" w:rsidRPr="00FF6FC4" w:rsidRDefault="00751963" w:rsidP="00751963">
      <w:pPr>
        <w:spacing w:line="360" w:lineRule="auto"/>
        <w:jc w:val="both"/>
        <w:rPr>
          <w:rFonts w:ascii="Arial" w:hAnsi="Arial" w:cs="Arial"/>
          <w:sz w:val="22"/>
          <w:szCs w:val="22"/>
        </w:rPr>
      </w:pPr>
      <w:r w:rsidRPr="00751963">
        <w:rPr>
          <w:rFonts w:ascii="Arial" w:hAnsi="Arial" w:cs="Arial"/>
          <w:sz w:val="22"/>
          <w:szCs w:val="22"/>
        </w:rPr>
        <w:t xml:space="preserve">Within the UK, SDG 3 is supported through NHS strategies and public health policies. The NHS Long Term Plan prioritises prevention, personalised care, and greater integration between health and social care (NHS England, 2019). </w:t>
      </w:r>
      <w:r w:rsidR="00FF6FC4" w:rsidRPr="00FF6FC4">
        <w:rPr>
          <w:rFonts w:ascii="Arial" w:hAnsi="Arial" w:cs="Arial"/>
          <w:sz w:val="22"/>
          <w:szCs w:val="22"/>
        </w:rPr>
        <w:t>Its preventative focus aligns with SDG 3. However, demand continues to increase, with the NHS delivering approximately 369 million GP appointments during the 12 months to February 2025, placing significant pressure on primary care services (NHS England, 2025).</w:t>
      </w:r>
    </w:p>
    <w:p w14:paraId="4D5DCE4B" w14:textId="6933EBE1" w:rsidR="00751963" w:rsidRPr="00751963" w:rsidRDefault="00751963" w:rsidP="00751963">
      <w:pPr>
        <w:spacing w:line="360" w:lineRule="auto"/>
        <w:jc w:val="both"/>
        <w:rPr>
          <w:rFonts w:ascii="Arial" w:hAnsi="Arial" w:cs="Arial"/>
          <w:sz w:val="22"/>
          <w:szCs w:val="22"/>
        </w:rPr>
      </w:pPr>
      <w:r w:rsidRPr="00751963">
        <w:rPr>
          <w:rFonts w:ascii="Arial" w:hAnsi="Arial" w:cs="Arial"/>
          <w:sz w:val="22"/>
          <w:szCs w:val="22"/>
        </w:rPr>
        <w:t xml:space="preserve">However, implementation has been affected by workforce shortages, increasing demand, and financial pressures, limiting consistent delivery across England (The King’s Fund, 2023). Similarly, the Health and Care Act 2022 established Integrated Care Systems (ICSs) to improve collaboration between NHS organisations and local authorities (UK Parliament, 2022). While integration has </w:t>
      </w:r>
      <w:r>
        <w:rPr>
          <w:rFonts w:ascii="Arial" w:hAnsi="Arial" w:cs="Arial"/>
          <w:sz w:val="22"/>
          <w:szCs w:val="22"/>
        </w:rPr>
        <w:t xml:space="preserve">the </w:t>
      </w:r>
      <w:r w:rsidRPr="00751963">
        <w:rPr>
          <w:rFonts w:ascii="Arial" w:hAnsi="Arial" w:cs="Arial"/>
          <w:sz w:val="22"/>
          <w:szCs w:val="22"/>
        </w:rPr>
        <w:t>potential to improve outcomes, differences in local resources mean benefits remain uneven.</w:t>
      </w:r>
    </w:p>
    <w:p w14:paraId="22C004C4" w14:textId="64173A57" w:rsidR="00751963" w:rsidRPr="00751963" w:rsidRDefault="00751963" w:rsidP="00751963">
      <w:pPr>
        <w:spacing w:line="360" w:lineRule="auto"/>
        <w:jc w:val="both"/>
        <w:rPr>
          <w:rFonts w:ascii="Arial" w:hAnsi="Arial" w:cs="Arial"/>
          <w:sz w:val="22"/>
          <w:szCs w:val="22"/>
        </w:rPr>
      </w:pPr>
      <w:r w:rsidRPr="00751963">
        <w:rPr>
          <w:rFonts w:ascii="Arial" w:hAnsi="Arial" w:cs="Arial"/>
          <w:sz w:val="22"/>
          <w:szCs w:val="22"/>
        </w:rPr>
        <w:t>Preventative initiatives such as Making Every Contact Count (MECC) encourage healthcare professionals to promote healthy behaviours during routine consultations (NHS England, 2022).</w:t>
      </w:r>
      <w:r w:rsidR="00497E3C">
        <w:rPr>
          <w:rFonts w:ascii="Arial" w:hAnsi="Arial" w:cs="Arial"/>
          <w:sz w:val="22"/>
          <w:szCs w:val="22"/>
        </w:rPr>
        <w:t xml:space="preserve"> </w:t>
      </w:r>
      <w:r w:rsidR="00497E3C" w:rsidRPr="00497E3C">
        <w:rPr>
          <w:rFonts w:ascii="Arial" w:hAnsi="Arial" w:cs="Arial"/>
          <w:sz w:val="22"/>
          <w:szCs w:val="22"/>
        </w:rPr>
        <w:t>At Birmingham Children's Hospital, training over 120 staff increased referrals to health improvement services, demonstrating MECC's potential to support early intervention (Public Health England, NHS England and Health Education England, 2016).</w:t>
      </w:r>
      <w:r w:rsidR="00497E3C">
        <w:rPr>
          <w:rFonts w:ascii="Arial" w:hAnsi="Arial" w:cs="Arial"/>
          <w:sz w:val="22"/>
          <w:szCs w:val="22"/>
        </w:rPr>
        <w:t xml:space="preserve"> </w:t>
      </w:r>
      <w:r w:rsidRPr="00751963">
        <w:rPr>
          <w:rFonts w:ascii="Arial" w:hAnsi="Arial" w:cs="Arial"/>
          <w:sz w:val="22"/>
          <w:szCs w:val="22"/>
        </w:rPr>
        <w:t>Although this supports early intervention, its effectiveness depends on staff capacity and organisational support.</w:t>
      </w:r>
    </w:p>
    <w:p w14:paraId="3B838DCC" w14:textId="3149A51C" w:rsidR="00751963" w:rsidRPr="00751963" w:rsidRDefault="00751963" w:rsidP="00751963">
      <w:pPr>
        <w:spacing w:line="360" w:lineRule="auto"/>
        <w:jc w:val="both"/>
        <w:rPr>
          <w:rFonts w:ascii="Arial" w:hAnsi="Arial" w:cs="Arial"/>
          <w:sz w:val="22"/>
          <w:szCs w:val="22"/>
        </w:rPr>
      </w:pPr>
      <w:r w:rsidRPr="00751963">
        <w:rPr>
          <w:rFonts w:ascii="Arial" w:hAnsi="Arial" w:cs="Arial"/>
          <w:sz w:val="22"/>
          <w:szCs w:val="22"/>
        </w:rPr>
        <w:t xml:space="preserve">Despite universal healthcare, health inequalities remain substantial. The Marmot Review identified socioeconomic factors, including income, education, employment, and housing, as key drivers of unequal health outcomes (Marmot et al., 2020). Supporting this, Office for National Statistics data show that between 2022 and 2024, life expectancy in the most deprived areas of England </w:t>
      </w:r>
      <w:r w:rsidR="007D5FAB" w:rsidRPr="007D5FAB">
        <w:rPr>
          <w:rFonts w:ascii="Arial" w:hAnsi="Arial" w:cs="Arial"/>
          <w:sz w:val="22"/>
          <w:szCs w:val="22"/>
        </w:rPr>
        <w:t>was 73.2 years for males and 78.3 years for females in the most deprived areas, compared with 83.6 years and 86.4 years respectively in the least deprived areas (Office for National Statistics, 2025).</w:t>
      </w:r>
      <w:r w:rsidR="007D5FAB">
        <w:rPr>
          <w:rFonts w:ascii="Arial" w:hAnsi="Arial" w:cs="Arial"/>
          <w:sz w:val="22"/>
          <w:szCs w:val="22"/>
        </w:rPr>
        <w:t xml:space="preserve"> </w:t>
      </w:r>
      <w:r w:rsidRPr="007D5FAB">
        <w:rPr>
          <w:rFonts w:ascii="Arial" w:hAnsi="Arial" w:cs="Arial"/>
          <w:sz w:val="22"/>
          <w:szCs w:val="22"/>
        </w:rPr>
        <w:t>This</w:t>
      </w:r>
      <w:r w:rsidRPr="00751963">
        <w:rPr>
          <w:rFonts w:ascii="Arial" w:hAnsi="Arial" w:cs="Arial"/>
          <w:sz w:val="22"/>
          <w:szCs w:val="22"/>
        </w:rPr>
        <w:t xml:space="preserve"> demonstrates that universal healthcare alone cannot eliminate inequalities created by wider social determinants.</w:t>
      </w:r>
    </w:p>
    <w:p w14:paraId="078C8F2D" w14:textId="40E3A699" w:rsidR="00E65ACE" w:rsidRPr="00E65ACE" w:rsidRDefault="00E65ACE" w:rsidP="00E65ACE">
      <w:pPr>
        <w:spacing w:line="360" w:lineRule="auto"/>
        <w:jc w:val="both"/>
        <w:rPr>
          <w:rFonts w:ascii="Arial" w:hAnsi="Arial" w:cs="Arial"/>
          <w:sz w:val="22"/>
          <w:szCs w:val="22"/>
        </w:rPr>
      </w:pPr>
    </w:p>
    <w:p w14:paraId="5530FE49" w14:textId="4C8DCB18" w:rsidR="007A1620" w:rsidRDefault="00113891" w:rsidP="00113891">
      <w:pPr>
        <w:pStyle w:val="Heading2"/>
      </w:pPr>
      <w:bookmarkStart w:id="6" w:name="_Toc235273259"/>
      <w:r>
        <w:lastRenderedPageBreak/>
        <w:t xml:space="preserve">1.4 </w:t>
      </w:r>
      <w:r w:rsidR="000D6C2F" w:rsidRPr="00751963">
        <w:t xml:space="preserve">Application of </w:t>
      </w:r>
      <w:r w:rsidR="0064480B">
        <w:t xml:space="preserve">Relevant Health </w:t>
      </w:r>
      <w:r w:rsidR="000D6C2F" w:rsidRPr="00751963">
        <w:t>Theories and Models</w:t>
      </w:r>
      <w:bookmarkEnd w:id="6"/>
    </w:p>
    <w:p w14:paraId="4A457112" w14:textId="2472FA75" w:rsidR="007A1620" w:rsidRPr="007A1620" w:rsidRDefault="007A1620" w:rsidP="007A1620">
      <w:pPr>
        <w:spacing w:line="360" w:lineRule="auto"/>
        <w:jc w:val="both"/>
        <w:rPr>
          <w:rFonts w:ascii="Arial" w:hAnsi="Arial" w:cs="Arial"/>
          <w:sz w:val="22"/>
          <w:szCs w:val="22"/>
        </w:rPr>
      </w:pPr>
      <w:r w:rsidRPr="007A1620">
        <w:rPr>
          <w:rFonts w:ascii="Arial" w:hAnsi="Arial" w:cs="Arial"/>
          <w:sz w:val="22"/>
          <w:szCs w:val="22"/>
        </w:rPr>
        <w:t>The Health Belief Model (HBM) supports SDG 3 by explaining how health promotion initiatives</w:t>
      </w:r>
      <w:r w:rsidR="00814F08">
        <w:rPr>
          <w:rFonts w:ascii="Arial" w:hAnsi="Arial" w:cs="Arial"/>
          <w:sz w:val="22"/>
          <w:szCs w:val="22"/>
        </w:rPr>
        <w:t>, such as Making Every Contact Count (MECC), encourage healthier behaviours by increasing</w:t>
      </w:r>
      <w:r w:rsidRPr="007A1620">
        <w:rPr>
          <w:rFonts w:ascii="Arial" w:hAnsi="Arial" w:cs="Arial"/>
          <w:sz w:val="22"/>
          <w:szCs w:val="22"/>
        </w:rPr>
        <w:t xml:space="preserve"> awareness of health risks. Social Cognitive Theory (SCT) highlights that behaviour change depends on supportive environments, reflected in NHS community health programmes that promote healthy lifestyles. However, the Dahlgren and Whitehead model provides the strongest explanation of SDG 3 because it recognises that health is influenced by wider social determinants, including income, housing, education, and employment. Therefore, achieving SDG 3 requires both effective healthcare services and policies that address the broader causes of health inequalities.</w:t>
      </w:r>
    </w:p>
    <w:p w14:paraId="13331C65" w14:textId="30645D2D" w:rsidR="000D6C2F" w:rsidRPr="00113891" w:rsidRDefault="000D6C2F" w:rsidP="00113891">
      <w:pPr>
        <w:pStyle w:val="Heading2"/>
        <w:rPr>
          <w:rStyle w:val="Heading2Char"/>
        </w:rPr>
      </w:pPr>
      <w:bookmarkStart w:id="7" w:name="_Toc235273260"/>
      <w:r w:rsidRPr="000D6C2F">
        <w:rPr>
          <w:rFonts w:cs="Arial"/>
          <w:bCs/>
          <w:szCs w:val="22"/>
        </w:rPr>
        <w:t>1</w:t>
      </w:r>
      <w:r w:rsidRPr="00113891">
        <w:t>.5 Recommendations</w:t>
      </w:r>
      <w:r w:rsidR="0064480B">
        <w:t xml:space="preserve"> for Future Practice</w:t>
      </w:r>
      <w:bookmarkEnd w:id="7"/>
    </w:p>
    <w:p w14:paraId="3D772637" w14:textId="2159F89B" w:rsidR="000D6C2F" w:rsidRPr="000D6C2F" w:rsidRDefault="00751963" w:rsidP="000D6C2F">
      <w:pPr>
        <w:spacing w:line="360" w:lineRule="auto"/>
        <w:jc w:val="both"/>
        <w:rPr>
          <w:rFonts w:ascii="Arial" w:hAnsi="Arial" w:cs="Arial"/>
          <w:sz w:val="22"/>
          <w:szCs w:val="22"/>
        </w:rPr>
      </w:pPr>
      <w:r w:rsidRPr="00751963">
        <w:rPr>
          <w:rFonts w:ascii="Arial" w:hAnsi="Arial" w:cs="Arial"/>
          <w:sz w:val="22"/>
          <w:szCs w:val="22"/>
        </w:rPr>
        <w:t xml:space="preserve">Greater investment should be directed towards preventative and community-based healthcare services to improve early intervention and reduce avoidable illness (NHS England, 2019). Integrated Care Systems should strengthen collaboration with housing, education, and employment sectors because these factors significantly influence health outcomes (Marmot et al., 2020). </w:t>
      </w:r>
      <w:r w:rsidR="00FF77D9" w:rsidRPr="00FF77D9">
        <w:rPr>
          <w:rFonts w:ascii="Arial" w:hAnsi="Arial" w:cs="Arial"/>
          <w:sz w:val="22"/>
          <w:szCs w:val="22"/>
        </w:rPr>
        <w:t>Finally, policies should adopt proportionate universalism by providing universal healthcare while supporting disadvantaged populations</w:t>
      </w:r>
      <w:r w:rsidR="00FF77D9">
        <w:rPr>
          <w:rFonts w:ascii="Arial" w:hAnsi="Arial" w:cs="Arial"/>
          <w:sz w:val="22"/>
          <w:szCs w:val="22"/>
        </w:rPr>
        <w:t>.</w:t>
      </w:r>
      <w:r w:rsidRPr="00751963">
        <w:rPr>
          <w:rFonts w:ascii="Arial" w:hAnsi="Arial" w:cs="Arial"/>
          <w:sz w:val="22"/>
          <w:szCs w:val="22"/>
        </w:rPr>
        <w:t xml:space="preserve"> Overall, sustainable progress towards SDG 3 requires combining effective healthcare services with action on the wider social determinants of health.</w:t>
      </w:r>
    </w:p>
    <w:p w14:paraId="30993101" w14:textId="77777777" w:rsidR="000D6C2F" w:rsidRDefault="000D6C2F" w:rsidP="00D93CBC">
      <w:pPr>
        <w:spacing w:line="360" w:lineRule="auto"/>
        <w:jc w:val="both"/>
        <w:rPr>
          <w:rFonts w:ascii="Arial" w:hAnsi="Arial" w:cs="Arial"/>
          <w:b/>
          <w:bCs/>
          <w:sz w:val="22"/>
          <w:szCs w:val="22"/>
        </w:rPr>
      </w:pPr>
    </w:p>
    <w:p w14:paraId="045BCFEB" w14:textId="51E93B0A" w:rsidR="00667FEF" w:rsidRDefault="00FF1244" w:rsidP="00113891">
      <w:pPr>
        <w:pStyle w:val="Heading1"/>
      </w:pPr>
      <w:bookmarkStart w:id="8" w:name="_Toc235273261"/>
      <w:r w:rsidRPr="00A2179F">
        <w:t xml:space="preserve">Section 2: </w:t>
      </w:r>
      <w:r w:rsidR="0064480B">
        <w:t xml:space="preserve">Sustainable Development Goal </w:t>
      </w:r>
      <w:r w:rsidRPr="00A2179F">
        <w:t xml:space="preserve"> 10</w:t>
      </w:r>
      <w:r w:rsidR="0064480B">
        <w:t>:</w:t>
      </w:r>
      <w:r w:rsidRPr="00A2179F">
        <w:t xml:space="preserve"> Reduced Inequalities</w:t>
      </w:r>
      <w:bookmarkEnd w:id="8"/>
    </w:p>
    <w:p w14:paraId="5918FEA6" w14:textId="771EF5B7" w:rsidR="000D6C2F" w:rsidRPr="000D6C2F" w:rsidRDefault="000D6C2F" w:rsidP="00113891">
      <w:pPr>
        <w:pStyle w:val="Heading2"/>
      </w:pPr>
      <w:bookmarkStart w:id="9" w:name="_Toc235273262"/>
      <w:r w:rsidRPr="000D6C2F">
        <w:t xml:space="preserve">2.1 </w:t>
      </w:r>
      <w:r w:rsidR="0064480B">
        <w:t xml:space="preserve">Purpose and objectives </w:t>
      </w:r>
      <w:r w:rsidRPr="000D6C2F">
        <w:t>of SDG 10</w:t>
      </w:r>
      <w:bookmarkEnd w:id="9"/>
    </w:p>
    <w:p w14:paraId="6EF1DFC8" w14:textId="7FB0366B" w:rsidR="0086586D" w:rsidRDefault="001D4A89" w:rsidP="000D6C2F">
      <w:pPr>
        <w:spacing w:line="360" w:lineRule="auto"/>
        <w:jc w:val="both"/>
        <w:rPr>
          <w:rFonts w:ascii="Arial" w:hAnsi="Arial" w:cs="Arial"/>
          <w:sz w:val="22"/>
          <w:szCs w:val="22"/>
        </w:rPr>
      </w:pPr>
      <w:r w:rsidRPr="001D4A89">
        <w:rPr>
          <w:rFonts w:ascii="Arial" w:hAnsi="Arial" w:cs="Arial"/>
          <w:sz w:val="22"/>
          <w:szCs w:val="22"/>
        </w:rPr>
        <w:t>SDG 10 focuses on reducing inequalities both within individual countries and across nations by encouraging greater social, economic, and political inclusion</w:t>
      </w:r>
      <w:r>
        <w:rPr>
          <w:rFonts w:ascii="Arial" w:hAnsi="Arial" w:cs="Arial"/>
          <w:sz w:val="22"/>
          <w:szCs w:val="22"/>
        </w:rPr>
        <w:t xml:space="preserve"> </w:t>
      </w:r>
      <w:r w:rsidR="0086586D" w:rsidRPr="0086586D">
        <w:rPr>
          <w:rFonts w:ascii="Arial" w:hAnsi="Arial" w:cs="Arial"/>
          <w:sz w:val="22"/>
          <w:szCs w:val="22"/>
        </w:rPr>
        <w:t xml:space="preserve">and improving opportunities for disadvantaged populations (United Nations, 2024). </w:t>
      </w:r>
      <w:r w:rsidRPr="001D4A89">
        <w:rPr>
          <w:rFonts w:ascii="Arial" w:hAnsi="Arial" w:cs="Arial"/>
          <w:sz w:val="22"/>
          <w:szCs w:val="22"/>
        </w:rPr>
        <w:t>Progress towards SDG 10 is closely connected to SDG 3 because factors such as income, education, employment, housing, and social protection have a significant influence on health outcomes</w:t>
      </w:r>
      <w:r>
        <w:rPr>
          <w:rFonts w:ascii="Arial" w:hAnsi="Arial" w:cs="Arial"/>
          <w:sz w:val="22"/>
          <w:szCs w:val="22"/>
        </w:rPr>
        <w:t xml:space="preserve"> </w:t>
      </w:r>
      <w:r w:rsidR="0086586D" w:rsidRPr="0086586D">
        <w:rPr>
          <w:rFonts w:ascii="Arial" w:hAnsi="Arial" w:cs="Arial"/>
          <w:sz w:val="22"/>
          <w:szCs w:val="22"/>
        </w:rPr>
        <w:t>(WHO, 2023)</w:t>
      </w:r>
      <w:r w:rsidR="007D5FAB">
        <w:rPr>
          <w:rFonts w:ascii="Arial" w:hAnsi="Arial" w:cs="Arial"/>
          <w:sz w:val="22"/>
          <w:szCs w:val="22"/>
        </w:rPr>
        <w:t xml:space="preserve">. </w:t>
      </w:r>
      <w:r w:rsidR="007D5FAB" w:rsidRPr="007D5FAB">
        <w:rPr>
          <w:rFonts w:ascii="Arial" w:hAnsi="Arial" w:cs="Arial"/>
          <w:sz w:val="22"/>
          <w:szCs w:val="22"/>
        </w:rPr>
        <w:t>Globally, more than two-thirds of countries are experiencing widening income inequality, demonstrating the continuing importance of SDG 10 (United Nations, 2025).</w:t>
      </w:r>
    </w:p>
    <w:p w14:paraId="539A18A1" w14:textId="3F047A46" w:rsidR="004C65F8" w:rsidRDefault="004C65F8" w:rsidP="000D6C2F">
      <w:pPr>
        <w:spacing w:line="360" w:lineRule="auto"/>
        <w:jc w:val="both"/>
        <w:rPr>
          <w:rFonts w:ascii="Arial" w:hAnsi="Arial" w:cs="Arial"/>
          <w:sz w:val="22"/>
          <w:szCs w:val="22"/>
        </w:rPr>
      </w:pPr>
      <w:r w:rsidRPr="004C65F8">
        <w:rPr>
          <w:rFonts w:ascii="Arial" w:hAnsi="Arial" w:cs="Arial"/>
          <w:sz w:val="22"/>
          <w:szCs w:val="22"/>
        </w:rPr>
        <w:t>SDG 10 includes targets promoting social inclusion, equal opportunities, and fair social protection to reduce inequalities, recognising that structural policy action, rather than healthcare or economic growth alone, is essential (United Nations, 2024).</w:t>
      </w:r>
    </w:p>
    <w:p w14:paraId="633F9ECA" w14:textId="702233CD" w:rsidR="0086586D" w:rsidRDefault="00FF77D9" w:rsidP="000D6C2F">
      <w:pPr>
        <w:spacing w:line="360" w:lineRule="auto"/>
        <w:jc w:val="both"/>
        <w:rPr>
          <w:rFonts w:ascii="Arial" w:hAnsi="Arial" w:cs="Arial"/>
          <w:sz w:val="22"/>
          <w:szCs w:val="22"/>
        </w:rPr>
      </w:pPr>
      <w:r w:rsidRPr="00FF77D9">
        <w:rPr>
          <w:rFonts w:ascii="Arial" w:hAnsi="Arial" w:cs="Arial"/>
          <w:sz w:val="22"/>
          <w:szCs w:val="22"/>
        </w:rPr>
        <w:t>SDG 10 recognises that inequality extends beyond income to wider social and economic factors</w:t>
      </w:r>
      <w:r w:rsidR="0086586D" w:rsidRPr="0086586D">
        <w:rPr>
          <w:rFonts w:ascii="Arial" w:hAnsi="Arial" w:cs="Arial"/>
          <w:sz w:val="22"/>
          <w:szCs w:val="22"/>
        </w:rPr>
        <w:t xml:space="preserve">. However, reducing inequalities requires structural policy action rather than equal </w:t>
      </w:r>
      <w:r w:rsidR="0086586D" w:rsidRPr="0086586D">
        <w:rPr>
          <w:rFonts w:ascii="Arial" w:hAnsi="Arial" w:cs="Arial"/>
          <w:sz w:val="22"/>
          <w:szCs w:val="22"/>
        </w:rPr>
        <w:lastRenderedPageBreak/>
        <w:t>access to services alone. The WHO’s social determinants of health framework reinforces this by showing that health is shaped by the conditions in which people are born, grow, live, work, and age (WHO, 2021).</w:t>
      </w:r>
    </w:p>
    <w:p w14:paraId="480D37DD" w14:textId="5E1D4861" w:rsidR="000D6C2F" w:rsidRPr="005F64A6" w:rsidRDefault="000D6C2F" w:rsidP="00113891">
      <w:pPr>
        <w:pStyle w:val="Heading2"/>
      </w:pPr>
      <w:bookmarkStart w:id="10" w:name="_Toc235273263"/>
      <w:r w:rsidRPr="005F64A6">
        <w:t xml:space="preserve">2.2 </w:t>
      </w:r>
      <w:r w:rsidR="00CF6E04">
        <w:t xml:space="preserve">Assessment of International </w:t>
      </w:r>
      <w:r w:rsidR="00CF6E04" w:rsidRPr="00553329">
        <w:t xml:space="preserve"> Policies and Initiatives</w:t>
      </w:r>
      <w:bookmarkEnd w:id="10"/>
    </w:p>
    <w:p w14:paraId="6D2C1FCB" w14:textId="77777777" w:rsidR="005F64A6" w:rsidRPr="005F64A6" w:rsidRDefault="005F64A6" w:rsidP="005F64A6">
      <w:pPr>
        <w:spacing w:line="360" w:lineRule="auto"/>
        <w:jc w:val="both"/>
        <w:rPr>
          <w:rFonts w:ascii="Arial" w:hAnsi="Arial" w:cs="Arial"/>
          <w:sz w:val="22"/>
          <w:szCs w:val="22"/>
        </w:rPr>
      </w:pPr>
      <w:r w:rsidRPr="005F64A6">
        <w:rPr>
          <w:rFonts w:ascii="Arial" w:hAnsi="Arial" w:cs="Arial"/>
          <w:sz w:val="22"/>
          <w:szCs w:val="22"/>
        </w:rPr>
        <w:t>Globally, SDG 10 is supported through United Nations programmes and WHO initiatives promoting social inclusion, equitable healthcare, and stronger social protection. The WHO defines health inequalities as avoidable and unfair differences caused by social and economic conditions rather than individual choices (WHO, 2023). This is a strength because it shifts attention from individual responsibility to structural causes of inequality.</w:t>
      </w:r>
    </w:p>
    <w:p w14:paraId="50CCA355" w14:textId="5FF318F7" w:rsidR="005F64A6" w:rsidRPr="005F64A6" w:rsidRDefault="005F64A6" w:rsidP="005F64A6">
      <w:pPr>
        <w:spacing w:line="360" w:lineRule="auto"/>
        <w:jc w:val="both"/>
        <w:rPr>
          <w:rFonts w:ascii="Arial" w:hAnsi="Arial" w:cs="Arial"/>
          <w:b/>
          <w:bCs/>
          <w:sz w:val="22"/>
          <w:szCs w:val="22"/>
        </w:rPr>
      </w:pPr>
      <w:r w:rsidRPr="005F64A6">
        <w:rPr>
          <w:rFonts w:ascii="Arial" w:hAnsi="Arial" w:cs="Arial"/>
          <w:sz w:val="22"/>
          <w:szCs w:val="22"/>
        </w:rPr>
        <w:t>Despite this, progress remains uneven because countries differ in financial resources, healthcare infrastructure, and political stability. Low-income countries often struggle to invest in healthcare and social protection, limiting the implementation of SDG 10. The COVID-19 pandemic exposed these inequalities, as disadvantaged populations experienced greater health risks due to insecure employment, overcrowded housing, and reduced access to healthcare (Bambra et al., 2020). Climate change also disproportionately affects vulnerable communities, demonstrating that environmental and social inequalities are closely connected (WHO, 2023). Therefore, while international initiatives provide an important framework, achieving SDG 10 requires stronger global cooperation and sustainable investment</w:t>
      </w:r>
      <w:r w:rsidRPr="005F64A6">
        <w:rPr>
          <w:rFonts w:ascii="Arial" w:hAnsi="Arial" w:cs="Arial"/>
          <w:b/>
          <w:bCs/>
          <w:sz w:val="22"/>
          <w:szCs w:val="22"/>
        </w:rPr>
        <w:t>.</w:t>
      </w:r>
    </w:p>
    <w:p w14:paraId="3D7CB5DB" w14:textId="77777777" w:rsidR="005F64A6" w:rsidRPr="000D6C2F" w:rsidRDefault="005F64A6" w:rsidP="000D6C2F">
      <w:pPr>
        <w:spacing w:line="360" w:lineRule="auto"/>
        <w:jc w:val="both"/>
        <w:rPr>
          <w:rFonts w:ascii="Arial" w:hAnsi="Arial" w:cs="Arial"/>
          <w:b/>
          <w:bCs/>
          <w:sz w:val="22"/>
          <w:szCs w:val="22"/>
        </w:rPr>
      </w:pPr>
    </w:p>
    <w:p w14:paraId="3042CC8A" w14:textId="25A0251B" w:rsidR="000D6C2F" w:rsidRDefault="000D6C2F" w:rsidP="00113891">
      <w:pPr>
        <w:pStyle w:val="Heading2"/>
      </w:pPr>
      <w:bookmarkStart w:id="11" w:name="_Toc235273264"/>
      <w:r w:rsidRPr="000D6C2F">
        <w:t xml:space="preserve">2.3 </w:t>
      </w:r>
      <w:r w:rsidR="00CF6E04" w:rsidRPr="00E65ACE">
        <w:t xml:space="preserve">Evaluation of </w:t>
      </w:r>
      <w:r w:rsidR="00CF6E04">
        <w:t xml:space="preserve">UK </w:t>
      </w:r>
      <w:r w:rsidR="00CF6E04" w:rsidRPr="00E65ACE">
        <w:t xml:space="preserve">National and Local </w:t>
      </w:r>
      <w:r w:rsidR="00CF6E04">
        <w:t>Initiatives</w:t>
      </w:r>
      <w:bookmarkEnd w:id="11"/>
    </w:p>
    <w:p w14:paraId="7EF33743" w14:textId="77777777" w:rsidR="005F64A6" w:rsidRPr="005F64A6" w:rsidRDefault="005F64A6" w:rsidP="005F64A6">
      <w:pPr>
        <w:spacing w:line="360" w:lineRule="auto"/>
        <w:jc w:val="both"/>
        <w:rPr>
          <w:rFonts w:ascii="Arial" w:hAnsi="Arial" w:cs="Arial"/>
          <w:sz w:val="22"/>
          <w:szCs w:val="22"/>
        </w:rPr>
      </w:pPr>
      <w:r w:rsidRPr="005F64A6">
        <w:rPr>
          <w:rFonts w:ascii="Arial" w:hAnsi="Arial" w:cs="Arial"/>
          <w:sz w:val="22"/>
          <w:szCs w:val="22"/>
        </w:rPr>
        <w:t>Within the UK, reducing inequalities is supported through legislation, NHS strategies, and public health policies. The Equality Act 2010 promotes equal access to services and protects individuals from discrimination (UK Parliament, 2010). However, legislation alone cannot remove inequalities created by poverty, housing, education, and employment.</w:t>
      </w:r>
    </w:p>
    <w:p w14:paraId="539C0AF0" w14:textId="77777777" w:rsidR="005F64A6" w:rsidRPr="005F64A6" w:rsidRDefault="005F64A6" w:rsidP="005F64A6">
      <w:pPr>
        <w:spacing w:line="360" w:lineRule="auto"/>
        <w:jc w:val="both"/>
        <w:rPr>
          <w:rFonts w:ascii="Arial" w:hAnsi="Arial" w:cs="Arial"/>
          <w:sz w:val="22"/>
          <w:szCs w:val="22"/>
        </w:rPr>
      </w:pPr>
      <w:r w:rsidRPr="005F64A6">
        <w:rPr>
          <w:rFonts w:ascii="Arial" w:hAnsi="Arial" w:cs="Arial"/>
          <w:sz w:val="22"/>
          <w:szCs w:val="22"/>
        </w:rPr>
        <w:t>The Marmot Review concluded that health inequalities remain strongly associated with socioeconomic conditions and that policy implementation has been insufficient to reverse widening inequalities (Marmot et al., 2020). This highlights that the challenge is not a lack of evidence but inconsistent long-term investment.</w:t>
      </w:r>
    </w:p>
    <w:p w14:paraId="245C6DEF" w14:textId="616AA7C4" w:rsidR="005F64A6" w:rsidRPr="005F64A6" w:rsidRDefault="005F64A6" w:rsidP="005F64A6">
      <w:pPr>
        <w:spacing w:line="360" w:lineRule="auto"/>
        <w:jc w:val="both"/>
        <w:rPr>
          <w:rFonts w:ascii="Arial" w:hAnsi="Arial" w:cs="Arial"/>
          <w:sz w:val="22"/>
          <w:szCs w:val="22"/>
        </w:rPr>
      </w:pPr>
      <w:r w:rsidRPr="005F64A6">
        <w:rPr>
          <w:rFonts w:ascii="Arial" w:hAnsi="Arial" w:cs="Arial"/>
          <w:sz w:val="22"/>
          <w:szCs w:val="22"/>
        </w:rPr>
        <w:t xml:space="preserve">The NHS Core20PLUS5 programme </w:t>
      </w:r>
      <w:r w:rsidR="007D5FAB" w:rsidRPr="007D5FAB">
        <w:rPr>
          <w:rFonts w:ascii="Arial" w:hAnsi="Arial" w:cs="Arial"/>
          <w:sz w:val="22"/>
          <w:szCs w:val="22"/>
        </w:rPr>
        <w:t>targets the most deprived 20% of England's population, alongside inclusion groups experiencing poorer health outcomes (NHS England, 2025).</w:t>
      </w:r>
      <w:r w:rsidR="007D5FAB">
        <w:rPr>
          <w:rFonts w:ascii="Arial" w:hAnsi="Arial" w:cs="Arial"/>
          <w:sz w:val="22"/>
          <w:szCs w:val="22"/>
        </w:rPr>
        <w:t xml:space="preserve"> </w:t>
      </w:r>
      <w:r w:rsidRPr="007D5FAB">
        <w:rPr>
          <w:rFonts w:ascii="Arial" w:hAnsi="Arial" w:cs="Arial"/>
          <w:sz w:val="22"/>
          <w:szCs w:val="22"/>
        </w:rPr>
        <w:t xml:space="preserve"> Its strength lies in recognising that</w:t>
      </w:r>
      <w:r w:rsidRPr="005F64A6">
        <w:rPr>
          <w:rFonts w:ascii="Arial" w:hAnsi="Arial" w:cs="Arial"/>
          <w:sz w:val="22"/>
          <w:szCs w:val="22"/>
        </w:rPr>
        <w:t xml:space="preserve"> universal healthcare does not automatically produce equal outcomes and that additional support is required for disadvantaged groups. However, its success depends on adequate funding, workforce capacity, and effective local implementation.</w:t>
      </w:r>
    </w:p>
    <w:p w14:paraId="08F22E03" w14:textId="1EF0AB3A" w:rsidR="005F64A6" w:rsidRPr="005F64A6" w:rsidRDefault="005F64A6" w:rsidP="005F64A6">
      <w:pPr>
        <w:spacing w:line="360" w:lineRule="auto"/>
        <w:jc w:val="both"/>
        <w:rPr>
          <w:rFonts w:ascii="Arial" w:hAnsi="Arial" w:cs="Arial"/>
          <w:sz w:val="22"/>
          <w:szCs w:val="22"/>
        </w:rPr>
      </w:pPr>
      <w:r w:rsidRPr="005F64A6">
        <w:rPr>
          <w:rFonts w:ascii="Arial" w:hAnsi="Arial" w:cs="Arial"/>
          <w:sz w:val="22"/>
          <w:szCs w:val="22"/>
        </w:rPr>
        <w:lastRenderedPageBreak/>
        <w:t xml:space="preserve">The Public Health Outcomes Framework </w:t>
      </w:r>
      <w:r w:rsidR="00F016C3" w:rsidRPr="00F016C3">
        <w:rPr>
          <w:rFonts w:ascii="Arial" w:hAnsi="Arial" w:cs="Arial"/>
          <w:sz w:val="22"/>
          <w:szCs w:val="22"/>
        </w:rPr>
        <w:t>monitors indicators including life expectancy, healthy life expectancy, mortality, obesity, smoking, and wider health inequalities across England (Gov.UK, 2025).</w:t>
      </w:r>
      <w:r w:rsidR="00F016C3">
        <w:rPr>
          <w:rFonts w:ascii="Arial" w:hAnsi="Arial" w:cs="Arial"/>
          <w:sz w:val="22"/>
          <w:szCs w:val="22"/>
        </w:rPr>
        <w:t xml:space="preserve"> </w:t>
      </w:r>
      <w:r w:rsidRPr="005F64A6">
        <w:rPr>
          <w:rFonts w:ascii="Arial" w:hAnsi="Arial" w:cs="Arial"/>
          <w:sz w:val="22"/>
          <w:szCs w:val="22"/>
        </w:rPr>
        <w:t>Although monitoring supports evidence-based decision-making, collecting data alone does not reduce inequality without effective policy action.</w:t>
      </w:r>
    </w:p>
    <w:p w14:paraId="4DDBE7CE" w14:textId="4CB322EA" w:rsidR="005F64A6" w:rsidRPr="005F64A6" w:rsidRDefault="005F64A6" w:rsidP="005F64A6">
      <w:pPr>
        <w:spacing w:line="360" w:lineRule="auto"/>
        <w:jc w:val="both"/>
        <w:rPr>
          <w:rFonts w:ascii="Arial" w:hAnsi="Arial" w:cs="Arial"/>
          <w:sz w:val="22"/>
          <w:szCs w:val="22"/>
        </w:rPr>
      </w:pPr>
      <w:r w:rsidRPr="005F64A6">
        <w:rPr>
          <w:rFonts w:ascii="Arial" w:hAnsi="Arial" w:cs="Arial"/>
          <w:sz w:val="22"/>
          <w:szCs w:val="22"/>
        </w:rPr>
        <w:t xml:space="preserve">Recent ONS data demonstrate the persistence of health inequalities. Between 2022 and 2024, life expectancy </w:t>
      </w:r>
      <w:r w:rsidRPr="007D5FAB">
        <w:rPr>
          <w:rFonts w:ascii="Arial" w:hAnsi="Arial" w:cs="Arial"/>
          <w:sz w:val="22"/>
          <w:szCs w:val="22"/>
        </w:rPr>
        <w:t>remained around 1</w:t>
      </w:r>
      <w:r w:rsidRPr="005F64A6">
        <w:rPr>
          <w:rFonts w:ascii="Arial" w:hAnsi="Arial" w:cs="Arial"/>
          <w:sz w:val="22"/>
          <w:szCs w:val="22"/>
        </w:rPr>
        <w:t xml:space="preserve">0.4 years lower for males and 8 years lower for females living in the most deprived areas compared with the least deprived areas, </w:t>
      </w:r>
      <w:r w:rsidRPr="00CF29E6">
        <w:rPr>
          <w:rFonts w:ascii="Arial" w:hAnsi="Arial" w:cs="Arial"/>
          <w:sz w:val="22"/>
          <w:szCs w:val="22"/>
        </w:rPr>
        <w:t xml:space="preserve">while </w:t>
      </w:r>
      <w:r w:rsidR="00CF29E6" w:rsidRPr="00CF29E6">
        <w:rPr>
          <w:rFonts w:ascii="Arial" w:hAnsi="Arial" w:cs="Arial"/>
          <w:sz w:val="22"/>
          <w:szCs w:val="22"/>
        </w:rPr>
        <w:t xml:space="preserve">healthy life expectancy differed by approximately 19 years for males and 18 years for females between the most and least deprived areas (Office for National Statistics, 2025). </w:t>
      </w:r>
      <w:r w:rsidRPr="00CF29E6">
        <w:rPr>
          <w:rFonts w:ascii="Arial" w:hAnsi="Arial" w:cs="Arial"/>
          <w:sz w:val="22"/>
          <w:szCs w:val="22"/>
        </w:rPr>
        <w:t>This indicates</w:t>
      </w:r>
      <w:r w:rsidRPr="005F64A6">
        <w:rPr>
          <w:rFonts w:ascii="Arial" w:hAnsi="Arial" w:cs="Arial"/>
          <w:sz w:val="22"/>
          <w:szCs w:val="22"/>
        </w:rPr>
        <w:t xml:space="preserve"> that deprivation affects both lifespan and quality of life. In addition, increasing reliance on digital healthcare may unintentionally widen inequalities for people with limited digital skills or internet access unless inclusive alternatives remain available.</w:t>
      </w:r>
    </w:p>
    <w:p w14:paraId="68547FD2" w14:textId="6848F766" w:rsidR="005F64A6" w:rsidRPr="005F64A6" w:rsidRDefault="005F64A6" w:rsidP="000D6C2F">
      <w:pPr>
        <w:spacing w:line="360" w:lineRule="auto"/>
        <w:jc w:val="both"/>
        <w:rPr>
          <w:rFonts w:ascii="Arial" w:hAnsi="Arial" w:cs="Arial"/>
          <w:sz w:val="22"/>
          <w:szCs w:val="22"/>
        </w:rPr>
      </w:pPr>
    </w:p>
    <w:p w14:paraId="6F23D4F4" w14:textId="77777777" w:rsidR="00CF6E04" w:rsidRDefault="000D6C2F" w:rsidP="00CF6E04">
      <w:pPr>
        <w:pStyle w:val="Heading2"/>
      </w:pPr>
      <w:bookmarkStart w:id="12" w:name="_Toc235273265"/>
      <w:r w:rsidRPr="000D6C2F">
        <w:t xml:space="preserve">2.4 </w:t>
      </w:r>
      <w:r w:rsidR="00CF6E04" w:rsidRPr="00751963">
        <w:t xml:space="preserve">Application of </w:t>
      </w:r>
      <w:r w:rsidR="00CF6E04">
        <w:t xml:space="preserve">Relevant Health </w:t>
      </w:r>
      <w:r w:rsidR="00CF6E04" w:rsidRPr="00751963">
        <w:t>Theories and Models</w:t>
      </w:r>
      <w:bookmarkEnd w:id="12"/>
    </w:p>
    <w:p w14:paraId="413337B6" w14:textId="54E6C04E" w:rsidR="005F64A6" w:rsidRPr="00D16B3E" w:rsidRDefault="00D16B3E" w:rsidP="000D6C2F">
      <w:pPr>
        <w:spacing w:line="360" w:lineRule="auto"/>
        <w:jc w:val="both"/>
        <w:rPr>
          <w:rFonts w:ascii="Arial" w:hAnsi="Arial" w:cs="Arial"/>
          <w:sz w:val="22"/>
          <w:szCs w:val="22"/>
        </w:rPr>
      </w:pPr>
      <w:r w:rsidRPr="00D16B3E">
        <w:rPr>
          <w:rFonts w:ascii="Arial" w:hAnsi="Arial" w:cs="Arial"/>
          <w:sz w:val="22"/>
          <w:szCs w:val="22"/>
        </w:rPr>
        <w:t>The Dahlgren and Whitehead model best explains SDG 10 by showing that health inequalities result from wider social determinants such as income, education, housing, and employment rather than individual behaviour alone. This is reflected in the NHS Core20PLUS5 programme, which targets the most deprived communities to reduce health inequalities. The Health Belief Model (HBM) explains how perceived barriers influence healthcare use, but does not fully address structural disadvantage. Social Cognitive Theory (SCT) highlights that supportive environments improve health behaviours, demonstrating that achieving SDG 10 requires both individual behaviour change and policies addressing social and economic inequalities.</w:t>
      </w:r>
    </w:p>
    <w:p w14:paraId="46CB5CB5" w14:textId="77777777" w:rsidR="00CF6E04" w:rsidRPr="00113891" w:rsidRDefault="000D6C2F" w:rsidP="00CF6E04">
      <w:pPr>
        <w:pStyle w:val="Heading2"/>
        <w:rPr>
          <w:rStyle w:val="Heading2Char"/>
        </w:rPr>
      </w:pPr>
      <w:bookmarkStart w:id="13" w:name="_Toc235273266"/>
      <w:r w:rsidRPr="000D6C2F">
        <w:t xml:space="preserve">2.5 </w:t>
      </w:r>
      <w:r w:rsidR="00CF6E04" w:rsidRPr="00113891">
        <w:t>Recommendations</w:t>
      </w:r>
      <w:r w:rsidR="00CF6E04">
        <w:t xml:space="preserve"> for Future Practice</w:t>
      </w:r>
      <w:bookmarkEnd w:id="13"/>
    </w:p>
    <w:p w14:paraId="712B9823" w14:textId="77777777" w:rsidR="002C0F8B" w:rsidRDefault="005F64A6" w:rsidP="000D6C2F">
      <w:pPr>
        <w:spacing w:line="360" w:lineRule="auto"/>
        <w:jc w:val="both"/>
        <w:rPr>
          <w:rFonts w:ascii="Arial" w:hAnsi="Arial" w:cs="Arial"/>
          <w:sz w:val="22"/>
          <w:szCs w:val="22"/>
        </w:rPr>
      </w:pPr>
      <w:r w:rsidRPr="005F64A6">
        <w:rPr>
          <w:rFonts w:ascii="Arial" w:hAnsi="Arial" w:cs="Arial"/>
          <w:sz w:val="22"/>
          <w:szCs w:val="22"/>
        </w:rPr>
        <w:t xml:space="preserve">Investment should prioritise disadvantaged communities through proportionate universalism, ensuring universal services remain available while additional support is directed towards those with greater need (Marmot et al., 2020). Healthcare providers should also improve digital inclusion by supporting digital literacy and maintaining non-digital services for vulnerable </w:t>
      </w:r>
      <w:r w:rsidRPr="002C0F8B">
        <w:rPr>
          <w:rFonts w:ascii="Arial" w:hAnsi="Arial" w:cs="Arial"/>
          <w:sz w:val="22"/>
          <w:szCs w:val="22"/>
        </w:rPr>
        <w:t>populations</w:t>
      </w:r>
      <w:r w:rsidR="002C0F8B" w:rsidRPr="002C0F8B">
        <w:rPr>
          <w:rFonts w:ascii="Arial" w:hAnsi="Arial" w:cs="Arial"/>
          <w:sz w:val="22"/>
          <w:szCs w:val="22"/>
        </w:rPr>
        <w:t xml:space="preserve"> (NHS England, 2022; WHO, 2021)</w:t>
      </w:r>
      <w:r w:rsidR="002C0F8B">
        <w:rPr>
          <w:rFonts w:ascii="Arial" w:hAnsi="Arial" w:cs="Arial"/>
          <w:sz w:val="22"/>
          <w:szCs w:val="22"/>
        </w:rPr>
        <w:t>.</w:t>
      </w:r>
    </w:p>
    <w:p w14:paraId="254CB7CB" w14:textId="77777777" w:rsidR="002C0F8B" w:rsidRDefault="005F64A6" w:rsidP="000D6C2F">
      <w:pPr>
        <w:spacing w:line="360" w:lineRule="auto"/>
        <w:jc w:val="both"/>
        <w:rPr>
          <w:rFonts w:ascii="Arial" w:hAnsi="Arial" w:cs="Arial"/>
          <w:sz w:val="22"/>
          <w:szCs w:val="22"/>
        </w:rPr>
      </w:pPr>
      <w:r w:rsidRPr="005F64A6">
        <w:rPr>
          <w:rFonts w:ascii="Arial" w:hAnsi="Arial" w:cs="Arial"/>
          <w:sz w:val="22"/>
          <w:szCs w:val="22"/>
        </w:rPr>
        <w:t xml:space="preserve"> Finally, stronger collaboration between healthcare, housing, education, employment, and social services is essential because inequalities are driven by wider social determinants</w:t>
      </w:r>
      <w:r w:rsidR="002C0F8B">
        <w:rPr>
          <w:rFonts w:ascii="Arial" w:hAnsi="Arial" w:cs="Arial"/>
          <w:sz w:val="22"/>
          <w:szCs w:val="22"/>
        </w:rPr>
        <w:t xml:space="preserve"> </w:t>
      </w:r>
      <w:r w:rsidR="002C0F8B" w:rsidRPr="002C0F8B">
        <w:rPr>
          <w:rFonts w:ascii="Arial" w:hAnsi="Arial" w:cs="Arial"/>
          <w:sz w:val="22"/>
          <w:szCs w:val="22"/>
        </w:rPr>
        <w:t>(WHO, 2023; Dahlgren and Whitehead, 1991).</w:t>
      </w:r>
      <w:r w:rsidR="002C0F8B">
        <w:rPr>
          <w:rFonts w:ascii="Arial" w:hAnsi="Arial" w:cs="Arial"/>
          <w:sz w:val="22"/>
          <w:szCs w:val="22"/>
        </w:rPr>
        <w:t xml:space="preserve"> </w:t>
      </w:r>
    </w:p>
    <w:p w14:paraId="4A482941" w14:textId="14E4B6FD" w:rsidR="005F64A6" w:rsidRPr="005F64A6" w:rsidRDefault="005F64A6" w:rsidP="000D6C2F">
      <w:pPr>
        <w:spacing w:line="360" w:lineRule="auto"/>
        <w:jc w:val="both"/>
        <w:rPr>
          <w:rFonts w:ascii="Arial" w:hAnsi="Arial" w:cs="Arial"/>
          <w:sz w:val="22"/>
          <w:szCs w:val="22"/>
        </w:rPr>
      </w:pPr>
      <w:r w:rsidRPr="005F64A6">
        <w:rPr>
          <w:rFonts w:ascii="Arial" w:hAnsi="Arial" w:cs="Arial"/>
          <w:sz w:val="22"/>
          <w:szCs w:val="22"/>
        </w:rPr>
        <w:t>Overall, achieving SDG 10 requires sustained investment, coordinated policy implementation, and action on the structural causes of inequality.</w:t>
      </w:r>
    </w:p>
    <w:p w14:paraId="35590EA8" w14:textId="77777777" w:rsidR="000D6C2F" w:rsidRPr="000D6C2F" w:rsidRDefault="000D6C2F" w:rsidP="000D6C2F">
      <w:pPr>
        <w:spacing w:line="360" w:lineRule="auto"/>
        <w:jc w:val="both"/>
        <w:rPr>
          <w:rFonts w:ascii="Arial" w:hAnsi="Arial" w:cs="Arial"/>
          <w:sz w:val="22"/>
          <w:szCs w:val="22"/>
        </w:rPr>
      </w:pPr>
    </w:p>
    <w:p w14:paraId="136CBEFA" w14:textId="7D1090B3" w:rsidR="00E16628" w:rsidRPr="00E16628" w:rsidRDefault="00E16628" w:rsidP="00113891">
      <w:pPr>
        <w:pStyle w:val="Heading1"/>
      </w:pPr>
      <w:bookmarkStart w:id="14" w:name="_Toc235273267"/>
      <w:r w:rsidRPr="00E16628">
        <w:lastRenderedPageBreak/>
        <w:t>Conclusion</w:t>
      </w:r>
      <w:bookmarkEnd w:id="14"/>
      <w:r w:rsidRPr="00E16628">
        <w:t xml:space="preserve"> </w:t>
      </w:r>
    </w:p>
    <w:p w14:paraId="218416CE" w14:textId="695C3122" w:rsidR="00BF2A99" w:rsidRPr="00746A1C" w:rsidRDefault="00BF2A99" w:rsidP="00BF2A99">
      <w:pPr>
        <w:spacing w:line="360" w:lineRule="auto"/>
        <w:jc w:val="both"/>
        <w:rPr>
          <w:rFonts w:ascii="Arial" w:hAnsi="Arial" w:cs="Arial"/>
          <w:sz w:val="22"/>
          <w:szCs w:val="22"/>
        </w:rPr>
      </w:pPr>
      <w:r w:rsidRPr="00BF2A99">
        <w:rPr>
          <w:rFonts w:ascii="Arial" w:hAnsi="Arial" w:cs="Arial"/>
          <w:sz w:val="22"/>
          <w:szCs w:val="22"/>
        </w:rPr>
        <w:t xml:space="preserve">This report has demonstrated that SDG 3 and SDG 10  are deeply interconnected, as sustainable health improvement depends on reducing social and economic inequalities. Although SDG 3’s focus on healthcare access, disease prevention, and stronger health systems has improved outcomes globally, progress remains limited where disadvantaged populations continue to experience unequal living conditions and </w:t>
      </w:r>
      <w:r w:rsidRPr="00746A1C">
        <w:rPr>
          <w:rFonts w:ascii="Arial" w:hAnsi="Arial" w:cs="Arial"/>
          <w:sz w:val="22"/>
          <w:szCs w:val="22"/>
        </w:rPr>
        <w:t>opportunities</w:t>
      </w:r>
      <w:r w:rsidR="00746A1C" w:rsidRPr="00746A1C">
        <w:rPr>
          <w:rFonts w:ascii="Arial" w:hAnsi="Arial" w:cs="Arial"/>
          <w:sz w:val="22"/>
          <w:szCs w:val="22"/>
        </w:rPr>
        <w:t xml:space="preserve"> (Marmot et al., 2020).</w:t>
      </w:r>
    </w:p>
    <w:p w14:paraId="636BB121" w14:textId="4D5EDB86" w:rsidR="00BF2A99" w:rsidRPr="00746A1C" w:rsidRDefault="00BF2A99" w:rsidP="00BF2A99">
      <w:pPr>
        <w:spacing w:line="360" w:lineRule="auto"/>
        <w:jc w:val="both"/>
        <w:rPr>
          <w:rFonts w:ascii="Arial" w:hAnsi="Arial" w:cs="Arial"/>
          <w:sz w:val="22"/>
          <w:szCs w:val="22"/>
        </w:rPr>
      </w:pPr>
      <w:r w:rsidRPr="00BF2A99">
        <w:rPr>
          <w:rFonts w:ascii="Arial" w:hAnsi="Arial" w:cs="Arial"/>
          <w:sz w:val="22"/>
          <w:szCs w:val="22"/>
        </w:rPr>
        <w:t xml:space="preserve">Global initiatives led by organisations such as the WHO and </w:t>
      </w:r>
      <w:r w:rsidR="00836F8A">
        <w:rPr>
          <w:rFonts w:ascii="Arial" w:hAnsi="Arial" w:cs="Arial"/>
          <w:sz w:val="22"/>
          <w:szCs w:val="22"/>
        </w:rPr>
        <w:t>the Global Fund have strengthened disease prevention and healthcare development; however, their impact is constrained by resource inequities, funding dependence</w:t>
      </w:r>
      <w:r w:rsidRPr="00BF2A99">
        <w:rPr>
          <w:rFonts w:ascii="Arial" w:hAnsi="Arial" w:cs="Arial"/>
          <w:sz w:val="22"/>
          <w:szCs w:val="22"/>
        </w:rPr>
        <w:t xml:space="preserve">, and weaknesses in global governance. Within the UK, policies including the NHS Long Term Plan, Equality Act 2010, Health and Care Act 2022, and Core20PLUS5 demonstrate </w:t>
      </w:r>
      <w:r>
        <w:rPr>
          <w:rFonts w:ascii="Arial" w:hAnsi="Arial" w:cs="Arial"/>
          <w:sz w:val="22"/>
          <w:szCs w:val="22"/>
        </w:rPr>
        <w:t xml:space="preserve">a </w:t>
      </w:r>
      <w:r w:rsidRPr="00BF2A99">
        <w:rPr>
          <w:rFonts w:ascii="Arial" w:hAnsi="Arial" w:cs="Arial"/>
          <w:sz w:val="22"/>
          <w:szCs w:val="22"/>
        </w:rPr>
        <w:t>commitment towards improving health equity. Nevertheless, persistent life expectancy gaps show that policies require effective implementation and action on wider social determinants</w:t>
      </w:r>
      <w:r w:rsidR="00746A1C">
        <w:rPr>
          <w:rFonts w:ascii="Arial" w:hAnsi="Arial" w:cs="Arial"/>
          <w:sz w:val="22"/>
          <w:szCs w:val="22"/>
        </w:rPr>
        <w:t xml:space="preserve"> </w:t>
      </w:r>
      <w:r w:rsidR="00746A1C" w:rsidRPr="00746A1C">
        <w:rPr>
          <w:rFonts w:ascii="Arial" w:hAnsi="Arial" w:cs="Arial"/>
          <w:sz w:val="22"/>
          <w:szCs w:val="22"/>
        </w:rPr>
        <w:t>(Marmot et al., 2020; Office for National Statistics, 2025).</w:t>
      </w:r>
    </w:p>
    <w:p w14:paraId="35772617" w14:textId="77FE7BA5" w:rsidR="00BF2A99" w:rsidRPr="00BF2A99" w:rsidRDefault="00BF2A99" w:rsidP="00BF2A99">
      <w:pPr>
        <w:spacing w:line="360" w:lineRule="auto"/>
        <w:jc w:val="both"/>
        <w:rPr>
          <w:rFonts w:ascii="Arial" w:hAnsi="Arial" w:cs="Arial"/>
          <w:sz w:val="22"/>
          <w:szCs w:val="22"/>
        </w:rPr>
      </w:pPr>
      <w:r w:rsidRPr="00BF2A99">
        <w:rPr>
          <w:rFonts w:ascii="Arial" w:hAnsi="Arial" w:cs="Arial"/>
          <w:sz w:val="22"/>
          <w:szCs w:val="22"/>
        </w:rPr>
        <w:t xml:space="preserve">The theoretical frameworks applied demonstrate that health outcomes cannot be explained through behaviour alone. The Health Belief Model and Social Cognitive Theory provide insight into individual choices, while the Dahlgren and Whitehead model highlights the influence of structural </w:t>
      </w:r>
      <w:r w:rsidRPr="00746A1C">
        <w:rPr>
          <w:rFonts w:ascii="Arial" w:hAnsi="Arial" w:cs="Arial"/>
          <w:sz w:val="22"/>
          <w:szCs w:val="22"/>
        </w:rPr>
        <w:t>factors</w:t>
      </w:r>
      <w:r w:rsidR="00746A1C" w:rsidRPr="00746A1C">
        <w:rPr>
          <w:rFonts w:ascii="Arial" w:hAnsi="Arial" w:cs="Arial"/>
          <w:sz w:val="22"/>
          <w:szCs w:val="22"/>
        </w:rPr>
        <w:t xml:space="preserve"> (Dahlgren and Whitehead, 1991).</w:t>
      </w:r>
    </w:p>
    <w:p w14:paraId="36FD17CC" w14:textId="64E4B355" w:rsidR="00BF2A99" w:rsidRPr="00BF2A99" w:rsidRDefault="00BF2A99" w:rsidP="00BF2A99">
      <w:pPr>
        <w:spacing w:line="360" w:lineRule="auto"/>
        <w:jc w:val="both"/>
        <w:rPr>
          <w:rFonts w:ascii="Arial" w:hAnsi="Arial" w:cs="Arial"/>
          <w:sz w:val="22"/>
          <w:szCs w:val="22"/>
        </w:rPr>
      </w:pPr>
      <w:r w:rsidRPr="00BF2A99">
        <w:rPr>
          <w:rFonts w:ascii="Arial" w:hAnsi="Arial" w:cs="Arial"/>
          <w:sz w:val="22"/>
          <w:szCs w:val="22"/>
        </w:rPr>
        <w:t>Ultimately, achieving SDG 3 and SDG 10 requires integrated approaches combining healthcare improvement with social reform</w:t>
      </w:r>
      <w:r w:rsidR="004A149C">
        <w:rPr>
          <w:rFonts w:ascii="Arial" w:hAnsi="Arial" w:cs="Arial"/>
          <w:sz w:val="22"/>
          <w:szCs w:val="22"/>
        </w:rPr>
        <w:t xml:space="preserve"> </w:t>
      </w:r>
      <w:r w:rsidRPr="00BF2A99">
        <w:rPr>
          <w:rFonts w:ascii="Arial" w:hAnsi="Arial" w:cs="Arial"/>
          <w:sz w:val="22"/>
          <w:szCs w:val="22"/>
        </w:rPr>
        <w:t>and equity-focused investment. Without addressing the structural causes of inequality, progress will remain uneven and incomplete</w:t>
      </w:r>
      <w:r w:rsidR="00746A1C">
        <w:rPr>
          <w:rFonts w:ascii="Arial" w:hAnsi="Arial" w:cs="Arial"/>
          <w:sz w:val="22"/>
          <w:szCs w:val="22"/>
        </w:rPr>
        <w:t xml:space="preserve"> </w:t>
      </w:r>
      <w:r w:rsidR="00746A1C" w:rsidRPr="00746A1C">
        <w:rPr>
          <w:rFonts w:ascii="Arial" w:hAnsi="Arial" w:cs="Arial"/>
          <w:sz w:val="22"/>
          <w:szCs w:val="22"/>
        </w:rPr>
        <w:t>(WHO, 2023; Marmot et al., 2020).</w:t>
      </w:r>
    </w:p>
    <w:p w14:paraId="0253BD5F" w14:textId="581E2BED" w:rsidR="00EF64C2" w:rsidRDefault="00EF64C2" w:rsidP="00E16628">
      <w:pPr>
        <w:spacing w:line="360" w:lineRule="auto"/>
        <w:jc w:val="both"/>
        <w:rPr>
          <w:rFonts w:ascii="Arial" w:hAnsi="Arial" w:cs="Arial"/>
          <w:sz w:val="22"/>
          <w:szCs w:val="22"/>
        </w:rPr>
      </w:pPr>
    </w:p>
    <w:p w14:paraId="103CEB85" w14:textId="77777777" w:rsidR="00BF2A99" w:rsidRDefault="00BF2A99" w:rsidP="00E16628">
      <w:pPr>
        <w:spacing w:line="360" w:lineRule="auto"/>
        <w:jc w:val="both"/>
        <w:rPr>
          <w:rFonts w:ascii="Arial" w:hAnsi="Arial" w:cs="Arial"/>
          <w:sz w:val="22"/>
          <w:szCs w:val="22"/>
        </w:rPr>
      </w:pPr>
    </w:p>
    <w:p w14:paraId="5C1E198C" w14:textId="77777777" w:rsidR="0004097E" w:rsidRDefault="0004097E" w:rsidP="00E16628">
      <w:pPr>
        <w:spacing w:line="360" w:lineRule="auto"/>
        <w:jc w:val="both"/>
        <w:rPr>
          <w:rFonts w:ascii="Arial" w:hAnsi="Arial" w:cs="Arial"/>
          <w:sz w:val="22"/>
          <w:szCs w:val="22"/>
        </w:rPr>
      </w:pPr>
    </w:p>
    <w:p w14:paraId="5B6D66DB" w14:textId="77777777" w:rsidR="00BF2A99" w:rsidRDefault="00BF2A99" w:rsidP="00E16628">
      <w:pPr>
        <w:spacing w:line="360" w:lineRule="auto"/>
        <w:jc w:val="both"/>
        <w:rPr>
          <w:rFonts w:ascii="Arial" w:hAnsi="Arial" w:cs="Arial"/>
          <w:sz w:val="22"/>
          <w:szCs w:val="22"/>
        </w:rPr>
      </w:pPr>
    </w:p>
    <w:p w14:paraId="6E0DF8C3" w14:textId="77777777" w:rsidR="00BF2A99" w:rsidRDefault="00BF2A99" w:rsidP="00E16628">
      <w:pPr>
        <w:spacing w:line="360" w:lineRule="auto"/>
        <w:jc w:val="both"/>
        <w:rPr>
          <w:rFonts w:ascii="Arial" w:hAnsi="Arial" w:cs="Arial"/>
          <w:sz w:val="22"/>
          <w:szCs w:val="22"/>
        </w:rPr>
      </w:pPr>
    </w:p>
    <w:p w14:paraId="7B16B0EA" w14:textId="77777777" w:rsidR="00BF2A99" w:rsidRDefault="00BF2A99" w:rsidP="00E16628">
      <w:pPr>
        <w:spacing w:line="360" w:lineRule="auto"/>
        <w:jc w:val="both"/>
        <w:rPr>
          <w:rFonts w:ascii="Arial" w:hAnsi="Arial" w:cs="Arial"/>
          <w:sz w:val="22"/>
          <w:szCs w:val="22"/>
        </w:rPr>
      </w:pPr>
    </w:p>
    <w:p w14:paraId="52B7679A" w14:textId="77777777" w:rsidR="00BF2A99" w:rsidRDefault="00BF2A99" w:rsidP="00E16628">
      <w:pPr>
        <w:spacing w:line="360" w:lineRule="auto"/>
        <w:jc w:val="both"/>
        <w:rPr>
          <w:rFonts w:ascii="Arial" w:hAnsi="Arial" w:cs="Arial"/>
          <w:sz w:val="22"/>
          <w:szCs w:val="22"/>
        </w:rPr>
      </w:pPr>
    </w:p>
    <w:p w14:paraId="7585B96E" w14:textId="75CAC5D1" w:rsidR="00771B81" w:rsidRPr="00771B81" w:rsidRDefault="00771B81" w:rsidP="00113891">
      <w:pPr>
        <w:pStyle w:val="Heading1"/>
      </w:pPr>
      <w:bookmarkStart w:id="15" w:name="_Toc235273268"/>
      <w:r w:rsidRPr="00771B81">
        <w:rPr>
          <w:lang w:val="en-US"/>
        </w:rPr>
        <w:lastRenderedPageBreak/>
        <w:t>Reference List</w:t>
      </w:r>
      <w:bookmarkEnd w:id="15"/>
    </w:p>
    <w:p w14:paraId="1A41462A" w14:textId="58429487" w:rsidR="0004097E" w:rsidRDefault="00470B5C" w:rsidP="00470B5C">
      <w:pPr>
        <w:spacing w:line="360" w:lineRule="auto"/>
        <w:jc w:val="both"/>
        <w:rPr>
          <w:rFonts w:ascii="Arial" w:hAnsi="Arial" w:cs="Arial"/>
          <w:sz w:val="22"/>
          <w:szCs w:val="22"/>
        </w:rPr>
      </w:pPr>
      <w:r w:rsidRPr="00470B5C">
        <w:rPr>
          <w:rFonts w:ascii="Arial" w:hAnsi="Arial" w:cs="Arial"/>
          <w:sz w:val="22"/>
          <w:szCs w:val="22"/>
        </w:rPr>
        <w:t xml:space="preserve">Baker, S. (2006) </w:t>
      </w:r>
      <w:r w:rsidRPr="006618EC">
        <w:rPr>
          <w:rFonts w:ascii="Arial" w:hAnsi="Arial" w:cs="Arial"/>
          <w:i/>
          <w:iCs/>
          <w:sz w:val="22"/>
          <w:szCs w:val="22"/>
        </w:rPr>
        <w:t>Sustainable development</w:t>
      </w:r>
      <w:r w:rsidRPr="00470B5C">
        <w:rPr>
          <w:rFonts w:ascii="Arial" w:hAnsi="Arial" w:cs="Arial"/>
          <w:sz w:val="22"/>
          <w:szCs w:val="22"/>
        </w:rPr>
        <w:t xml:space="preserve">. London and New York: Routledge. Available at: </w:t>
      </w:r>
      <w:hyperlink r:id="rId8" w:history="1">
        <w:r w:rsidRPr="006618EC">
          <w:rPr>
            <w:rStyle w:val="Hyperlink"/>
            <w:rFonts w:ascii="Arial" w:hAnsi="Arial" w:cs="Arial"/>
            <w:sz w:val="22"/>
            <w:szCs w:val="22"/>
          </w:rPr>
          <w:t>https://doi.org/10.4324/9780203495933</w:t>
        </w:r>
      </w:hyperlink>
      <w:r w:rsidRPr="00470B5C">
        <w:rPr>
          <w:rFonts w:ascii="Arial" w:hAnsi="Arial" w:cs="Arial"/>
          <w:sz w:val="22"/>
          <w:szCs w:val="22"/>
        </w:rPr>
        <w:t xml:space="preserve"> (Accessed: 14 July 2026).</w:t>
      </w:r>
    </w:p>
    <w:p w14:paraId="31C3F52F" w14:textId="11BE64AE" w:rsidR="00BF2A99" w:rsidRPr="00BF2A99" w:rsidRDefault="00BF2A99" w:rsidP="00BF2A99">
      <w:pPr>
        <w:spacing w:line="360" w:lineRule="auto"/>
        <w:jc w:val="both"/>
        <w:rPr>
          <w:rFonts w:ascii="Arial" w:hAnsi="Arial" w:cs="Arial"/>
          <w:sz w:val="22"/>
          <w:szCs w:val="22"/>
        </w:rPr>
      </w:pPr>
      <w:r w:rsidRPr="00BF2A99">
        <w:rPr>
          <w:rFonts w:ascii="Arial" w:hAnsi="Arial" w:cs="Arial"/>
          <w:sz w:val="22"/>
          <w:szCs w:val="22"/>
        </w:rPr>
        <w:t xml:space="preserve">Bambra, C., Riordan, R., Ford, J. and Matthews, F. (2020) ‘The COVID-19 pandemic and health inequalities’, </w:t>
      </w:r>
      <w:r w:rsidRPr="00BF2A99">
        <w:rPr>
          <w:rFonts w:ascii="Arial" w:hAnsi="Arial" w:cs="Arial"/>
          <w:i/>
          <w:iCs/>
          <w:sz w:val="22"/>
          <w:szCs w:val="22"/>
        </w:rPr>
        <w:t>Journal of Epidemiology and Community Health</w:t>
      </w:r>
      <w:r w:rsidRPr="00BF2A99">
        <w:rPr>
          <w:rFonts w:ascii="Arial" w:hAnsi="Arial" w:cs="Arial"/>
          <w:sz w:val="22"/>
          <w:szCs w:val="22"/>
        </w:rPr>
        <w:t>, 74(11), pp. 964</w:t>
      </w:r>
      <w:r>
        <w:rPr>
          <w:rFonts w:ascii="Arial" w:hAnsi="Arial" w:cs="Arial"/>
          <w:sz w:val="22"/>
          <w:szCs w:val="22"/>
        </w:rPr>
        <w:t>-</w:t>
      </w:r>
      <w:r w:rsidRPr="00BF2A99">
        <w:rPr>
          <w:rFonts w:ascii="Arial" w:hAnsi="Arial" w:cs="Arial"/>
          <w:sz w:val="22"/>
          <w:szCs w:val="22"/>
        </w:rPr>
        <w:t xml:space="preserve">968. Available at: </w:t>
      </w:r>
      <w:hyperlink r:id="rId9" w:history="1">
        <w:r w:rsidRPr="00BF2A99">
          <w:rPr>
            <w:rStyle w:val="Hyperlink"/>
            <w:rFonts w:ascii="Arial" w:hAnsi="Arial" w:cs="Arial"/>
            <w:sz w:val="22"/>
            <w:szCs w:val="22"/>
          </w:rPr>
          <w:t>https://doi.org/10.1136/jech-2020-214401</w:t>
        </w:r>
      </w:hyperlink>
      <w:r w:rsidRPr="00BF2A99">
        <w:rPr>
          <w:rFonts w:ascii="Arial" w:hAnsi="Arial" w:cs="Arial"/>
          <w:sz w:val="22"/>
          <w:szCs w:val="22"/>
        </w:rPr>
        <w:t xml:space="preserve"> (Accessed: 12 July 2026).</w:t>
      </w:r>
    </w:p>
    <w:p w14:paraId="45A1E5D7" w14:textId="77777777" w:rsidR="00BF2A99" w:rsidRPr="00BF2A99" w:rsidRDefault="00BF2A99" w:rsidP="00BF2A99">
      <w:pPr>
        <w:spacing w:line="360" w:lineRule="auto"/>
        <w:jc w:val="both"/>
        <w:rPr>
          <w:rFonts w:ascii="Arial" w:hAnsi="Arial" w:cs="Arial"/>
          <w:sz w:val="22"/>
          <w:szCs w:val="22"/>
        </w:rPr>
      </w:pPr>
      <w:r w:rsidRPr="00BF2A99">
        <w:rPr>
          <w:rFonts w:ascii="Arial" w:hAnsi="Arial" w:cs="Arial"/>
          <w:sz w:val="22"/>
          <w:szCs w:val="22"/>
        </w:rPr>
        <w:t xml:space="preserve">Dahlgren, G. and Whitehead, M. (1991) </w:t>
      </w:r>
      <w:r w:rsidRPr="00BF2A99">
        <w:rPr>
          <w:rFonts w:ascii="Arial" w:hAnsi="Arial" w:cs="Arial"/>
          <w:i/>
          <w:iCs/>
          <w:sz w:val="22"/>
          <w:szCs w:val="22"/>
        </w:rPr>
        <w:t>Policies and strategies to promote social equity in health</w:t>
      </w:r>
      <w:r w:rsidRPr="00BF2A99">
        <w:rPr>
          <w:rFonts w:ascii="Arial" w:hAnsi="Arial" w:cs="Arial"/>
          <w:sz w:val="22"/>
          <w:szCs w:val="22"/>
        </w:rPr>
        <w:t>. Stockholm: Institute for Futures Studies.</w:t>
      </w:r>
    </w:p>
    <w:p w14:paraId="6EFB33CE" w14:textId="77777777" w:rsidR="00BF2A99" w:rsidRPr="00BF2A99" w:rsidRDefault="00BF2A99" w:rsidP="00BF2A99">
      <w:pPr>
        <w:spacing w:line="360" w:lineRule="auto"/>
        <w:jc w:val="both"/>
        <w:rPr>
          <w:rFonts w:ascii="Arial" w:hAnsi="Arial" w:cs="Arial"/>
          <w:sz w:val="22"/>
          <w:szCs w:val="22"/>
        </w:rPr>
      </w:pPr>
      <w:r w:rsidRPr="00BF2A99">
        <w:rPr>
          <w:rFonts w:ascii="Arial" w:hAnsi="Arial" w:cs="Arial"/>
          <w:sz w:val="22"/>
          <w:szCs w:val="22"/>
        </w:rPr>
        <w:t xml:space="preserve">Gostin, L.O. and Friedman, E.A. (2015) ‘A retrospective and prospective analysis of the West African Ebola virus disease epidemic: robust national health systems at the foundation and an empowered WHO at the apex’, </w:t>
      </w:r>
      <w:r w:rsidRPr="00BF2A99">
        <w:rPr>
          <w:rFonts w:ascii="Arial" w:hAnsi="Arial" w:cs="Arial"/>
          <w:i/>
          <w:iCs/>
          <w:sz w:val="22"/>
          <w:szCs w:val="22"/>
        </w:rPr>
        <w:t>The Lancet</w:t>
      </w:r>
      <w:r w:rsidRPr="00BF2A99">
        <w:rPr>
          <w:rFonts w:ascii="Arial" w:hAnsi="Arial" w:cs="Arial"/>
          <w:sz w:val="22"/>
          <w:szCs w:val="22"/>
        </w:rPr>
        <w:t xml:space="preserve">, 385(9980), pp. 1902–1909. Available at: </w:t>
      </w:r>
      <w:hyperlink r:id="rId10" w:history="1">
        <w:r w:rsidRPr="00BF2A99">
          <w:rPr>
            <w:rStyle w:val="Hyperlink"/>
            <w:rFonts w:ascii="Arial" w:hAnsi="Arial" w:cs="Arial"/>
            <w:sz w:val="22"/>
            <w:szCs w:val="22"/>
          </w:rPr>
          <w:t>https://doi.org/10.1016/S0140-6736(15)60644-4</w:t>
        </w:r>
      </w:hyperlink>
      <w:r w:rsidRPr="00BF2A99">
        <w:rPr>
          <w:rFonts w:ascii="Arial" w:hAnsi="Arial" w:cs="Arial"/>
          <w:sz w:val="22"/>
          <w:szCs w:val="22"/>
        </w:rPr>
        <w:t xml:space="preserve"> (Accessed: 12 July 2026).</w:t>
      </w:r>
    </w:p>
    <w:p w14:paraId="35FF69B6" w14:textId="77777777" w:rsidR="00BF2A99" w:rsidRDefault="00BF2A99" w:rsidP="00190A04">
      <w:pPr>
        <w:spacing w:line="360" w:lineRule="auto"/>
        <w:rPr>
          <w:rFonts w:ascii="Arial" w:hAnsi="Arial" w:cs="Arial"/>
          <w:sz w:val="22"/>
          <w:szCs w:val="22"/>
        </w:rPr>
      </w:pPr>
      <w:r w:rsidRPr="00BF2A99">
        <w:rPr>
          <w:rFonts w:ascii="Arial" w:hAnsi="Arial" w:cs="Arial"/>
          <w:sz w:val="22"/>
          <w:szCs w:val="22"/>
        </w:rPr>
        <w:t xml:space="preserve">Gov.UK (2025) </w:t>
      </w:r>
      <w:r w:rsidRPr="00BF2A99">
        <w:rPr>
          <w:rFonts w:ascii="Arial" w:hAnsi="Arial" w:cs="Arial"/>
          <w:i/>
          <w:iCs/>
          <w:sz w:val="22"/>
          <w:szCs w:val="22"/>
        </w:rPr>
        <w:t>Public Health Outcomes Framework</w:t>
      </w:r>
      <w:r w:rsidRPr="00BF2A99">
        <w:rPr>
          <w:rFonts w:ascii="Arial" w:hAnsi="Arial" w:cs="Arial"/>
          <w:sz w:val="22"/>
          <w:szCs w:val="22"/>
        </w:rPr>
        <w:t xml:space="preserve">. Available at: </w:t>
      </w:r>
      <w:hyperlink r:id="rId11" w:history="1">
        <w:r w:rsidRPr="00BF2A99">
          <w:rPr>
            <w:rStyle w:val="Hyperlink"/>
            <w:rFonts w:ascii="Arial" w:hAnsi="Arial" w:cs="Arial"/>
            <w:sz w:val="22"/>
            <w:szCs w:val="22"/>
          </w:rPr>
          <w:t>https://fingertips.phe.org.uk/profile/public-health-outcomes-framework</w:t>
        </w:r>
      </w:hyperlink>
      <w:r w:rsidRPr="00BF2A99">
        <w:rPr>
          <w:rFonts w:ascii="Arial" w:hAnsi="Arial" w:cs="Arial"/>
          <w:sz w:val="22"/>
          <w:szCs w:val="22"/>
        </w:rPr>
        <w:t xml:space="preserve"> (Accessed: 12 July 2026).</w:t>
      </w:r>
    </w:p>
    <w:p w14:paraId="7EE6FFEE" w14:textId="77777777" w:rsidR="00D634BC" w:rsidRDefault="00D634BC" w:rsidP="00D634BC">
      <w:pPr>
        <w:spacing w:line="360" w:lineRule="auto"/>
        <w:jc w:val="both"/>
        <w:rPr>
          <w:rFonts w:ascii="Arial" w:hAnsi="Arial" w:cs="Arial"/>
          <w:sz w:val="22"/>
          <w:szCs w:val="22"/>
        </w:rPr>
      </w:pPr>
      <w:r w:rsidRPr="00D634BC">
        <w:rPr>
          <w:rFonts w:ascii="Arial" w:hAnsi="Arial" w:cs="Arial"/>
          <w:sz w:val="22"/>
          <w:szCs w:val="22"/>
        </w:rPr>
        <w:t xml:space="preserve">Harvey, J. and Taylor, V. (eds) (2013) </w:t>
      </w:r>
      <w:r w:rsidRPr="00D634BC">
        <w:rPr>
          <w:rFonts w:ascii="Arial" w:hAnsi="Arial" w:cs="Arial"/>
          <w:i/>
          <w:iCs/>
          <w:sz w:val="22"/>
          <w:szCs w:val="22"/>
        </w:rPr>
        <w:t>Measuring health and wellbeing</w:t>
      </w:r>
      <w:r w:rsidRPr="00D634BC">
        <w:rPr>
          <w:rFonts w:ascii="Arial" w:hAnsi="Arial" w:cs="Arial"/>
          <w:sz w:val="22"/>
          <w:szCs w:val="22"/>
        </w:rPr>
        <w:t>. London: SAGE.</w:t>
      </w:r>
    </w:p>
    <w:p w14:paraId="228738F8" w14:textId="77777777" w:rsidR="00BF2A99" w:rsidRDefault="00BF2A99" w:rsidP="00BF2A99">
      <w:pPr>
        <w:spacing w:line="360" w:lineRule="auto"/>
        <w:jc w:val="both"/>
        <w:rPr>
          <w:rFonts w:ascii="Arial" w:hAnsi="Arial" w:cs="Arial"/>
          <w:sz w:val="22"/>
          <w:szCs w:val="22"/>
        </w:rPr>
      </w:pPr>
      <w:r w:rsidRPr="00BF2A99">
        <w:rPr>
          <w:rFonts w:ascii="Arial" w:hAnsi="Arial" w:cs="Arial"/>
          <w:sz w:val="22"/>
          <w:szCs w:val="22"/>
        </w:rPr>
        <w:t xml:space="preserve">Marmot, M., Allen, J., Boyce, T., Goldblatt, P. and Morrison, J. (2020) </w:t>
      </w:r>
      <w:r w:rsidRPr="00BF2A99">
        <w:rPr>
          <w:rFonts w:ascii="Arial" w:hAnsi="Arial" w:cs="Arial"/>
          <w:i/>
          <w:iCs/>
          <w:sz w:val="22"/>
          <w:szCs w:val="22"/>
        </w:rPr>
        <w:t>Health equity in England: The Marmot Review 10 years on</w:t>
      </w:r>
      <w:r w:rsidRPr="00BF2A99">
        <w:rPr>
          <w:rFonts w:ascii="Arial" w:hAnsi="Arial" w:cs="Arial"/>
          <w:sz w:val="22"/>
          <w:szCs w:val="22"/>
        </w:rPr>
        <w:t xml:space="preserve">. London: Institute of Health Equity. Available at: </w:t>
      </w:r>
      <w:hyperlink r:id="rId12" w:history="1">
        <w:r w:rsidRPr="00BF2A99">
          <w:rPr>
            <w:rStyle w:val="Hyperlink"/>
            <w:rFonts w:ascii="Arial" w:hAnsi="Arial" w:cs="Arial"/>
            <w:sz w:val="22"/>
            <w:szCs w:val="22"/>
          </w:rPr>
          <w:t>https://www.health.org.uk/publications/reports/the-marmot-review-10-years-on</w:t>
        </w:r>
      </w:hyperlink>
      <w:r w:rsidRPr="00BF2A99">
        <w:rPr>
          <w:rFonts w:ascii="Arial" w:hAnsi="Arial" w:cs="Arial"/>
          <w:sz w:val="22"/>
          <w:szCs w:val="22"/>
        </w:rPr>
        <w:t xml:space="preserve"> (Accessed: 12 July 2026).</w:t>
      </w:r>
    </w:p>
    <w:p w14:paraId="13D0DCEE" w14:textId="77777777" w:rsidR="00D634BC" w:rsidRDefault="00D634BC" w:rsidP="00D634BC">
      <w:pPr>
        <w:spacing w:line="360" w:lineRule="auto"/>
        <w:jc w:val="both"/>
        <w:rPr>
          <w:rFonts w:ascii="Arial" w:hAnsi="Arial" w:cs="Arial"/>
          <w:sz w:val="22"/>
          <w:szCs w:val="22"/>
        </w:rPr>
      </w:pPr>
      <w:r w:rsidRPr="00D634BC">
        <w:rPr>
          <w:rFonts w:ascii="Arial" w:hAnsi="Arial" w:cs="Arial"/>
          <w:sz w:val="22"/>
          <w:szCs w:val="22"/>
        </w:rPr>
        <w:t xml:space="preserve">McArthur, J.W., Kharas, H.J., Katō, H. and Desai, R.M. (eds) (2018) </w:t>
      </w:r>
      <w:r w:rsidRPr="00D634BC">
        <w:rPr>
          <w:rFonts w:ascii="Arial" w:hAnsi="Arial" w:cs="Arial"/>
          <w:i/>
          <w:iCs/>
          <w:sz w:val="22"/>
          <w:szCs w:val="22"/>
        </w:rPr>
        <w:t>From summits to solutions: Innovations in implementing the Sustainable Development Goals</w:t>
      </w:r>
      <w:r w:rsidRPr="00D634BC">
        <w:rPr>
          <w:rFonts w:ascii="Arial" w:hAnsi="Arial" w:cs="Arial"/>
          <w:sz w:val="22"/>
          <w:szCs w:val="22"/>
        </w:rPr>
        <w:t>. Washington, D.C.: Brookings Institution Press.</w:t>
      </w:r>
    </w:p>
    <w:p w14:paraId="38A1515E" w14:textId="77777777" w:rsidR="00BF2A99" w:rsidRDefault="00BF2A99" w:rsidP="00771B81">
      <w:pPr>
        <w:spacing w:line="360" w:lineRule="auto"/>
        <w:rPr>
          <w:rFonts w:ascii="Arial" w:hAnsi="Arial" w:cs="Arial"/>
          <w:sz w:val="22"/>
          <w:szCs w:val="22"/>
        </w:rPr>
      </w:pPr>
      <w:r w:rsidRPr="00BF2A99">
        <w:rPr>
          <w:rFonts w:ascii="Arial" w:hAnsi="Arial" w:cs="Arial"/>
          <w:sz w:val="22"/>
          <w:szCs w:val="22"/>
        </w:rPr>
        <w:t xml:space="preserve">NHS England (2019) </w:t>
      </w:r>
      <w:r w:rsidRPr="00BF2A99">
        <w:rPr>
          <w:rFonts w:ascii="Arial" w:hAnsi="Arial" w:cs="Arial"/>
          <w:i/>
          <w:iCs/>
          <w:sz w:val="22"/>
          <w:szCs w:val="22"/>
        </w:rPr>
        <w:t>The NHS Long Term Plan</w:t>
      </w:r>
      <w:r w:rsidRPr="00BF2A99">
        <w:rPr>
          <w:rFonts w:ascii="Arial" w:hAnsi="Arial" w:cs="Arial"/>
          <w:sz w:val="22"/>
          <w:szCs w:val="22"/>
        </w:rPr>
        <w:t xml:space="preserve">. Available at: </w:t>
      </w:r>
      <w:hyperlink r:id="rId13" w:history="1">
        <w:r w:rsidRPr="00BF2A99">
          <w:rPr>
            <w:rStyle w:val="Hyperlink"/>
            <w:rFonts w:ascii="Arial" w:hAnsi="Arial" w:cs="Arial"/>
            <w:sz w:val="22"/>
            <w:szCs w:val="22"/>
          </w:rPr>
          <w:t>https://www.longtermplan.nhs.uk/online-version/</w:t>
        </w:r>
      </w:hyperlink>
      <w:r w:rsidRPr="00BF2A99">
        <w:rPr>
          <w:rFonts w:ascii="Arial" w:hAnsi="Arial" w:cs="Arial"/>
          <w:sz w:val="22"/>
          <w:szCs w:val="22"/>
        </w:rPr>
        <w:t xml:space="preserve"> (Accessed: 12 July 2026).</w:t>
      </w:r>
    </w:p>
    <w:p w14:paraId="2816FD5A" w14:textId="67E20714" w:rsidR="00D634BC" w:rsidRPr="00BF2A99" w:rsidRDefault="00D634BC" w:rsidP="00BF2A99">
      <w:pPr>
        <w:spacing w:line="360" w:lineRule="auto"/>
        <w:jc w:val="both"/>
        <w:rPr>
          <w:rFonts w:ascii="Arial" w:hAnsi="Arial" w:cs="Arial"/>
          <w:sz w:val="22"/>
          <w:szCs w:val="22"/>
        </w:rPr>
      </w:pPr>
      <w:r w:rsidRPr="00D634BC">
        <w:rPr>
          <w:rFonts w:ascii="Arial" w:hAnsi="Arial" w:cs="Arial"/>
          <w:sz w:val="22"/>
          <w:szCs w:val="22"/>
        </w:rPr>
        <w:t xml:space="preserve">NHS England (2022) </w:t>
      </w:r>
      <w:r w:rsidRPr="00D634BC">
        <w:rPr>
          <w:rFonts w:ascii="Arial" w:hAnsi="Arial" w:cs="Arial"/>
          <w:i/>
          <w:iCs/>
          <w:sz w:val="22"/>
          <w:szCs w:val="22"/>
        </w:rPr>
        <w:t>Making Every Contact Count (MECC): Consensus statement</w:t>
      </w:r>
      <w:r w:rsidRPr="00D634BC">
        <w:rPr>
          <w:rFonts w:ascii="Arial" w:hAnsi="Arial" w:cs="Arial"/>
          <w:sz w:val="22"/>
          <w:szCs w:val="22"/>
        </w:rPr>
        <w:t>. Available at:</w:t>
      </w:r>
      <w:hyperlink r:id="rId14" w:history="1">
        <w:r w:rsidRPr="00D634BC">
          <w:rPr>
            <w:rStyle w:val="Hyperlink"/>
            <w:rFonts w:ascii="Arial" w:hAnsi="Arial" w:cs="Arial"/>
            <w:sz w:val="22"/>
            <w:szCs w:val="22"/>
          </w:rPr>
          <w:t>https://www.england.nhs.uk/publication/making-every-contact-count-mecc-consensus-statement/</w:t>
        </w:r>
      </w:hyperlink>
      <w:r w:rsidRPr="00D634BC">
        <w:rPr>
          <w:rFonts w:ascii="Arial" w:hAnsi="Arial" w:cs="Arial"/>
          <w:sz w:val="22"/>
          <w:szCs w:val="22"/>
        </w:rPr>
        <w:t xml:space="preserve"> (Accessed: 12 July 2026).</w:t>
      </w:r>
    </w:p>
    <w:p w14:paraId="72EDDBF1" w14:textId="77777777" w:rsidR="00BF2A99" w:rsidRPr="00BF2A99" w:rsidRDefault="00BF2A99" w:rsidP="00BF2A99">
      <w:pPr>
        <w:spacing w:line="360" w:lineRule="auto"/>
        <w:jc w:val="both"/>
        <w:rPr>
          <w:rFonts w:ascii="Arial" w:hAnsi="Arial" w:cs="Arial"/>
          <w:sz w:val="22"/>
          <w:szCs w:val="22"/>
        </w:rPr>
      </w:pPr>
      <w:r w:rsidRPr="00BF2A99">
        <w:rPr>
          <w:rFonts w:ascii="Arial" w:hAnsi="Arial" w:cs="Arial"/>
          <w:sz w:val="22"/>
          <w:szCs w:val="22"/>
        </w:rPr>
        <w:t xml:space="preserve">NHS England (2025) </w:t>
      </w:r>
      <w:r w:rsidRPr="00BF2A99">
        <w:rPr>
          <w:rFonts w:ascii="Arial" w:hAnsi="Arial" w:cs="Arial"/>
          <w:i/>
          <w:iCs/>
          <w:sz w:val="22"/>
          <w:szCs w:val="22"/>
        </w:rPr>
        <w:t>Core20PLUS5 – An approach to reducing healthcare inequalities</w:t>
      </w:r>
      <w:r w:rsidRPr="00BF2A99">
        <w:rPr>
          <w:rFonts w:ascii="Arial" w:hAnsi="Arial" w:cs="Arial"/>
          <w:sz w:val="22"/>
          <w:szCs w:val="22"/>
        </w:rPr>
        <w:t xml:space="preserve">. Available at: </w:t>
      </w:r>
      <w:hyperlink r:id="rId15" w:history="1">
        <w:r w:rsidRPr="00BF2A99">
          <w:rPr>
            <w:rStyle w:val="Hyperlink"/>
            <w:rFonts w:ascii="Arial" w:hAnsi="Arial" w:cs="Arial"/>
            <w:sz w:val="22"/>
            <w:szCs w:val="22"/>
          </w:rPr>
          <w:t>https://www.england.nhs.uk/about/equality/equality-hub/national-healthcare-inequalities-improvement-programme/core20plus5/</w:t>
        </w:r>
      </w:hyperlink>
      <w:r w:rsidRPr="00BF2A99">
        <w:rPr>
          <w:rFonts w:ascii="Arial" w:hAnsi="Arial" w:cs="Arial"/>
          <w:sz w:val="22"/>
          <w:szCs w:val="22"/>
        </w:rPr>
        <w:t xml:space="preserve"> (Accessed: 12 July 2026).</w:t>
      </w:r>
    </w:p>
    <w:p w14:paraId="2A1B92AE" w14:textId="77777777" w:rsidR="00BF2A99" w:rsidRDefault="00BF2A99" w:rsidP="00771B81">
      <w:pPr>
        <w:spacing w:line="360" w:lineRule="auto"/>
        <w:rPr>
          <w:rFonts w:ascii="Arial" w:hAnsi="Arial" w:cs="Arial"/>
          <w:sz w:val="22"/>
          <w:szCs w:val="22"/>
        </w:rPr>
      </w:pPr>
      <w:r w:rsidRPr="00BF2A99">
        <w:rPr>
          <w:rFonts w:ascii="Arial" w:hAnsi="Arial" w:cs="Arial"/>
          <w:sz w:val="22"/>
          <w:szCs w:val="22"/>
        </w:rPr>
        <w:lastRenderedPageBreak/>
        <w:t xml:space="preserve">Office for National Statistics (2025) </w:t>
      </w:r>
      <w:r w:rsidRPr="00BF2A99">
        <w:rPr>
          <w:rFonts w:ascii="Arial" w:hAnsi="Arial" w:cs="Arial"/>
          <w:i/>
          <w:iCs/>
          <w:sz w:val="22"/>
          <w:szCs w:val="22"/>
        </w:rPr>
        <w:t>Health state life expectancies by national area deprivation, England and Wales: between 2022 to 2024</w:t>
      </w:r>
      <w:r w:rsidRPr="00BF2A99">
        <w:rPr>
          <w:rFonts w:ascii="Arial" w:hAnsi="Arial" w:cs="Arial"/>
          <w:sz w:val="22"/>
          <w:szCs w:val="22"/>
        </w:rPr>
        <w:t xml:space="preserve">. Available at: </w:t>
      </w:r>
      <w:hyperlink r:id="rId16" w:history="1">
        <w:r w:rsidRPr="00BF2A99">
          <w:rPr>
            <w:rStyle w:val="Hyperlink"/>
            <w:rFonts w:ascii="Arial" w:hAnsi="Arial" w:cs="Arial"/>
            <w:sz w:val="22"/>
            <w:szCs w:val="22"/>
          </w:rPr>
          <w:t>https://www.ons.gov.uk/peoplepopulationandcommunity/healthandsocialcare/healthinequalities</w:t>
        </w:r>
      </w:hyperlink>
      <w:r w:rsidRPr="00BF2A99">
        <w:rPr>
          <w:rFonts w:ascii="Arial" w:hAnsi="Arial" w:cs="Arial"/>
          <w:sz w:val="22"/>
          <w:szCs w:val="22"/>
        </w:rPr>
        <w:t xml:space="preserve"> (Accessed: 12 July 2026).</w:t>
      </w:r>
    </w:p>
    <w:p w14:paraId="1CA16CFC" w14:textId="77777777" w:rsidR="00497E3C" w:rsidRPr="00497E3C" w:rsidRDefault="00497E3C" w:rsidP="00497E3C">
      <w:pPr>
        <w:spacing w:line="360" w:lineRule="auto"/>
        <w:jc w:val="both"/>
        <w:rPr>
          <w:rFonts w:ascii="Arial" w:hAnsi="Arial" w:cs="Arial"/>
          <w:sz w:val="22"/>
          <w:szCs w:val="22"/>
        </w:rPr>
      </w:pPr>
      <w:r w:rsidRPr="00497E3C">
        <w:rPr>
          <w:rFonts w:ascii="Arial" w:hAnsi="Arial" w:cs="Arial"/>
          <w:sz w:val="22"/>
          <w:szCs w:val="22"/>
          <w:lang w:val="en-US"/>
        </w:rPr>
        <w:t>Public Health England, NHS England and Health Education England (2016</w:t>
      </w:r>
      <w:r w:rsidRPr="00497E3C">
        <w:rPr>
          <w:rFonts w:ascii="Arial" w:hAnsi="Arial" w:cs="Arial"/>
          <w:i/>
          <w:iCs/>
          <w:sz w:val="22"/>
          <w:szCs w:val="22"/>
          <w:lang w:val="en-US"/>
        </w:rPr>
        <w:t>) Making Every Contact Count (MECC): Consensus Statement.</w:t>
      </w:r>
      <w:r w:rsidRPr="00497E3C">
        <w:rPr>
          <w:rFonts w:ascii="Arial" w:hAnsi="Arial" w:cs="Arial"/>
          <w:sz w:val="22"/>
          <w:szCs w:val="22"/>
          <w:lang w:val="en-US"/>
        </w:rPr>
        <w:t xml:space="preserve"> London: Public Health England. Available at: </w:t>
      </w:r>
      <w:hyperlink r:id="rId17" w:history="1">
        <w:r w:rsidRPr="00497E3C">
          <w:rPr>
            <w:rStyle w:val="Hyperlink"/>
            <w:rFonts w:ascii="Arial" w:hAnsi="Arial" w:cs="Arial"/>
            <w:sz w:val="22"/>
            <w:szCs w:val="22"/>
            <w:lang w:val="en-US"/>
          </w:rPr>
          <w:t>https://www.england.nhs.uk/wp-content/uploads/2016/04/making-every-contact-count.pdf</w:t>
        </w:r>
      </w:hyperlink>
      <w:r w:rsidRPr="00497E3C">
        <w:rPr>
          <w:rFonts w:ascii="Arial" w:hAnsi="Arial" w:cs="Arial"/>
          <w:sz w:val="22"/>
          <w:szCs w:val="22"/>
          <w:lang w:val="en-US"/>
        </w:rPr>
        <w:t xml:space="preserve">  </w:t>
      </w:r>
      <w:r w:rsidRPr="00497E3C">
        <w:rPr>
          <w:rFonts w:ascii="Arial" w:hAnsi="Arial" w:cs="Arial"/>
          <w:sz w:val="22"/>
          <w:szCs w:val="22"/>
        </w:rPr>
        <w:t>(Accessed: 10 June 2026).</w:t>
      </w:r>
    </w:p>
    <w:p w14:paraId="1A2A0F78" w14:textId="42612246" w:rsidR="00497E3C" w:rsidRDefault="00BF2A99" w:rsidP="00497E3C">
      <w:pPr>
        <w:spacing w:line="360" w:lineRule="auto"/>
        <w:rPr>
          <w:rFonts w:ascii="Arial" w:hAnsi="Arial" w:cs="Arial"/>
          <w:sz w:val="22"/>
          <w:szCs w:val="22"/>
        </w:rPr>
      </w:pPr>
      <w:r w:rsidRPr="00BF2A99">
        <w:rPr>
          <w:rFonts w:ascii="Arial" w:hAnsi="Arial" w:cs="Arial"/>
          <w:sz w:val="22"/>
          <w:szCs w:val="22"/>
        </w:rPr>
        <w:t xml:space="preserve">The Global Fund (2025) </w:t>
      </w:r>
      <w:r w:rsidRPr="00BF2A99">
        <w:rPr>
          <w:rFonts w:ascii="Arial" w:hAnsi="Arial" w:cs="Arial"/>
          <w:i/>
          <w:iCs/>
          <w:sz w:val="22"/>
          <w:szCs w:val="22"/>
        </w:rPr>
        <w:t>News Releases</w:t>
      </w:r>
      <w:r w:rsidRPr="00BF2A99">
        <w:rPr>
          <w:rFonts w:ascii="Arial" w:hAnsi="Arial" w:cs="Arial"/>
          <w:sz w:val="22"/>
          <w:szCs w:val="22"/>
        </w:rPr>
        <w:t>. Available</w:t>
      </w:r>
      <w:r w:rsidR="00497E3C">
        <w:rPr>
          <w:rFonts w:ascii="Arial" w:hAnsi="Arial" w:cs="Arial"/>
          <w:sz w:val="22"/>
          <w:szCs w:val="22"/>
        </w:rPr>
        <w:t xml:space="preserve"> </w:t>
      </w:r>
    </w:p>
    <w:p w14:paraId="7ED6E6DD" w14:textId="242342AA" w:rsidR="00BF2A99" w:rsidRPr="00BF2A99" w:rsidRDefault="00190A04" w:rsidP="00497E3C">
      <w:pPr>
        <w:spacing w:line="360" w:lineRule="auto"/>
        <w:rPr>
          <w:rFonts w:ascii="Arial" w:hAnsi="Arial" w:cs="Arial"/>
          <w:sz w:val="22"/>
          <w:szCs w:val="22"/>
        </w:rPr>
      </w:pPr>
      <w:r>
        <w:rPr>
          <w:rFonts w:ascii="Arial" w:hAnsi="Arial" w:cs="Arial"/>
          <w:sz w:val="22"/>
          <w:szCs w:val="22"/>
        </w:rPr>
        <w:t xml:space="preserve">at </w:t>
      </w:r>
      <w:r w:rsidR="00BF2A99" w:rsidRPr="00BF2A99">
        <w:rPr>
          <w:rFonts w:ascii="Arial" w:hAnsi="Arial" w:cs="Arial"/>
          <w:sz w:val="22"/>
          <w:szCs w:val="22"/>
        </w:rPr>
        <w:t>:</w:t>
      </w:r>
      <w:hyperlink r:id="rId18" w:history="1">
        <w:r w:rsidR="00497E3C" w:rsidRPr="004B4B91">
          <w:rPr>
            <w:rStyle w:val="Hyperlink"/>
            <w:rFonts w:ascii="Arial" w:hAnsi="Arial" w:cs="Arial"/>
            <w:sz w:val="22"/>
            <w:szCs w:val="22"/>
          </w:rPr>
          <w:t>https://www.theglobalfund.org/en/news/2025/</w:t>
        </w:r>
      </w:hyperlink>
      <w:r w:rsidR="00BF2A99" w:rsidRPr="00BF2A99">
        <w:rPr>
          <w:rFonts w:ascii="Arial" w:hAnsi="Arial" w:cs="Arial"/>
          <w:sz w:val="22"/>
          <w:szCs w:val="22"/>
        </w:rPr>
        <w:t xml:space="preserve"> (Accessed: 12 July 2026).</w:t>
      </w:r>
    </w:p>
    <w:p w14:paraId="15639B55" w14:textId="77777777" w:rsidR="00BF2A99" w:rsidRPr="00BF2A99" w:rsidRDefault="00BF2A99" w:rsidP="00BF2A99">
      <w:pPr>
        <w:spacing w:line="360" w:lineRule="auto"/>
        <w:jc w:val="both"/>
        <w:rPr>
          <w:rFonts w:ascii="Arial" w:hAnsi="Arial" w:cs="Arial"/>
          <w:sz w:val="22"/>
          <w:szCs w:val="22"/>
        </w:rPr>
      </w:pPr>
      <w:r w:rsidRPr="00BF2A99">
        <w:rPr>
          <w:rFonts w:ascii="Arial" w:hAnsi="Arial" w:cs="Arial"/>
          <w:sz w:val="22"/>
          <w:szCs w:val="22"/>
        </w:rPr>
        <w:t xml:space="preserve">The King’s Fund (2023) </w:t>
      </w:r>
      <w:r w:rsidRPr="00BF2A99">
        <w:rPr>
          <w:rFonts w:ascii="Arial" w:hAnsi="Arial" w:cs="Arial"/>
          <w:i/>
          <w:iCs/>
          <w:sz w:val="22"/>
          <w:szCs w:val="22"/>
        </w:rPr>
        <w:t>Tackling health inequalities: Seven priorities for the NHS</w:t>
      </w:r>
      <w:r w:rsidRPr="00BF2A99">
        <w:rPr>
          <w:rFonts w:ascii="Arial" w:hAnsi="Arial" w:cs="Arial"/>
          <w:sz w:val="22"/>
          <w:szCs w:val="22"/>
        </w:rPr>
        <w:t xml:space="preserve">. Available at: </w:t>
      </w:r>
      <w:hyperlink r:id="rId19" w:history="1">
        <w:r w:rsidRPr="00BF2A99">
          <w:rPr>
            <w:rStyle w:val="Hyperlink"/>
            <w:rFonts w:ascii="Arial" w:hAnsi="Arial" w:cs="Arial"/>
            <w:sz w:val="22"/>
            <w:szCs w:val="22"/>
          </w:rPr>
          <w:t>https://www.kingsfund.org.uk/insight-and-analysis/long-reads/tackling-health-inequalities-seven-priorities-nhs</w:t>
        </w:r>
      </w:hyperlink>
      <w:r w:rsidRPr="00BF2A99">
        <w:rPr>
          <w:rFonts w:ascii="Arial" w:hAnsi="Arial" w:cs="Arial"/>
          <w:sz w:val="22"/>
          <w:szCs w:val="22"/>
        </w:rPr>
        <w:t xml:space="preserve"> (Accessed: 12 July 2026).</w:t>
      </w:r>
    </w:p>
    <w:p w14:paraId="294AC6D9" w14:textId="77777777" w:rsidR="00BF2A99" w:rsidRPr="00BF2A99" w:rsidRDefault="00BF2A99" w:rsidP="00BF2A99">
      <w:pPr>
        <w:spacing w:line="360" w:lineRule="auto"/>
        <w:jc w:val="both"/>
        <w:rPr>
          <w:rFonts w:ascii="Arial" w:hAnsi="Arial" w:cs="Arial"/>
          <w:sz w:val="22"/>
          <w:szCs w:val="22"/>
        </w:rPr>
      </w:pPr>
      <w:r w:rsidRPr="00BF2A99">
        <w:rPr>
          <w:rFonts w:ascii="Arial" w:hAnsi="Arial" w:cs="Arial"/>
          <w:sz w:val="22"/>
          <w:szCs w:val="22"/>
        </w:rPr>
        <w:t xml:space="preserve">UK Parliament (2010) </w:t>
      </w:r>
      <w:r w:rsidRPr="00BF2A99">
        <w:rPr>
          <w:rFonts w:ascii="Arial" w:hAnsi="Arial" w:cs="Arial"/>
          <w:i/>
          <w:iCs/>
          <w:sz w:val="22"/>
          <w:szCs w:val="22"/>
        </w:rPr>
        <w:t>Equality Act 2010</w:t>
      </w:r>
      <w:r w:rsidRPr="00BF2A99">
        <w:rPr>
          <w:rFonts w:ascii="Arial" w:hAnsi="Arial" w:cs="Arial"/>
          <w:sz w:val="22"/>
          <w:szCs w:val="22"/>
        </w:rPr>
        <w:t xml:space="preserve">. London: The Stationery Office. Available at: </w:t>
      </w:r>
      <w:hyperlink r:id="rId20" w:history="1">
        <w:r w:rsidRPr="00BF2A99">
          <w:rPr>
            <w:rStyle w:val="Hyperlink"/>
            <w:rFonts w:ascii="Arial" w:hAnsi="Arial" w:cs="Arial"/>
            <w:sz w:val="22"/>
            <w:szCs w:val="22"/>
          </w:rPr>
          <w:t>https://www.legislation.gov.uk/ukpga/2010/15/contents</w:t>
        </w:r>
      </w:hyperlink>
      <w:r w:rsidRPr="00BF2A99">
        <w:rPr>
          <w:rFonts w:ascii="Arial" w:hAnsi="Arial" w:cs="Arial"/>
          <w:sz w:val="22"/>
          <w:szCs w:val="22"/>
        </w:rPr>
        <w:t xml:space="preserve"> (Accessed: 12 July 2026).</w:t>
      </w:r>
    </w:p>
    <w:p w14:paraId="34BB4ACD" w14:textId="77777777" w:rsidR="00BF2A99" w:rsidRPr="00BF2A99" w:rsidRDefault="00BF2A99" w:rsidP="00BF2A99">
      <w:pPr>
        <w:spacing w:line="360" w:lineRule="auto"/>
        <w:jc w:val="both"/>
        <w:rPr>
          <w:rFonts w:ascii="Arial" w:hAnsi="Arial" w:cs="Arial"/>
          <w:sz w:val="22"/>
          <w:szCs w:val="22"/>
        </w:rPr>
      </w:pPr>
      <w:r w:rsidRPr="00BF2A99">
        <w:rPr>
          <w:rFonts w:ascii="Arial" w:hAnsi="Arial" w:cs="Arial"/>
          <w:sz w:val="22"/>
          <w:szCs w:val="22"/>
        </w:rPr>
        <w:t xml:space="preserve">UK Parliament (2022) </w:t>
      </w:r>
      <w:r w:rsidRPr="00BF2A99">
        <w:rPr>
          <w:rFonts w:ascii="Arial" w:hAnsi="Arial" w:cs="Arial"/>
          <w:i/>
          <w:iCs/>
          <w:sz w:val="22"/>
          <w:szCs w:val="22"/>
        </w:rPr>
        <w:t>Health and Care Act 2022</w:t>
      </w:r>
      <w:r w:rsidRPr="00BF2A99">
        <w:rPr>
          <w:rFonts w:ascii="Arial" w:hAnsi="Arial" w:cs="Arial"/>
          <w:sz w:val="22"/>
          <w:szCs w:val="22"/>
        </w:rPr>
        <w:t xml:space="preserve">. London: The Stationery Office. Available at: </w:t>
      </w:r>
      <w:hyperlink r:id="rId21" w:history="1">
        <w:r w:rsidRPr="00BF2A99">
          <w:rPr>
            <w:rStyle w:val="Hyperlink"/>
            <w:rFonts w:ascii="Arial" w:hAnsi="Arial" w:cs="Arial"/>
            <w:sz w:val="22"/>
            <w:szCs w:val="22"/>
          </w:rPr>
          <w:t>https://www.legislation.gov.uk/ukpga/2022/31/contents</w:t>
        </w:r>
      </w:hyperlink>
      <w:r w:rsidRPr="00BF2A99">
        <w:rPr>
          <w:rFonts w:ascii="Arial" w:hAnsi="Arial" w:cs="Arial"/>
          <w:sz w:val="22"/>
          <w:szCs w:val="22"/>
        </w:rPr>
        <w:t xml:space="preserve"> (Accessed: 12 July 2026).</w:t>
      </w:r>
    </w:p>
    <w:p w14:paraId="10315765" w14:textId="77777777" w:rsidR="00BF2A99" w:rsidRPr="00BF2A99" w:rsidRDefault="00BF2A99" w:rsidP="00BF2A99">
      <w:pPr>
        <w:spacing w:line="360" w:lineRule="auto"/>
        <w:jc w:val="both"/>
        <w:rPr>
          <w:rFonts w:ascii="Arial" w:hAnsi="Arial" w:cs="Arial"/>
          <w:sz w:val="22"/>
          <w:szCs w:val="22"/>
        </w:rPr>
      </w:pPr>
      <w:r w:rsidRPr="00BF2A99">
        <w:rPr>
          <w:rFonts w:ascii="Arial" w:hAnsi="Arial" w:cs="Arial"/>
          <w:sz w:val="22"/>
          <w:szCs w:val="22"/>
        </w:rPr>
        <w:t xml:space="preserve">United Nations (2023) </w:t>
      </w:r>
      <w:r w:rsidRPr="00BF2A99">
        <w:rPr>
          <w:rFonts w:ascii="Arial" w:hAnsi="Arial" w:cs="Arial"/>
          <w:i/>
          <w:iCs/>
          <w:sz w:val="22"/>
          <w:szCs w:val="22"/>
        </w:rPr>
        <w:t>Sustainable Development Goal 3: Good Health and Well-being</w:t>
      </w:r>
      <w:r w:rsidRPr="00BF2A99">
        <w:rPr>
          <w:rFonts w:ascii="Arial" w:hAnsi="Arial" w:cs="Arial"/>
          <w:sz w:val="22"/>
          <w:szCs w:val="22"/>
        </w:rPr>
        <w:t xml:space="preserve">. Available at: </w:t>
      </w:r>
      <w:hyperlink r:id="rId22" w:history="1">
        <w:r w:rsidRPr="00BF2A99">
          <w:rPr>
            <w:rStyle w:val="Hyperlink"/>
            <w:rFonts w:ascii="Arial" w:hAnsi="Arial" w:cs="Arial"/>
            <w:sz w:val="22"/>
            <w:szCs w:val="22"/>
          </w:rPr>
          <w:t>https://sdgs.un.org/goals/goal3</w:t>
        </w:r>
      </w:hyperlink>
      <w:r w:rsidRPr="00BF2A99">
        <w:rPr>
          <w:rFonts w:ascii="Arial" w:hAnsi="Arial" w:cs="Arial"/>
          <w:sz w:val="22"/>
          <w:szCs w:val="22"/>
        </w:rPr>
        <w:t xml:space="preserve"> (Accessed: 12 July 2026).</w:t>
      </w:r>
    </w:p>
    <w:p w14:paraId="4FF264A7" w14:textId="77777777" w:rsidR="00BF2A99" w:rsidRDefault="00BF2A99" w:rsidP="00BF2A99">
      <w:pPr>
        <w:spacing w:line="360" w:lineRule="auto"/>
        <w:jc w:val="both"/>
        <w:rPr>
          <w:rFonts w:ascii="Arial" w:hAnsi="Arial" w:cs="Arial"/>
          <w:sz w:val="22"/>
          <w:szCs w:val="22"/>
        </w:rPr>
      </w:pPr>
      <w:r w:rsidRPr="00BF2A99">
        <w:rPr>
          <w:rFonts w:ascii="Arial" w:hAnsi="Arial" w:cs="Arial"/>
          <w:sz w:val="22"/>
          <w:szCs w:val="22"/>
        </w:rPr>
        <w:t xml:space="preserve">United Nations (2024) </w:t>
      </w:r>
      <w:r w:rsidRPr="00BF2A99">
        <w:rPr>
          <w:rFonts w:ascii="Arial" w:hAnsi="Arial" w:cs="Arial"/>
          <w:i/>
          <w:iCs/>
          <w:sz w:val="22"/>
          <w:szCs w:val="22"/>
        </w:rPr>
        <w:t>The 17 Sustainable Development Goals</w:t>
      </w:r>
      <w:r w:rsidRPr="00BF2A99">
        <w:rPr>
          <w:rFonts w:ascii="Arial" w:hAnsi="Arial" w:cs="Arial"/>
          <w:sz w:val="22"/>
          <w:szCs w:val="22"/>
        </w:rPr>
        <w:t xml:space="preserve">. Available at: </w:t>
      </w:r>
      <w:hyperlink r:id="rId23" w:history="1">
        <w:r w:rsidRPr="00BF2A99">
          <w:rPr>
            <w:rStyle w:val="Hyperlink"/>
            <w:rFonts w:ascii="Arial" w:hAnsi="Arial" w:cs="Arial"/>
            <w:sz w:val="22"/>
            <w:szCs w:val="22"/>
          </w:rPr>
          <w:t>https://sdgs.un.org/goals</w:t>
        </w:r>
      </w:hyperlink>
      <w:r w:rsidRPr="00BF2A99">
        <w:rPr>
          <w:rFonts w:ascii="Arial" w:hAnsi="Arial" w:cs="Arial"/>
          <w:sz w:val="22"/>
          <w:szCs w:val="22"/>
        </w:rPr>
        <w:t xml:space="preserve"> (Accessed: 12 July 2026).</w:t>
      </w:r>
    </w:p>
    <w:p w14:paraId="5534D846" w14:textId="4F92F60F" w:rsidR="00CF29E6" w:rsidRPr="00BF2A99" w:rsidRDefault="00CF29E6" w:rsidP="00BF2A99">
      <w:pPr>
        <w:spacing w:line="360" w:lineRule="auto"/>
        <w:jc w:val="both"/>
        <w:rPr>
          <w:rFonts w:ascii="Arial" w:hAnsi="Arial" w:cs="Arial"/>
          <w:sz w:val="22"/>
          <w:szCs w:val="22"/>
        </w:rPr>
      </w:pPr>
      <w:r w:rsidRPr="00CF29E6">
        <w:rPr>
          <w:rFonts w:ascii="Arial" w:hAnsi="Arial" w:cs="Arial"/>
          <w:sz w:val="22"/>
          <w:szCs w:val="22"/>
        </w:rPr>
        <w:t xml:space="preserve">United Nations (2025) </w:t>
      </w:r>
      <w:r w:rsidRPr="00CF29E6">
        <w:rPr>
          <w:rFonts w:ascii="Arial" w:hAnsi="Arial" w:cs="Arial"/>
          <w:i/>
          <w:iCs/>
          <w:sz w:val="22"/>
          <w:szCs w:val="22"/>
        </w:rPr>
        <w:t>The Sustainable Development Goals Report 2025</w:t>
      </w:r>
      <w:r w:rsidRPr="00CF29E6">
        <w:rPr>
          <w:rFonts w:ascii="Arial" w:hAnsi="Arial" w:cs="Arial"/>
          <w:sz w:val="22"/>
          <w:szCs w:val="22"/>
        </w:rPr>
        <w:t xml:space="preserve">. New York: United Nations. Available at: </w:t>
      </w:r>
      <w:hyperlink r:id="rId24" w:tgtFrame="_new" w:history="1">
        <w:r w:rsidRPr="00CF29E6">
          <w:rPr>
            <w:rStyle w:val="Hyperlink"/>
            <w:rFonts w:ascii="Arial" w:hAnsi="Arial" w:cs="Arial"/>
            <w:sz w:val="22"/>
            <w:szCs w:val="22"/>
          </w:rPr>
          <w:t>https://unstats.un.org/sdgs/report/2025/</w:t>
        </w:r>
      </w:hyperlink>
      <w:r w:rsidRPr="00CF29E6">
        <w:rPr>
          <w:rFonts w:ascii="Arial" w:hAnsi="Arial" w:cs="Arial"/>
          <w:sz w:val="22"/>
          <w:szCs w:val="22"/>
        </w:rPr>
        <w:t xml:space="preserve"> (Accessed: 12 July 2026).</w:t>
      </w:r>
    </w:p>
    <w:p w14:paraId="210C45E4" w14:textId="77777777" w:rsidR="00BF2A99" w:rsidRPr="00BF2A99" w:rsidRDefault="00BF2A99" w:rsidP="00BF2A99">
      <w:pPr>
        <w:spacing w:line="360" w:lineRule="auto"/>
        <w:jc w:val="both"/>
        <w:rPr>
          <w:rFonts w:ascii="Arial" w:hAnsi="Arial" w:cs="Arial"/>
          <w:sz w:val="22"/>
          <w:szCs w:val="22"/>
        </w:rPr>
      </w:pPr>
      <w:r w:rsidRPr="00BF2A99">
        <w:rPr>
          <w:rFonts w:ascii="Arial" w:hAnsi="Arial" w:cs="Arial"/>
          <w:sz w:val="22"/>
          <w:szCs w:val="22"/>
        </w:rPr>
        <w:t xml:space="preserve">World Health Organization (2021) </w:t>
      </w:r>
      <w:r w:rsidRPr="00BF2A99">
        <w:rPr>
          <w:rFonts w:ascii="Arial" w:hAnsi="Arial" w:cs="Arial"/>
          <w:i/>
          <w:iCs/>
          <w:sz w:val="22"/>
          <w:szCs w:val="22"/>
        </w:rPr>
        <w:t>Social determinants of health</w:t>
      </w:r>
      <w:r w:rsidRPr="00BF2A99">
        <w:rPr>
          <w:rFonts w:ascii="Arial" w:hAnsi="Arial" w:cs="Arial"/>
          <w:sz w:val="22"/>
          <w:szCs w:val="22"/>
        </w:rPr>
        <w:t xml:space="preserve">. Available at: </w:t>
      </w:r>
      <w:hyperlink r:id="rId25" w:history="1">
        <w:r w:rsidRPr="00BF2A99">
          <w:rPr>
            <w:rStyle w:val="Hyperlink"/>
            <w:rFonts w:ascii="Arial" w:hAnsi="Arial" w:cs="Arial"/>
            <w:sz w:val="22"/>
            <w:szCs w:val="22"/>
          </w:rPr>
          <w:t>https://www.who.int/health-topics/social-determinants-of-health</w:t>
        </w:r>
      </w:hyperlink>
      <w:r w:rsidRPr="00BF2A99">
        <w:rPr>
          <w:rFonts w:ascii="Arial" w:hAnsi="Arial" w:cs="Arial"/>
          <w:sz w:val="22"/>
          <w:szCs w:val="22"/>
        </w:rPr>
        <w:t xml:space="preserve"> (Accessed: 12 July 2026).</w:t>
      </w:r>
    </w:p>
    <w:p w14:paraId="6EE212E4" w14:textId="77777777" w:rsidR="00BF2A99" w:rsidRPr="00BF2A99" w:rsidRDefault="00BF2A99" w:rsidP="00BF2A99">
      <w:pPr>
        <w:spacing w:line="360" w:lineRule="auto"/>
        <w:jc w:val="both"/>
        <w:rPr>
          <w:rFonts w:ascii="Arial" w:hAnsi="Arial" w:cs="Arial"/>
          <w:sz w:val="22"/>
          <w:szCs w:val="22"/>
        </w:rPr>
      </w:pPr>
      <w:r w:rsidRPr="00BF2A99">
        <w:rPr>
          <w:rFonts w:ascii="Arial" w:hAnsi="Arial" w:cs="Arial"/>
          <w:sz w:val="22"/>
          <w:szCs w:val="22"/>
        </w:rPr>
        <w:t xml:space="preserve">World Health Organization (2023) </w:t>
      </w:r>
      <w:r w:rsidRPr="00BF2A99">
        <w:rPr>
          <w:rFonts w:ascii="Arial" w:hAnsi="Arial" w:cs="Arial"/>
          <w:i/>
          <w:iCs/>
          <w:sz w:val="22"/>
          <w:szCs w:val="22"/>
        </w:rPr>
        <w:t>Social determinants of health</w:t>
      </w:r>
      <w:r w:rsidRPr="00BF2A99">
        <w:rPr>
          <w:rFonts w:ascii="Arial" w:hAnsi="Arial" w:cs="Arial"/>
          <w:sz w:val="22"/>
          <w:szCs w:val="22"/>
        </w:rPr>
        <w:t xml:space="preserve">. Available at: </w:t>
      </w:r>
      <w:hyperlink r:id="rId26" w:history="1">
        <w:r w:rsidRPr="00BF2A99">
          <w:rPr>
            <w:rStyle w:val="Hyperlink"/>
            <w:rFonts w:ascii="Arial" w:hAnsi="Arial" w:cs="Arial"/>
            <w:sz w:val="22"/>
            <w:szCs w:val="22"/>
          </w:rPr>
          <w:t>https://www.who.int/health-topics/social-determinants-of-health</w:t>
        </w:r>
      </w:hyperlink>
      <w:r w:rsidRPr="00BF2A99">
        <w:rPr>
          <w:rFonts w:ascii="Arial" w:hAnsi="Arial" w:cs="Arial"/>
          <w:sz w:val="22"/>
          <w:szCs w:val="22"/>
        </w:rPr>
        <w:t xml:space="preserve"> (Accessed: 12 July 2026).</w:t>
      </w:r>
    </w:p>
    <w:p w14:paraId="71FBB793" w14:textId="77777777" w:rsidR="00BF2A99" w:rsidRPr="00BF2A99" w:rsidRDefault="00BF2A99" w:rsidP="00BF2A99">
      <w:pPr>
        <w:spacing w:line="360" w:lineRule="auto"/>
        <w:jc w:val="both"/>
        <w:rPr>
          <w:rFonts w:ascii="Arial" w:hAnsi="Arial" w:cs="Arial"/>
          <w:sz w:val="22"/>
          <w:szCs w:val="22"/>
        </w:rPr>
      </w:pPr>
      <w:r w:rsidRPr="00BF2A99">
        <w:rPr>
          <w:rFonts w:ascii="Arial" w:hAnsi="Arial" w:cs="Arial"/>
          <w:sz w:val="22"/>
          <w:szCs w:val="22"/>
        </w:rPr>
        <w:t xml:space="preserve">World Health Organization (2024) </w:t>
      </w:r>
      <w:r w:rsidRPr="00BF2A99">
        <w:rPr>
          <w:rFonts w:ascii="Arial" w:hAnsi="Arial" w:cs="Arial"/>
          <w:i/>
          <w:iCs/>
          <w:sz w:val="22"/>
          <w:szCs w:val="22"/>
        </w:rPr>
        <w:t>SDG 3 Global Action Plan for Healthy Lives and Well-being for All</w:t>
      </w:r>
      <w:r w:rsidRPr="00BF2A99">
        <w:rPr>
          <w:rFonts w:ascii="Arial" w:hAnsi="Arial" w:cs="Arial"/>
          <w:sz w:val="22"/>
          <w:szCs w:val="22"/>
        </w:rPr>
        <w:t xml:space="preserve">. Available at: </w:t>
      </w:r>
      <w:hyperlink r:id="rId27" w:history="1">
        <w:r w:rsidRPr="00BF2A99">
          <w:rPr>
            <w:rStyle w:val="Hyperlink"/>
            <w:rFonts w:ascii="Arial" w:hAnsi="Arial" w:cs="Arial"/>
            <w:sz w:val="22"/>
            <w:szCs w:val="22"/>
          </w:rPr>
          <w:t>https://www.who.int/initiatives/sdg3-global-action-plan</w:t>
        </w:r>
      </w:hyperlink>
      <w:r w:rsidRPr="00BF2A99">
        <w:rPr>
          <w:rFonts w:ascii="Arial" w:hAnsi="Arial" w:cs="Arial"/>
          <w:sz w:val="22"/>
          <w:szCs w:val="22"/>
        </w:rPr>
        <w:t xml:space="preserve"> (Accessed: 12 July 2026).</w:t>
      </w:r>
    </w:p>
    <w:p w14:paraId="24141095" w14:textId="77777777" w:rsidR="00BF2A99" w:rsidRPr="00E16628" w:rsidRDefault="00BF2A99" w:rsidP="00E16628">
      <w:pPr>
        <w:spacing w:line="360" w:lineRule="auto"/>
        <w:jc w:val="both"/>
        <w:rPr>
          <w:rFonts w:ascii="Arial" w:hAnsi="Arial" w:cs="Arial"/>
          <w:sz w:val="22"/>
          <w:szCs w:val="22"/>
        </w:rPr>
      </w:pPr>
    </w:p>
    <w:sectPr w:rsidR="00BF2A99" w:rsidRPr="00E16628">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6C840F" w14:textId="77777777" w:rsidR="003621F6" w:rsidRDefault="003621F6" w:rsidP="00667FEF">
      <w:pPr>
        <w:spacing w:after="0" w:line="240" w:lineRule="auto"/>
      </w:pPr>
      <w:r>
        <w:separator/>
      </w:r>
    </w:p>
  </w:endnote>
  <w:endnote w:type="continuationSeparator" w:id="0">
    <w:p w14:paraId="7DD18072" w14:textId="77777777" w:rsidR="003621F6" w:rsidRDefault="003621F6" w:rsidP="00667F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2420410"/>
      <w:docPartObj>
        <w:docPartGallery w:val="Page Numbers (Bottom of Page)"/>
        <w:docPartUnique/>
      </w:docPartObj>
    </w:sdtPr>
    <w:sdtEndPr>
      <w:rPr>
        <w:noProof/>
      </w:rPr>
    </w:sdtEndPr>
    <w:sdtContent>
      <w:p w14:paraId="1D222FAE" w14:textId="6747C550" w:rsidR="00667FEF" w:rsidRDefault="00667FE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1889B6" w14:textId="77777777" w:rsidR="00667FEF" w:rsidRDefault="00667F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42095" w14:textId="77777777" w:rsidR="003621F6" w:rsidRDefault="003621F6" w:rsidP="00667FEF">
      <w:pPr>
        <w:spacing w:after="0" w:line="240" w:lineRule="auto"/>
      </w:pPr>
      <w:r>
        <w:separator/>
      </w:r>
    </w:p>
  </w:footnote>
  <w:footnote w:type="continuationSeparator" w:id="0">
    <w:p w14:paraId="344D460A" w14:textId="77777777" w:rsidR="003621F6" w:rsidRDefault="003621F6" w:rsidP="00667F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A51B72"/>
    <w:multiLevelType w:val="multilevel"/>
    <w:tmpl w:val="4006A88E"/>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551212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D13"/>
    <w:rsid w:val="0004097E"/>
    <w:rsid w:val="0009183D"/>
    <w:rsid w:val="000D6C2F"/>
    <w:rsid w:val="001013B5"/>
    <w:rsid w:val="00113891"/>
    <w:rsid w:val="00175F7E"/>
    <w:rsid w:val="00190A04"/>
    <w:rsid w:val="001A6C2B"/>
    <w:rsid w:val="001D4A89"/>
    <w:rsid w:val="0024182A"/>
    <w:rsid w:val="00264628"/>
    <w:rsid w:val="00281146"/>
    <w:rsid w:val="002B1B91"/>
    <w:rsid w:val="002C0F8B"/>
    <w:rsid w:val="0030392E"/>
    <w:rsid w:val="00342379"/>
    <w:rsid w:val="003621F6"/>
    <w:rsid w:val="00470B5C"/>
    <w:rsid w:val="00471EA9"/>
    <w:rsid w:val="00497E3C"/>
    <w:rsid w:val="004A149C"/>
    <w:rsid w:val="004B5521"/>
    <w:rsid w:val="004C65F8"/>
    <w:rsid w:val="004C6D20"/>
    <w:rsid w:val="00507703"/>
    <w:rsid w:val="00507E67"/>
    <w:rsid w:val="00525EA0"/>
    <w:rsid w:val="00536BCB"/>
    <w:rsid w:val="00553329"/>
    <w:rsid w:val="0056790C"/>
    <w:rsid w:val="005F64A6"/>
    <w:rsid w:val="00634885"/>
    <w:rsid w:val="0064480B"/>
    <w:rsid w:val="006618EC"/>
    <w:rsid w:val="00667FEF"/>
    <w:rsid w:val="006854C2"/>
    <w:rsid w:val="006E6D3E"/>
    <w:rsid w:val="007330E3"/>
    <w:rsid w:val="00746A1C"/>
    <w:rsid w:val="00751963"/>
    <w:rsid w:val="00771B81"/>
    <w:rsid w:val="00775594"/>
    <w:rsid w:val="007A1620"/>
    <w:rsid w:val="007D5FAB"/>
    <w:rsid w:val="007E4438"/>
    <w:rsid w:val="00806781"/>
    <w:rsid w:val="00814F08"/>
    <w:rsid w:val="00836F8A"/>
    <w:rsid w:val="00862407"/>
    <w:rsid w:val="0086586D"/>
    <w:rsid w:val="008E6964"/>
    <w:rsid w:val="0091722E"/>
    <w:rsid w:val="0093448B"/>
    <w:rsid w:val="00934A02"/>
    <w:rsid w:val="00981ABA"/>
    <w:rsid w:val="009912D0"/>
    <w:rsid w:val="00993BF4"/>
    <w:rsid w:val="009D0353"/>
    <w:rsid w:val="009D374D"/>
    <w:rsid w:val="00A2179F"/>
    <w:rsid w:val="00A64D13"/>
    <w:rsid w:val="00A756EF"/>
    <w:rsid w:val="00AF53E7"/>
    <w:rsid w:val="00B165F4"/>
    <w:rsid w:val="00B60B56"/>
    <w:rsid w:val="00B82599"/>
    <w:rsid w:val="00BE56F2"/>
    <w:rsid w:val="00BF2A99"/>
    <w:rsid w:val="00C10863"/>
    <w:rsid w:val="00C472F6"/>
    <w:rsid w:val="00C847EC"/>
    <w:rsid w:val="00CF29E6"/>
    <w:rsid w:val="00CF6E04"/>
    <w:rsid w:val="00D16B3E"/>
    <w:rsid w:val="00D36DFB"/>
    <w:rsid w:val="00D4093B"/>
    <w:rsid w:val="00D634BC"/>
    <w:rsid w:val="00D93CBC"/>
    <w:rsid w:val="00DD6F5B"/>
    <w:rsid w:val="00DF0217"/>
    <w:rsid w:val="00E043F8"/>
    <w:rsid w:val="00E16628"/>
    <w:rsid w:val="00E46D20"/>
    <w:rsid w:val="00E65ACE"/>
    <w:rsid w:val="00E7745F"/>
    <w:rsid w:val="00EA1A72"/>
    <w:rsid w:val="00EF30B0"/>
    <w:rsid w:val="00EF64C2"/>
    <w:rsid w:val="00F016C3"/>
    <w:rsid w:val="00F22E35"/>
    <w:rsid w:val="00F93B2B"/>
    <w:rsid w:val="00FC2713"/>
    <w:rsid w:val="00FE7012"/>
    <w:rsid w:val="00FF1244"/>
    <w:rsid w:val="00FF6FC4"/>
    <w:rsid w:val="00FF7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64898"/>
  <w15:chartTrackingRefBased/>
  <w15:docId w15:val="{4E91769C-24B2-46C3-8AAD-DC5DAB72C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3891"/>
    <w:pPr>
      <w:keepNext/>
      <w:keepLines/>
      <w:spacing w:before="360" w:after="80"/>
      <w:outlineLvl w:val="0"/>
    </w:pPr>
    <w:rPr>
      <w:rFonts w:ascii="Arial" w:eastAsiaTheme="majorEastAsia" w:hAnsi="Arial" w:cstheme="majorBidi"/>
      <w:b/>
      <w:color w:val="000000" w:themeColor="text1"/>
      <w:sz w:val="22"/>
      <w:szCs w:val="40"/>
    </w:rPr>
  </w:style>
  <w:style w:type="paragraph" w:styleId="Heading2">
    <w:name w:val="heading 2"/>
    <w:basedOn w:val="Normal"/>
    <w:next w:val="Normal"/>
    <w:link w:val="Heading2Char"/>
    <w:uiPriority w:val="9"/>
    <w:unhideWhenUsed/>
    <w:qFormat/>
    <w:rsid w:val="00113891"/>
    <w:pPr>
      <w:keepNext/>
      <w:keepLines/>
      <w:spacing w:before="160" w:after="80"/>
      <w:outlineLvl w:val="1"/>
    </w:pPr>
    <w:rPr>
      <w:rFonts w:ascii="Arial" w:eastAsiaTheme="majorEastAsia" w:hAnsi="Arial" w:cstheme="majorBidi"/>
      <w:b/>
      <w:color w:val="000000" w:themeColor="text1"/>
      <w:sz w:val="22"/>
      <w:szCs w:val="32"/>
    </w:rPr>
  </w:style>
  <w:style w:type="paragraph" w:styleId="Heading3">
    <w:name w:val="heading 3"/>
    <w:basedOn w:val="Normal"/>
    <w:next w:val="Normal"/>
    <w:link w:val="Heading3Char"/>
    <w:uiPriority w:val="9"/>
    <w:semiHidden/>
    <w:unhideWhenUsed/>
    <w:qFormat/>
    <w:rsid w:val="00A64D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4D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4D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4D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4D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4D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4D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3891"/>
    <w:rPr>
      <w:rFonts w:ascii="Arial" w:eastAsiaTheme="majorEastAsia" w:hAnsi="Arial" w:cstheme="majorBidi"/>
      <w:b/>
      <w:color w:val="000000" w:themeColor="text1"/>
      <w:sz w:val="22"/>
      <w:szCs w:val="40"/>
    </w:rPr>
  </w:style>
  <w:style w:type="character" w:customStyle="1" w:styleId="Heading2Char">
    <w:name w:val="Heading 2 Char"/>
    <w:basedOn w:val="DefaultParagraphFont"/>
    <w:link w:val="Heading2"/>
    <w:uiPriority w:val="9"/>
    <w:rsid w:val="00113891"/>
    <w:rPr>
      <w:rFonts w:ascii="Arial" w:eastAsiaTheme="majorEastAsia" w:hAnsi="Arial" w:cstheme="majorBidi"/>
      <w:b/>
      <w:color w:val="000000" w:themeColor="text1"/>
      <w:sz w:val="22"/>
      <w:szCs w:val="32"/>
    </w:rPr>
  </w:style>
  <w:style w:type="character" w:customStyle="1" w:styleId="Heading3Char">
    <w:name w:val="Heading 3 Char"/>
    <w:basedOn w:val="DefaultParagraphFont"/>
    <w:link w:val="Heading3"/>
    <w:uiPriority w:val="9"/>
    <w:semiHidden/>
    <w:rsid w:val="00A64D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4D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4D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4D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4D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4D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4D13"/>
    <w:rPr>
      <w:rFonts w:eastAsiaTheme="majorEastAsia" w:cstheme="majorBidi"/>
      <w:color w:val="272727" w:themeColor="text1" w:themeTint="D8"/>
    </w:rPr>
  </w:style>
  <w:style w:type="paragraph" w:styleId="Title">
    <w:name w:val="Title"/>
    <w:basedOn w:val="Normal"/>
    <w:next w:val="Normal"/>
    <w:link w:val="TitleChar"/>
    <w:uiPriority w:val="10"/>
    <w:qFormat/>
    <w:rsid w:val="00A64D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4D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4D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4D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4D13"/>
    <w:pPr>
      <w:spacing w:before="160"/>
      <w:jc w:val="center"/>
    </w:pPr>
    <w:rPr>
      <w:i/>
      <w:iCs/>
      <w:color w:val="404040" w:themeColor="text1" w:themeTint="BF"/>
    </w:rPr>
  </w:style>
  <w:style w:type="character" w:customStyle="1" w:styleId="QuoteChar">
    <w:name w:val="Quote Char"/>
    <w:basedOn w:val="DefaultParagraphFont"/>
    <w:link w:val="Quote"/>
    <w:uiPriority w:val="29"/>
    <w:rsid w:val="00A64D13"/>
    <w:rPr>
      <w:i/>
      <w:iCs/>
      <w:color w:val="404040" w:themeColor="text1" w:themeTint="BF"/>
    </w:rPr>
  </w:style>
  <w:style w:type="paragraph" w:styleId="ListParagraph">
    <w:name w:val="List Paragraph"/>
    <w:basedOn w:val="Normal"/>
    <w:uiPriority w:val="34"/>
    <w:qFormat/>
    <w:rsid w:val="00A64D13"/>
    <w:pPr>
      <w:ind w:left="720"/>
      <w:contextualSpacing/>
    </w:pPr>
  </w:style>
  <w:style w:type="character" w:styleId="IntenseEmphasis">
    <w:name w:val="Intense Emphasis"/>
    <w:basedOn w:val="DefaultParagraphFont"/>
    <w:uiPriority w:val="21"/>
    <w:qFormat/>
    <w:rsid w:val="00A64D13"/>
    <w:rPr>
      <w:i/>
      <w:iCs/>
      <w:color w:val="0F4761" w:themeColor="accent1" w:themeShade="BF"/>
    </w:rPr>
  </w:style>
  <w:style w:type="paragraph" w:styleId="IntenseQuote">
    <w:name w:val="Intense Quote"/>
    <w:basedOn w:val="Normal"/>
    <w:next w:val="Normal"/>
    <w:link w:val="IntenseQuoteChar"/>
    <w:uiPriority w:val="30"/>
    <w:qFormat/>
    <w:rsid w:val="00A64D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4D13"/>
    <w:rPr>
      <w:i/>
      <w:iCs/>
      <w:color w:val="0F4761" w:themeColor="accent1" w:themeShade="BF"/>
    </w:rPr>
  </w:style>
  <w:style w:type="character" w:styleId="IntenseReference">
    <w:name w:val="Intense Reference"/>
    <w:basedOn w:val="DefaultParagraphFont"/>
    <w:uiPriority w:val="32"/>
    <w:qFormat/>
    <w:rsid w:val="00A64D13"/>
    <w:rPr>
      <w:b/>
      <w:bCs/>
      <w:smallCaps/>
      <w:color w:val="0F4761" w:themeColor="accent1" w:themeShade="BF"/>
      <w:spacing w:val="5"/>
    </w:rPr>
  </w:style>
  <w:style w:type="paragraph" w:styleId="Header">
    <w:name w:val="header"/>
    <w:basedOn w:val="Normal"/>
    <w:link w:val="HeaderChar"/>
    <w:uiPriority w:val="99"/>
    <w:unhideWhenUsed/>
    <w:rsid w:val="00667F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7FEF"/>
  </w:style>
  <w:style w:type="paragraph" w:styleId="Footer">
    <w:name w:val="footer"/>
    <w:basedOn w:val="Normal"/>
    <w:link w:val="FooterChar"/>
    <w:uiPriority w:val="99"/>
    <w:unhideWhenUsed/>
    <w:rsid w:val="00667F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7FEF"/>
  </w:style>
  <w:style w:type="character" w:styleId="Hyperlink">
    <w:name w:val="Hyperlink"/>
    <w:basedOn w:val="DefaultParagraphFont"/>
    <w:uiPriority w:val="99"/>
    <w:unhideWhenUsed/>
    <w:rsid w:val="00BF2A99"/>
    <w:rPr>
      <w:color w:val="467886" w:themeColor="hyperlink"/>
      <w:u w:val="single"/>
    </w:rPr>
  </w:style>
  <w:style w:type="character" w:styleId="UnresolvedMention">
    <w:name w:val="Unresolved Mention"/>
    <w:basedOn w:val="DefaultParagraphFont"/>
    <w:uiPriority w:val="99"/>
    <w:semiHidden/>
    <w:unhideWhenUsed/>
    <w:rsid w:val="00BF2A99"/>
    <w:rPr>
      <w:color w:val="605E5C"/>
      <w:shd w:val="clear" w:color="auto" w:fill="E1DFDD"/>
    </w:rPr>
  </w:style>
  <w:style w:type="character" w:styleId="FollowedHyperlink">
    <w:name w:val="FollowedHyperlink"/>
    <w:basedOn w:val="DefaultParagraphFont"/>
    <w:uiPriority w:val="99"/>
    <w:semiHidden/>
    <w:unhideWhenUsed/>
    <w:rsid w:val="00BF2A99"/>
    <w:rPr>
      <w:color w:val="96607D" w:themeColor="followedHyperlink"/>
      <w:u w:val="single"/>
    </w:rPr>
  </w:style>
  <w:style w:type="paragraph" w:styleId="TOCHeading">
    <w:name w:val="TOC Heading"/>
    <w:basedOn w:val="Heading1"/>
    <w:next w:val="Normal"/>
    <w:uiPriority w:val="39"/>
    <w:unhideWhenUsed/>
    <w:qFormat/>
    <w:rsid w:val="0011389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113891"/>
    <w:pPr>
      <w:spacing w:after="100"/>
    </w:pPr>
  </w:style>
  <w:style w:type="paragraph" w:styleId="TOC2">
    <w:name w:val="toc 2"/>
    <w:basedOn w:val="Normal"/>
    <w:next w:val="Normal"/>
    <w:autoRedefine/>
    <w:uiPriority w:val="39"/>
    <w:unhideWhenUsed/>
    <w:rsid w:val="0011389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324/9780203495933%20" TargetMode="External"/><Relationship Id="rId13" Type="http://schemas.openxmlformats.org/officeDocument/2006/relationships/hyperlink" Target="https://www.longtermplan.nhs.uk/online-version/" TargetMode="External"/><Relationship Id="rId18" Type="http://schemas.openxmlformats.org/officeDocument/2006/relationships/hyperlink" Target="https://www.theglobalfund.org/en/news/2025/" TargetMode="External"/><Relationship Id="rId26" Type="http://schemas.openxmlformats.org/officeDocument/2006/relationships/hyperlink" Target="https://www.who.int/health-topics/social-determinants-of-health" TargetMode="External"/><Relationship Id="rId3" Type="http://schemas.openxmlformats.org/officeDocument/2006/relationships/settings" Target="settings.xml"/><Relationship Id="rId21" Type="http://schemas.openxmlformats.org/officeDocument/2006/relationships/hyperlink" Target="https://www.legislation.gov.uk/ukpga/2022/31/contents" TargetMode="External"/><Relationship Id="rId7" Type="http://schemas.openxmlformats.org/officeDocument/2006/relationships/image" Target="media/image1.jpeg"/><Relationship Id="rId12" Type="http://schemas.openxmlformats.org/officeDocument/2006/relationships/hyperlink" Target="https://www.health.org.uk/publications/reports/the-marmot-review-10-years-on" TargetMode="External"/><Relationship Id="rId17" Type="http://schemas.openxmlformats.org/officeDocument/2006/relationships/hyperlink" Target="https://www.england.nhs.uk/wp-content/uploads/2016/04/making-every-contact-count.pdf" TargetMode="External"/><Relationship Id="rId25" Type="http://schemas.openxmlformats.org/officeDocument/2006/relationships/hyperlink" Target="https://www.who.int/health-topics/social-determinants-of-health" TargetMode="External"/><Relationship Id="rId2" Type="http://schemas.openxmlformats.org/officeDocument/2006/relationships/styles" Target="styles.xml"/><Relationship Id="rId16" Type="http://schemas.openxmlformats.org/officeDocument/2006/relationships/hyperlink" Target="https://www.ons.gov.uk/peoplepopulationandcommunity/healthandsocialcare/healthinequalities" TargetMode="External"/><Relationship Id="rId20" Type="http://schemas.openxmlformats.org/officeDocument/2006/relationships/hyperlink" Target="https://www.legislation.gov.uk/ukpga/2010/15/contents"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ingertips.phe.org.uk/profile/public-health-outcomes-framework" TargetMode="External"/><Relationship Id="rId24" Type="http://schemas.openxmlformats.org/officeDocument/2006/relationships/hyperlink" Target="https://unstats.un.org/sdgs/report/2025/" TargetMode="External"/><Relationship Id="rId5" Type="http://schemas.openxmlformats.org/officeDocument/2006/relationships/footnotes" Target="footnotes.xml"/><Relationship Id="rId15" Type="http://schemas.openxmlformats.org/officeDocument/2006/relationships/hyperlink" Target="https://www.england.nhs.uk/about/equality/equality-hub/national-healthcare-inequalities-improvement-programme/core20plus5/" TargetMode="External"/><Relationship Id="rId23" Type="http://schemas.openxmlformats.org/officeDocument/2006/relationships/hyperlink" Target="https://sdgs.un.org/goals" TargetMode="External"/><Relationship Id="rId28" Type="http://schemas.openxmlformats.org/officeDocument/2006/relationships/footer" Target="footer1.xml"/><Relationship Id="rId10" Type="http://schemas.openxmlformats.org/officeDocument/2006/relationships/hyperlink" Target="https://doi.org/10.1016/S0140-6736(15)60644-4" TargetMode="External"/><Relationship Id="rId19" Type="http://schemas.openxmlformats.org/officeDocument/2006/relationships/hyperlink" Target="https://www.kingsfund.org.uk/insight-and-analysis/long-reads/tackling-health-inequalities-seven-priorities-nhs" TargetMode="External"/><Relationship Id="rId4" Type="http://schemas.openxmlformats.org/officeDocument/2006/relationships/webSettings" Target="webSettings.xml"/><Relationship Id="rId9" Type="http://schemas.openxmlformats.org/officeDocument/2006/relationships/hyperlink" Target="https://doi.org/10.1136/jech-2020-214401" TargetMode="External"/><Relationship Id="rId14" Type="http://schemas.openxmlformats.org/officeDocument/2006/relationships/hyperlink" Target="https://www.england.nhs.uk/publication/making-every-contact-count-mecc-consensus-statement/" TargetMode="External"/><Relationship Id="rId22" Type="http://schemas.openxmlformats.org/officeDocument/2006/relationships/hyperlink" Target="https://sdgs.un.org/goals/goal3" TargetMode="External"/><Relationship Id="rId27" Type="http://schemas.openxmlformats.org/officeDocument/2006/relationships/hyperlink" Target="https://www.who.int/initiatives/sdg3-global-action-plan"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3764</Words>
  <Characters>21456</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Mehwish Arshad</dc:creator>
  <cp:keywords/>
  <dc:description/>
  <cp:lastModifiedBy>Mehwish Arshad</cp:lastModifiedBy>
  <cp:revision>2</cp:revision>
  <dcterms:created xsi:type="dcterms:W3CDTF">2026-07-18T13:04:00Z</dcterms:created>
  <dcterms:modified xsi:type="dcterms:W3CDTF">2026-07-18T13:04:00Z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22a5e6f3-c81d-4311-bf80-08543f81b17f</vt:lpwstr>
  </property>
</Properties>
</file>