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5B3EFB" w:rsidRPr="009D637B" w:rsidRDefault="0094332B" w:rsidP="009D637B">
      <w:pPr>
        <w:rPr>
          <w:rFonts w:cstheme="minorHAnsi"/>
          <w:b/>
          <w:u w:val="single"/>
        </w:rPr>
      </w:pPr>
      <w:r w:rsidRPr="009D637B">
        <w:rPr>
          <w:rFonts w:cstheme="minorHAnsi"/>
          <w:b/>
          <w:u w:val="single"/>
        </w:rPr>
        <w:t>Hammurabi’s ‘law code</w:t>
      </w:r>
      <w:r w:rsidR="009D637B" w:rsidRPr="009D637B">
        <w:rPr>
          <w:rFonts w:cstheme="minorHAnsi"/>
          <w:b/>
          <w:u w:val="single"/>
        </w:rPr>
        <w:t>’ Essay:</w:t>
      </w:r>
      <w:bookmarkStart w:id="0" w:name="_GoBack"/>
      <w:bookmarkEnd w:id="0"/>
    </w:p>
    <w:p w:rsidR="00A15591" w:rsidRPr="006039BD" w:rsidRDefault="003D0B7E" w:rsidP="001102E4">
      <w:pPr>
        <w:spacing w:line="360" w:lineRule="auto"/>
        <w:jc w:val="both"/>
        <w:rPr>
          <w:rFonts w:cstheme="minorHAnsi"/>
          <w:color w:val="FF0000"/>
        </w:rPr>
      </w:pPr>
      <w:r w:rsidRPr="006039BD">
        <w:rPr>
          <w:rFonts w:cstheme="minorHAnsi"/>
        </w:rPr>
        <w:t xml:space="preserve">In this essay I am going to </w:t>
      </w:r>
      <w:r w:rsidR="00593676" w:rsidRPr="006039BD">
        <w:rPr>
          <w:rFonts w:cstheme="minorHAnsi"/>
        </w:rPr>
        <w:t>explore</w:t>
      </w:r>
      <w:r w:rsidRPr="006039BD">
        <w:rPr>
          <w:rFonts w:cstheme="minorHAnsi"/>
        </w:rPr>
        <w:t xml:space="preserve"> how this</w:t>
      </w:r>
      <w:r w:rsidR="00F31FAC" w:rsidRPr="006039BD">
        <w:rPr>
          <w:rFonts w:cstheme="minorHAnsi"/>
        </w:rPr>
        <w:t xml:space="preserve"> series of</w:t>
      </w:r>
      <w:r w:rsidRPr="006039BD">
        <w:rPr>
          <w:rFonts w:cstheme="minorHAnsi"/>
        </w:rPr>
        <w:t xml:space="preserve"> particular text</w:t>
      </w:r>
      <w:r w:rsidR="00593676" w:rsidRPr="006039BD">
        <w:rPr>
          <w:rFonts w:cstheme="minorHAnsi"/>
        </w:rPr>
        <w:t>s</w:t>
      </w:r>
      <w:r w:rsidR="00ED73A5" w:rsidRPr="006039BD">
        <w:rPr>
          <w:rFonts w:cstheme="minorHAnsi"/>
        </w:rPr>
        <w:t xml:space="preserve"> from Hammurabi’s ‘law code’</w:t>
      </w:r>
      <w:r w:rsidRPr="006039BD">
        <w:rPr>
          <w:rFonts w:cstheme="minorHAnsi"/>
        </w:rPr>
        <w:t xml:space="preserve"> affords us insight to the wider so</w:t>
      </w:r>
      <w:r w:rsidR="00ED73A5" w:rsidRPr="006039BD">
        <w:rPr>
          <w:rFonts w:cstheme="minorHAnsi"/>
        </w:rPr>
        <w:t>cial and cultural aspects of this</w:t>
      </w:r>
      <w:r w:rsidRPr="006039BD">
        <w:rPr>
          <w:rFonts w:cstheme="minorHAnsi"/>
        </w:rPr>
        <w:t xml:space="preserve"> </w:t>
      </w:r>
      <w:r w:rsidR="00A5096A" w:rsidRPr="006039BD">
        <w:rPr>
          <w:rFonts w:cstheme="minorHAnsi"/>
        </w:rPr>
        <w:t>time (1810-1750BC</w:t>
      </w:r>
      <w:r w:rsidR="006C52EB" w:rsidRPr="006039BD">
        <w:rPr>
          <w:rFonts w:cstheme="minorHAnsi"/>
        </w:rPr>
        <w:t>)</w:t>
      </w:r>
      <w:r w:rsidR="00ED73A5" w:rsidRPr="006039BD">
        <w:rPr>
          <w:rFonts w:cstheme="minorHAnsi"/>
        </w:rPr>
        <w:t xml:space="preserve">. </w:t>
      </w:r>
      <w:r w:rsidR="00593676" w:rsidRPr="006039BD">
        <w:rPr>
          <w:rFonts w:cstheme="minorHAnsi"/>
        </w:rPr>
        <w:t>(</w:t>
      </w:r>
      <w:proofErr w:type="spellStart"/>
      <w:r w:rsidR="00593676" w:rsidRPr="006039BD">
        <w:rPr>
          <w:rFonts w:cstheme="minorHAnsi"/>
        </w:rPr>
        <w:t>Dyneley</w:t>
      </w:r>
      <w:proofErr w:type="spellEnd"/>
      <w:r w:rsidR="00593676" w:rsidRPr="006039BD">
        <w:rPr>
          <w:rFonts w:cstheme="minorHAnsi"/>
        </w:rPr>
        <w:t>, 1904) The text consists of roughly</w:t>
      </w:r>
      <w:r w:rsidR="0094332B" w:rsidRPr="006039BD">
        <w:rPr>
          <w:rFonts w:cstheme="minorHAnsi"/>
        </w:rPr>
        <w:t xml:space="preserve"> 300 laws ranging from theft to marital disputes.</w:t>
      </w:r>
      <w:r w:rsidR="006C52EB" w:rsidRPr="006039BD">
        <w:rPr>
          <w:rFonts w:cstheme="minorHAnsi"/>
        </w:rPr>
        <w:t xml:space="preserve"> </w:t>
      </w:r>
      <w:r w:rsidR="00ED73A5" w:rsidRPr="006039BD">
        <w:rPr>
          <w:rFonts w:cstheme="minorHAnsi"/>
        </w:rPr>
        <w:t>Hammurabi</w:t>
      </w:r>
      <w:r w:rsidR="0032771F" w:rsidRPr="006039BD">
        <w:rPr>
          <w:rFonts w:cstheme="minorHAnsi"/>
        </w:rPr>
        <w:t xml:space="preserve">, </w:t>
      </w:r>
      <w:r w:rsidR="00593676" w:rsidRPr="006039BD">
        <w:rPr>
          <w:rFonts w:cstheme="minorHAnsi"/>
        </w:rPr>
        <w:t xml:space="preserve">known as </w:t>
      </w:r>
      <w:r w:rsidR="0032771F" w:rsidRPr="006039BD">
        <w:rPr>
          <w:rFonts w:cstheme="minorHAnsi"/>
        </w:rPr>
        <w:t>Akkadian by birth</w:t>
      </w:r>
      <w:r w:rsidR="00593676" w:rsidRPr="006039BD">
        <w:rPr>
          <w:rFonts w:cstheme="minorHAnsi"/>
        </w:rPr>
        <w:t>,</w:t>
      </w:r>
      <w:r w:rsidR="0032771F" w:rsidRPr="006039BD">
        <w:rPr>
          <w:rFonts w:cstheme="minorHAnsi"/>
        </w:rPr>
        <w:t xml:space="preserve"> </w:t>
      </w:r>
      <w:r w:rsidR="006C52EB" w:rsidRPr="006039BD">
        <w:rPr>
          <w:rFonts w:cstheme="minorHAnsi"/>
        </w:rPr>
        <w:t>unified the cit</w:t>
      </w:r>
      <w:r w:rsidR="0032771F" w:rsidRPr="006039BD">
        <w:rPr>
          <w:rFonts w:cstheme="minorHAnsi"/>
        </w:rPr>
        <w:t>y states within southern Mesopotamia (</w:t>
      </w:r>
      <w:r w:rsidR="00583689" w:rsidRPr="006039BD">
        <w:rPr>
          <w:rFonts w:cstheme="minorHAnsi"/>
        </w:rPr>
        <w:t>King, 1996)</w:t>
      </w:r>
      <w:r w:rsidR="0032771F" w:rsidRPr="006039BD">
        <w:rPr>
          <w:rFonts w:cstheme="minorHAnsi"/>
        </w:rPr>
        <w:t xml:space="preserve"> and became the sixth king of the first</w:t>
      </w:r>
      <w:r w:rsidR="0032771F" w:rsidRPr="006039BD">
        <w:rPr>
          <w:rFonts w:cstheme="minorHAnsi"/>
          <w:color w:val="FF0000"/>
        </w:rPr>
        <w:t xml:space="preserve"> </w:t>
      </w:r>
      <w:r w:rsidR="0032771F" w:rsidRPr="006039BD">
        <w:rPr>
          <w:rFonts w:cstheme="minorHAnsi"/>
        </w:rPr>
        <w:t>Babylonia</w:t>
      </w:r>
      <w:r w:rsidR="0032771F" w:rsidRPr="006039BD">
        <w:rPr>
          <w:rFonts w:cstheme="minorHAnsi"/>
        </w:rPr>
        <w:t>n Dynasty.</w:t>
      </w:r>
      <w:r w:rsidR="00F31FAC" w:rsidRPr="006039BD">
        <w:rPr>
          <w:rFonts w:cstheme="minorHAnsi"/>
          <w:color w:val="FF0000"/>
        </w:rPr>
        <w:t xml:space="preserve"> </w:t>
      </w:r>
      <w:r w:rsidR="00593676" w:rsidRPr="006039BD">
        <w:rPr>
          <w:rFonts w:cstheme="minorHAnsi"/>
        </w:rPr>
        <w:t>Within this essay I will focus upon</w:t>
      </w:r>
      <w:r w:rsidR="006C52EB" w:rsidRPr="006039BD">
        <w:rPr>
          <w:rFonts w:cstheme="minorHAnsi"/>
        </w:rPr>
        <w:t xml:space="preserve"> the marital aspects of domestic life,</w:t>
      </w:r>
      <w:r w:rsidR="00593676" w:rsidRPr="006039BD">
        <w:rPr>
          <w:rFonts w:cstheme="minorHAnsi"/>
        </w:rPr>
        <w:t xml:space="preserve"> exploring </w:t>
      </w:r>
      <w:r w:rsidR="0032771F" w:rsidRPr="006039BD">
        <w:rPr>
          <w:rFonts w:cstheme="minorHAnsi"/>
        </w:rPr>
        <w:t xml:space="preserve">from a feminist and </w:t>
      </w:r>
      <w:r w:rsidR="00F31FAC" w:rsidRPr="006039BD">
        <w:rPr>
          <w:rFonts w:cstheme="minorHAnsi"/>
        </w:rPr>
        <w:t>gender</w:t>
      </w:r>
      <w:r w:rsidR="0032771F" w:rsidRPr="006039BD">
        <w:rPr>
          <w:rFonts w:cstheme="minorHAnsi"/>
        </w:rPr>
        <w:t>ed perspective, t</w:t>
      </w:r>
      <w:r w:rsidR="00F31FAC" w:rsidRPr="006039BD">
        <w:rPr>
          <w:rFonts w:cstheme="minorHAnsi"/>
        </w:rPr>
        <w:t>o derive to conclusions based upon the social and political evidence of the stelae.</w:t>
      </w:r>
    </w:p>
    <w:p w:rsidR="00DA17E2" w:rsidRPr="006039BD" w:rsidRDefault="00A15591" w:rsidP="001102E4">
      <w:pPr>
        <w:spacing w:line="360" w:lineRule="auto"/>
        <w:jc w:val="both"/>
        <w:rPr>
          <w:rFonts w:cstheme="minorHAnsi"/>
          <w:color w:val="FF0000"/>
        </w:rPr>
      </w:pPr>
      <w:r w:rsidRPr="006039BD">
        <w:rPr>
          <w:rFonts w:cstheme="minorHAnsi"/>
        </w:rPr>
        <w:t>The code of Hammurabi</w:t>
      </w:r>
      <w:r w:rsidR="00593676" w:rsidRPr="006039BD">
        <w:rPr>
          <w:rFonts w:cstheme="minorHAnsi"/>
        </w:rPr>
        <w:t xml:space="preserve"> now resides</w:t>
      </w:r>
      <w:r w:rsidRPr="006039BD">
        <w:rPr>
          <w:rFonts w:cstheme="minorHAnsi"/>
        </w:rPr>
        <w:t xml:space="preserve"> in the Louvre museum in Paris, originally found in the ancient city of Susa which is located a few hundred miles from where the stelae would have originally</w:t>
      </w:r>
      <w:r w:rsidR="00583689" w:rsidRPr="006039BD">
        <w:rPr>
          <w:rFonts w:cstheme="minorHAnsi"/>
        </w:rPr>
        <w:t xml:space="preserve"> been erected. </w:t>
      </w:r>
      <w:r w:rsidR="00DA17E2" w:rsidRPr="006039BD">
        <w:rPr>
          <w:rFonts w:cstheme="minorHAnsi"/>
        </w:rPr>
        <w:t xml:space="preserve">The stelae would have </w:t>
      </w:r>
      <w:r w:rsidR="00583689" w:rsidRPr="006039BD">
        <w:rPr>
          <w:rFonts w:cstheme="minorHAnsi"/>
        </w:rPr>
        <w:t>“</w:t>
      </w:r>
      <w:r w:rsidR="00DA17E2" w:rsidRPr="006039BD">
        <w:rPr>
          <w:rFonts w:cstheme="minorHAnsi"/>
        </w:rPr>
        <w:t xml:space="preserve">created a lasting and momentous impression on the stelae’s audience in its original </w:t>
      </w:r>
      <w:r w:rsidR="00583689" w:rsidRPr="006039BD">
        <w:rPr>
          <w:rFonts w:cstheme="minorHAnsi"/>
        </w:rPr>
        <w:t>cultural context” (</w:t>
      </w:r>
      <w:proofErr w:type="spellStart"/>
      <w:r w:rsidR="00583689" w:rsidRPr="006039BD">
        <w:rPr>
          <w:rFonts w:cstheme="minorHAnsi"/>
        </w:rPr>
        <w:t>Slanski</w:t>
      </w:r>
      <w:proofErr w:type="spellEnd"/>
      <w:r w:rsidR="00583689" w:rsidRPr="006039BD">
        <w:rPr>
          <w:rFonts w:cstheme="minorHAnsi"/>
        </w:rPr>
        <w:t>, 2012: 102)</w:t>
      </w:r>
      <w:r w:rsidR="00DA17E2" w:rsidRPr="006039BD">
        <w:rPr>
          <w:rFonts w:cstheme="minorHAnsi"/>
        </w:rPr>
        <w:t xml:space="preserve"> It is thought that the stelae would have originally been placed in a temple as it is seen as a symbol for justice.</w:t>
      </w:r>
    </w:p>
    <w:p w:rsidR="00A15591" w:rsidRPr="006039BD" w:rsidRDefault="0032771F" w:rsidP="001102E4">
      <w:pPr>
        <w:spacing w:line="360" w:lineRule="auto"/>
        <w:jc w:val="both"/>
        <w:rPr>
          <w:rFonts w:cstheme="minorHAnsi"/>
        </w:rPr>
      </w:pPr>
      <w:r w:rsidRPr="006039BD">
        <w:rPr>
          <w:rFonts w:cstheme="minorHAnsi"/>
        </w:rPr>
        <w:t>The stelae itsel</w:t>
      </w:r>
      <w:r w:rsidR="007D2614" w:rsidRPr="006039BD">
        <w:rPr>
          <w:rFonts w:cstheme="minorHAnsi"/>
        </w:rPr>
        <w:t>f is constructed of diorite with a depiction of the ancient</w:t>
      </w:r>
      <w:r w:rsidR="00DA17E2" w:rsidRPr="006039BD">
        <w:rPr>
          <w:rFonts w:cstheme="minorHAnsi"/>
        </w:rPr>
        <w:t xml:space="preserve"> sun -</w:t>
      </w:r>
      <w:r w:rsidR="007D2614" w:rsidRPr="006039BD">
        <w:rPr>
          <w:rFonts w:cstheme="minorHAnsi"/>
        </w:rPr>
        <w:t xml:space="preserve"> god Shamash</w:t>
      </w:r>
      <w:r w:rsidR="00D56C85" w:rsidRPr="006039BD">
        <w:rPr>
          <w:rFonts w:cstheme="minorHAnsi"/>
        </w:rPr>
        <w:t xml:space="preserve"> – also considered as a patron of justice,</w:t>
      </w:r>
      <w:r w:rsidR="007D2614" w:rsidRPr="006039BD">
        <w:rPr>
          <w:rFonts w:cstheme="minorHAnsi"/>
        </w:rPr>
        <w:t xml:space="preserve"> located to the upper section of the stelae. Also depicted alongside the god was Hammurabi, in which the</w:t>
      </w:r>
      <w:r w:rsidR="00DA17E2" w:rsidRPr="006039BD">
        <w:rPr>
          <w:rFonts w:cstheme="minorHAnsi"/>
        </w:rPr>
        <w:t xml:space="preserve"> sun -</w:t>
      </w:r>
      <w:r w:rsidR="007D2614" w:rsidRPr="006039BD">
        <w:rPr>
          <w:rFonts w:cstheme="minorHAnsi"/>
        </w:rPr>
        <w:t xml:space="preserve"> god Shamash was getting Hammurabi to inflict his </w:t>
      </w:r>
      <w:r w:rsidR="00A40229" w:rsidRPr="006039BD">
        <w:rPr>
          <w:rFonts w:cstheme="minorHAnsi"/>
        </w:rPr>
        <w:t>teachings</w:t>
      </w:r>
      <w:r w:rsidR="007D2614" w:rsidRPr="006039BD">
        <w:rPr>
          <w:rFonts w:cstheme="minorHAnsi"/>
        </w:rPr>
        <w:t xml:space="preserve"> onto the people of Babylonia.</w:t>
      </w:r>
      <w:r w:rsidR="00A15591" w:rsidRPr="006039BD">
        <w:rPr>
          <w:rFonts w:cstheme="minorHAnsi"/>
        </w:rPr>
        <w:t xml:space="preserve"> </w:t>
      </w:r>
      <w:r w:rsidR="00583689" w:rsidRPr="006039BD">
        <w:rPr>
          <w:rFonts w:cstheme="minorHAnsi"/>
        </w:rPr>
        <w:t>The carving on the stelae consists of Hammurabi i</w:t>
      </w:r>
      <w:r w:rsidR="00C85684" w:rsidRPr="006039BD">
        <w:rPr>
          <w:rFonts w:cstheme="minorHAnsi"/>
        </w:rPr>
        <w:t>n a sitting position, the</w:t>
      </w:r>
      <w:r w:rsidR="00D56C85" w:rsidRPr="006039BD">
        <w:rPr>
          <w:rFonts w:cstheme="minorHAnsi"/>
        </w:rPr>
        <w:t xml:space="preserve"> rays</w:t>
      </w:r>
      <w:r w:rsidR="00A15591" w:rsidRPr="006039BD">
        <w:rPr>
          <w:rFonts w:cstheme="minorHAnsi"/>
        </w:rPr>
        <w:t xml:space="preserve"> on</w:t>
      </w:r>
      <w:r w:rsidR="00D56C85" w:rsidRPr="006039BD">
        <w:rPr>
          <w:rFonts w:cstheme="minorHAnsi"/>
        </w:rPr>
        <w:t xml:space="preserve"> his</w:t>
      </w:r>
      <w:r w:rsidR="00A15591" w:rsidRPr="006039BD">
        <w:rPr>
          <w:rFonts w:cstheme="minorHAnsi"/>
        </w:rPr>
        <w:t xml:space="preserve"> shoulders which rei</w:t>
      </w:r>
      <w:r w:rsidR="00A15591" w:rsidRPr="006039BD">
        <w:rPr>
          <w:rFonts w:cstheme="minorHAnsi"/>
        </w:rPr>
        <w:t xml:space="preserve">nforces </w:t>
      </w:r>
      <w:r w:rsidR="00C85684" w:rsidRPr="006039BD">
        <w:rPr>
          <w:rFonts w:cstheme="minorHAnsi"/>
        </w:rPr>
        <w:t xml:space="preserve">and illuminates </w:t>
      </w:r>
      <w:r w:rsidR="00A15591" w:rsidRPr="006039BD">
        <w:rPr>
          <w:rFonts w:cstheme="minorHAnsi"/>
        </w:rPr>
        <w:t xml:space="preserve">the </w:t>
      </w:r>
      <w:r w:rsidR="00A15591" w:rsidRPr="006039BD">
        <w:rPr>
          <w:rFonts w:cstheme="minorHAnsi"/>
        </w:rPr>
        <w:t>divinity</w:t>
      </w:r>
      <w:r w:rsidR="00A15591" w:rsidRPr="006039BD">
        <w:rPr>
          <w:rFonts w:cstheme="minorHAnsi"/>
        </w:rPr>
        <w:t xml:space="preserve"> of Hammurabi and his </w:t>
      </w:r>
      <w:r w:rsidR="00C85684" w:rsidRPr="006039BD">
        <w:rPr>
          <w:rFonts w:cstheme="minorHAnsi"/>
        </w:rPr>
        <w:t>righteousness</w:t>
      </w:r>
      <w:r w:rsidR="00A15591" w:rsidRPr="006039BD">
        <w:rPr>
          <w:rFonts w:cstheme="minorHAnsi"/>
        </w:rPr>
        <w:t xml:space="preserve"> to rule</w:t>
      </w:r>
      <w:r w:rsidR="00583689" w:rsidRPr="006039BD">
        <w:rPr>
          <w:rFonts w:cstheme="minorHAnsi"/>
        </w:rPr>
        <w:t xml:space="preserve"> as a just king; within this depiction, Shamash is also handing Hammurabi a sceptre.</w:t>
      </w:r>
      <w:r w:rsidR="00A15591" w:rsidRPr="006039BD">
        <w:rPr>
          <w:rFonts w:cstheme="minorHAnsi"/>
        </w:rPr>
        <w:t xml:space="preserve"> </w:t>
      </w:r>
      <w:r w:rsidR="00635897" w:rsidRPr="006039BD">
        <w:rPr>
          <w:rFonts w:cstheme="minorHAnsi"/>
        </w:rPr>
        <w:t xml:space="preserve">This depiction is also meant to represent </w:t>
      </w:r>
      <w:r w:rsidR="00A15591" w:rsidRPr="006039BD">
        <w:rPr>
          <w:rFonts w:cstheme="minorHAnsi"/>
        </w:rPr>
        <w:t>concept of</w:t>
      </w:r>
      <w:r w:rsidR="00635897" w:rsidRPr="006039BD">
        <w:rPr>
          <w:rFonts w:cstheme="minorHAnsi"/>
        </w:rPr>
        <w:t xml:space="preserve"> Hammurabi having </w:t>
      </w:r>
      <w:r w:rsidR="00A15591" w:rsidRPr="006039BD">
        <w:rPr>
          <w:rFonts w:cstheme="minorHAnsi"/>
        </w:rPr>
        <w:t>immortality</w:t>
      </w:r>
      <w:r w:rsidR="00635897" w:rsidRPr="006039BD">
        <w:rPr>
          <w:rFonts w:cstheme="minorHAnsi"/>
        </w:rPr>
        <w:t xml:space="preserve"> through the notion that he would be preserved in stone for all to see as a reminder of his just rule (</w:t>
      </w:r>
      <w:proofErr w:type="spellStart"/>
      <w:r w:rsidR="00635897" w:rsidRPr="006039BD">
        <w:rPr>
          <w:rFonts w:cstheme="minorHAnsi"/>
        </w:rPr>
        <w:t>Slanski</w:t>
      </w:r>
      <w:proofErr w:type="spellEnd"/>
      <w:r w:rsidR="00635897" w:rsidRPr="006039BD">
        <w:rPr>
          <w:rFonts w:cstheme="minorHAnsi"/>
        </w:rPr>
        <w:t>, 2012: 102)</w:t>
      </w:r>
      <w:r w:rsidR="00A15591" w:rsidRPr="006039BD">
        <w:rPr>
          <w:rFonts w:cstheme="minorHAnsi"/>
        </w:rPr>
        <w:t xml:space="preserve">. By the use of the written language, it is believed that the ancient Babylonians would go through to the afterlife and would have a good afterlife as long as the deceased name is still said. Therefore, through this stelae Hammurabi will be </w:t>
      </w:r>
      <w:r w:rsidR="00A15591" w:rsidRPr="006039BD">
        <w:rPr>
          <w:rFonts w:cstheme="minorHAnsi"/>
        </w:rPr>
        <w:t>remembered for all time</w:t>
      </w:r>
      <w:r w:rsidR="0094332B" w:rsidRPr="006039BD">
        <w:rPr>
          <w:rFonts w:cstheme="minorHAnsi"/>
        </w:rPr>
        <w:t xml:space="preserve"> and would have a worthy afterlife</w:t>
      </w:r>
      <w:r w:rsidR="000B7D76" w:rsidRPr="006039BD">
        <w:rPr>
          <w:rFonts w:cstheme="minorHAnsi"/>
        </w:rPr>
        <w:t xml:space="preserve"> (</w:t>
      </w:r>
      <w:proofErr w:type="spellStart"/>
      <w:r w:rsidR="000B7D76" w:rsidRPr="006039BD">
        <w:rPr>
          <w:rFonts w:cstheme="minorHAnsi"/>
        </w:rPr>
        <w:t>Slanski</w:t>
      </w:r>
      <w:proofErr w:type="spellEnd"/>
      <w:r w:rsidR="000B7D76" w:rsidRPr="006039BD">
        <w:rPr>
          <w:rFonts w:cstheme="minorHAnsi"/>
        </w:rPr>
        <w:t>, 2012: 108)</w:t>
      </w:r>
      <w:r w:rsidR="00635897" w:rsidRPr="006039BD">
        <w:rPr>
          <w:rFonts w:cstheme="minorHAnsi"/>
        </w:rPr>
        <w:t>.</w:t>
      </w:r>
    </w:p>
    <w:p w:rsidR="00E07E95" w:rsidRPr="006039BD" w:rsidRDefault="00635897" w:rsidP="001102E4">
      <w:pPr>
        <w:spacing w:line="360" w:lineRule="auto"/>
        <w:jc w:val="both"/>
        <w:rPr>
          <w:rFonts w:cstheme="minorHAnsi"/>
        </w:rPr>
      </w:pPr>
      <w:r w:rsidRPr="006039BD">
        <w:rPr>
          <w:rFonts w:cstheme="minorHAnsi"/>
        </w:rPr>
        <w:t xml:space="preserve">Through these laws </w:t>
      </w:r>
      <w:r w:rsidR="00E07E95" w:rsidRPr="006039BD">
        <w:rPr>
          <w:rFonts w:cstheme="minorHAnsi"/>
        </w:rPr>
        <w:t xml:space="preserve">Hammurabi </w:t>
      </w:r>
      <w:r w:rsidRPr="006039BD">
        <w:rPr>
          <w:rFonts w:cstheme="minorHAnsi"/>
        </w:rPr>
        <w:t xml:space="preserve">aimed to protect and is </w:t>
      </w:r>
      <w:r w:rsidR="00E07E95" w:rsidRPr="006039BD">
        <w:rPr>
          <w:rFonts w:cstheme="minorHAnsi"/>
        </w:rPr>
        <w:t>still protecting the rights of women</w:t>
      </w:r>
      <w:r w:rsidRPr="006039BD">
        <w:rPr>
          <w:rFonts w:cstheme="minorHAnsi"/>
        </w:rPr>
        <w:t xml:space="preserve"> as well as </w:t>
      </w:r>
      <w:r w:rsidR="00E07E95" w:rsidRPr="006039BD">
        <w:rPr>
          <w:rFonts w:cstheme="minorHAnsi"/>
        </w:rPr>
        <w:t>maintaining the cohesion of society</w:t>
      </w:r>
      <w:r w:rsidRPr="006039BD">
        <w:rPr>
          <w:rFonts w:cstheme="minorHAnsi"/>
        </w:rPr>
        <w:t>. H</w:t>
      </w:r>
      <w:r w:rsidR="00E07E95" w:rsidRPr="006039BD">
        <w:rPr>
          <w:rFonts w:cstheme="minorHAnsi"/>
        </w:rPr>
        <w:t xml:space="preserve">owever, </w:t>
      </w:r>
      <w:r w:rsidRPr="006039BD">
        <w:rPr>
          <w:rFonts w:cstheme="minorHAnsi"/>
        </w:rPr>
        <w:t xml:space="preserve">women are still considered </w:t>
      </w:r>
      <w:r w:rsidR="00E07E95" w:rsidRPr="006039BD">
        <w:rPr>
          <w:rFonts w:cstheme="minorHAnsi"/>
        </w:rPr>
        <w:t xml:space="preserve">subordinated </w:t>
      </w:r>
      <w:r w:rsidRPr="006039BD">
        <w:rPr>
          <w:rFonts w:cstheme="minorHAnsi"/>
        </w:rPr>
        <w:t>within</w:t>
      </w:r>
      <w:r w:rsidR="00E07E95" w:rsidRPr="006039BD">
        <w:rPr>
          <w:rFonts w:cstheme="minorHAnsi"/>
        </w:rPr>
        <w:t xml:space="preserve"> </w:t>
      </w:r>
      <w:r w:rsidRPr="006039BD">
        <w:rPr>
          <w:rFonts w:cstheme="minorHAnsi"/>
        </w:rPr>
        <w:t xml:space="preserve">the social hierarchy and their rights were placed second in comparison to the laws </w:t>
      </w:r>
      <w:r w:rsidRPr="006039BD">
        <w:rPr>
          <w:rFonts w:cstheme="minorHAnsi"/>
        </w:rPr>
        <w:t>(Kuhrt, 1995: 113</w:t>
      </w:r>
      <w:r w:rsidR="00E22CFE" w:rsidRPr="006039BD">
        <w:rPr>
          <w:rFonts w:cstheme="minorHAnsi"/>
        </w:rPr>
        <w:t xml:space="preserve"> a</w:t>
      </w:r>
      <w:r w:rsidRPr="006039BD">
        <w:rPr>
          <w:rFonts w:cstheme="minorHAnsi"/>
        </w:rPr>
        <w:t>)</w:t>
      </w:r>
      <w:r w:rsidRPr="006039BD">
        <w:rPr>
          <w:rFonts w:cstheme="minorHAnsi"/>
        </w:rPr>
        <w:t>.</w:t>
      </w:r>
      <w:r w:rsidR="00E07E95" w:rsidRPr="006039BD">
        <w:rPr>
          <w:rFonts w:cstheme="minorHAnsi"/>
        </w:rPr>
        <w:t xml:space="preserve"> </w:t>
      </w:r>
      <w:r w:rsidRPr="006039BD">
        <w:rPr>
          <w:rFonts w:cstheme="minorHAnsi"/>
        </w:rPr>
        <w:t>If women tried to assert their rights they could potentially disrupt social hierarchy.</w:t>
      </w:r>
      <w:r w:rsidR="00E07E95" w:rsidRPr="006039BD">
        <w:rPr>
          <w:rFonts w:cstheme="minorHAnsi"/>
        </w:rPr>
        <w:t xml:space="preserve"> This can be illustrated through the use of the laws, taking into consideration the interpretation of the translation, the individual rights of women would essentially demean them by removing a woman’s sexuality to inevitably make them a product within the society</w:t>
      </w:r>
      <w:r w:rsidR="000B7D76" w:rsidRPr="006039BD">
        <w:rPr>
          <w:rFonts w:cstheme="minorHAnsi"/>
        </w:rPr>
        <w:t xml:space="preserve">; therefore, I perceive this could extend </w:t>
      </w:r>
      <w:r w:rsidR="00E07E95" w:rsidRPr="006039BD">
        <w:rPr>
          <w:rFonts w:cstheme="minorHAnsi"/>
        </w:rPr>
        <w:t xml:space="preserve">to </w:t>
      </w:r>
      <w:r w:rsidR="000B7D76" w:rsidRPr="006039BD">
        <w:rPr>
          <w:rFonts w:cstheme="minorHAnsi"/>
        </w:rPr>
        <w:t xml:space="preserve">include </w:t>
      </w:r>
      <w:r w:rsidR="00E07E95" w:rsidRPr="006039BD">
        <w:rPr>
          <w:rFonts w:cstheme="minorHAnsi"/>
        </w:rPr>
        <w:t xml:space="preserve">a woman being used as a commodity. Passage 146 and 147 of the text is a clear testimony to a social hierarchy within the domestic setting with </w:t>
      </w:r>
      <w:r w:rsidR="000B7D76" w:rsidRPr="006039BD">
        <w:rPr>
          <w:rFonts w:cstheme="minorHAnsi"/>
        </w:rPr>
        <w:t>“</w:t>
      </w:r>
      <w:r w:rsidR="00E07E95" w:rsidRPr="006039BD">
        <w:rPr>
          <w:rFonts w:cstheme="minorHAnsi"/>
        </w:rPr>
        <w:t>a wife giving a maid servant to her husband</w:t>
      </w:r>
      <w:r w:rsidR="000B7D76" w:rsidRPr="006039BD">
        <w:rPr>
          <w:rFonts w:cstheme="minorHAnsi"/>
        </w:rPr>
        <w:t>”</w:t>
      </w:r>
      <w:r w:rsidR="00E07E95" w:rsidRPr="006039BD">
        <w:rPr>
          <w:rFonts w:cstheme="minorHAnsi"/>
        </w:rPr>
        <w:t xml:space="preserve"> </w:t>
      </w:r>
      <w:r w:rsidR="00360954" w:rsidRPr="006039BD">
        <w:rPr>
          <w:rFonts w:cstheme="minorHAnsi"/>
        </w:rPr>
        <w:t>(‘Code</w:t>
      </w:r>
      <w:r w:rsidR="00125DF6" w:rsidRPr="006039BD">
        <w:rPr>
          <w:rFonts w:cstheme="minorHAnsi"/>
        </w:rPr>
        <w:t>’</w:t>
      </w:r>
      <w:r w:rsidR="000B7D76" w:rsidRPr="006039BD">
        <w:rPr>
          <w:rFonts w:cstheme="minorHAnsi"/>
        </w:rPr>
        <w:t xml:space="preserve"> 146</w:t>
      </w:r>
      <w:r w:rsidR="00E07E95" w:rsidRPr="006039BD">
        <w:rPr>
          <w:rFonts w:cstheme="minorHAnsi"/>
        </w:rPr>
        <w:t xml:space="preserve">) and bearing children, </w:t>
      </w:r>
      <w:r w:rsidR="000B7D76" w:rsidRPr="006039BD">
        <w:rPr>
          <w:rFonts w:cstheme="minorHAnsi"/>
        </w:rPr>
        <w:t>“</w:t>
      </w:r>
      <w:r w:rsidR="00E07E95" w:rsidRPr="006039BD">
        <w:rPr>
          <w:rFonts w:cstheme="minorHAnsi"/>
        </w:rPr>
        <w:t>her mistress may not sell her for money</w:t>
      </w:r>
      <w:r w:rsidR="000B7D76" w:rsidRPr="006039BD">
        <w:rPr>
          <w:rFonts w:cstheme="minorHAnsi"/>
        </w:rPr>
        <w:t>”</w:t>
      </w:r>
      <w:r w:rsidR="00125DF6" w:rsidRPr="006039BD">
        <w:rPr>
          <w:rFonts w:cstheme="minorHAnsi"/>
          <w:color w:val="FF0000"/>
        </w:rPr>
        <w:t xml:space="preserve"> </w:t>
      </w:r>
      <w:r w:rsidR="00125DF6" w:rsidRPr="006039BD">
        <w:rPr>
          <w:rFonts w:cstheme="minorHAnsi"/>
        </w:rPr>
        <w:t>(‘Code’</w:t>
      </w:r>
      <w:r w:rsidR="000B7D76" w:rsidRPr="006039BD">
        <w:rPr>
          <w:rFonts w:cstheme="minorHAnsi"/>
        </w:rPr>
        <w:t xml:space="preserve"> 146</w:t>
      </w:r>
      <w:r w:rsidR="00E07E95" w:rsidRPr="006039BD">
        <w:rPr>
          <w:rFonts w:cstheme="minorHAnsi"/>
        </w:rPr>
        <w:t>)</w:t>
      </w:r>
      <w:r w:rsidR="000B7D76" w:rsidRPr="006039BD">
        <w:rPr>
          <w:rFonts w:cstheme="minorHAnsi"/>
        </w:rPr>
        <w:t xml:space="preserve">. This gives a </w:t>
      </w:r>
      <w:r w:rsidR="00E07E95" w:rsidRPr="006039BD">
        <w:rPr>
          <w:rFonts w:cstheme="minorHAnsi"/>
        </w:rPr>
        <w:t>form of protection for the maid se</w:t>
      </w:r>
      <w:r w:rsidR="000B7D76" w:rsidRPr="006039BD">
        <w:rPr>
          <w:rFonts w:cstheme="minorHAnsi"/>
        </w:rPr>
        <w:t xml:space="preserve">rvant whilst also providing them </w:t>
      </w:r>
      <w:r w:rsidR="00E07E95" w:rsidRPr="006039BD">
        <w:rPr>
          <w:rFonts w:cstheme="minorHAnsi"/>
        </w:rPr>
        <w:t xml:space="preserve">a higher social </w:t>
      </w:r>
      <w:r w:rsidR="00E07E95" w:rsidRPr="006039BD">
        <w:rPr>
          <w:rFonts w:cstheme="minorHAnsi"/>
        </w:rPr>
        <w:lastRenderedPageBreak/>
        <w:t xml:space="preserve">status, one </w:t>
      </w:r>
      <w:r w:rsidR="000B7D76" w:rsidRPr="006039BD">
        <w:rPr>
          <w:rFonts w:cstheme="minorHAnsi"/>
        </w:rPr>
        <w:t xml:space="preserve">of </w:t>
      </w:r>
      <w:r w:rsidR="00E07E95" w:rsidRPr="006039BD">
        <w:rPr>
          <w:rFonts w:cstheme="minorHAnsi"/>
        </w:rPr>
        <w:t xml:space="preserve">which levels that of the wife. However, if no children were born then the wife </w:t>
      </w:r>
      <w:r w:rsidR="000B7D76" w:rsidRPr="006039BD">
        <w:rPr>
          <w:rFonts w:cstheme="minorHAnsi"/>
        </w:rPr>
        <w:t>“may sell her [the maid servant] for money”</w:t>
      </w:r>
      <w:r w:rsidR="00E07E95" w:rsidRPr="006039BD">
        <w:rPr>
          <w:rFonts w:cstheme="minorHAnsi"/>
        </w:rPr>
        <w:t xml:space="preserve"> </w:t>
      </w:r>
      <w:r w:rsidR="00125DF6" w:rsidRPr="006039BD">
        <w:rPr>
          <w:rFonts w:cstheme="minorHAnsi"/>
        </w:rPr>
        <w:t>(‘Code’</w:t>
      </w:r>
      <w:r w:rsidR="000B7D76" w:rsidRPr="006039BD">
        <w:rPr>
          <w:rFonts w:cstheme="minorHAnsi"/>
        </w:rPr>
        <w:t xml:space="preserve"> 147</w:t>
      </w:r>
      <w:r w:rsidR="00E07E95" w:rsidRPr="006039BD">
        <w:rPr>
          <w:rFonts w:cstheme="minorHAnsi"/>
        </w:rPr>
        <w:t>)</w:t>
      </w:r>
      <w:r w:rsidR="000B7D76" w:rsidRPr="006039BD">
        <w:rPr>
          <w:rFonts w:cstheme="minorHAnsi"/>
        </w:rPr>
        <w:t xml:space="preserve">. Thus, this can be perceived as </w:t>
      </w:r>
      <w:r w:rsidR="00E07E95" w:rsidRPr="006039BD">
        <w:rPr>
          <w:rFonts w:cstheme="minorHAnsi"/>
        </w:rPr>
        <w:t>illuminating the way in which the lack of a woman’s free will</w:t>
      </w:r>
      <w:r w:rsidR="000B7D76" w:rsidRPr="006039BD">
        <w:rPr>
          <w:rFonts w:cstheme="minorHAnsi"/>
        </w:rPr>
        <w:t xml:space="preserve">, regarding their sexuality, </w:t>
      </w:r>
      <w:r w:rsidR="00E07E95" w:rsidRPr="006039BD">
        <w:rPr>
          <w:rFonts w:cstheme="minorHAnsi"/>
        </w:rPr>
        <w:t xml:space="preserve">is therefore transformed into a </w:t>
      </w:r>
      <w:r w:rsidR="000B7D76" w:rsidRPr="006039BD">
        <w:rPr>
          <w:rFonts w:cstheme="minorHAnsi"/>
        </w:rPr>
        <w:t>commodity</w:t>
      </w:r>
      <w:r w:rsidR="00E07E95" w:rsidRPr="006039BD">
        <w:rPr>
          <w:rFonts w:cstheme="minorHAnsi"/>
        </w:rPr>
        <w:t xml:space="preserve"> and </w:t>
      </w:r>
      <w:r w:rsidR="000B7D76" w:rsidRPr="006039BD">
        <w:rPr>
          <w:rFonts w:cstheme="minorHAnsi"/>
        </w:rPr>
        <w:t xml:space="preserve">furthermore, is </w:t>
      </w:r>
      <w:r w:rsidR="00E07E95" w:rsidRPr="006039BD">
        <w:rPr>
          <w:rFonts w:cstheme="minorHAnsi"/>
        </w:rPr>
        <w:t>used as part o</w:t>
      </w:r>
      <w:r w:rsidR="000B7D76" w:rsidRPr="006039BD">
        <w:rPr>
          <w:rFonts w:cstheme="minorHAnsi"/>
        </w:rPr>
        <w:t>f the</w:t>
      </w:r>
      <w:r w:rsidR="00E07E95" w:rsidRPr="006039BD">
        <w:rPr>
          <w:rFonts w:cstheme="minorHAnsi"/>
        </w:rPr>
        <w:t xml:space="preserve"> larger social and economic structure</w:t>
      </w:r>
      <w:r w:rsidR="00947761" w:rsidRPr="006039BD">
        <w:rPr>
          <w:rFonts w:cstheme="minorHAnsi"/>
        </w:rPr>
        <w:t xml:space="preserve"> that had already placed women to be consider unequal in relation to men (Troy, 2004: 6). </w:t>
      </w:r>
    </w:p>
    <w:p w:rsidR="00E07E95" w:rsidRPr="006039BD" w:rsidRDefault="00E07E95" w:rsidP="001102E4">
      <w:pPr>
        <w:spacing w:line="360" w:lineRule="auto"/>
        <w:jc w:val="both"/>
        <w:rPr>
          <w:rFonts w:cstheme="minorHAnsi"/>
          <w:color w:val="FF0000"/>
        </w:rPr>
      </w:pPr>
      <w:r w:rsidRPr="006039BD">
        <w:rPr>
          <w:rFonts w:cstheme="minorHAnsi"/>
        </w:rPr>
        <w:t xml:space="preserve">Within Hammurabi’s law code Kuhrt defines three social groups that have been identified in several occurrences; </w:t>
      </w:r>
      <w:r w:rsidR="00CF3FAC" w:rsidRPr="006039BD">
        <w:rPr>
          <w:rFonts w:cstheme="minorHAnsi"/>
        </w:rPr>
        <w:t>‘</w:t>
      </w:r>
      <w:proofErr w:type="spellStart"/>
      <w:r w:rsidRPr="006039BD">
        <w:rPr>
          <w:rFonts w:cstheme="minorHAnsi"/>
          <w:i/>
        </w:rPr>
        <w:t>awīlum</w:t>
      </w:r>
      <w:proofErr w:type="spellEnd"/>
      <w:r w:rsidRPr="006039BD">
        <w:rPr>
          <w:rFonts w:cstheme="minorHAnsi"/>
          <w:i/>
        </w:rPr>
        <w:t xml:space="preserve"> </w:t>
      </w:r>
      <w:r w:rsidRPr="006039BD">
        <w:rPr>
          <w:rFonts w:cstheme="minorHAnsi"/>
        </w:rPr>
        <w:t xml:space="preserve">(‘man’), </w:t>
      </w:r>
      <w:proofErr w:type="spellStart"/>
      <w:r w:rsidRPr="006039BD">
        <w:rPr>
          <w:rFonts w:cstheme="minorHAnsi"/>
          <w:i/>
        </w:rPr>
        <w:t>muš</w:t>
      </w:r>
      <w:r w:rsidR="00CF3FAC" w:rsidRPr="006039BD">
        <w:rPr>
          <w:rFonts w:cstheme="minorHAnsi"/>
          <w:i/>
        </w:rPr>
        <w:t>ēnum</w:t>
      </w:r>
      <w:proofErr w:type="spellEnd"/>
      <w:r w:rsidR="00CF3FAC" w:rsidRPr="006039BD">
        <w:rPr>
          <w:rFonts w:cstheme="minorHAnsi"/>
          <w:i/>
        </w:rPr>
        <w:t xml:space="preserve"> </w:t>
      </w:r>
      <w:r w:rsidR="00CF3FAC" w:rsidRPr="006039BD">
        <w:rPr>
          <w:rFonts w:cstheme="minorHAnsi"/>
        </w:rPr>
        <w:t xml:space="preserve">(? </w:t>
      </w:r>
      <w:r w:rsidR="00947761" w:rsidRPr="006039BD">
        <w:rPr>
          <w:rFonts w:cstheme="minorHAnsi"/>
        </w:rPr>
        <w:t>‘</w:t>
      </w:r>
      <w:r w:rsidR="00CF3FAC" w:rsidRPr="006039BD">
        <w:rPr>
          <w:rFonts w:cstheme="minorHAnsi"/>
        </w:rPr>
        <w:t xml:space="preserve">dependant’) and </w:t>
      </w:r>
      <w:proofErr w:type="spellStart"/>
      <w:r w:rsidR="00CF3FAC" w:rsidRPr="006039BD">
        <w:rPr>
          <w:rFonts w:cstheme="minorHAnsi"/>
          <w:i/>
        </w:rPr>
        <w:t>wardumb</w:t>
      </w:r>
      <w:proofErr w:type="spellEnd"/>
      <w:r w:rsidR="00CF3FAC" w:rsidRPr="006039BD">
        <w:rPr>
          <w:rFonts w:cstheme="minorHAnsi"/>
        </w:rPr>
        <w:t xml:space="preserve"> (slave)’</w:t>
      </w:r>
      <w:r w:rsidR="00947761" w:rsidRPr="006039BD">
        <w:rPr>
          <w:rFonts w:cstheme="minorHAnsi"/>
        </w:rPr>
        <w:t xml:space="preserve"> (1995: 114</w:t>
      </w:r>
      <w:r w:rsidR="00E22CFE" w:rsidRPr="006039BD">
        <w:rPr>
          <w:rFonts w:cstheme="minorHAnsi"/>
        </w:rPr>
        <w:t xml:space="preserve"> a</w:t>
      </w:r>
      <w:r w:rsidR="00947761" w:rsidRPr="006039BD">
        <w:rPr>
          <w:rFonts w:cstheme="minorHAnsi"/>
        </w:rPr>
        <w:t xml:space="preserve">). By understanding the terms used, we can begin to gain a deeper understanding of how the </w:t>
      </w:r>
      <w:r w:rsidR="00CF3FAC" w:rsidRPr="006039BD">
        <w:rPr>
          <w:rFonts w:cstheme="minorHAnsi"/>
        </w:rPr>
        <w:t xml:space="preserve">influence of these laws </w:t>
      </w:r>
      <w:r w:rsidR="00947761" w:rsidRPr="006039BD">
        <w:rPr>
          <w:rFonts w:cstheme="minorHAnsi"/>
        </w:rPr>
        <w:t>were</w:t>
      </w:r>
      <w:r w:rsidR="00CF3FAC" w:rsidRPr="006039BD">
        <w:rPr>
          <w:rFonts w:cstheme="minorHAnsi"/>
        </w:rPr>
        <w:t xml:space="preserve"> applied with varying degrees</w:t>
      </w:r>
      <w:r w:rsidR="00947761" w:rsidRPr="006039BD">
        <w:rPr>
          <w:rFonts w:cstheme="minorHAnsi"/>
        </w:rPr>
        <w:t xml:space="preserve"> of severity, which was </w:t>
      </w:r>
      <w:r w:rsidR="00CF3FAC" w:rsidRPr="006039BD">
        <w:rPr>
          <w:rFonts w:cstheme="minorHAnsi"/>
        </w:rPr>
        <w:t xml:space="preserve">subject to the status </w:t>
      </w:r>
      <w:r w:rsidR="00947761" w:rsidRPr="006039BD">
        <w:rPr>
          <w:rFonts w:cstheme="minorHAnsi"/>
        </w:rPr>
        <w:t xml:space="preserve">of individuals or groups </w:t>
      </w:r>
      <w:r w:rsidR="00CF3FAC" w:rsidRPr="006039BD">
        <w:rPr>
          <w:rFonts w:cstheme="minorHAnsi"/>
        </w:rPr>
        <w:t xml:space="preserve">within the social </w:t>
      </w:r>
      <w:r w:rsidR="00CF3FAC" w:rsidRPr="006039BD">
        <w:rPr>
          <w:rFonts w:cstheme="minorHAnsi"/>
        </w:rPr>
        <w:t>hierarchy</w:t>
      </w:r>
      <w:r w:rsidR="00CF3FAC" w:rsidRPr="006039BD">
        <w:rPr>
          <w:rFonts w:cstheme="minorHAnsi"/>
        </w:rPr>
        <w:t>.</w:t>
      </w:r>
      <w:r w:rsidR="00360954" w:rsidRPr="006039BD">
        <w:rPr>
          <w:rFonts w:cstheme="minorHAnsi"/>
        </w:rPr>
        <w:t xml:space="preserve"> </w:t>
      </w:r>
      <w:proofErr w:type="spellStart"/>
      <w:r w:rsidR="00947761" w:rsidRPr="006039BD">
        <w:rPr>
          <w:rFonts w:cstheme="minorHAnsi"/>
        </w:rPr>
        <w:t>Diakonoff</w:t>
      </w:r>
      <w:proofErr w:type="spellEnd"/>
      <w:r w:rsidR="00947761" w:rsidRPr="006039BD">
        <w:rPr>
          <w:rFonts w:cstheme="minorHAnsi"/>
        </w:rPr>
        <w:t xml:space="preserve"> in </w:t>
      </w:r>
      <w:proofErr w:type="spellStart"/>
      <w:r w:rsidR="00947761" w:rsidRPr="006039BD">
        <w:rPr>
          <w:rFonts w:cstheme="minorHAnsi"/>
        </w:rPr>
        <w:t>Kuhrts</w:t>
      </w:r>
      <w:proofErr w:type="spellEnd"/>
      <w:r w:rsidR="00947761" w:rsidRPr="006039BD">
        <w:rPr>
          <w:rFonts w:cstheme="minorHAnsi"/>
        </w:rPr>
        <w:t xml:space="preserve">, </w:t>
      </w:r>
      <w:r w:rsidR="00947761" w:rsidRPr="006039BD">
        <w:rPr>
          <w:rFonts w:cstheme="minorHAnsi"/>
          <w:i/>
        </w:rPr>
        <w:t>The Ancient Near East Vol 1</w:t>
      </w:r>
      <w:r w:rsidR="00947761" w:rsidRPr="006039BD">
        <w:rPr>
          <w:rFonts w:cstheme="minorHAnsi"/>
        </w:rPr>
        <w:t>,</w:t>
      </w:r>
      <w:r w:rsidR="00E4021C" w:rsidRPr="006039BD">
        <w:rPr>
          <w:rFonts w:cstheme="minorHAnsi"/>
          <w:color w:val="FF0000"/>
        </w:rPr>
        <w:t xml:space="preserve"> </w:t>
      </w:r>
      <w:r w:rsidR="00125DF6" w:rsidRPr="006039BD">
        <w:rPr>
          <w:rFonts w:cstheme="minorHAnsi"/>
        </w:rPr>
        <w:t xml:space="preserve">expands on this further proposing that </w:t>
      </w:r>
      <w:proofErr w:type="spellStart"/>
      <w:r w:rsidR="00125DF6" w:rsidRPr="006039BD">
        <w:rPr>
          <w:rFonts w:cstheme="minorHAnsi"/>
          <w:i/>
        </w:rPr>
        <w:t>awīlum</w:t>
      </w:r>
      <w:proofErr w:type="spellEnd"/>
      <w:r w:rsidR="00125DF6" w:rsidRPr="006039BD">
        <w:rPr>
          <w:rFonts w:cstheme="minorHAnsi"/>
          <w:i/>
        </w:rPr>
        <w:t xml:space="preserve"> </w:t>
      </w:r>
      <w:r w:rsidR="00125DF6" w:rsidRPr="006039BD">
        <w:rPr>
          <w:rFonts w:cstheme="minorHAnsi"/>
        </w:rPr>
        <w:t xml:space="preserve">is an example of a free citizen, while </w:t>
      </w:r>
      <w:r w:rsidR="00125DF6" w:rsidRPr="006039BD">
        <w:rPr>
          <w:rFonts w:cstheme="minorHAnsi"/>
        </w:rPr>
        <w:t>equating</w:t>
      </w:r>
      <w:r w:rsidR="00125DF6" w:rsidRPr="006039BD">
        <w:rPr>
          <w:rFonts w:cstheme="minorHAnsi"/>
        </w:rPr>
        <w:t xml:space="preserve"> </w:t>
      </w:r>
      <w:proofErr w:type="spellStart"/>
      <w:r w:rsidR="00125DF6" w:rsidRPr="006039BD">
        <w:rPr>
          <w:rFonts w:cstheme="minorHAnsi"/>
          <w:i/>
        </w:rPr>
        <w:t>mušēnum</w:t>
      </w:r>
      <w:proofErr w:type="spellEnd"/>
      <w:r w:rsidR="00125DF6" w:rsidRPr="006039BD">
        <w:rPr>
          <w:rFonts w:cstheme="minorHAnsi"/>
        </w:rPr>
        <w:t xml:space="preserve"> the social status to that of a ‘royal </w:t>
      </w:r>
      <w:r w:rsidR="00947761" w:rsidRPr="006039BD">
        <w:rPr>
          <w:rFonts w:cstheme="minorHAnsi"/>
        </w:rPr>
        <w:t>retainer</w:t>
      </w:r>
      <w:r w:rsidR="00125DF6" w:rsidRPr="006039BD">
        <w:rPr>
          <w:rFonts w:cstheme="minorHAnsi"/>
        </w:rPr>
        <w:t xml:space="preserve">/palace dependant’ </w:t>
      </w:r>
      <w:r w:rsidR="00E4021C" w:rsidRPr="006039BD">
        <w:rPr>
          <w:rFonts w:cstheme="minorHAnsi"/>
        </w:rPr>
        <w:t>(1971, cited in Kuhrt, 1995</w:t>
      </w:r>
      <w:r w:rsidR="00947761" w:rsidRPr="006039BD">
        <w:rPr>
          <w:rFonts w:cstheme="minorHAnsi"/>
        </w:rPr>
        <w:t>: 114</w:t>
      </w:r>
      <w:r w:rsidR="00E22CFE" w:rsidRPr="006039BD">
        <w:rPr>
          <w:rFonts w:cstheme="minorHAnsi"/>
        </w:rPr>
        <w:t xml:space="preserve"> a</w:t>
      </w:r>
      <w:r w:rsidR="00125DF6" w:rsidRPr="006039BD">
        <w:rPr>
          <w:rFonts w:cstheme="minorHAnsi"/>
        </w:rPr>
        <w:t>)</w:t>
      </w:r>
      <w:r w:rsidR="00947761" w:rsidRPr="006039BD">
        <w:rPr>
          <w:rFonts w:cstheme="minorHAnsi"/>
        </w:rPr>
        <w:t xml:space="preserve">. </w:t>
      </w:r>
    </w:p>
    <w:p w:rsidR="005B3EFB" w:rsidRPr="006039BD" w:rsidRDefault="00E22CFE" w:rsidP="001102E4">
      <w:pPr>
        <w:spacing w:line="360" w:lineRule="auto"/>
        <w:jc w:val="both"/>
        <w:rPr>
          <w:rFonts w:cstheme="minorHAnsi"/>
        </w:rPr>
      </w:pPr>
      <w:r w:rsidRPr="006039BD">
        <w:rPr>
          <w:rFonts w:cstheme="minorHAnsi"/>
        </w:rPr>
        <w:t xml:space="preserve">Within the Old Babylonian period, </w:t>
      </w:r>
      <w:r w:rsidRPr="006039BD">
        <w:rPr>
          <w:rFonts w:cstheme="minorHAnsi"/>
        </w:rPr>
        <w:t>1810-1750BC</w:t>
      </w:r>
      <w:r w:rsidRPr="006039BD">
        <w:rPr>
          <w:rFonts w:cstheme="minorHAnsi"/>
        </w:rPr>
        <w:t>, a dowry was used to ‘complete the purchase’ of women regarding marriage. The dowry usually consisted of garments, silver and a ring which were sent by the father. Offerings were then made</w:t>
      </w:r>
      <w:r w:rsidRPr="006039BD">
        <w:rPr>
          <w:rFonts w:cstheme="minorHAnsi"/>
        </w:rPr>
        <w:t xml:space="preserve"> to the bride and groom’s local temple.</w:t>
      </w:r>
      <w:r w:rsidRPr="006039BD">
        <w:rPr>
          <w:rFonts w:cstheme="minorHAnsi"/>
        </w:rPr>
        <w:t xml:space="preserve"> (Kuhrt, 1995 b). Here, we can observe that links to ‘modern day’ marriage practices have occurred; seen strongly by the notion of the giving of rings and attendance at ‘local’ churches, temples, synagogues etc. Furthermore, links can be made within the practices of divorce, both to Hammurabi’s laws and todays laws. Both are multi-faceted and are usually a combination of different social practices and ‘rights and wrongs’.  </w:t>
      </w:r>
    </w:p>
    <w:p w:rsidR="00286420" w:rsidRPr="006039BD" w:rsidRDefault="00C959D1" w:rsidP="001102E4">
      <w:pPr>
        <w:spacing w:line="360" w:lineRule="auto"/>
        <w:jc w:val="both"/>
        <w:rPr>
          <w:rFonts w:cstheme="minorHAnsi"/>
        </w:rPr>
      </w:pPr>
      <w:r w:rsidRPr="006039BD">
        <w:rPr>
          <w:rFonts w:cstheme="minorHAnsi"/>
        </w:rPr>
        <w:t>Through further examination of the laws</w:t>
      </w:r>
      <w:r w:rsidR="00E22CFE" w:rsidRPr="006039BD">
        <w:rPr>
          <w:rFonts w:cstheme="minorHAnsi"/>
        </w:rPr>
        <w:t xml:space="preserve"> (looking closer at </w:t>
      </w:r>
      <w:r w:rsidR="00920A82" w:rsidRPr="006039BD">
        <w:rPr>
          <w:rFonts w:cstheme="minorHAnsi"/>
        </w:rPr>
        <w:t>passage 142</w:t>
      </w:r>
      <w:r w:rsidR="00E22CFE" w:rsidRPr="006039BD">
        <w:rPr>
          <w:rFonts w:cstheme="minorHAnsi"/>
        </w:rPr>
        <w:t>)</w:t>
      </w:r>
      <w:r w:rsidRPr="006039BD">
        <w:rPr>
          <w:rFonts w:cstheme="minorHAnsi"/>
        </w:rPr>
        <w:t>, there begins a series of layers of overlapping complexity in regards to divorce pro</w:t>
      </w:r>
      <w:r w:rsidRPr="006039BD">
        <w:rPr>
          <w:rFonts w:cstheme="minorHAnsi"/>
          <w:color w:val="000000" w:themeColor="text1"/>
        </w:rPr>
        <w:t>ce</w:t>
      </w:r>
      <w:r w:rsidR="00775A79" w:rsidRPr="006039BD">
        <w:rPr>
          <w:rFonts w:cstheme="minorHAnsi"/>
          <w:color w:val="000000" w:themeColor="text1"/>
        </w:rPr>
        <w:t>edings</w:t>
      </w:r>
      <w:r w:rsidR="00E22CFE" w:rsidRPr="006039BD">
        <w:rPr>
          <w:rFonts w:cstheme="minorHAnsi"/>
          <w:color w:val="000000" w:themeColor="text1"/>
        </w:rPr>
        <w:t xml:space="preserve"> aforementioned</w:t>
      </w:r>
      <w:r w:rsidR="00775A79" w:rsidRPr="006039BD">
        <w:rPr>
          <w:rFonts w:cstheme="minorHAnsi"/>
          <w:color w:val="000000" w:themeColor="text1"/>
        </w:rPr>
        <w:t xml:space="preserve">. Ahmed </w:t>
      </w:r>
      <w:r w:rsidR="00E22CFE" w:rsidRPr="006039BD">
        <w:rPr>
          <w:rFonts w:cstheme="minorHAnsi"/>
          <w:color w:val="000000" w:themeColor="text1"/>
        </w:rPr>
        <w:t xml:space="preserve">in </w:t>
      </w:r>
      <w:r w:rsidR="00E22CFE" w:rsidRPr="006039BD">
        <w:rPr>
          <w:rFonts w:cstheme="minorHAnsi"/>
          <w:i/>
          <w:color w:val="000000" w:themeColor="text1"/>
        </w:rPr>
        <w:t xml:space="preserve">Women </w:t>
      </w:r>
      <w:r w:rsidR="00920A82" w:rsidRPr="006039BD">
        <w:rPr>
          <w:rFonts w:cstheme="minorHAnsi"/>
          <w:i/>
          <w:color w:val="000000" w:themeColor="text1"/>
        </w:rPr>
        <w:t>and Gender in Islam</w:t>
      </w:r>
      <w:r w:rsidR="00920A82" w:rsidRPr="006039BD">
        <w:rPr>
          <w:rFonts w:cstheme="minorHAnsi"/>
          <w:color w:val="000000" w:themeColor="text1"/>
        </w:rPr>
        <w:t xml:space="preserve">, </w:t>
      </w:r>
      <w:r w:rsidR="00775A79" w:rsidRPr="006039BD">
        <w:rPr>
          <w:rFonts w:cstheme="minorHAnsi"/>
          <w:color w:val="000000" w:themeColor="text1"/>
        </w:rPr>
        <w:t>makes a co</w:t>
      </w:r>
      <w:r w:rsidR="00E22CFE" w:rsidRPr="006039BD">
        <w:rPr>
          <w:rFonts w:cstheme="minorHAnsi"/>
          <w:color w:val="000000" w:themeColor="text1"/>
        </w:rPr>
        <w:t>ntribution to this discussion, she notes that,</w:t>
      </w:r>
      <w:r w:rsidR="00775A79" w:rsidRPr="006039BD">
        <w:rPr>
          <w:rFonts w:cstheme="minorHAnsi"/>
          <w:color w:val="000000" w:themeColor="text1"/>
        </w:rPr>
        <w:t xml:space="preserve"> </w:t>
      </w:r>
      <w:r w:rsidR="00E22CFE" w:rsidRPr="006039BD">
        <w:rPr>
          <w:rFonts w:cstheme="minorHAnsi"/>
          <w:color w:val="000000" w:themeColor="text1"/>
        </w:rPr>
        <w:t>“</w:t>
      </w:r>
      <w:r w:rsidR="00775A79" w:rsidRPr="006039BD">
        <w:rPr>
          <w:rFonts w:cstheme="minorHAnsi"/>
          <w:color w:val="000000" w:themeColor="text1"/>
        </w:rPr>
        <w:t xml:space="preserve">According to the code </w:t>
      </w:r>
      <w:r w:rsidR="00775A79" w:rsidRPr="006039BD">
        <w:rPr>
          <w:rFonts w:cstheme="minorHAnsi"/>
          <w:color w:val="000000" w:themeColor="text1"/>
        </w:rPr>
        <w:t xml:space="preserve">of </w:t>
      </w:r>
      <w:r w:rsidR="00775A79" w:rsidRPr="006039BD">
        <w:rPr>
          <w:rFonts w:cstheme="minorHAnsi"/>
          <w:color w:val="000000" w:themeColor="text1"/>
        </w:rPr>
        <w:t>Hammurabi, women could only get a divorce with great difficulty… even asking for a divorce entails risk</w:t>
      </w:r>
      <w:r w:rsidR="00E22CFE" w:rsidRPr="006039BD">
        <w:rPr>
          <w:rFonts w:cstheme="minorHAnsi"/>
          <w:color w:val="000000" w:themeColor="text1"/>
        </w:rPr>
        <w:t>” (</w:t>
      </w:r>
      <w:r w:rsidR="00E22CFE" w:rsidRPr="006039BD">
        <w:rPr>
          <w:rFonts w:cstheme="minorHAnsi"/>
          <w:color w:val="000000" w:themeColor="text1"/>
        </w:rPr>
        <w:t>1992: 13)</w:t>
      </w:r>
      <w:r w:rsidR="00920A82" w:rsidRPr="006039BD">
        <w:rPr>
          <w:rFonts w:cstheme="minorHAnsi"/>
          <w:color w:val="000000" w:themeColor="text1"/>
        </w:rPr>
        <w:t>.</w:t>
      </w:r>
      <w:r w:rsidR="00E22CFE" w:rsidRPr="006039BD">
        <w:rPr>
          <w:rFonts w:cstheme="minorHAnsi"/>
          <w:color w:val="000000" w:themeColor="text1"/>
        </w:rPr>
        <w:t xml:space="preserve"> </w:t>
      </w:r>
      <w:r w:rsidR="00775A79" w:rsidRPr="006039BD">
        <w:rPr>
          <w:rFonts w:cstheme="minorHAnsi"/>
          <w:color w:val="000000" w:themeColor="text1"/>
        </w:rPr>
        <w:t>Acc</w:t>
      </w:r>
      <w:r w:rsidR="00920A82" w:rsidRPr="006039BD">
        <w:rPr>
          <w:rFonts w:cstheme="minorHAnsi"/>
          <w:color w:val="000000" w:themeColor="text1"/>
        </w:rPr>
        <w:t xml:space="preserve">ording to </w:t>
      </w:r>
      <w:r w:rsidR="00775A79" w:rsidRPr="006039BD">
        <w:rPr>
          <w:rFonts w:cstheme="minorHAnsi"/>
          <w:color w:val="000000" w:themeColor="text1"/>
        </w:rPr>
        <w:t>the given text</w:t>
      </w:r>
      <w:r w:rsidR="00ED73A5" w:rsidRPr="006039BD">
        <w:rPr>
          <w:rFonts w:cstheme="minorHAnsi"/>
          <w:color w:val="000000" w:themeColor="text1"/>
        </w:rPr>
        <w:t xml:space="preserve">, </w:t>
      </w:r>
      <w:r w:rsidR="00ED73A5" w:rsidRPr="006039BD">
        <w:rPr>
          <w:rFonts w:cstheme="minorHAnsi"/>
        </w:rPr>
        <w:t>i</w:t>
      </w:r>
      <w:r w:rsidR="00F11F8E" w:rsidRPr="006039BD">
        <w:rPr>
          <w:rFonts w:cstheme="minorHAnsi"/>
        </w:rPr>
        <w:t xml:space="preserve">f a woman is displeased by her husband and refuses him the ‘ownership’ </w:t>
      </w:r>
      <w:r w:rsidR="00920A82" w:rsidRPr="006039BD">
        <w:rPr>
          <w:rFonts w:cstheme="minorHAnsi"/>
        </w:rPr>
        <w:t xml:space="preserve">of </w:t>
      </w:r>
      <w:r w:rsidR="00F11F8E" w:rsidRPr="006039BD">
        <w:rPr>
          <w:rFonts w:cstheme="minorHAnsi"/>
        </w:rPr>
        <w:t>her sexuality, then the ancestry of that woman is delved into to discover any defects she may possess</w:t>
      </w:r>
      <w:r w:rsidR="00920A82" w:rsidRPr="006039BD">
        <w:rPr>
          <w:rFonts w:cstheme="minorHAnsi"/>
        </w:rPr>
        <w:t xml:space="preserve"> (‘Code’ 142). </w:t>
      </w:r>
      <w:r w:rsidR="00F11F8E" w:rsidRPr="006039BD">
        <w:rPr>
          <w:rFonts w:cstheme="minorHAnsi"/>
        </w:rPr>
        <w:t>This reinforces the degrading treatment of a woman’s sexuality, although, it was not common for a woman to be uncomplacent towards her husband</w:t>
      </w:r>
      <w:r w:rsidR="00312ED0" w:rsidRPr="006039BD">
        <w:rPr>
          <w:rFonts w:cstheme="minorHAnsi"/>
        </w:rPr>
        <w:t>, and in turn was frowned upon by the standards of the society</w:t>
      </w:r>
      <w:r w:rsidR="00920A82" w:rsidRPr="006039BD">
        <w:rPr>
          <w:rFonts w:cstheme="minorHAnsi"/>
        </w:rPr>
        <w:t xml:space="preserve"> (Kuhrt, 1995: 114). Therefore, it can be understood that, whilst this may be considered degrading in modern concepts of a women’s identity, it was considered a societal norm within Old Babylonian society. </w:t>
      </w:r>
    </w:p>
    <w:p w:rsidR="00BD6862" w:rsidRPr="006039BD" w:rsidRDefault="00920A82" w:rsidP="001102E4">
      <w:pPr>
        <w:spacing w:line="360" w:lineRule="auto"/>
        <w:jc w:val="both"/>
        <w:rPr>
          <w:rFonts w:cstheme="minorHAnsi"/>
        </w:rPr>
      </w:pPr>
      <w:r w:rsidRPr="006039BD">
        <w:rPr>
          <w:rFonts w:cstheme="minorHAnsi"/>
        </w:rPr>
        <w:t xml:space="preserve">Further notions of a husband ‘owning’ a </w:t>
      </w:r>
      <w:r w:rsidR="00286420" w:rsidRPr="006039BD">
        <w:rPr>
          <w:rFonts w:cstheme="minorHAnsi"/>
        </w:rPr>
        <w:t>woma</w:t>
      </w:r>
      <w:r w:rsidRPr="006039BD">
        <w:rPr>
          <w:rFonts w:cstheme="minorHAnsi"/>
        </w:rPr>
        <w:t>n’s sexuality can arise from the point that, “</w:t>
      </w:r>
      <w:r w:rsidRPr="006039BD">
        <w:rPr>
          <w:rFonts w:cstheme="minorHAnsi"/>
        </w:rPr>
        <w:t xml:space="preserve">A woman’s infertility could result in divorce or </w:t>
      </w:r>
      <w:r w:rsidRPr="006039BD">
        <w:rPr>
          <w:rFonts w:cstheme="minorHAnsi"/>
        </w:rPr>
        <w:t xml:space="preserve">demotion to second-ranking wife” (Troy, 2004: 3); thereby </w:t>
      </w:r>
      <w:r w:rsidR="00286420" w:rsidRPr="006039BD">
        <w:rPr>
          <w:rFonts w:cstheme="minorHAnsi"/>
        </w:rPr>
        <w:t xml:space="preserve">meaning that childbearing was highly important within Old Babylonian society to the point that a woman will be demoted socially if she cannot provide a child (ibid). Children had higher social prestige and being childless was considered a problem </w:t>
      </w:r>
      <w:r w:rsidR="00286420" w:rsidRPr="006039BD">
        <w:rPr>
          <w:rFonts w:cstheme="minorHAnsi"/>
        </w:rPr>
        <w:lastRenderedPageBreak/>
        <w:t xml:space="preserve">(Leick, 2007: 307). </w:t>
      </w:r>
      <w:r w:rsidR="00826107" w:rsidRPr="006039BD">
        <w:rPr>
          <w:rFonts w:cstheme="minorHAnsi"/>
        </w:rPr>
        <w:t>According to Leick</w:t>
      </w:r>
      <w:r w:rsidR="00BD6862" w:rsidRPr="006039BD">
        <w:rPr>
          <w:rFonts w:cstheme="minorHAnsi"/>
        </w:rPr>
        <w:t xml:space="preserve"> there are indications </w:t>
      </w:r>
      <w:r w:rsidR="00286420" w:rsidRPr="006039BD">
        <w:rPr>
          <w:rFonts w:cstheme="minorHAnsi"/>
        </w:rPr>
        <w:t>“</w:t>
      </w:r>
      <w:r w:rsidR="00BD6862" w:rsidRPr="006039BD">
        <w:rPr>
          <w:rFonts w:cstheme="minorHAnsi"/>
        </w:rPr>
        <w:t xml:space="preserve">that some non-childbearing wives viewed concubinage as a more </w:t>
      </w:r>
      <w:r w:rsidR="00826107" w:rsidRPr="006039BD">
        <w:rPr>
          <w:rFonts w:cstheme="minorHAnsi"/>
        </w:rPr>
        <w:t>favourable</w:t>
      </w:r>
      <w:r w:rsidR="00BD6862" w:rsidRPr="006039BD">
        <w:rPr>
          <w:rFonts w:cstheme="minorHAnsi"/>
        </w:rPr>
        <w:t xml:space="preserve"> alt</w:t>
      </w:r>
      <w:r w:rsidR="00286420" w:rsidRPr="006039BD">
        <w:rPr>
          <w:rFonts w:cstheme="minorHAnsi"/>
        </w:rPr>
        <w:t xml:space="preserve">ernative to polygamy or divorce” (Leick, 2007: 308) due to the formalities and social </w:t>
      </w:r>
      <w:r w:rsidR="00D022C7" w:rsidRPr="006039BD">
        <w:rPr>
          <w:rFonts w:cstheme="minorHAnsi"/>
        </w:rPr>
        <w:t>connotations</w:t>
      </w:r>
      <w:r w:rsidR="00286420" w:rsidRPr="006039BD">
        <w:rPr>
          <w:rFonts w:cstheme="minorHAnsi"/>
        </w:rPr>
        <w:t xml:space="preserve"> of divorce upon women. This connects again further to the point previously stated about women being unequal in the eyes of the patriarchal society. </w:t>
      </w:r>
    </w:p>
    <w:p w:rsidR="005B3EFB" w:rsidRPr="006039BD" w:rsidRDefault="00286420" w:rsidP="001102E4">
      <w:pPr>
        <w:spacing w:line="360" w:lineRule="auto"/>
        <w:jc w:val="both"/>
        <w:rPr>
          <w:rFonts w:cstheme="minorHAnsi"/>
        </w:rPr>
      </w:pPr>
      <w:r w:rsidRPr="006039BD">
        <w:rPr>
          <w:rFonts w:cstheme="minorHAnsi"/>
        </w:rPr>
        <w:t>To conclude, it can be n</w:t>
      </w:r>
      <w:r w:rsidR="00D022C7" w:rsidRPr="006039BD">
        <w:rPr>
          <w:rFonts w:cstheme="minorHAnsi"/>
        </w:rPr>
        <w:t xml:space="preserve">oted that the codes include a larger amount of social context to be able to completely understand them. The stelae offer laws covering political, economic and social aspects of daily life, this shows that Hammurabi has created an ideological view of his rule and himself. My personal interpretation of the text concludes further that his ‘laws’ could be considered biased as so to protect the patriarchal society in which he ruled.  Aforementioned, the stelae </w:t>
      </w:r>
      <w:proofErr w:type="gramStart"/>
      <w:r w:rsidR="00D022C7" w:rsidRPr="006039BD">
        <w:rPr>
          <w:rFonts w:cstheme="minorHAnsi"/>
        </w:rPr>
        <w:t>has</w:t>
      </w:r>
      <w:proofErr w:type="gramEnd"/>
      <w:r w:rsidR="00D022C7" w:rsidRPr="006039BD">
        <w:rPr>
          <w:rFonts w:cstheme="minorHAnsi"/>
        </w:rPr>
        <w:t xml:space="preserve"> </w:t>
      </w:r>
      <w:r w:rsidR="00D022C7" w:rsidRPr="006039BD">
        <w:rPr>
          <w:rFonts w:cstheme="minorHAnsi"/>
        </w:rPr>
        <w:t xml:space="preserve">“created a lasting and momentous impression </w:t>
      </w:r>
      <w:r w:rsidR="00D022C7" w:rsidRPr="006039BD">
        <w:rPr>
          <w:rFonts w:cstheme="minorHAnsi"/>
        </w:rPr>
        <w:t xml:space="preserve">on the </w:t>
      </w:r>
      <w:r w:rsidR="00D022C7" w:rsidRPr="006039BD">
        <w:rPr>
          <w:rFonts w:cstheme="minorHAnsi"/>
        </w:rPr>
        <w:t>audience in its original cultural context” (</w:t>
      </w:r>
      <w:proofErr w:type="spellStart"/>
      <w:r w:rsidR="00D022C7" w:rsidRPr="006039BD">
        <w:rPr>
          <w:rFonts w:cstheme="minorHAnsi"/>
        </w:rPr>
        <w:t>Slanski</w:t>
      </w:r>
      <w:proofErr w:type="spellEnd"/>
      <w:r w:rsidR="00D022C7" w:rsidRPr="006039BD">
        <w:rPr>
          <w:rFonts w:cstheme="minorHAnsi"/>
        </w:rPr>
        <w:t>, 2012: 102)</w:t>
      </w:r>
      <w:r w:rsidR="00D022C7" w:rsidRPr="006039BD">
        <w:rPr>
          <w:rFonts w:cstheme="minorHAnsi"/>
        </w:rPr>
        <w:t xml:space="preserve"> noting the importance regardless of individual interpretations within the modern, including my own, the laws created by Hammurabi gave protection to whom they were intended for, however, due to the societal hierarchies this was not always achievable. </w:t>
      </w:r>
    </w:p>
    <w:p w:rsidR="00D022C7" w:rsidRPr="006039BD" w:rsidRDefault="00D022C7" w:rsidP="001102E4">
      <w:pPr>
        <w:spacing w:line="360" w:lineRule="auto"/>
        <w:jc w:val="both"/>
        <w:rPr>
          <w:rFonts w:cstheme="minorHAnsi"/>
        </w:rPr>
      </w:pPr>
      <w:r w:rsidRPr="006039BD">
        <w:rPr>
          <w:rFonts w:cstheme="minorHAnsi"/>
        </w:rPr>
        <w:t xml:space="preserve">References and Bibliography: </w:t>
      </w:r>
      <w:r w:rsidRPr="006039BD">
        <w:rPr>
          <w:rFonts w:cstheme="minorHAnsi"/>
        </w:rPr>
        <w:tab/>
      </w:r>
    </w:p>
    <w:p w:rsidR="00775A79" w:rsidRPr="006039BD" w:rsidRDefault="00775A79" w:rsidP="001102E4">
      <w:pPr>
        <w:spacing w:line="360" w:lineRule="auto"/>
        <w:jc w:val="both"/>
        <w:rPr>
          <w:rFonts w:cstheme="minorHAnsi"/>
        </w:rPr>
      </w:pPr>
      <w:r w:rsidRPr="006039BD">
        <w:rPr>
          <w:rFonts w:cstheme="minorHAnsi"/>
        </w:rPr>
        <w:t>Ahmed</w:t>
      </w:r>
      <w:r w:rsidR="00D022C7" w:rsidRPr="006039BD">
        <w:rPr>
          <w:rFonts w:cstheme="minorHAnsi"/>
        </w:rPr>
        <w:t xml:space="preserve">, L. (1992) </w:t>
      </w:r>
      <w:r w:rsidR="00D022C7" w:rsidRPr="006039BD">
        <w:rPr>
          <w:rFonts w:cstheme="minorHAnsi"/>
          <w:i/>
        </w:rPr>
        <w:t>Women and Gender in Islam: H</w:t>
      </w:r>
      <w:r w:rsidRPr="006039BD">
        <w:rPr>
          <w:rFonts w:cstheme="minorHAnsi"/>
          <w:i/>
        </w:rPr>
        <w:t>istor</w:t>
      </w:r>
      <w:r w:rsidR="00D022C7" w:rsidRPr="006039BD">
        <w:rPr>
          <w:rFonts w:cstheme="minorHAnsi"/>
          <w:i/>
        </w:rPr>
        <w:t>ical routes on a modern debate</w:t>
      </w:r>
      <w:r w:rsidR="00D022C7" w:rsidRPr="006039BD">
        <w:rPr>
          <w:rFonts w:cstheme="minorHAnsi"/>
        </w:rPr>
        <w:t xml:space="preserve">. </w:t>
      </w:r>
      <w:r w:rsidRPr="006039BD">
        <w:rPr>
          <w:rFonts w:cstheme="minorHAnsi"/>
        </w:rPr>
        <w:t xml:space="preserve">Yale </w:t>
      </w:r>
      <w:r w:rsidR="00D022C7" w:rsidRPr="006039BD">
        <w:rPr>
          <w:rFonts w:cstheme="minorHAnsi"/>
        </w:rPr>
        <w:t>U</w:t>
      </w:r>
      <w:r w:rsidRPr="006039BD">
        <w:rPr>
          <w:rFonts w:cstheme="minorHAnsi"/>
        </w:rPr>
        <w:t xml:space="preserve">niversity </w:t>
      </w:r>
      <w:r w:rsidR="00D022C7" w:rsidRPr="006039BD">
        <w:rPr>
          <w:rFonts w:cstheme="minorHAnsi"/>
        </w:rPr>
        <w:t xml:space="preserve">Press </w:t>
      </w:r>
    </w:p>
    <w:p w:rsidR="00D022C7" w:rsidRPr="006039BD" w:rsidRDefault="006039BD" w:rsidP="00D022C7">
      <w:pPr>
        <w:rPr>
          <w:rFonts w:cstheme="minorHAnsi"/>
          <w:color w:val="222222"/>
          <w:shd w:val="clear" w:color="auto" w:fill="FFFFFF"/>
        </w:rPr>
      </w:pPr>
      <w:proofErr w:type="spellStart"/>
      <w:r w:rsidRPr="006039BD">
        <w:rPr>
          <w:rFonts w:cstheme="minorHAnsi"/>
          <w:color w:val="222222"/>
          <w:shd w:val="clear" w:color="auto" w:fill="FFFFFF"/>
        </w:rPr>
        <w:t>Dyneley</w:t>
      </w:r>
      <w:proofErr w:type="spellEnd"/>
      <w:r w:rsidRPr="006039BD">
        <w:rPr>
          <w:rFonts w:cstheme="minorHAnsi"/>
          <w:color w:val="222222"/>
          <w:shd w:val="clear" w:color="auto" w:fill="FFFFFF"/>
        </w:rPr>
        <w:t>, P. J (</w:t>
      </w:r>
      <w:r w:rsidR="00D022C7" w:rsidRPr="006039BD">
        <w:rPr>
          <w:rFonts w:cstheme="minorHAnsi"/>
          <w:color w:val="222222"/>
          <w:shd w:val="clear" w:color="auto" w:fill="FFFFFF"/>
        </w:rPr>
        <w:t>1904). "Review: The Code of Hammurabi". </w:t>
      </w:r>
      <w:r w:rsidR="00D022C7" w:rsidRPr="006039BD">
        <w:rPr>
          <w:rFonts w:cstheme="minorHAnsi"/>
          <w:i/>
          <w:iCs/>
          <w:color w:val="222222"/>
          <w:shd w:val="clear" w:color="auto" w:fill="FFFFFF"/>
        </w:rPr>
        <w:t>The American Journal of Theology</w:t>
      </w:r>
      <w:r w:rsidR="00D022C7" w:rsidRPr="006039BD">
        <w:rPr>
          <w:rFonts w:cstheme="minorHAnsi"/>
          <w:color w:val="222222"/>
          <w:shd w:val="clear" w:color="auto" w:fill="FFFFFF"/>
        </w:rPr>
        <w:t>. The University of Chicago Press. </w:t>
      </w:r>
      <w:r w:rsidR="00D022C7" w:rsidRPr="006039BD">
        <w:rPr>
          <w:rFonts w:cstheme="minorHAnsi"/>
          <w:b/>
          <w:bCs/>
          <w:color w:val="222222"/>
          <w:shd w:val="clear" w:color="auto" w:fill="FFFFFF"/>
        </w:rPr>
        <w:t>8</w:t>
      </w:r>
      <w:r w:rsidR="00D022C7" w:rsidRPr="006039BD">
        <w:rPr>
          <w:rFonts w:cstheme="minorHAnsi"/>
          <w:color w:val="222222"/>
          <w:shd w:val="clear" w:color="auto" w:fill="FFFFFF"/>
        </w:rPr>
        <w:t> (3): 601–609</w:t>
      </w:r>
      <w:r w:rsidR="00D022C7" w:rsidRPr="006039BD">
        <w:rPr>
          <w:rFonts w:cstheme="minorHAnsi"/>
          <w:color w:val="222222"/>
          <w:shd w:val="clear" w:color="auto" w:fill="FFFFFF"/>
        </w:rPr>
        <w:t xml:space="preserve"> </w:t>
      </w:r>
    </w:p>
    <w:p w:rsidR="00D022C7" w:rsidRPr="006039BD" w:rsidRDefault="00D022C7" w:rsidP="00D022C7">
      <w:pPr>
        <w:rPr>
          <w:rFonts w:cstheme="minorHAnsi"/>
          <w:color w:val="222222"/>
          <w:shd w:val="clear" w:color="auto" w:fill="FFFFFF"/>
        </w:rPr>
      </w:pPr>
      <w:r w:rsidRPr="006039BD">
        <w:rPr>
          <w:rFonts w:cstheme="minorHAnsi"/>
          <w:color w:val="222222"/>
          <w:shd w:val="clear" w:color="auto" w:fill="EAF3FF"/>
        </w:rPr>
        <w:t>Hooker</w:t>
      </w:r>
      <w:r w:rsidRPr="006039BD">
        <w:rPr>
          <w:rFonts w:cstheme="minorHAnsi"/>
          <w:color w:val="222222"/>
          <w:shd w:val="clear" w:color="auto" w:fill="EAF3FF"/>
        </w:rPr>
        <w:t>, R. (</w:t>
      </w:r>
      <w:proofErr w:type="spellStart"/>
      <w:r w:rsidRPr="006039BD">
        <w:rPr>
          <w:rFonts w:cstheme="minorHAnsi"/>
          <w:color w:val="222222"/>
          <w:shd w:val="clear" w:color="auto" w:fill="EAF3FF"/>
        </w:rPr>
        <w:t>ed</w:t>
      </w:r>
      <w:proofErr w:type="spellEnd"/>
      <w:r w:rsidRPr="006039BD">
        <w:rPr>
          <w:rFonts w:cstheme="minorHAnsi"/>
          <w:color w:val="222222"/>
          <w:shd w:val="clear" w:color="auto" w:fill="EAF3FF"/>
        </w:rPr>
        <w:t>)</w:t>
      </w:r>
      <w:r w:rsidRPr="006039BD">
        <w:rPr>
          <w:rFonts w:cstheme="minorHAnsi"/>
          <w:color w:val="222222"/>
          <w:shd w:val="clear" w:color="auto" w:fill="EAF3FF"/>
        </w:rPr>
        <w:t xml:space="preserve"> Translated by L.W King (1996). </w:t>
      </w:r>
      <w:r w:rsidRPr="006039BD">
        <w:rPr>
          <w:rFonts w:cstheme="minorHAnsi"/>
          <w:i/>
        </w:rPr>
        <w:t>Mesopotamia: The Code of Hammurabi</w:t>
      </w:r>
      <w:r w:rsidRPr="006039BD">
        <w:rPr>
          <w:rFonts w:cstheme="minorHAnsi"/>
          <w:i/>
          <w:color w:val="222222"/>
          <w:shd w:val="clear" w:color="auto" w:fill="EAF3FF"/>
        </w:rPr>
        <w:t xml:space="preserve">. </w:t>
      </w:r>
      <w:r w:rsidRPr="006039BD">
        <w:rPr>
          <w:rFonts w:cstheme="minorHAnsi"/>
          <w:color w:val="222222"/>
          <w:shd w:val="clear" w:color="auto" w:fill="EAF3FF"/>
        </w:rPr>
        <w:t>Washington State University. </w:t>
      </w:r>
    </w:p>
    <w:p w:rsidR="00D022C7" w:rsidRPr="006039BD" w:rsidRDefault="00D022C7" w:rsidP="00D022C7">
      <w:pPr>
        <w:rPr>
          <w:rFonts w:cstheme="minorHAnsi"/>
          <w:color w:val="333333"/>
          <w:shd w:val="clear" w:color="auto" w:fill="FFFFFF"/>
        </w:rPr>
      </w:pPr>
      <w:r w:rsidRPr="006039BD">
        <w:rPr>
          <w:rFonts w:cstheme="minorHAnsi"/>
          <w:color w:val="333333"/>
          <w:shd w:val="clear" w:color="auto" w:fill="FFFFFF"/>
        </w:rPr>
        <w:t>Troy, B. (2004). </w:t>
      </w:r>
      <w:r w:rsidRPr="006039BD">
        <w:rPr>
          <w:rFonts w:cstheme="minorHAnsi"/>
          <w:i/>
          <w:iCs/>
          <w:color w:val="333333"/>
          <w:bdr w:val="none" w:sz="0" w:space="0" w:color="auto" w:frame="1"/>
          <w:shd w:val="clear" w:color="auto" w:fill="FFFFFF"/>
        </w:rPr>
        <w:t>LEGALLY BOUND: A STUDY OF WOMEN’S LEGAL STATUS IN THE ANCIENT NEAR EAST.</w:t>
      </w:r>
      <w:r w:rsidRPr="006039BD">
        <w:rPr>
          <w:rFonts w:cstheme="minorHAnsi"/>
          <w:color w:val="333333"/>
          <w:shd w:val="clear" w:color="auto" w:fill="FFFFFF"/>
        </w:rPr>
        <w:t xml:space="preserve"> (Electronic Thesis or Dissertation). Retrieved from </w:t>
      </w:r>
      <w:hyperlink r:id="rId7" w:history="1">
        <w:r w:rsidRPr="006039BD">
          <w:rPr>
            <w:rStyle w:val="Hyperlink"/>
            <w:rFonts w:cstheme="minorHAnsi"/>
            <w:shd w:val="clear" w:color="auto" w:fill="FFFFFF"/>
          </w:rPr>
          <w:t>https://etd.ohiolink.edu/</w:t>
        </w:r>
      </w:hyperlink>
    </w:p>
    <w:p w:rsidR="00D022C7" w:rsidRPr="006039BD" w:rsidRDefault="00D022C7" w:rsidP="00D022C7">
      <w:pPr>
        <w:rPr>
          <w:rFonts w:cstheme="minorHAnsi"/>
        </w:rPr>
      </w:pPr>
      <w:r w:rsidRPr="006039BD">
        <w:rPr>
          <w:rFonts w:cstheme="minorHAnsi"/>
        </w:rPr>
        <w:t xml:space="preserve">Roth, M. T. (1995) </w:t>
      </w:r>
      <w:r w:rsidRPr="006039BD">
        <w:rPr>
          <w:rFonts w:cstheme="minorHAnsi"/>
          <w:i/>
        </w:rPr>
        <w:t>“Laws of Hammurabi,” Law Collections from Mesopotamia and Asia Minor</w:t>
      </w:r>
      <w:r w:rsidRPr="006039BD">
        <w:rPr>
          <w:rFonts w:cstheme="minorHAnsi"/>
        </w:rPr>
        <w:t xml:space="preserve">. </w:t>
      </w:r>
      <w:r w:rsidRPr="006039BD">
        <w:rPr>
          <w:rFonts w:cstheme="minorHAnsi"/>
        </w:rPr>
        <w:t>Atlanta</w:t>
      </w:r>
      <w:r w:rsidRPr="006039BD">
        <w:rPr>
          <w:rFonts w:cstheme="minorHAnsi"/>
        </w:rPr>
        <w:t>: Scholars Press</w:t>
      </w:r>
      <w:r w:rsidRPr="006039BD">
        <w:rPr>
          <w:rFonts w:cstheme="minorHAnsi"/>
        </w:rPr>
        <w:t xml:space="preserve"> </w:t>
      </w:r>
    </w:p>
    <w:p w:rsidR="00D022C7" w:rsidRPr="006039BD" w:rsidRDefault="00D022C7" w:rsidP="00D022C7">
      <w:pPr>
        <w:rPr>
          <w:rFonts w:cstheme="minorHAnsi"/>
        </w:rPr>
      </w:pPr>
      <w:proofErr w:type="spellStart"/>
      <w:r w:rsidRPr="006039BD">
        <w:rPr>
          <w:rFonts w:cstheme="minorHAnsi"/>
        </w:rPr>
        <w:t>Goetze</w:t>
      </w:r>
      <w:proofErr w:type="spellEnd"/>
      <w:r w:rsidRPr="006039BD">
        <w:rPr>
          <w:rFonts w:cstheme="minorHAnsi"/>
        </w:rPr>
        <w:t xml:space="preserve">, </w:t>
      </w:r>
      <w:r w:rsidRPr="006039BD">
        <w:rPr>
          <w:rFonts w:cstheme="minorHAnsi"/>
        </w:rPr>
        <w:t xml:space="preserve">A. </w:t>
      </w:r>
      <w:r w:rsidRPr="006039BD">
        <w:rPr>
          <w:rFonts w:cstheme="minorHAnsi"/>
        </w:rPr>
        <w:t xml:space="preserve">(1949) “Mesopotamian Laws and the Historian,” </w:t>
      </w:r>
      <w:r w:rsidRPr="006039BD">
        <w:rPr>
          <w:rFonts w:cstheme="minorHAnsi"/>
          <w:i/>
        </w:rPr>
        <w:t>Journal of the American Oriental Society</w:t>
      </w:r>
      <w:r w:rsidRPr="006039BD">
        <w:rPr>
          <w:rFonts w:cstheme="minorHAnsi"/>
        </w:rPr>
        <w:t xml:space="preserve">, pp. 117. </w:t>
      </w:r>
    </w:p>
    <w:p w:rsidR="006039BD" w:rsidRPr="006039BD" w:rsidRDefault="006039BD" w:rsidP="006039BD">
      <w:pPr>
        <w:pStyle w:val="Bibliography"/>
        <w:rPr>
          <w:rFonts w:cstheme="minorHAnsi"/>
          <w:noProof/>
        </w:rPr>
      </w:pPr>
      <w:r w:rsidRPr="006039BD">
        <w:rPr>
          <w:rFonts w:cstheme="minorHAnsi"/>
        </w:rPr>
        <w:t xml:space="preserve">A: </w:t>
      </w:r>
      <w:r w:rsidRPr="006039BD">
        <w:rPr>
          <w:rFonts w:cstheme="minorHAnsi"/>
        </w:rPr>
        <w:fldChar w:fldCharType="begin"/>
      </w:r>
      <w:r w:rsidRPr="006039BD">
        <w:rPr>
          <w:rFonts w:cstheme="minorHAnsi"/>
        </w:rPr>
        <w:instrText xml:space="preserve"> BIBLIOGRAPHY  \l 2057 </w:instrText>
      </w:r>
      <w:r w:rsidRPr="006039BD">
        <w:rPr>
          <w:rFonts w:cstheme="minorHAnsi"/>
        </w:rPr>
        <w:fldChar w:fldCharType="separate"/>
      </w:r>
      <w:r w:rsidRPr="006039BD">
        <w:rPr>
          <w:rFonts w:cstheme="minorHAnsi"/>
          <w:noProof/>
        </w:rPr>
        <w:t>Kuhrt, A. (1995) ANCIENT NEAR EAST: C.3000-330 BC. Vol.1. In: London: Routledge.</w:t>
      </w:r>
    </w:p>
    <w:p w:rsidR="006039BD" w:rsidRPr="006039BD" w:rsidRDefault="006039BD" w:rsidP="006039BD">
      <w:pPr>
        <w:pStyle w:val="Bibliography"/>
        <w:rPr>
          <w:rFonts w:cstheme="minorHAnsi"/>
          <w:noProof/>
        </w:rPr>
      </w:pPr>
      <w:r w:rsidRPr="006039BD">
        <w:rPr>
          <w:rFonts w:cstheme="minorHAnsi"/>
          <w:noProof/>
        </w:rPr>
        <w:t>B: Kuhrt, A. (1995)</w:t>
      </w:r>
      <w:r w:rsidRPr="006039BD">
        <w:rPr>
          <w:rFonts w:cstheme="minorHAnsi"/>
          <w:noProof/>
        </w:rPr>
        <w:t xml:space="preserve"> ANCIENT</w:t>
      </w:r>
      <w:r w:rsidRPr="006039BD">
        <w:rPr>
          <w:rFonts w:cstheme="minorHAnsi"/>
          <w:noProof/>
        </w:rPr>
        <w:t xml:space="preserve"> NEAR EAST: C.3000-330 BC. Vol.2</w:t>
      </w:r>
      <w:r w:rsidRPr="006039BD">
        <w:rPr>
          <w:rFonts w:cstheme="minorHAnsi"/>
          <w:noProof/>
        </w:rPr>
        <w:t>. In: London: Routledge.</w:t>
      </w:r>
    </w:p>
    <w:p w:rsidR="006039BD" w:rsidRPr="006039BD" w:rsidRDefault="006039BD" w:rsidP="006039BD">
      <w:pPr>
        <w:pStyle w:val="Bibliography"/>
        <w:rPr>
          <w:rFonts w:cstheme="minorHAnsi"/>
          <w:noProof/>
        </w:rPr>
      </w:pPr>
      <w:r w:rsidRPr="006039BD">
        <w:rPr>
          <w:rFonts w:cstheme="minorHAnsi"/>
          <w:noProof/>
        </w:rPr>
        <w:t xml:space="preserve">Leick, G (2007). </w:t>
      </w:r>
      <w:r w:rsidRPr="006039BD">
        <w:rPr>
          <w:rFonts w:cstheme="minorHAnsi"/>
          <w:i/>
          <w:iCs/>
          <w:noProof/>
        </w:rPr>
        <w:t xml:space="preserve">The Babylonian World. </w:t>
      </w:r>
      <w:r w:rsidRPr="006039BD">
        <w:rPr>
          <w:rFonts w:cstheme="minorHAnsi"/>
          <w:noProof/>
        </w:rPr>
        <w:t>Abingdon: Routledge.</w:t>
      </w:r>
    </w:p>
    <w:p w:rsidR="00D022C7" w:rsidRDefault="006039BD" w:rsidP="006039BD">
      <w:pPr>
        <w:spacing w:line="360" w:lineRule="auto"/>
        <w:jc w:val="both"/>
        <w:rPr>
          <w:rFonts w:cstheme="minorHAnsi"/>
        </w:rPr>
      </w:pPr>
      <w:r w:rsidRPr="006039BD">
        <w:rPr>
          <w:rFonts w:cstheme="minorHAnsi"/>
        </w:rPr>
        <w:fldChar w:fldCharType="end"/>
      </w:r>
      <w:proofErr w:type="spellStart"/>
      <w:r>
        <w:rPr>
          <w:rFonts w:cstheme="minorHAnsi"/>
        </w:rPr>
        <w:t>Slanksi</w:t>
      </w:r>
      <w:proofErr w:type="spellEnd"/>
      <w:r>
        <w:rPr>
          <w:rFonts w:cstheme="minorHAnsi"/>
        </w:rPr>
        <w:t xml:space="preserve">, K. E. (2012) The Law of Hammurabi and its audience. </w:t>
      </w:r>
      <w:r w:rsidRPr="006039BD">
        <w:rPr>
          <w:rFonts w:cstheme="minorHAnsi"/>
          <w:i/>
        </w:rPr>
        <w:t>Yale Journal of Law and the Humanities</w:t>
      </w:r>
      <w:r>
        <w:rPr>
          <w:rFonts w:cstheme="minorHAnsi"/>
        </w:rPr>
        <w:t xml:space="preserve">, Vol 24, Issue 1 pp 97 -110 </w:t>
      </w:r>
    </w:p>
    <w:p w:rsidR="006039BD" w:rsidRPr="006039BD" w:rsidRDefault="006039BD" w:rsidP="006039BD">
      <w:pPr>
        <w:spacing w:line="360" w:lineRule="auto"/>
        <w:jc w:val="both"/>
        <w:rPr>
          <w:rFonts w:cstheme="minorHAnsi"/>
        </w:rPr>
      </w:pPr>
      <w:r>
        <w:rPr>
          <w:rFonts w:cstheme="minorHAnsi"/>
        </w:rPr>
        <w:t>James, S. L and Dillon, S. (</w:t>
      </w:r>
      <w:proofErr w:type="spellStart"/>
      <w:r>
        <w:rPr>
          <w:rFonts w:cstheme="minorHAnsi"/>
        </w:rPr>
        <w:t>eds</w:t>
      </w:r>
      <w:proofErr w:type="spellEnd"/>
      <w:r>
        <w:rPr>
          <w:rFonts w:cstheme="minorHAnsi"/>
        </w:rPr>
        <w:t xml:space="preserve">) (2015) </w:t>
      </w:r>
      <w:r w:rsidRPr="006039BD">
        <w:rPr>
          <w:rFonts w:cstheme="minorHAnsi"/>
          <w:i/>
        </w:rPr>
        <w:t>Women in the Ancient world</w:t>
      </w:r>
      <w:r>
        <w:rPr>
          <w:rFonts w:cstheme="minorHAnsi"/>
        </w:rPr>
        <w:t xml:space="preserve">, Oxford: Blackwell </w:t>
      </w:r>
    </w:p>
    <w:p w:rsidR="00775A79" w:rsidRPr="006039BD" w:rsidRDefault="00775A79" w:rsidP="001102E4">
      <w:pPr>
        <w:spacing w:line="360" w:lineRule="auto"/>
        <w:jc w:val="both"/>
        <w:rPr>
          <w:rFonts w:cstheme="minorHAnsi"/>
        </w:rPr>
      </w:pPr>
    </w:p>
    <w:sectPr w:rsidR="00775A79" w:rsidRPr="006039BD" w:rsidSect="00286420">
      <w:headerReference w:type="default" r:id="rId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62A5" w:rsidRDefault="00AE62A5" w:rsidP="00593676">
      <w:pPr>
        <w:spacing w:after="0" w:line="240" w:lineRule="auto"/>
      </w:pPr>
      <w:r>
        <w:separator/>
      </w:r>
    </w:p>
  </w:endnote>
  <w:endnote w:type="continuationSeparator" w:id="0">
    <w:p w:rsidR="00AE62A5" w:rsidRDefault="00AE62A5" w:rsidP="00593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62A5" w:rsidRDefault="00AE62A5" w:rsidP="00593676">
      <w:pPr>
        <w:spacing w:after="0" w:line="240" w:lineRule="auto"/>
      </w:pPr>
      <w:r>
        <w:separator/>
      </w:r>
    </w:p>
  </w:footnote>
  <w:footnote w:type="continuationSeparator" w:id="0">
    <w:p w:rsidR="00AE62A5" w:rsidRDefault="00AE62A5" w:rsidP="00593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3676" w:rsidRDefault="00593676">
    <w:pPr>
      <w:pStyle w:val="Header"/>
    </w:pPr>
    <w:r>
      <w:t xml:space="preserve">1501525 – AHAR5004 Essay </w:t>
    </w:r>
  </w:p>
  <w:p w:rsidR="00593676" w:rsidRDefault="005936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3EFB"/>
    <w:rsid w:val="00012F21"/>
    <w:rsid w:val="00033902"/>
    <w:rsid w:val="000909C6"/>
    <w:rsid w:val="000B7D76"/>
    <w:rsid w:val="000E64A4"/>
    <w:rsid w:val="001102E4"/>
    <w:rsid w:val="00125DF6"/>
    <w:rsid w:val="001B54CD"/>
    <w:rsid w:val="00286420"/>
    <w:rsid w:val="00312ED0"/>
    <w:rsid w:val="0032771F"/>
    <w:rsid w:val="00360954"/>
    <w:rsid w:val="003D0B7E"/>
    <w:rsid w:val="004917CB"/>
    <w:rsid w:val="00583689"/>
    <w:rsid w:val="00593676"/>
    <w:rsid w:val="005A459E"/>
    <w:rsid w:val="005B3EFB"/>
    <w:rsid w:val="006039BD"/>
    <w:rsid w:val="00635897"/>
    <w:rsid w:val="006C52EB"/>
    <w:rsid w:val="0070782C"/>
    <w:rsid w:val="00775A79"/>
    <w:rsid w:val="007D2614"/>
    <w:rsid w:val="00811308"/>
    <w:rsid w:val="00813E53"/>
    <w:rsid w:val="00826107"/>
    <w:rsid w:val="008875E9"/>
    <w:rsid w:val="008F26B5"/>
    <w:rsid w:val="00920A82"/>
    <w:rsid w:val="0094332B"/>
    <w:rsid w:val="00947761"/>
    <w:rsid w:val="00955B0D"/>
    <w:rsid w:val="009963C8"/>
    <w:rsid w:val="009D637B"/>
    <w:rsid w:val="00A15591"/>
    <w:rsid w:val="00A40229"/>
    <w:rsid w:val="00A5096A"/>
    <w:rsid w:val="00AB370C"/>
    <w:rsid w:val="00AE62A5"/>
    <w:rsid w:val="00B82134"/>
    <w:rsid w:val="00BD6862"/>
    <w:rsid w:val="00BF2366"/>
    <w:rsid w:val="00C85684"/>
    <w:rsid w:val="00C959D1"/>
    <w:rsid w:val="00CF3FAC"/>
    <w:rsid w:val="00D022C7"/>
    <w:rsid w:val="00D56C85"/>
    <w:rsid w:val="00D73852"/>
    <w:rsid w:val="00DA17E2"/>
    <w:rsid w:val="00E07E95"/>
    <w:rsid w:val="00E22CFE"/>
    <w:rsid w:val="00E4021C"/>
    <w:rsid w:val="00E636E9"/>
    <w:rsid w:val="00ED73A5"/>
    <w:rsid w:val="00F11F8E"/>
    <w:rsid w:val="00F31F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DF06C"/>
  <w15:chartTrackingRefBased/>
  <w15:docId w15:val="{CEB7CA02-657F-4F39-9B29-A831B855F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676"/>
  </w:style>
  <w:style w:type="paragraph" w:styleId="Footer">
    <w:name w:val="footer"/>
    <w:basedOn w:val="Normal"/>
    <w:link w:val="FooterChar"/>
    <w:uiPriority w:val="99"/>
    <w:unhideWhenUsed/>
    <w:rsid w:val="00593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676"/>
  </w:style>
  <w:style w:type="character" w:styleId="Hyperlink">
    <w:name w:val="Hyperlink"/>
    <w:basedOn w:val="DefaultParagraphFont"/>
    <w:uiPriority w:val="99"/>
    <w:unhideWhenUsed/>
    <w:rsid w:val="00D022C7"/>
    <w:rPr>
      <w:color w:val="0000FF"/>
      <w:u w:val="single"/>
    </w:rPr>
  </w:style>
  <w:style w:type="paragraph" w:styleId="Bibliography">
    <w:name w:val="Bibliography"/>
    <w:basedOn w:val="Normal"/>
    <w:next w:val="Normal"/>
    <w:uiPriority w:val="37"/>
    <w:unhideWhenUsed/>
    <w:rsid w:val="006039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3754758">
      <w:bodyDiv w:val="1"/>
      <w:marLeft w:val="0"/>
      <w:marRight w:val="0"/>
      <w:marTop w:val="0"/>
      <w:marBottom w:val="0"/>
      <w:divBdr>
        <w:top w:val="none" w:sz="0" w:space="0" w:color="auto"/>
        <w:left w:val="none" w:sz="0" w:space="0" w:color="auto"/>
        <w:bottom w:val="none" w:sz="0" w:space="0" w:color="auto"/>
        <w:right w:val="none" w:sz="0" w:space="0" w:color="auto"/>
      </w:divBdr>
    </w:div>
    <w:div w:id="1375227298">
      <w:bodyDiv w:val="1"/>
      <w:marLeft w:val="0"/>
      <w:marRight w:val="0"/>
      <w:marTop w:val="0"/>
      <w:marBottom w:val="0"/>
      <w:divBdr>
        <w:top w:val="none" w:sz="0" w:space="0" w:color="auto"/>
        <w:left w:val="none" w:sz="0" w:space="0" w:color="auto"/>
        <w:bottom w:val="none" w:sz="0" w:space="0" w:color="auto"/>
        <w:right w:val="none" w:sz="0" w:space="0" w:color="auto"/>
      </w:divBdr>
    </w:div>
    <w:div w:id="1711808183">
      <w:bodyDiv w:val="1"/>
      <w:marLeft w:val="0"/>
      <w:marRight w:val="0"/>
      <w:marTop w:val="0"/>
      <w:marBottom w:val="0"/>
      <w:divBdr>
        <w:top w:val="none" w:sz="0" w:space="0" w:color="auto"/>
        <w:left w:val="none" w:sz="0" w:space="0" w:color="auto"/>
        <w:bottom w:val="none" w:sz="0" w:space="0" w:color="auto"/>
        <w:right w:val="none" w:sz="0" w:space="0" w:color="auto"/>
      </w:divBdr>
    </w:div>
    <w:div w:id="1911230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td.ohiolink.edu/"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Kuh95</b:Tag>
    <b:SourceType>BookSection</b:SourceType>
    <b:Guid>{4B85DAE3-D5D5-47FB-80DD-2FF248722369}</b:Guid>
    <b:Author>
      <b:Author>
        <b:Corporate>Kuhrt, A.</b:Corporate>
      </b:Author>
    </b:Author>
    <b:Title>ANCIENT NEAR EAST: C.3000-330 BC. Vol.1</b:Title>
    <b:Year>1995</b:Year>
    <b:City>London</b:City>
    <b:Publisher>Routledge</b:Publisher>
    <b:Volume>1</b:Volume>
    <b:NumberVolumes>2</b:NumberVolumes>
    <b:RefOrder>1</b:RefOrder>
  </b:Source>
  <b:Source>
    <b:Tag>Lei07</b:Tag>
    <b:SourceType>Book</b:SourceType>
    <b:Guid>{FF794C96-3766-41F2-BA10-19D5A4C08FCD}</b:Guid>
    <b:Author>
      <b:Author>
        <b:Corporate>Leick, G</b:Corporate>
      </b:Author>
    </b:Author>
    <b:Title>The Babylonian World</b:Title>
    <b:Year>2007</b:Year>
    <b:City>Abingdon</b:City>
    <b:Publisher>Routledge</b:Publisher>
    <b:RefOrder>2</b:RefOrder>
  </b:Source>
</b:Sources>
</file>

<file path=customXml/itemProps1.xml><?xml version="1.0" encoding="utf-8"?>
<ds:datastoreItem xmlns:ds="http://schemas.openxmlformats.org/officeDocument/2006/customXml" ds:itemID="{743FA40D-BB51-473F-B4BD-347CEA7B6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1381</Words>
  <Characters>7874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Roberts</dc:creator>
  <cp:keywords/>
  <dc:description/>
  <cp:lastModifiedBy>Invate</cp:lastModifiedBy>
  <cp:revision>4</cp:revision>
  <dcterms:created xsi:type="dcterms:W3CDTF">2017-11-21T23:53:00Z</dcterms:created>
  <dcterms:modified xsi:type="dcterms:W3CDTF">2017-11-21T23:54:00Z</dcterms:modified>
</cp:coreProperties>
</file>