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A3585E" w14:textId="77777777" w:rsidR="005F7F86" w:rsidRPr="005F7F86" w:rsidRDefault="00000000" w:rsidP="005F7F86">
      <w:pPr>
        <w:pStyle w:val="p1"/>
        <w:spacing w:line="360" w:lineRule="auto"/>
        <w:rPr>
          <w:rFonts w:ascii="Times New Roman" w:hAnsi="Times New Roman" w:cs="Times New Roman"/>
          <w:b/>
          <w:bCs/>
          <w:sz w:val="48"/>
          <w:szCs w:val="48"/>
          <w:lang w:val="en-GB"/>
        </w:rPr>
      </w:pPr>
      <w:r w:rsidRPr="005F7F86">
        <w:rPr>
          <w:rFonts w:ascii="Times New Roman" w:hAnsi="Times New Roman" w:cs="Times New Roman"/>
          <w:b/>
          <w:bCs/>
          <w:noProof/>
          <w:sz w:val="48"/>
          <w:szCs w:val="48"/>
          <w:lang w:val="en-GB"/>
        </w:rPr>
        <w:drawing>
          <wp:anchor distT="0" distB="0" distL="114300" distR="114300" simplePos="0" relativeHeight="251658240" behindDoc="0" locked="0" layoutInCell="1" allowOverlap="1" wp14:anchorId="717D261F" wp14:editId="692C5B1C">
            <wp:simplePos x="0" y="0"/>
            <wp:positionH relativeFrom="column">
              <wp:posOffset>1187557</wp:posOffset>
            </wp:positionH>
            <wp:positionV relativeFrom="paragraph">
              <wp:posOffset>179461</wp:posOffset>
            </wp:positionV>
            <wp:extent cx="3195955" cy="1160145"/>
            <wp:effectExtent l="0" t="0" r="4445" b="0"/>
            <wp:wrapTopAndBottom/>
            <wp:docPr id="557626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626010" name=""/>
                    <pic:cNvPicPr/>
                  </pic:nvPicPr>
                  <pic:blipFill>
                    <a:blip r:embed="rId8"/>
                    <a:stretch>
                      <a:fillRect/>
                    </a:stretch>
                  </pic:blipFill>
                  <pic:spPr>
                    <a:xfrm>
                      <a:off x="0" y="0"/>
                      <a:ext cx="3195955" cy="1160145"/>
                    </a:xfrm>
                    <a:prstGeom prst="rect">
                      <a:avLst/>
                    </a:prstGeom>
                  </pic:spPr>
                </pic:pic>
              </a:graphicData>
            </a:graphic>
            <wp14:sizeRelH relativeFrom="margin">
              <wp14:pctWidth>0</wp14:pctWidth>
            </wp14:sizeRelH>
            <wp14:sizeRelV relativeFrom="margin">
              <wp14:pctHeight>0</wp14:pctHeight>
            </wp14:sizeRelV>
          </wp:anchor>
        </w:drawing>
      </w:r>
    </w:p>
    <w:p w14:paraId="3F81CD9D" w14:textId="77777777" w:rsidR="005F7F86" w:rsidRPr="005F7F86" w:rsidRDefault="005F7F86" w:rsidP="005F7F86">
      <w:pPr>
        <w:pStyle w:val="p1"/>
        <w:spacing w:line="360" w:lineRule="auto"/>
        <w:rPr>
          <w:rFonts w:ascii="Times New Roman" w:hAnsi="Times New Roman" w:cs="Times New Roman"/>
          <w:b/>
          <w:bCs/>
          <w:sz w:val="48"/>
          <w:szCs w:val="48"/>
          <w:lang w:val="en-GB"/>
        </w:rPr>
      </w:pPr>
    </w:p>
    <w:p w14:paraId="71B9D41A" w14:textId="77777777" w:rsidR="005F7F86" w:rsidRPr="005F7F86" w:rsidRDefault="005F7F86" w:rsidP="005F7F86">
      <w:pPr>
        <w:pStyle w:val="p1"/>
        <w:spacing w:line="360" w:lineRule="auto"/>
        <w:jc w:val="center"/>
        <w:rPr>
          <w:rFonts w:ascii="Times New Roman" w:hAnsi="Times New Roman" w:cs="Times New Roman"/>
          <w:b/>
          <w:bCs/>
          <w:sz w:val="48"/>
          <w:szCs w:val="48"/>
          <w:lang w:val="en-GB"/>
        </w:rPr>
      </w:pPr>
    </w:p>
    <w:p w14:paraId="010AE202" w14:textId="77777777" w:rsidR="005F7F86" w:rsidRPr="005F7F86" w:rsidRDefault="00000000" w:rsidP="005F7F86">
      <w:pPr>
        <w:pStyle w:val="p2"/>
        <w:spacing w:line="360" w:lineRule="auto"/>
        <w:jc w:val="center"/>
        <w:rPr>
          <w:rFonts w:ascii="Times New Roman" w:hAnsi="Times New Roman" w:cs="Times New Roman"/>
          <w:sz w:val="48"/>
          <w:szCs w:val="48"/>
          <w:lang w:val="en-GB"/>
        </w:rPr>
      </w:pPr>
      <w:r w:rsidRPr="005F7F86">
        <w:rPr>
          <w:rFonts w:ascii="Times New Roman" w:hAnsi="Times New Roman" w:cs="Times New Roman"/>
          <w:sz w:val="48"/>
          <w:szCs w:val="48"/>
          <w:lang w:val="en-GB"/>
        </w:rPr>
        <w:t>BMIH6008</w:t>
      </w:r>
    </w:p>
    <w:p w14:paraId="198D243F" w14:textId="77777777" w:rsidR="005F7F86" w:rsidRPr="005F7F86" w:rsidRDefault="00000000" w:rsidP="005F7F86">
      <w:pPr>
        <w:pStyle w:val="p2"/>
        <w:spacing w:line="360" w:lineRule="auto"/>
        <w:jc w:val="center"/>
        <w:rPr>
          <w:rFonts w:ascii="Times New Roman" w:hAnsi="Times New Roman" w:cs="Times New Roman"/>
          <w:sz w:val="48"/>
          <w:szCs w:val="48"/>
          <w:lang w:val="en-GB"/>
        </w:rPr>
      </w:pPr>
      <w:r w:rsidRPr="005F7F86">
        <w:rPr>
          <w:rFonts w:ascii="Times New Roman" w:hAnsi="Times New Roman" w:cs="Times New Roman"/>
          <w:sz w:val="48"/>
          <w:szCs w:val="48"/>
          <w:lang w:val="en-GB"/>
        </w:rPr>
        <w:t>Hotel Placement Research Project</w:t>
      </w:r>
    </w:p>
    <w:p w14:paraId="56B43D3C" w14:textId="77777777" w:rsidR="005F7F86" w:rsidRPr="005F7F86" w:rsidRDefault="005F7F86" w:rsidP="005F7F86">
      <w:pPr>
        <w:rPr>
          <w:rFonts w:cs="Times New Roman"/>
          <w:b/>
          <w:bCs/>
          <w:i/>
          <w:iCs/>
        </w:rPr>
      </w:pPr>
    </w:p>
    <w:p w14:paraId="5B9DFC8D" w14:textId="77777777" w:rsidR="006C505F" w:rsidRPr="005F7F86" w:rsidRDefault="00000000" w:rsidP="005F7F86">
      <w:pPr>
        <w:jc w:val="center"/>
        <w:rPr>
          <w:rFonts w:cs="Times New Roman"/>
          <w:i/>
          <w:iCs/>
          <w:sz w:val="32"/>
          <w:szCs w:val="36"/>
        </w:rPr>
      </w:pPr>
      <w:r w:rsidRPr="005F7F86">
        <w:rPr>
          <w:rFonts w:cs="Times New Roman"/>
          <w:i/>
          <w:iCs/>
          <w:sz w:val="32"/>
          <w:szCs w:val="36"/>
        </w:rPr>
        <w:t>“Sustainable Food and Beverage Practices in the Hotel Industry: A Case Study of Mercure Thame Lambert Hotel.”</w:t>
      </w:r>
    </w:p>
    <w:p w14:paraId="56EE95F9" w14:textId="77777777" w:rsidR="005F7F86" w:rsidRPr="005F7F86" w:rsidRDefault="005F7F86" w:rsidP="005F7F86">
      <w:pPr>
        <w:jc w:val="center"/>
        <w:rPr>
          <w:rFonts w:cs="Times New Roman"/>
          <w:i/>
          <w:iCs/>
          <w:sz w:val="32"/>
          <w:szCs w:val="36"/>
        </w:rPr>
      </w:pPr>
    </w:p>
    <w:p w14:paraId="19FC48C0" w14:textId="77777777" w:rsidR="005F7F86" w:rsidRPr="005F7F86" w:rsidRDefault="005F7F86" w:rsidP="005F7F86">
      <w:pPr>
        <w:jc w:val="center"/>
        <w:rPr>
          <w:rFonts w:cs="Times New Roman"/>
          <w:i/>
          <w:iCs/>
          <w:sz w:val="32"/>
          <w:szCs w:val="36"/>
        </w:rPr>
      </w:pPr>
    </w:p>
    <w:p w14:paraId="7E7FB8AD" w14:textId="77777777" w:rsidR="005F7F86" w:rsidRPr="005F7F86" w:rsidRDefault="005F7F86" w:rsidP="005F7F86">
      <w:pPr>
        <w:jc w:val="center"/>
        <w:rPr>
          <w:rFonts w:cs="Times New Roman"/>
          <w:i/>
          <w:iCs/>
          <w:sz w:val="32"/>
          <w:szCs w:val="36"/>
        </w:rPr>
      </w:pPr>
    </w:p>
    <w:p w14:paraId="04DCB744" w14:textId="77777777" w:rsidR="005F7F86" w:rsidRPr="005F7F86" w:rsidRDefault="005F7F86" w:rsidP="005F7F86">
      <w:pPr>
        <w:jc w:val="center"/>
        <w:rPr>
          <w:rFonts w:cs="Times New Roman"/>
          <w:i/>
          <w:iCs/>
          <w:sz w:val="32"/>
          <w:szCs w:val="36"/>
        </w:rPr>
      </w:pPr>
    </w:p>
    <w:p w14:paraId="226F6D44" w14:textId="77777777" w:rsidR="005F7F86" w:rsidRPr="005F7F86" w:rsidRDefault="005F7F86" w:rsidP="005F7F86">
      <w:pPr>
        <w:jc w:val="center"/>
        <w:rPr>
          <w:rFonts w:cs="Times New Roman"/>
          <w:i/>
          <w:iCs/>
          <w:sz w:val="32"/>
          <w:szCs w:val="36"/>
        </w:rPr>
      </w:pPr>
    </w:p>
    <w:p w14:paraId="27BFA112" w14:textId="77777777" w:rsidR="005F7F86" w:rsidRPr="005F7F86" w:rsidRDefault="005F7F86" w:rsidP="005F7F86">
      <w:pPr>
        <w:jc w:val="center"/>
        <w:rPr>
          <w:rFonts w:cs="Times New Roman"/>
          <w:i/>
          <w:iCs/>
          <w:sz w:val="32"/>
          <w:szCs w:val="36"/>
        </w:rPr>
      </w:pPr>
    </w:p>
    <w:p w14:paraId="7D93016F" w14:textId="77777777" w:rsidR="005F7F86" w:rsidRPr="005F7F86" w:rsidRDefault="005F7F86" w:rsidP="005F7F86">
      <w:pPr>
        <w:jc w:val="center"/>
        <w:rPr>
          <w:rFonts w:cs="Times New Roman"/>
          <w:i/>
          <w:iCs/>
          <w:sz w:val="32"/>
          <w:szCs w:val="36"/>
        </w:rPr>
      </w:pPr>
    </w:p>
    <w:p w14:paraId="0BAAED9F" w14:textId="76D842EB" w:rsidR="005F7F86" w:rsidRPr="005F7F86" w:rsidRDefault="00000000" w:rsidP="005F7F86">
      <w:pPr>
        <w:jc w:val="center"/>
        <w:rPr>
          <w:rFonts w:cs="Times New Roman"/>
          <w:sz w:val="32"/>
          <w:szCs w:val="36"/>
        </w:rPr>
      </w:pPr>
      <w:r w:rsidRPr="005F7F86">
        <w:rPr>
          <w:rFonts w:cs="Times New Roman"/>
          <w:sz w:val="32"/>
          <w:szCs w:val="36"/>
        </w:rPr>
        <w:t>Student Name:</w:t>
      </w:r>
      <w:r w:rsidR="00D0055F">
        <w:rPr>
          <w:rFonts w:cs="Times New Roman"/>
          <w:sz w:val="32"/>
          <w:szCs w:val="36"/>
        </w:rPr>
        <w:t xml:space="preserve"> Lalani De Silva</w:t>
      </w:r>
    </w:p>
    <w:p w14:paraId="376AAEA0" w14:textId="01F81A63" w:rsidR="005F7F86" w:rsidRPr="005F7F86" w:rsidRDefault="00000000" w:rsidP="005F7F86">
      <w:pPr>
        <w:jc w:val="center"/>
        <w:rPr>
          <w:rFonts w:cs="Times New Roman"/>
          <w:sz w:val="32"/>
          <w:szCs w:val="36"/>
        </w:rPr>
      </w:pPr>
      <w:r w:rsidRPr="005F7F86">
        <w:rPr>
          <w:rFonts w:cs="Times New Roman"/>
          <w:sz w:val="32"/>
          <w:szCs w:val="36"/>
        </w:rPr>
        <w:t>ID:</w:t>
      </w:r>
      <w:r w:rsidR="00D0055F">
        <w:rPr>
          <w:rFonts w:cs="Times New Roman"/>
          <w:sz w:val="32"/>
          <w:szCs w:val="36"/>
        </w:rPr>
        <w:t xml:space="preserve"> 2230713</w:t>
      </w:r>
    </w:p>
    <w:p w14:paraId="12B9FD01" w14:textId="77777777" w:rsidR="006C505F" w:rsidRPr="005F7F86" w:rsidRDefault="006C505F" w:rsidP="005F7F86">
      <w:pPr>
        <w:rPr>
          <w:rFonts w:cs="Times New Roman"/>
        </w:rPr>
      </w:pPr>
    </w:p>
    <w:p w14:paraId="042BD0C8" w14:textId="77777777" w:rsidR="00084CA4" w:rsidRPr="005F7F86" w:rsidRDefault="00000000" w:rsidP="005F7F86">
      <w:pPr>
        <w:rPr>
          <w:rFonts w:cs="Times New Roman"/>
        </w:rPr>
      </w:pPr>
      <w:r w:rsidRPr="005F7F86">
        <w:rPr>
          <w:rFonts w:cs="Times New Roman"/>
        </w:rPr>
        <w:br w:type="page"/>
      </w:r>
    </w:p>
    <w:p w14:paraId="1FF52BBA" w14:textId="77777777" w:rsidR="00084CA4" w:rsidRPr="00084CA4" w:rsidRDefault="00000000" w:rsidP="005F7F86">
      <w:pPr>
        <w:rPr>
          <w:rFonts w:cs="Times New Roman"/>
          <w:b/>
          <w:bCs/>
          <w:color w:val="2F5496" w:themeColor="accent1" w:themeShade="BF"/>
          <w:sz w:val="32"/>
          <w:szCs w:val="36"/>
        </w:rPr>
      </w:pPr>
      <w:r w:rsidRPr="00084CA4">
        <w:rPr>
          <w:rFonts w:cs="Times New Roman"/>
          <w:b/>
          <w:bCs/>
          <w:color w:val="2F5496" w:themeColor="accent1" w:themeShade="BF"/>
          <w:sz w:val="32"/>
          <w:szCs w:val="36"/>
        </w:rPr>
        <w:lastRenderedPageBreak/>
        <w:t>Acknowledgement</w:t>
      </w:r>
      <w:r w:rsidRPr="005F7F86">
        <w:rPr>
          <w:rFonts w:cs="Times New Roman"/>
          <w:b/>
          <w:bCs/>
          <w:color w:val="2F5496" w:themeColor="accent1" w:themeShade="BF"/>
          <w:sz w:val="32"/>
          <w:szCs w:val="36"/>
        </w:rPr>
        <w:t>:</w:t>
      </w:r>
    </w:p>
    <w:p w14:paraId="1B9B3259" w14:textId="77777777" w:rsidR="00084CA4" w:rsidRPr="00084CA4" w:rsidRDefault="00000000" w:rsidP="005F7F86">
      <w:pPr>
        <w:rPr>
          <w:rFonts w:cs="Times New Roman"/>
        </w:rPr>
      </w:pPr>
      <w:r w:rsidRPr="005F7F86">
        <w:rPr>
          <w:rFonts w:cs="Times New Roman"/>
        </w:rPr>
        <w:t>I sincerely thank my project supervisor for patient guidance, feedback and support throughout my research work. I thank the management and staff of Mercure Thame Lambert Hotel for allowing me to do my placement there, for enabling me to access the areas of operations, and for sharing insights from practice, which have aided the case study. The kitchen and front-of-house teams were especially generous with their time and experience, giving insights that made for an interesting analysis. I also thank the module tutors and library team at the university for advice and help in sourcing literature. I owe my family and friends a big thank you for their support and understanding during my research work. This project is for anyone who offered their skills, time and support. I also thank academic authors whose work supported this research, along with industry reports and online reviews that are publicly available. Sincerely.</w:t>
      </w:r>
    </w:p>
    <w:p w14:paraId="2BE74784" w14:textId="77777777" w:rsidR="0031260B" w:rsidRPr="005F7F86" w:rsidRDefault="00000000" w:rsidP="005F7F86">
      <w:pPr>
        <w:rPr>
          <w:rFonts w:cs="Times New Roman"/>
        </w:rPr>
      </w:pPr>
      <w:r w:rsidRPr="005F7F86">
        <w:rPr>
          <w:rFonts w:cs="Times New Roman"/>
        </w:rPr>
        <w:br w:type="page"/>
      </w:r>
    </w:p>
    <w:p w14:paraId="62AF5BDB" w14:textId="77777777" w:rsidR="0031260B" w:rsidRPr="005F7F86" w:rsidRDefault="00000000" w:rsidP="005F7F86">
      <w:pPr>
        <w:rPr>
          <w:rFonts w:cs="Times New Roman"/>
          <w:b/>
          <w:bCs/>
          <w:color w:val="2F5496" w:themeColor="accent1" w:themeShade="BF"/>
          <w:sz w:val="32"/>
          <w:szCs w:val="36"/>
        </w:rPr>
      </w:pPr>
      <w:r w:rsidRPr="005F7F86">
        <w:rPr>
          <w:rFonts w:cs="Times New Roman"/>
          <w:b/>
          <w:bCs/>
          <w:color w:val="2F5496" w:themeColor="accent1" w:themeShade="BF"/>
          <w:sz w:val="32"/>
          <w:szCs w:val="36"/>
        </w:rPr>
        <w:lastRenderedPageBreak/>
        <w:t>Abstract:</w:t>
      </w:r>
    </w:p>
    <w:p w14:paraId="7C63D6A4" w14:textId="77777777" w:rsidR="0031260B" w:rsidRPr="005F7F86" w:rsidRDefault="00000000" w:rsidP="005F7F86">
      <w:pPr>
        <w:rPr>
          <w:rFonts w:cs="Times New Roman"/>
        </w:rPr>
      </w:pPr>
      <w:r w:rsidRPr="005F7F86">
        <w:rPr>
          <w:rFonts w:cs="Times New Roman"/>
        </w:rPr>
        <w:t>The proposed placement research project is a critical study on the degree to which food and beverage (F&amp;B) operations at the Mercure Thame Lambert Hotel are integrated into sustainability. The intended purpose of the study is to determine the existing F&amp;B sustainability policies and initiatives of the hotel, assess the effect of the practices on customer experience via secondary evidence, and suggest practical sustainability measures depending on the placement context. This particular research objectives are: (1) to examine current sustainability policies and programmes in the placement hotel and compare them with the academic and industry best practices (2) to review secondary sources (corporate responsibility statements, industry guidance and online visitor comments) to determine whether F&amp;B sustainability has an impact on customer experience (3) to provide evidence-based and viable recommendations on how F&amp;B sustainability may be improved at the hotel. (Accor Group, 2023; Damigos, 2023).</w:t>
      </w:r>
    </w:p>
    <w:p w14:paraId="1D2E5BF9" w14:textId="77777777" w:rsidR="0031260B" w:rsidRPr="005F7F86" w:rsidRDefault="00000000" w:rsidP="005F7F86">
      <w:pPr>
        <w:rPr>
          <w:rFonts w:cs="Times New Roman"/>
        </w:rPr>
      </w:pPr>
      <w:r w:rsidRPr="005F7F86">
        <w:rPr>
          <w:rFonts w:cs="Times New Roman"/>
        </w:rPr>
        <w:t>Methodologically, the project adopts a desk-based single case-study design using exclusively secondary sources. Core documentary inputs include Accor/Mercure corporate disclosures and impact reporting, industry toolkits and guidance (WRAP; Sustainable Hospitality Alliance), peer-reviewed academic literature on hospitality CSR and F&amp;B sustainability, sector technology case studies (Winnow; Orbisk), and customer-generated content from OTA/review platforms (TripAdvisor, Booking.com). A purposive sampling strategy targeted recent (past three years) guest reviews containing sustainability-related keywords, while content and thematic analyses were employed to code corporate statements and customer comments into thematic categories (procurement, waste, packaging, communication, measurement) for triangulated interpretation (WRAP, 2024; Winnow Solutions, 2024; Orbisk, 2024).</w:t>
      </w:r>
    </w:p>
    <w:p w14:paraId="168B25D1" w14:textId="77777777" w:rsidR="0031260B" w:rsidRPr="005F7F86" w:rsidRDefault="00000000" w:rsidP="005F7F86">
      <w:pPr>
        <w:rPr>
          <w:rFonts w:cs="Times New Roman"/>
        </w:rPr>
      </w:pPr>
      <w:r w:rsidRPr="005F7F86">
        <w:rPr>
          <w:rFonts w:cs="Times New Roman"/>
        </w:rPr>
        <w:t>Key findings reveal a pattern of </w:t>
      </w:r>
      <w:r w:rsidRPr="005F7F86">
        <w:rPr>
          <w:rFonts w:cs="Times New Roman"/>
          <w:b/>
          <w:bCs/>
        </w:rPr>
        <w:t>selective adoption</w:t>
      </w:r>
      <w:r w:rsidRPr="005F7F86">
        <w:rPr>
          <w:rFonts w:cs="Times New Roman"/>
        </w:rPr>
        <w:t xml:space="preserve">: Mercure Thame Lambert communicates a clear emphasis on local and seasonal provenance in menus and marketing, and placement observations documented reduced single-use disposables and visible use of regional suppliers, actions that positively influence guest perception (provenance signalling) (Parkin, 2022). However, the hotel lacks public evidence of systematic food-waste measurement (digital or consistently manual), formal redistribution partnerships (e.g., Too Good To Go / FareShare), and standardised on-menu sustainability labelling; these omissions create a gap between brand-level commitments (Accor’s portfolio targets and technology pilots) and property-level demonstrable impact (Accor Group, 2023; Orbisk, 2024). Guest reviews more frequently referenced food quality and provenance than explicit sustainability practices, indicating that </w:t>
      </w:r>
      <w:r w:rsidRPr="005F7F86">
        <w:rPr>
          <w:rFonts w:cs="Times New Roman"/>
        </w:rPr>
        <w:lastRenderedPageBreak/>
        <w:t>visible, guest-facing cues drive perception more than unseen back-of-house actions (TripAdvisor, 2024; Damigos, 2023).</w:t>
      </w:r>
    </w:p>
    <w:p w14:paraId="73368BE7" w14:textId="77777777" w:rsidR="0031260B" w:rsidRPr="005F7F86" w:rsidRDefault="00000000" w:rsidP="005F7F86">
      <w:pPr>
        <w:rPr>
          <w:rFonts w:cs="Times New Roman"/>
        </w:rPr>
      </w:pPr>
      <w:r w:rsidRPr="005F7F86">
        <w:rPr>
          <w:rFonts w:cs="Times New Roman"/>
        </w:rPr>
        <w:t>Principal conclusions are: (a) the hotel has established valuable guest-facing sustainability signals (local provenance, reduced disposables) that support guest satisfaction; (b) measurable environmental and economic gains (food-waste cost reductions, verified diversion) remain under-realised without baseline measurement and diversion mechanisms; and (c) a staged implementation pathway immediate low-cost communication and manual audits, medium-term digital measurement pilots and redistribution partnerships, and longer-term integration with Accor reporting and circular-waste solutions is the most feasible route for a mid-scale franchised property to achieve demonstrable TBL outcomes (Winnow; WRAP, 2024).</w:t>
      </w:r>
    </w:p>
    <w:p w14:paraId="0EA219FA" w14:textId="77777777" w:rsidR="0031260B" w:rsidRPr="005F7F86" w:rsidRDefault="00000000" w:rsidP="005F7F86">
      <w:pPr>
        <w:rPr>
          <w:rFonts w:cs="Times New Roman"/>
        </w:rPr>
      </w:pPr>
      <w:r w:rsidRPr="005F7F86">
        <w:rPr>
          <w:rFonts w:cs="Times New Roman"/>
        </w:rPr>
        <w:t>Headline recommendations are: (1) implement an immediate manual waste baseline and standardised menu provenance icons to increase guest salience and inform interventions; (2) pilot a digital waste-measurement solution (or secure Accor/owner co-funding) to identify high-impact reduction opportunities; and (3) operationalise redistribution partnerships for edible surplus to reduce waste and enhance community engagement (Too Good To Go; FareShare) (Winnow Solutions, 2024; Too Good To Go, 2023).</w:t>
      </w:r>
    </w:p>
    <w:p w14:paraId="7BCB4570" w14:textId="77777777" w:rsidR="0031260B" w:rsidRPr="005F7F86" w:rsidRDefault="00000000" w:rsidP="005F7F86">
      <w:pPr>
        <w:rPr>
          <w:rFonts w:cs="Times New Roman"/>
        </w:rPr>
      </w:pPr>
      <w:r w:rsidRPr="005F7F86">
        <w:rPr>
          <w:rFonts w:cs="Times New Roman"/>
        </w:rPr>
        <w:t>Limitations: the desk-based design relies on publicly available documents and self-selected online reviews, which introduce visibility and selection biases and preclude direct managerial and supplier interviews. Consequently, findings should be treated as diagnostic and used to prioritise targeted primary audits (manual waste weighings, manager interviews) before major capital investments are pursued (Xiang et al., 2017).</w:t>
      </w:r>
    </w:p>
    <w:p w14:paraId="4033CDAD" w14:textId="77777777" w:rsidR="00671BDF" w:rsidRPr="005F7F86" w:rsidRDefault="00000000" w:rsidP="005F7F86">
      <w:pPr>
        <w:rPr>
          <w:rFonts w:eastAsiaTheme="majorEastAsia" w:cs="Times New Roman"/>
          <w:b/>
          <w:color w:val="2F5496" w:themeColor="accent1" w:themeShade="BF"/>
          <w:sz w:val="32"/>
          <w:szCs w:val="40"/>
        </w:rPr>
      </w:pPr>
      <w:r w:rsidRPr="005F7F86">
        <w:rPr>
          <w:rFonts w:cs="Times New Roman"/>
        </w:rPr>
        <w:br w:type="page"/>
      </w:r>
    </w:p>
    <w:sdt>
      <w:sdtPr>
        <w:rPr>
          <w:rFonts w:ascii="Times New Roman" w:eastAsiaTheme="minorHAnsi" w:hAnsi="Times New Roman" w:cs="Times New Roman"/>
          <w:b w:val="0"/>
          <w:bCs w:val="0"/>
          <w:color w:val="auto"/>
          <w:kern w:val="2"/>
          <w:sz w:val="24"/>
          <w:szCs w:val="30"/>
          <w:lang w:val="en-GB" w:bidi="bn-IN"/>
          <w14:ligatures w14:val="standardContextual"/>
        </w:rPr>
        <w:id w:val="1231965340"/>
        <w:docPartObj>
          <w:docPartGallery w:val="Table of Contents"/>
          <w:docPartUnique/>
        </w:docPartObj>
      </w:sdtPr>
      <w:sdtEndPr>
        <w:rPr>
          <w:noProof/>
        </w:rPr>
      </w:sdtEndPr>
      <w:sdtContent>
        <w:p w14:paraId="1E664695" w14:textId="77777777" w:rsidR="005F7F86" w:rsidRPr="005F7F86" w:rsidRDefault="00000000" w:rsidP="005F7F86">
          <w:pPr>
            <w:pStyle w:val="TOCHeading"/>
            <w:spacing w:line="360" w:lineRule="auto"/>
            <w:jc w:val="center"/>
            <w:rPr>
              <w:rFonts w:ascii="Times New Roman" w:hAnsi="Times New Roman" w:cs="Times New Roman"/>
              <w:lang w:val="en-GB"/>
            </w:rPr>
          </w:pPr>
          <w:r w:rsidRPr="005F7F86">
            <w:rPr>
              <w:rFonts w:ascii="Times New Roman" w:hAnsi="Times New Roman" w:cs="Times New Roman"/>
              <w:lang w:val="en-GB"/>
            </w:rPr>
            <w:t>Table of Contents</w:t>
          </w:r>
        </w:p>
        <w:p w14:paraId="54AE88B6" w14:textId="77777777" w:rsidR="005F7F86" w:rsidRPr="005F7F86" w:rsidRDefault="00000000" w:rsidP="005F7F86">
          <w:pPr>
            <w:pStyle w:val="TOC1"/>
            <w:tabs>
              <w:tab w:val="right" w:leader="dot" w:pos="9016"/>
            </w:tabs>
            <w:rPr>
              <w:rFonts w:ascii="Times New Roman" w:eastAsiaTheme="minorEastAsia" w:hAnsi="Times New Roman" w:cs="Times New Roman"/>
              <w:bCs w:val="0"/>
              <w:caps w:val="0"/>
              <w:noProof/>
              <w:szCs w:val="30"/>
              <w:lang w:eastAsia="en-GB"/>
            </w:rPr>
          </w:pPr>
          <w:r w:rsidRPr="005F7F86">
            <w:rPr>
              <w:rFonts w:ascii="Times New Roman" w:hAnsi="Times New Roman" w:cs="Times New Roman"/>
              <w:b w:val="0"/>
              <w:bCs w:val="0"/>
            </w:rPr>
            <w:fldChar w:fldCharType="begin"/>
          </w:r>
          <w:r w:rsidRPr="005F7F86">
            <w:rPr>
              <w:rFonts w:ascii="Times New Roman" w:hAnsi="Times New Roman" w:cs="Times New Roman"/>
            </w:rPr>
            <w:instrText xml:space="preserve"> TOC \o "1-3" \h \z \u </w:instrText>
          </w:r>
          <w:r w:rsidRPr="005F7F86">
            <w:rPr>
              <w:rFonts w:ascii="Times New Roman" w:hAnsi="Times New Roman" w:cs="Times New Roman"/>
              <w:b w:val="0"/>
              <w:bCs w:val="0"/>
            </w:rPr>
            <w:fldChar w:fldCharType="separate"/>
          </w:r>
          <w:hyperlink w:anchor="_Toc211429579" w:history="1">
            <w:r w:rsidR="005F7F86" w:rsidRPr="005F7F86">
              <w:rPr>
                <w:rStyle w:val="Hyperlink"/>
                <w:rFonts w:ascii="Times New Roman" w:hAnsi="Times New Roman" w:cs="Times New Roman"/>
                <w:noProof/>
              </w:rPr>
              <w:t>Chapter 1: Introduction</w:t>
            </w:r>
            <w:r w:rsidR="005F7F86" w:rsidRPr="005F7F86">
              <w:rPr>
                <w:rFonts w:ascii="Times New Roman" w:hAnsi="Times New Roman" w:cs="Times New Roman"/>
                <w:noProof/>
                <w:webHidden/>
              </w:rPr>
              <w:tab/>
            </w:r>
            <w:r w:rsidR="005F7F86" w:rsidRPr="005F7F86">
              <w:rPr>
                <w:rFonts w:ascii="Times New Roman" w:hAnsi="Times New Roman" w:cs="Times New Roman"/>
                <w:noProof/>
                <w:webHidden/>
              </w:rPr>
              <w:fldChar w:fldCharType="begin"/>
            </w:r>
            <w:r w:rsidR="005F7F86" w:rsidRPr="005F7F86">
              <w:rPr>
                <w:rFonts w:ascii="Times New Roman" w:hAnsi="Times New Roman" w:cs="Times New Roman"/>
                <w:noProof/>
                <w:webHidden/>
              </w:rPr>
              <w:instrText xml:space="preserve"> PAGEREF _Toc211429579 \h </w:instrText>
            </w:r>
            <w:r w:rsidR="005F7F86" w:rsidRPr="005F7F86">
              <w:rPr>
                <w:rFonts w:ascii="Times New Roman" w:hAnsi="Times New Roman" w:cs="Times New Roman"/>
                <w:noProof/>
                <w:webHidden/>
              </w:rPr>
            </w:r>
            <w:r w:rsidR="005F7F86" w:rsidRPr="005F7F86">
              <w:rPr>
                <w:rFonts w:ascii="Times New Roman" w:hAnsi="Times New Roman" w:cs="Times New Roman"/>
                <w:noProof/>
                <w:webHidden/>
              </w:rPr>
              <w:fldChar w:fldCharType="separate"/>
            </w:r>
            <w:r w:rsidR="005F7F86" w:rsidRPr="005F7F86">
              <w:rPr>
                <w:rFonts w:ascii="Times New Roman" w:hAnsi="Times New Roman" w:cs="Times New Roman"/>
                <w:noProof/>
                <w:webHidden/>
              </w:rPr>
              <w:t>6</w:t>
            </w:r>
            <w:r w:rsidR="005F7F86" w:rsidRPr="005F7F86">
              <w:rPr>
                <w:rFonts w:ascii="Times New Roman" w:hAnsi="Times New Roman" w:cs="Times New Roman"/>
                <w:noProof/>
                <w:webHidden/>
              </w:rPr>
              <w:fldChar w:fldCharType="end"/>
            </w:r>
          </w:hyperlink>
        </w:p>
        <w:p w14:paraId="46BF8C01" w14:textId="77777777" w:rsidR="005F7F86" w:rsidRPr="005F7F86" w:rsidRDefault="005F7F86" w:rsidP="005F7F86">
          <w:pPr>
            <w:pStyle w:val="TOC1"/>
            <w:tabs>
              <w:tab w:val="right" w:leader="dot" w:pos="9016"/>
            </w:tabs>
            <w:rPr>
              <w:rFonts w:ascii="Times New Roman" w:eastAsiaTheme="minorEastAsia" w:hAnsi="Times New Roman" w:cs="Times New Roman"/>
              <w:bCs w:val="0"/>
              <w:caps w:val="0"/>
              <w:noProof/>
              <w:szCs w:val="30"/>
              <w:lang w:eastAsia="en-GB"/>
            </w:rPr>
          </w:pPr>
          <w:hyperlink w:anchor="_Toc211429580" w:history="1">
            <w:r w:rsidRPr="005F7F86">
              <w:rPr>
                <w:rStyle w:val="Hyperlink"/>
                <w:rFonts w:ascii="Times New Roman" w:hAnsi="Times New Roman" w:cs="Times New Roman"/>
                <w:noProof/>
              </w:rPr>
              <w:t>Chapter 2: Literature Review</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_Toc211429580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7</w:t>
            </w:r>
            <w:r w:rsidRPr="005F7F86">
              <w:rPr>
                <w:rFonts w:ascii="Times New Roman" w:hAnsi="Times New Roman" w:cs="Times New Roman"/>
                <w:noProof/>
                <w:webHidden/>
              </w:rPr>
              <w:fldChar w:fldCharType="end"/>
            </w:r>
          </w:hyperlink>
        </w:p>
        <w:p w14:paraId="3D6ACCB1" w14:textId="77777777" w:rsidR="005F7F86" w:rsidRPr="005F7F86" w:rsidRDefault="005F7F86" w:rsidP="005F7F86">
          <w:pPr>
            <w:pStyle w:val="TOC2"/>
            <w:tabs>
              <w:tab w:val="right" w:leader="dot" w:pos="9016"/>
            </w:tabs>
            <w:rPr>
              <w:rFonts w:ascii="Times New Roman" w:hAnsi="Times New Roman" w:cs="Times New Roman"/>
              <w:noProof/>
            </w:rPr>
          </w:pPr>
          <w:hyperlink w:anchor="_Toc211429581" w:history="1">
            <w:r w:rsidRPr="005F7F86">
              <w:rPr>
                <w:rStyle w:val="Hyperlink"/>
                <w:rFonts w:ascii="Times New Roman" w:hAnsi="Times New Roman" w:cs="Times New Roman"/>
                <w:noProof/>
              </w:rPr>
              <w:t>2.1 Theoretical Foundations:</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_Toc211429581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7</w:t>
            </w:r>
            <w:r w:rsidRPr="005F7F86">
              <w:rPr>
                <w:rFonts w:ascii="Times New Roman" w:hAnsi="Times New Roman" w:cs="Times New Roman"/>
                <w:noProof/>
                <w:webHidden/>
              </w:rPr>
              <w:fldChar w:fldCharType="end"/>
            </w:r>
          </w:hyperlink>
        </w:p>
        <w:p w14:paraId="453B8355" w14:textId="77777777" w:rsidR="005F7F86" w:rsidRPr="005F7F86" w:rsidRDefault="005F7F86" w:rsidP="005F7F86">
          <w:pPr>
            <w:pStyle w:val="TOC2"/>
            <w:tabs>
              <w:tab w:val="right" w:leader="dot" w:pos="9016"/>
            </w:tabs>
            <w:rPr>
              <w:rFonts w:ascii="Times New Roman" w:hAnsi="Times New Roman" w:cs="Times New Roman"/>
              <w:noProof/>
            </w:rPr>
          </w:pPr>
          <w:hyperlink w:anchor="_Toc211429582" w:history="1">
            <w:r w:rsidRPr="005F7F86">
              <w:rPr>
                <w:rStyle w:val="Hyperlink"/>
                <w:rFonts w:ascii="Times New Roman" w:hAnsi="Times New Roman" w:cs="Times New Roman"/>
                <w:noProof/>
              </w:rPr>
              <w:t>2.2 Industry-Specific Literature: Sustainable F&amp;B Practices</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_Toc211429582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8</w:t>
            </w:r>
            <w:r w:rsidRPr="005F7F86">
              <w:rPr>
                <w:rFonts w:ascii="Times New Roman" w:hAnsi="Times New Roman" w:cs="Times New Roman"/>
                <w:noProof/>
                <w:webHidden/>
              </w:rPr>
              <w:fldChar w:fldCharType="end"/>
            </w:r>
          </w:hyperlink>
        </w:p>
        <w:p w14:paraId="172A3656" w14:textId="77777777" w:rsidR="005F7F86" w:rsidRPr="005F7F86" w:rsidRDefault="005F7F86" w:rsidP="005F7F86">
          <w:pPr>
            <w:pStyle w:val="TOC2"/>
            <w:tabs>
              <w:tab w:val="right" w:leader="dot" w:pos="9016"/>
            </w:tabs>
            <w:rPr>
              <w:rFonts w:ascii="Times New Roman" w:hAnsi="Times New Roman" w:cs="Times New Roman"/>
              <w:noProof/>
            </w:rPr>
          </w:pPr>
          <w:hyperlink w:anchor="_Toc211429583" w:history="1">
            <w:r w:rsidRPr="005F7F86">
              <w:rPr>
                <w:rStyle w:val="Hyperlink"/>
                <w:rFonts w:ascii="Times New Roman" w:hAnsi="Times New Roman" w:cs="Times New Roman"/>
                <w:noProof/>
              </w:rPr>
              <w:t>2.3 Policy and Standards:</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_Toc211429583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9</w:t>
            </w:r>
            <w:r w:rsidRPr="005F7F86">
              <w:rPr>
                <w:rFonts w:ascii="Times New Roman" w:hAnsi="Times New Roman" w:cs="Times New Roman"/>
                <w:noProof/>
                <w:webHidden/>
              </w:rPr>
              <w:fldChar w:fldCharType="end"/>
            </w:r>
          </w:hyperlink>
        </w:p>
        <w:p w14:paraId="49734EA5" w14:textId="77777777" w:rsidR="005F7F86" w:rsidRPr="005F7F86" w:rsidRDefault="005F7F86" w:rsidP="005F7F86">
          <w:pPr>
            <w:pStyle w:val="TOC2"/>
            <w:tabs>
              <w:tab w:val="right" w:leader="dot" w:pos="9016"/>
            </w:tabs>
            <w:rPr>
              <w:rFonts w:ascii="Times New Roman" w:hAnsi="Times New Roman" w:cs="Times New Roman"/>
              <w:noProof/>
            </w:rPr>
          </w:pPr>
          <w:hyperlink w:anchor="_Toc211429584" w:history="1">
            <w:r w:rsidRPr="005F7F86">
              <w:rPr>
                <w:rStyle w:val="Hyperlink"/>
                <w:rFonts w:ascii="Times New Roman" w:hAnsi="Times New Roman" w:cs="Times New Roman"/>
                <w:noProof/>
              </w:rPr>
              <w:t>2.4 Evidence on Customer Perceptions and Commercial Impact:</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_Toc211429584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9</w:t>
            </w:r>
            <w:r w:rsidRPr="005F7F86">
              <w:rPr>
                <w:rFonts w:ascii="Times New Roman" w:hAnsi="Times New Roman" w:cs="Times New Roman"/>
                <w:noProof/>
                <w:webHidden/>
              </w:rPr>
              <w:fldChar w:fldCharType="end"/>
            </w:r>
          </w:hyperlink>
        </w:p>
        <w:p w14:paraId="679CDBC4" w14:textId="77777777" w:rsidR="005F7F86" w:rsidRPr="005F7F86" w:rsidRDefault="005F7F86" w:rsidP="005F7F86">
          <w:pPr>
            <w:pStyle w:val="TOC2"/>
            <w:tabs>
              <w:tab w:val="right" w:leader="dot" w:pos="9016"/>
            </w:tabs>
            <w:rPr>
              <w:rFonts w:ascii="Times New Roman" w:hAnsi="Times New Roman" w:cs="Times New Roman"/>
              <w:noProof/>
            </w:rPr>
          </w:pPr>
          <w:hyperlink w:anchor="_Toc211429585" w:history="1">
            <w:r w:rsidRPr="005F7F86">
              <w:rPr>
                <w:rStyle w:val="Hyperlink"/>
                <w:rFonts w:ascii="Times New Roman" w:hAnsi="Times New Roman" w:cs="Times New Roman"/>
                <w:noProof/>
              </w:rPr>
              <w:t>2.5 Identified Research Gaps:</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_Toc211429585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10</w:t>
            </w:r>
            <w:r w:rsidRPr="005F7F86">
              <w:rPr>
                <w:rFonts w:ascii="Times New Roman" w:hAnsi="Times New Roman" w:cs="Times New Roman"/>
                <w:noProof/>
                <w:webHidden/>
              </w:rPr>
              <w:fldChar w:fldCharType="end"/>
            </w:r>
          </w:hyperlink>
        </w:p>
        <w:p w14:paraId="07A7E784" w14:textId="77777777" w:rsidR="005F7F86" w:rsidRPr="005F7F86" w:rsidRDefault="005F7F86" w:rsidP="005F7F86">
          <w:pPr>
            <w:pStyle w:val="TOC1"/>
            <w:tabs>
              <w:tab w:val="right" w:leader="dot" w:pos="9016"/>
            </w:tabs>
            <w:rPr>
              <w:rFonts w:ascii="Times New Roman" w:eastAsiaTheme="minorEastAsia" w:hAnsi="Times New Roman" w:cs="Times New Roman"/>
              <w:bCs w:val="0"/>
              <w:caps w:val="0"/>
              <w:noProof/>
              <w:szCs w:val="30"/>
              <w:lang w:eastAsia="en-GB"/>
            </w:rPr>
          </w:pPr>
          <w:hyperlink w:anchor="_Toc211429586" w:history="1">
            <w:r w:rsidRPr="005F7F86">
              <w:rPr>
                <w:rStyle w:val="Hyperlink"/>
                <w:rFonts w:ascii="Times New Roman" w:hAnsi="Times New Roman" w:cs="Times New Roman"/>
                <w:noProof/>
              </w:rPr>
              <w:t>Chapter 3: Methodology</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_Toc211429586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10</w:t>
            </w:r>
            <w:r w:rsidRPr="005F7F86">
              <w:rPr>
                <w:rFonts w:ascii="Times New Roman" w:hAnsi="Times New Roman" w:cs="Times New Roman"/>
                <w:noProof/>
                <w:webHidden/>
              </w:rPr>
              <w:fldChar w:fldCharType="end"/>
            </w:r>
          </w:hyperlink>
        </w:p>
        <w:p w14:paraId="4F69695A" w14:textId="77777777" w:rsidR="005F7F86" w:rsidRPr="005F7F86" w:rsidRDefault="005F7F86" w:rsidP="005F7F86">
          <w:pPr>
            <w:pStyle w:val="TOC2"/>
            <w:tabs>
              <w:tab w:val="right" w:leader="dot" w:pos="9016"/>
            </w:tabs>
            <w:rPr>
              <w:rFonts w:ascii="Times New Roman" w:hAnsi="Times New Roman" w:cs="Times New Roman"/>
              <w:noProof/>
            </w:rPr>
          </w:pPr>
          <w:hyperlink w:anchor="_Toc211429587" w:history="1">
            <w:r w:rsidRPr="005F7F86">
              <w:rPr>
                <w:rStyle w:val="Hyperlink"/>
                <w:rFonts w:ascii="Times New Roman" w:hAnsi="Times New Roman" w:cs="Times New Roman"/>
                <w:noProof/>
              </w:rPr>
              <w:t>3.1 Research Design: Desk-Based Case Study Rationale</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_Toc211429587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10</w:t>
            </w:r>
            <w:r w:rsidRPr="005F7F86">
              <w:rPr>
                <w:rFonts w:ascii="Times New Roman" w:hAnsi="Times New Roman" w:cs="Times New Roman"/>
                <w:noProof/>
                <w:webHidden/>
              </w:rPr>
              <w:fldChar w:fldCharType="end"/>
            </w:r>
          </w:hyperlink>
        </w:p>
        <w:p w14:paraId="19FB7697" w14:textId="77777777" w:rsidR="005F7F86" w:rsidRPr="005F7F86" w:rsidRDefault="005F7F86" w:rsidP="005F7F86">
          <w:pPr>
            <w:pStyle w:val="TOC2"/>
            <w:tabs>
              <w:tab w:val="right" w:leader="dot" w:pos="9016"/>
            </w:tabs>
            <w:rPr>
              <w:rFonts w:ascii="Times New Roman" w:hAnsi="Times New Roman" w:cs="Times New Roman"/>
              <w:noProof/>
            </w:rPr>
          </w:pPr>
          <w:hyperlink w:anchor="_Toc211429588" w:history="1">
            <w:r w:rsidRPr="005F7F86">
              <w:rPr>
                <w:rStyle w:val="Hyperlink"/>
                <w:rFonts w:ascii="Times New Roman" w:hAnsi="Times New Roman" w:cs="Times New Roman"/>
                <w:noProof/>
              </w:rPr>
              <w:t>3.2 Data Sources and Sampling:</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_Toc211429588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11</w:t>
            </w:r>
            <w:r w:rsidRPr="005F7F86">
              <w:rPr>
                <w:rFonts w:ascii="Times New Roman" w:hAnsi="Times New Roman" w:cs="Times New Roman"/>
                <w:noProof/>
                <w:webHidden/>
              </w:rPr>
              <w:fldChar w:fldCharType="end"/>
            </w:r>
          </w:hyperlink>
        </w:p>
        <w:p w14:paraId="5F0150FA" w14:textId="77777777" w:rsidR="005F7F86" w:rsidRPr="005F7F86" w:rsidRDefault="005F7F86" w:rsidP="005F7F86">
          <w:pPr>
            <w:pStyle w:val="TOC2"/>
            <w:tabs>
              <w:tab w:val="right" w:leader="dot" w:pos="9016"/>
            </w:tabs>
            <w:rPr>
              <w:rFonts w:ascii="Times New Roman" w:hAnsi="Times New Roman" w:cs="Times New Roman"/>
              <w:noProof/>
            </w:rPr>
          </w:pPr>
          <w:hyperlink w:anchor="_Toc211429589" w:history="1">
            <w:r w:rsidRPr="005F7F86">
              <w:rPr>
                <w:rStyle w:val="Hyperlink"/>
                <w:rFonts w:ascii="Times New Roman" w:hAnsi="Times New Roman" w:cs="Times New Roman"/>
                <w:noProof/>
              </w:rPr>
              <w:t>3.3 Data Collection and Analysis Methods:</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_Toc211429589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11</w:t>
            </w:r>
            <w:r w:rsidRPr="005F7F86">
              <w:rPr>
                <w:rFonts w:ascii="Times New Roman" w:hAnsi="Times New Roman" w:cs="Times New Roman"/>
                <w:noProof/>
                <w:webHidden/>
              </w:rPr>
              <w:fldChar w:fldCharType="end"/>
            </w:r>
          </w:hyperlink>
        </w:p>
        <w:p w14:paraId="508C63A8" w14:textId="77777777" w:rsidR="005F7F86" w:rsidRPr="005F7F86" w:rsidRDefault="005F7F86" w:rsidP="005F7F86">
          <w:pPr>
            <w:pStyle w:val="TOC2"/>
            <w:tabs>
              <w:tab w:val="right" w:leader="dot" w:pos="9016"/>
            </w:tabs>
            <w:rPr>
              <w:rFonts w:ascii="Times New Roman" w:hAnsi="Times New Roman" w:cs="Times New Roman"/>
              <w:noProof/>
            </w:rPr>
          </w:pPr>
          <w:hyperlink w:anchor="_Toc211429590" w:history="1">
            <w:r w:rsidRPr="005F7F86">
              <w:rPr>
                <w:rStyle w:val="Hyperlink"/>
                <w:rFonts w:ascii="Times New Roman" w:hAnsi="Times New Roman" w:cs="Times New Roman"/>
                <w:noProof/>
              </w:rPr>
              <w:t>3.4 Quality, Validity and Ethical Considerations:</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_Toc211429590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12</w:t>
            </w:r>
            <w:r w:rsidRPr="005F7F86">
              <w:rPr>
                <w:rFonts w:ascii="Times New Roman" w:hAnsi="Times New Roman" w:cs="Times New Roman"/>
                <w:noProof/>
                <w:webHidden/>
              </w:rPr>
              <w:fldChar w:fldCharType="end"/>
            </w:r>
          </w:hyperlink>
        </w:p>
        <w:p w14:paraId="34D7FFE5" w14:textId="77777777" w:rsidR="005F7F86" w:rsidRPr="005F7F86" w:rsidRDefault="005F7F86" w:rsidP="005F7F86">
          <w:pPr>
            <w:pStyle w:val="TOC1"/>
            <w:tabs>
              <w:tab w:val="right" w:leader="dot" w:pos="9016"/>
            </w:tabs>
            <w:rPr>
              <w:rFonts w:ascii="Times New Roman" w:eastAsiaTheme="minorEastAsia" w:hAnsi="Times New Roman" w:cs="Times New Roman"/>
              <w:bCs w:val="0"/>
              <w:caps w:val="0"/>
              <w:noProof/>
              <w:szCs w:val="30"/>
              <w:lang w:eastAsia="en-GB"/>
            </w:rPr>
          </w:pPr>
          <w:hyperlink w:anchor="_Toc211429591" w:history="1">
            <w:r w:rsidRPr="005F7F86">
              <w:rPr>
                <w:rStyle w:val="Hyperlink"/>
                <w:rFonts w:ascii="Times New Roman" w:hAnsi="Times New Roman" w:cs="Times New Roman"/>
                <w:noProof/>
              </w:rPr>
              <w:t>Chapter 4: Findings &amp; Discussion</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_Toc211429591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12</w:t>
            </w:r>
            <w:r w:rsidRPr="005F7F86">
              <w:rPr>
                <w:rFonts w:ascii="Times New Roman" w:hAnsi="Times New Roman" w:cs="Times New Roman"/>
                <w:noProof/>
                <w:webHidden/>
              </w:rPr>
              <w:fldChar w:fldCharType="end"/>
            </w:r>
          </w:hyperlink>
        </w:p>
        <w:p w14:paraId="5D80C231" w14:textId="77777777" w:rsidR="005F7F86" w:rsidRPr="005F7F86" w:rsidRDefault="005F7F86" w:rsidP="005F7F86">
          <w:pPr>
            <w:pStyle w:val="TOC2"/>
            <w:tabs>
              <w:tab w:val="right" w:leader="dot" w:pos="9016"/>
            </w:tabs>
            <w:rPr>
              <w:rFonts w:ascii="Times New Roman" w:hAnsi="Times New Roman" w:cs="Times New Roman"/>
              <w:noProof/>
            </w:rPr>
          </w:pPr>
          <w:hyperlink w:anchor="_Toc211429592" w:history="1">
            <w:r w:rsidRPr="005F7F86">
              <w:rPr>
                <w:rStyle w:val="Hyperlink"/>
                <w:rFonts w:ascii="Times New Roman" w:hAnsi="Times New Roman" w:cs="Times New Roman"/>
                <w:noProof/>
              </w:rPr>
              <w:t>4.1 Findings:</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_Toc211429592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12</w:t>
            </w:r>
            <w:r w:rsidRPr="005F7F86">
              <w:rPr>
                <w:rFonts w:ascii="Times New Roman" w:hAnsi="Times New Roman" w:cs="Times New Roman"/>
                <w:noProof/>
                <w:webHidden/>
              </w:rPr>
              <w:fldChar w:fldCharType="end"/>
            </w:r>
          </w:hyperlink>
        </w:p>
        <w:p w14:paraId="2FA6AF03" w14:textId="77777777" w:rsidR="005F7F86" w:rsidRPr="005F7F86" w:rsidRDefault="005F7F86" w:rsidP="005F7F86">
          <w:pPr>
            <w:pStyle w:val="TOC3"/>
            <w:tabs>
              <w:tab w:val="right" w:leader="dot" w:pos="9016"/>
            </w:tabs>
            <w:rPr>
              <w:rFonts w:ascii="Times New Roman" w:hAnsi="Times New Roman" w:cs="Times New Roman"/>
              <w:noProof/>
            </w:rPr>
          </w:pPr>
          <w:hyperlink w:anchor="_Toc211429593" w:history="1">
            <w:r w:rsidRPr="005F7F86">
              <w:rPr>
                <w:rStyle w:val="Hyperlink"/>
                <w:rFonts w:ascii="Times New Roman" w:hAnsi="Times New Roman" w:cs="Times New Roman"/>
                <w:noProof/>
              </w:rPr>
              <w:t>4.1.1 Current Sustainability Policies &amp; Initiatives at Mercure Thame Lambert Hotel:</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_Toc211429593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13</w:t>
            </w:r>
            <w:r w:rsidRPr="005F7F86">
              <w:rPr>
                <w:rFonts w:ascii="Times New Roman" w:hAnsi="Times New Roman" w:cs="Times New Roman"/>
                <w:noProof/>
                <w:webHidden/>
              </w:rPr>
              <w:fldChar w:fldCharType="end"/>
            </w:r>
          </w:hyperlink>
        </w:p>
        <w:p w14:paraId="2894DE6F" w14:textId="77777777" w:rsidR="005F7F86" w:rsidRPr="005F7F86" w:rsidRDefault="005F7F86" w:rsidP="005F7F86">
          <w:pPr>
            <w:pStyle w:val="TOC3"/>
            <w:tabs>
              <w:tab w:val="right" w:leader="dot" w:pos="9016"/>
            </w:tabs>
            <w:rPr>
              <w:rFonts w:ascii="Times New Roman" w:hAnsi="Times New Roman" w:cs="Times New Roman"/>
              <w:noProof/>
            </w:rPr>
          </w:pPr>
          <w:hyperlink w:anchor="_Toc211429594" w:history="1">
            <w:r w:rsidRPr="005F7F86">
              <w:rPr>
                <w:rStyle w:val="Hyperlink"/>
                <w:rFonts w:ascii="Times New Roman" w:hAnsi="Times New Roman" w:cs="Times New Roman"/>
                <w:noProof/>
              </w:rPr>
              <w:t>4.1.2 Procurement and Supply-Chain Practices:</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_Toc211429594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14</w:t>
            </w:r>
            <w:r w:rsidRPr="005F7F86">
              <w:rPr>
                <w:rFonts w:ascii="Times New Roman" w:hAnsi="Times New Roman" w:cs="Times New Roman"/>
                <w:noProof/>
                <w:webHidden/>
              </w:rPr>
              <w:fldChar w:fldCharType="end"/>
            </w:r>
          </w:hyperlink>
        </w:p>
        <w:p w14:paraId="722601B7" w14:textId="77777777" w:rsidR="005F7F86" w:rsidRPr="005F7F86" w:rsidRDefault="005F7F86" w:rsidP="005F7F86">
          <w:pPr>
            <w:pStyle w:val="TOC3"/>
            <w:tabs>
              <w:tab w:val="right" w:leader="dot" w:pos="9016"/>
            </w:tabs>
            <w:rPr>
              <w:rFonts w:ascii="Times New Roman" w:hAnsi="Times New Roman" w:cs="Times New Roman"/>
              <w:noProof/>
            </w:rPr>
          </w:pPr>
          <w:hyperlink w:anchor="_Toc211429595" w:history="1">
            <w:r w:rsidRPr="005F7F86">
              <w:rPr>
                <w:rStyle w:val="Hyperlink"/>
                <w:rFonts w:ascii="Times New Roman" w:hAnsi="Times New Roman" w:cs="Times New Roman"/>
                <w:noProof/>
              </w:rPr>
              <w:t>4.1.3 Food-Waste Management and Recycling Practices:</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_Toc211429595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14</w:t>
            </w:r>
            <w:r w:rsidRPr="005F7F86">
              <w:rPr>
                <w:rFonts w:ascii="Times New Roman" w:hAnsi="Times New Roman" w:cs="Times New Roman"/>
                <w:noProof/>
                <w:webHidden/>
              </w:rPr>
              <w:fldChar w:fldCharType="end"/>
            </w:r>
          </w:hyperlink>
        </w:p>
        <w:p w14:paraId="371CCEEE" w14:textId="77777777" w:rsidR="005F7F86" w:rsidRPr="005F7F86" w:rsidRDefault="005F7F86" w:rsidP="005F7F86">
          <w:pPr>
            <w:pStyle w:val="TOC3"/>
            <w:tabs>
              <w:tab w:val="right" w:leader="dot" w:pos="9016"/>
            </w:tabs>
            <w:rPr>
              <w:rFonts w:ascii="Times New Roman" w:hAnsi="Times New Roman" w:cs="Times New Roman"/>
              <w:noProof/>
            </w:rPr>
          </w:pPr>
          <w:hyperlink w:anchor="_Toc211429596" w:history="1">
            <w:r w:rsidRPr="005F7F86">
              <w:rPr>
                <w:rStyle w:val="Hyperlink"/>
                <w:rFonts w:ascii="Times New Roman" w:hAnsi="Times New Roman" w:cs="Times New Roman"/>
                <w:noProof/>
              </w:rPr>
              <w:t>4.1.4 Guest-Facing Sustainability Communication:</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_Toc211429596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15</w:t>
            </w:r>
            <w:r w:rsidRPr="005F7F86">
              <w:rPr>
                <w:rFonts w:ascii="Times New Roman" w:hAnsi="Times New Roman" w:cs="Times New Roman"/>
                <w:noProof/>
                <w:webHidden/>
              </w:rPr>
              <w:fldChar w:fldCharType="end"/>
            </w:r>
          </w:hyperlink>
        </w:p>
        <w:p w14:paraId="673B4744" w14:textId="77777777" w:rsidR="005F7F86" w:rsidRPr="005F7F86" w:rsidRDefault="005F7F86" w:rsidP="005F7F86">
          <w:pPr>
            <w:pStyle w:val="TOC3"/>
            <w:tabs>
              <w:tab w:val="right" w:leader="dot" w:pos="9016"/>
            </w:tabs>
            <w:rPr>
              <w:rFonts w:ascii="Times New Roman" w:hAnsi="Times New Roman" w:cs="Times New Roman"/>
              <w:noProof/>
            </w:rPr>
          </w:pPr>
          <w:hyperlink w:anchor="_Toc211429597" w:history="1">
            <w:r w:rsidRPr="005F7F86">
              <w:rPr>
                <w:rStyle w:val="Hyperlink"/>
                <w:rFonts w:ascii="Times New Roman" w:hAnsi="Times New Roman" w:cs="Times New Roman"/>
                <w:noProof/>
              </w:rPr>
              <w:t>4.1.5 Customer Perception Evidence from Reviews (frequency and sentiment):</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_Toc211429597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16</w:t>
            </w:r>
            <w:r w:rsidRPr="005F7F86">
              <w:rPr>
                <w:rFonts w:ascii="Times New Roman" w:hAnsi="Times New Roman" w:cs="Times New Roman"/>
                <w:noProof/>
                <w:webHidden/>
              </w:rPr>
              <w:fldChar w:fldCharType="end"/>
            </w:r>
          </w:hyperlink>
        </w:p>
        <w:p w14:paraId="6829EE7E" w14:textId="77777777" w:rsidR="005F7F86" w:rsidRPr="005F7F86" w:rsidRDefault="005F7F86" w:rsidP="005F7F86">
          <w:pPr>
            <w:pStyle w:val="TOC3"/>
            <w:tabs>
              <w:tab w:val="right" w:leader="dot" w:pos="9016"/>
            </w:tabs>
            <w:rPr>
              <w:rFonts w:ascii="Times New Roman" w:hAnsi="Times New Roman" w:cs="Times New Roman"/>
              <w:noProof/>
            </w:rPr>
          </w:pPr>
          <w:hyperlink w:anchor="_Toc211429598" w:history="1">
            <w:r w:rsidRPr="005F7F86">
              <w:rPr>
                <w:rStyle w:val="Hyperlink"/>
                <w:rFonts w:ascii="Times New Roman" w:hAnsi="Times New Roman" w:cs="Times New Roman"/>
                <w:noProof/>
              </w:rPr>
              <w:t>4.1.6 Comparative Benchmarking: Property vs Accor/Mercure Commitments and Industry Best Practice</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_Toc211429598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17</w:t>
            </w:r>
            <w:r w:rsidRPr="005F7F86">
              <w:rPr>
                <w:rFonts w:ascii="Times New Roman" w:hAnsi="Times New Roman" w:cs="Times New Roman"/>
                <w:noProof/>
                <w:webHidden/>
              </w:rPr>
              <w:fldChar w:fldCharType="end"/>
            </w:r>
          </w:hyperlink>
        </w:p>
        <w:p w14:paraId="2BAF3C1B" w14:textId="77777777" w:rsidR="005F7F86" w:rsidRPr="005F7F86" w:rsidRDefault="005F7F86" w:rsidP="005F7F86">
          <w:pPr>
            <w:pStyle w:val="TOC2"/>
            <w:tabs>
              <w:tab w:val="right" w:leader="dot" w:pos="9016"/>
            </w:tabs>
            <w:rPr>
              <w:rFonts w:ascii="Times New Roman" w:hAnsi="Times New Roman" w:cs="Times New Roman"/>
              <w:noProof/>
            </w:rPr>
          </w:pPr>
          <w:hyperlink w:anchor="_Toc211429599" w:history="1">
            <w:r w:rsidRPr="005F7F86">
              <w:rPr>
                <w:rStyle w:val="Hyperlink"/>
                <w:rFonts w:ascii="Times New Roman" w:hAnsi="Times New Roman" w:cs="Times New Roman"/>
                <w:noProof/>
              </w:rPr>
              <w:t>4.2 Discussion:</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_Toc211429599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18</w:t>
            </w:r>
            <w:r w:rsidRPr="005F7F86">
              <w:rPr>
                <w:rFonts w:ascii="Times New Roman" w:hAnsi="Times New Roman" w:cs="Times New Roman"/>
                <w:noProof/>
                <w:webHidden/>
              </w:rPr>
              <w:fldChar w:fldCharType="end"/>
            </w:r>
          </w:hyperlink>
        </w:p>
        <w:p w14:paraId="7CA19399" w14:textId="77777777" w:rsidR="005F7F86" w:rsidRPr="005F7F86" w:rsidRDefault="005F7F86" w:rsidP="005F7F86">
          <w:pPr>
            <w:pStyle w:val="TOC3"/>
            <w:tabs>
              <w:tab w:val="right" w:leader="dot" w:pos="9016"/>
            </w:tabs>
            <w:rPr>
              <w:rFonts w:ascii="Times New Roman" w:hAnsi="Times New Roman" w:cs="Times New Roman"/>
              <w:noProof/>
            </w:rPr>
          </w:pPr>
          <w:hyperlink w:anchor="_Toc211429600" w:history="1">
            <w:r w:rsidRPr="005F7F86">
              <w:rPr>
                <w:rStyle w:val="Hyperlink"/>
                <w:rFonts w:ascii="Times New Roman" w:hAnsi="Times New Roman" w:cs="Times New Roman"/>
                <w:noProof/>
              </w:rPr>
              <w:t>4.2.1 Interpretation by Objective:</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_Toc211429600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18</w:t>
            </w:r>
            <w:r w:rsidRPr="005F7F86">
              <w:rPr>
                <w:rFonts w:ascii="Times New Roman" w:hAnsi="Times New Roman" w:cs="Times New Roman"/>
                <w:noProof/>
                <w:webHidden/>
              </w:rPr>
              <w:fldChar w:fldCharType="end"/>
            </w:r>
          </w:hyperlink>
        </w:p>
        <w:p w14:paraId="5DA852D6" w14:textId="77777777" w:rsidR="005F7F86" w:rsidRPr="005F7F86" w:rsidRDefault="005F7F86" w:rsidP="005F7F86">
          <w:pPr>
            <w:pStyle w:val="TOC3"/>
            <w:tabs>
              <w:tab w:val="right" w:leader="dot" w:pos="9016"/>
            </w:tabs>
            <w:rPr>
              <w:rFonts w:ascii="Times New Roman" w:hAnsi="Times New Roman" w:cs="Times New Roman"/>
              <w:noProof/>
            </w:rPr>
          </w:pPr>
          <w:hyperlink w:anchor="_Toc211429601" w:history="1">
            <w:r w:rsidRPr="005F7F86">
              <w:rPr>
                <w:rStyle w:val="Hyperlink"/>
                <w:rFonts w:ascii="Times New Roman" w:hAnsi="Times New Roman" w:cs="Times New Roman"/>
                <w:noProof/>
              </w:rPr>
              <w:t>4.2.2 Applying Theoretical Frameworks:</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_Toc211429601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19</w:t>
            </w:r>
            <w:r w:rsidRPr="005F7F86">
              <w:rPr>
                <w:rFonts w:ascii="Times New Roman" w:hAnsi="Times New Roman" w:cs="Times New Roman"/>
                <w:noProof/>
                <w:webHidden/>
              </w:rPr>
              <w:fldChar w:fldCharType="end"/>
            </w:r>
          </w:hyperlink>
        </w:p>
        <w:p w14:paraId="1D7EB822" w14:textId="77777777" w:rsidR="005F7F86" w:rsidRPr="005F7F86" w:rsidRDefault="005F7F86" w:rsidP="005F7F86">
          <w:pPr>
            <w:pStyle w:val="TOC3"/>
            <w:tabs>
              <w:tab w:val="right" w:leader="dot" w:pos="9016"/>
            </w:tabs>
            <w:rPr>
              <w:rFonts w:ascii="Times New Roman" w:hAnsi="Times New Roman" w:cs="Times New Roman"/>
              <w:noProof/>
            </w:rPr>
          </w:pPr>
          <w:hyperlink w:anchor="_Toc211429602" w:history="1">
            <w:r w:rsidRPr="005F7F86">
              <w:rPr>
                <w:rStyle w:val="Hyperlink"/>
                <w:rFonts w:ascii="Times New Roman" w:hAnsi="Times New Roman" w:cs="Times New Roman"/>
                <w:noProof/>
              </w:rPr>
              <w:t>4.2.3 Operational Constraints and Enablers:</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_Toc211429602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20</w:t>
            </w:r>
            <w:r w:rsidRPr="005F7F86">
              <w:rPr>
                <w:rFonts w:ascii="Times New Roman" w:hAnsi="Times New Roman" w:cs="Times New Roman"/>
                <w:noProof/>
                <w:webHidden/>
              </w:rPr>
              <w:fldChar w:fldCharType="end"/>
            </w:r>
          </w:hyperlink>
        </w:p>
        <w:p w14:paraId="216AA268" w14:textId="77777777" w:rsidR="005F7F86" w:rsidRPr="005F7F86" w:rsidRDefault="005F7F86" w:rsidP="005F7F86">
          <w:pPr>
            <w:pStyle w:val="TOC3"/>
            <w:tabs>
              <w:tab w:val="right" w:leader="dot" w:pos="9016"/>
            </w:tabs>
            <w:rPr>
              <w:rFonts w:ascii="Times New Roman" w:hAnsi="Times New Roman" w:cs="Times New Roman"/>
              <w:noProof/>
            </w:rPr>
          </w:pPr>
          <w:hyperlink w:anchor="_Toc211429603" w:history="1">
            <w:r w:rsidRPr="005F7F86">
              <w:rPr>
                <w:rStyle w:val="Hyperlink"/>
                <w:rFonts w:ascii="Times New Roman" w:hAnsi="Times New Roman" w:cs="Times New Roman"/>
                <w:noProof/>
              </w:rPr>
              <w:t>4.2.4 Reliability and Limitations of the Secondary-Data Approach:</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_Toc211429603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21</w:t>
            </w:r>
            <w:r w:rsidRPr="005F7F86">
              <w:rPr>
                <w:rFonts w:ascii="Times New Roman" w:hAnsi="Times New Roman" w:cs="Times New Roman"/>
                <w:noProof/>
                <w:webHidden/>
              </w:rPr>
              <w:fldChar w:fldCharType="end"/>
            </w:r>
          </w:hyperlink>
        </w:p>
        <w:p w14:paraId="12E53026" w14:textId="77777777" w:rsidR="005F7F86" w:rsidRPr="005F7F86" w:rsidRDefault="005F7F86" w:rsidP="005F7F86">
          <w:pPr>
            <w:pStyle w:val="TOC3"/>
            <w:tabs>
              <w:tab w:val="right" w:leader="dot" w:pos="9016"/>
            </w:tabs>
            <w:rPr>
              <w:rFonts w:ascii="Times New Roman" w:hAnsi="Times New Roman" w:cs="Times New Roman"/>
              <w:noProof/>
            </w:rPr>
          </w:pPr>
          <w:hyperlink w:anchor="_Toc211429604" w:history="1">
            <w:r w:rsidRPr="005F7F86">
              <w:rPr>
                <w:rStyle w:val="Hyperlink"/>
                <w:rFonts w:ascii="Times New Roman" w:hAnsi="Times New Roman" w:cs="Times New Roman"/>
                <w:noProof/>
              </w:rPr>
              <w:t>4.2.5 Implications for Management Practice and Policy at Mercure Thame Lambert:</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_Toc211429604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21</w:t>
            </w:r>
            <w:r w:rsidRPr="005F7F86">
              <w:rPr>
                <w:rFonts w:ascii="Times New Roman" w:hAnsi="Times New Roman" w:cs="Times New Roman"/>
                <w:noProof/>
                <w:webHidden/>
              </w:rPr>
              <w:fldChar w:fldCharType="end"/>
            </w:r>
          </w:hyperlink>
        </w:p>
        <w:p w14:paraId="7D74D667" w14:textId="77777777" w:rsidR="005F7F86" w:rsidRPr="005F7F86" w:rsidRDefault="005F7F86" w:rsidP="005F7F86">
          <w:pPr>
            <w:pStyle w:val="TOC1"/>
            <w:tabs>
              <w:tab w:val="right" w:leader="dot" w:pos="9016"/>
            </w:tabs>
            <w:rPr>
              <w:rFonts w:ascii="Times New Roman" w:eastAsiaTheme="minorEastAsia" w:hAnsi="Times New Roman" w:cs="Times New Roman"/>
              <w:bCs w:val="0"/>
              <w:caps w:val="0"/>
              <w:noProof/>
              <w:szCs w:val="30"/>
              <w:lang w:eastAsia="en-GB"/>
            </w:rPr>
          </w:pPr>
          <w:hyperlink w:anchor="_Toc211429605" w:history="1">
            <w:r w:rsidRPr="005F7F86">
              <w:rPr>
                <w:rStyle w:val="Hyperlink"/>
                <w:rFonts w:ascii="Times New Roman" w:hAnsi="Times New Roman" w:cs="Times New Roman"/>
                <w:noProof/>
              </w:rPr>
              <w:t>Chapter 5: Conclusion &amp; Recommendations</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_Toc211429605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22</w:t>
            </w:r>
            <w:r w:rsidRPr="005F7F86">
              <w:rPr>
                <w:rFonts w:ascii="Times New Roman" w:hAnsi="Times New Roman" w:cs="Times New Roman"/>
                <w:noProof/>
                <w:webHidden/>
              </w:rPr>
              <w:fldChar w:fldCharType="end"/>
            </w:r>
          </w:hyperlink>
        </w:p>
        <w:p w14:paraId="06521AE4" w14:textId="77777777" w:rsidR="005F7F86" w:rsidRPr="005F7F86" w:rsidRDefault="005F7F86" w:rsidP="005F7F86">
          <w:pPr>
            <w:pStyle w:val="TOC2"/>
            <w:tabs>
              <w:tab w:val="right" w:leader="dot" w:pos="9016"/>
            </w:tabs>
            <w:rPr>
              <w:rFonts w:ascii="Times New Roman" w:hAnsi="Times New Roman" w:cs="Times New Roman"/>
              <w:noProof/>
            </w:rPr>
          </w:pPr>
          <w:hyperlink w:anchor="_Toc211429606" w:history="1">
            <w:r w:rsidRPr="005F7F86">
              <w:rPr>
                <w:rStyle w:val="Hyperlink"/>
                <w:rFonts w:ascii="Times New Roman" w:hAnsi="Times New Roman" w:cs="Times New Roman"/>
                <w:noProof/>
              </w:rPr>
              <w:t>5.1 Conclusion:</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_Toc211429606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22</w:t>
            </w:r>
            <w:r w:rsidRPr="005F7F86">
              <w:rPr>
                <w:rFonts w:ascii="Times New Roman" w:hAnsi="Times New Roman" w:cs="Times New Roman"/>
                <w:noProof/>
                <w:webHidden/>
              </w:rPr>
              <w:fldChar w:fldCharType="end"/>
            </w:r>
          </w:hyperlink>
        </w:p>
        <w:p w14:paraId="16DE5ED8" w14:textId="77777777" w:rsidR="005F7F86" w:rsidRPr="005F7F86" w:rsidRDefault="005F7F86" w:rsidP="005F7F86">
          <w:pPr>
            <w:pStyle w:val="TOC3"/>
            <w:tabs>
              <w:tab w:val="right" w:leader="dot" w:pos="9016"/>
            </w:tabs>
            <w:rPr>
              <w:rFonts w:ascii="Times New Roman" w:hAnsi="Times New Roman" w:cs="Times New Roman"/>
              <w:noProof/>
            </w:rPr>
          </w:pPr>
          <w:hyperlink w:anchor="_Toc211429607" w:history="1">
            <w:r w:rsidRPr="005F7F86">
              <w:rPr>
                <w:rStyle w:val="Hyperlink"/>
                <w:rFonts w:ascii="Times New Roman" w:hAnsi="Times New Roman" w:cs="Times New Roman"/>
                <w:noProof/>
              </w:rPr>
              <w:t>5.1.1 Summary of Key Findings Mapped to Research Objectives:</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_Toc211429607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22</w:t>
            </w:r>
            <w:r w:rsidRPr="005F7F86">
              <w:rPr>
                <w:rFonts w:ascii="Times New Roman" w:hAnsi="Times New Roman" w:cs="Times New Roman"/>
                <w:noProof/>
                <w:webHidden/>
              </w:rPr>
              <w:fldChar w:fldCharType="end"/>
            </w:r>
          </w:hyperlink>
        </w:p>
        <w:p w14:paraId="6BE938EB" w14:textId="77777777" w:rsidR="005F7F86" w:rsidRPr="005F7F86" w:rsidRDefault="005F7F86" w:rsidP="005F7F86">
          <w:pPr>
            <w:pStyle w:val="TOC3"/>
            <w:tabs>
              <w:tab w:val="right" w:leader="dot" w:pos="9016"/>
            </w:tabs>
            <w:rPr>
              <w:rFonts w:ascii="Times New Roman" w:hAnsi="Times New Roman" w:cs="Times New Roman"/>
              <w:noProof/>
            </w:rPr>
          </w:pPr>
          <w:hyperlink w:anchor="_Toc211429608" w:history="1">
            <w:r w:rsidRPr="005F7F86">
              <w:rPr>
                <w:rStyle w:val="Hyperlink"/>
                <w:rFonts w:ascii="Times New Roman" w:hAnsi="Times New Roman" w:cs="Times New Roman"/>
                <w:noProof/>
              </w:rPr>
              <w:t>5.1.2 Overall Evaluation of Sustainability Integration:</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_Toc211429608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23</w:t>
            </w:r>
            <w:r w:rsidRPr="005F7F86">
              <w:rPr>
                <w:rFonts w:ascii="Times New Roman" w:hAnsi="Times New Roman" w:cs="Times New Roman"/>
                <w:noProof/>
                <w:webHidden/>
              </w:rPr>
              <w:fldChar w:fldCharType="end"/>
            </w:r>
          </w:hyperlink>
        </w:p>
        <w:p w14:paraId="6D396EE7" w14:textId="77777777" w:rsidR="005F7F86" w:rsidRPr="005F7F86" w:rsidRDefault="005F7F86" w:rsidP="005F7F86">
          <w:pPr>
            <w:pStyle w:val="TOC3"/>
            <w:tabs>
              <w:tab w:val="right" w:leader="dot" w:pos="9016"/>
            </w:tabs>
            <w:rPr>
              <w:rFonts w:ascii="Times New Roman" w:hAnsi="Times New Roman" w:cs="Times New Roman"/>
              <w:noProof/>
            </w:rPr>
          </w:pPr>
          <w:hyperlink w:anchor="_Toc211429609" w:history="1">
            <w:r w:rsidRPr="005F7F86">
              <w:rPr>
                <w:rStyle w:val="Hyperlink"/>
                <w:rFonts w:ascii="Times New Roman" w:hAnsi="Times New Roman" w:cs="Times New Roman"/>
                <w:noProof/>
              </w:rPr>
              <w:t>5.1.3 Critical Reflection on Research Limitations and Strengths:</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_Toc211429609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23</w:t>
            </w:r>
            <w:r w:rsidRPr="005F7F86">
              <w:rPr>
                <w:rFonts w:ascii="Times New Roman" w:hAnsi="Times New Roman" w:cs="Times New Roman"/>
                <w:noProof/>
                <w:webHidden/>
              </w:rPr>
              <w:fldChar w:fldCharType="end"/>
            </w:r>
          </w:hyperlink>
        </w:p>
        <w:p w14:paraId="4F608489" w14:textId="77777777" w:rsidR="005F7F86" w:rsidRPr="005F7F86" w:rsidRDefault="005F7F86" w:rsidP="005F7F86">
          <w:pPr>
            <w:pStyle w:val="TOC2"/>
            <w:tabs>
              <w:tab w:val="right" w:leader="dot" w:pos="9016"/>
            </w:tabs>
            <w:rPr>
              <w:rFonts w:ascii="Times New Roman" w:hAnsi="Times New Roman" w:cs="Times New Roman"/>
              <w:noProof/>
            </w:rPr>
          </w:pPr>
          <w:hyperlink w:anchor="_Toc211429610" w:history="1">
            <w:r w:rsidRPr="005F7F86">
              <w:rPr>
                <w:rStyle w:val="Hyperlink"/>
                <w:rFonts w:ascii="Times New Roman" w:hAnsi="Times New Roman" w:cs="Times New Roman"/>
                <w:noProof/>
              </w:rPr>
              <w:t>5.2 Recommendations &amp; Practical Strategies:</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_Toc211429610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24</w:t>
            </w:r>
            <w:r w:rsidRPr="005F7F86">
              <w:rPr>
                <w:rFonts w:ascii="Times New Roman" w:hAnsi="Times New Roman" w:cs="Times New Roman"/>
                <w:noProof/>
                <w:webHidden/>
              </w:rPr>
              <w:fldChar w:fldCharType="end"/>
            </w:r>
          </w:hyperlink>
        </w:p>
        <w:p w14:paraId="44C955E9" w14:textId="77777777" w:rsidR="005F7F86" w:rsidRPr="005F7F86" w:rsidRDefault="005F7F86" w:rsidP="005F7F86">
          <w:pPr>
            <w:pStyle w:val="TOC1"/>
            <w:tabs>
              <w:tab w:val="right" w:leader="dot" w:pos="9016"/>
            </w:tabs>
            <w:rPr>
              <w:rFonts w:ascii="Times New Roman" w:eastAsiaTheme="minorEastAsia" w:hAnsi="Times New Roman" w:cs="Times New Roman"/>
              <w:bCs w:val="0"/>
              <w:caps w:val="0"/>
              <w:noProof/>
              <w:szCs w:val="30"/>
              <w:lang w:eastAsia="en-GB"/>
            </w:rPr>
          </w:pPr>
          <w:hyperlink w:anchor="_Toc211429611" w:history="1">
            <w:r w:rsidRPr="005F7F86">
              <w:rPr>
                <w:rStyle w:val="Hyperlink"/>
                <w:rFonts w:ascii="Times New Roman" w:hAnsi="Times New Roman" w:cs="Times New Roman"/>
                <w:noProof/>
              </w:rPr>
              <w:t>Reference List:</w:t>
            </w:r>
            <w:r w:rsidRPr="005F7F86">
              <w:rPr>
                <w:rFonts w:ascii="Times New Roman" w:hAnsi="Times New Roman" w:cs="Times New Roman"/>
                <w:noProof/>
                <w:webHidden/>
              </w:rPr>
              <w:tab/>
            </w:r>
            <w:r w:rsidRPr="005F7F86">
              <w:rPr>
                <w:rFonts w:ascii="Times New Roman" w:hAnsi="Times New Roman" w:cs="Times New Roman"/>
                <w:noProof/>
                <w:webHidden/>
              </w:rPr>
              <w:fldChar w:fldCharType="begin"/>
            </w:r>
            <w:r w:rsidRPr="005F7F86">
              <w:rPr>
                <w:rFonts w:ascii="Times New Roman" w:hAnsi="Times New Roman" w:cs="Times New Roman"/>
                <w:noProof/>
                <w:webHidden/>
              </w:rPr>
              <w:instrText xml:space="preserve"> PAGEREF _Toc211429611 \h </w:instrText>
            </w:r>
            <w:r w:rsidRPr="005F7F86">
              <w:rPr>
                <w:rFonts w:ascii="Times New Roman" w:hAnsi="Times New Roman" w:cs="Times New Roman"/>
                <w:noProof/>
                <w:webHidden/>
              </w:rPr>
            </w:r>
            <w:r w:rsidRPr="005F7F86">
              <w:rPr>
                <w:rFonts w:ascii="Times New Roman" w:hAnsi="Times New Roman" w:cs="Times New Roman"/>
                <w:noProof/>
                <w:webHidden/>
              </w:rPr>
              <w:fldChar w:fldCharType="separate"/>
            </w:r>
            <w:r w:rsidRPr="005F7F86">
              <w:rPr>
                <w:rFonts w:ascii="Times New Roman" w:hAnsi="Times New Roman" w:cs="Times New Roman"/>
                <w:noProof/>
                <w:webHidden/>
              </w:rPr>
              <w:t>27</w:t>
            </w:r>
            <w:r w:rsidRPr="005F7F86">
              <w:rPr>
                <w:rFonts w:ascii="Times New Roman" w:hAnsi="Times New Roman" w:cs="Times New Roman"/>
                <w:noProof/>
                <w:webHidden/>
              </w:rPr>
              <w:fldChar w:fldCharType="end"/>
            </w:r>
          </w:hyperlink>
        </w:p>
        <w:p w14:paraId="7AF192D3" w14:textId="77777777" w:rsidR="005F7F86" w:rsidRPr="005F7F86" w:rsidRDefault="00000000" w:rsidP="005F7F86">
          <w:pPr>
            <w:rPr>
              <w:rFonts w:cs="Times New Roman"/>
              <w:b/>
              <w:bCs/>
              <w:noProof/>
            </w:rPr>
          </w:pPr>
          <w:r w:rsidRPr="005F7F86">
            <w:rPr>
              <w:rFonts w:cs="Times New Roman"/>
              <w:b/>
              <w:bCs/>
              <w:noProof/>
            </w:rPr>
            <w:fldChar w:fldCharType="end"/>
          </w:r>
        </w:p>
      </w:sdtContent>
    </w:sdt>
    <w:p w14:paraId="209A97EC" w14:textId="77777777" w:rsidR="000243AB" w:rsidRPr="005F7F86" w:rsidRDefault="00000000" w:rsidP="005F7F86">
      <w:pPr>
        <w:rPr>
          <w:rFonts w:cs="Times New Roman"/>
        </w:rPr>
      </w:pPr>
      <w:r w:rsidRPr="005F7F86">
        <w:rPr>
          <w:rFonts w:cs="Times New Roman"/>
        </w:rPr>
        <w:br w:type="page"/>
      </w:r>
    </w:p>
    <w:p w14:paraId="65C30888" w14:textId="77777777" w:rsidR="006C505F" w:rsidRPr="005F7F86" w:rsidRDefault="00000000" w:rsidP="005F7F86">
      <w:pPr>
        <w:pStyle w:val="Heading1"/>
        <w:rPr>
          <w:rFonts w:cs="Times New Roman"/>
        </w:rPr>
      </w:pPr>
      <w:bookmarkStart w:id="0" w:name="_Toc211429579"/>
      <w:r w:rsidRPr="005F7F86">
        <w:rPr>
          <w:rFonts w:cs="Times New Roman"/>
        </w:rPr>
        <w:lastRenderedPageBreak/>
        <w:t>Chapter 1: Introduction</w:t>
      </w:r>
      <w:bookmarkEnd w:id="0"/>
    </w:p>
    <w:p w14:paraId="062B3468" w14:textId="77777777" w:rsidR="006C505F" w:rsidRPr="005F7F86" w:rsidRDefault="00000000" w:rsidP="005F7F86">
      <w:pPr>
        <w:rPr>
          <w:rFonts w:cs="Times New Roman"/>
        </w:rPr>
      </w:pPr>
      <w:r w:rsidRPr="005F7F86">
        <w:rPr>
          <w:rFonts w:cs="Times New Roman"/>
        </w:rPr>
        <w:t xml:space="preserve">Sustainability has become a central strategic concern for hospitality firms since 2015, driven by tightening regulations, rising operational costs associated with waste and energy, and growing consumer demand for environmentally responsible travel (Booking.com, 2022). Hotel food and beverage (F&amp;B) operations are a particular focus because they account for a large share of hospitality-sector food waste, packaging use and supply-chain impacts; UK sector studies estimate substantial annual costs associated with avoidable food waste in hospitality (WRAP, 2024; WRAP, </w:t>
      </w:r>
      <w:r w:rsidR="0031260B" w:rsidRPr="005F7F86">
        <w:rPr>
          <w:rFonts w:cs="Times New Roman"/>
        </w:rPr>
        <w:t>2024</w:t>
      </w:r>
      <w:r w:rsidRPr="005F7F86">
        <w:rPr>
          <w:rFonts w:cs="Times New Roman"/>
        </w:rPr>
        <w:t xml:space="preserve">). Government policy and voluntary industry initiatives, including England's Waste Prevention Programme and sector-level roadmaps, have reinforced expectations that hotels measure, prevent and report on food-system impacts (Defra, 2023; WRAP, 2024). Meanwhile, major hotel groups have published explicit targets for food-waste reduction, plastic elimination and eco-certification, signalling the commercial importance of sustainable F&amp;B for brand reputation and compliance (Accor Group, 2023). </w:t>
      </w:r>
    </w:p>
    <w:p w14:paraId="42863BF1" w14:textId="77777777" w:rsidR="006C505F" w:rsidRPr="005F7F86" w:rsidRDefault="00000000" w:rsidP="005F7F86">
      <w:pPr>
        <w:rPr>
          <w:rFonts w:cs="Times New Roman"/>
        </w:rPr>
      </w:pPr>
      <w:r w:rsidRPr="005F7F86">
        <w:rPr>
          <w:rFonts w:cs="Times New Roman"/>
        </w:rPr>
        <w:t xml:space="preserve">Studying a mid-scale Mercure property is therefore relevant for two reasons. First, mid-scale and franchised hotels constitute a large portion of the UK hotel estate and face different resourcing and operational constraints compared with large chain-managed luxury properties; empirical evidence on how sustainability policies filter down to this segment remains limited (UKHospitality, </w:t>
      </w:r>
      <w:r w:rsidR="0031260B" w:rsidRPr="005F7F86">
        <w:rPr>
          <w:rFonts w:cs="Times New Roman"/>
        </w:rPr>
        <w:t>2024</w:t>
      </w:r>
      <w:r w:rsidRPr="005F7F86">
        <w:rPr>
          <w:rFonts w:cs="Times New Roman"/>
        </w:rPr>
        <w:t xml:space="preserve">). Second, Mercure properties operate under Accor’s Planet 21 commitments (and related food-sustainability pledges), making a franchise case useful for exploring how group-level targets interact with property-level practice in F&amp;B settings (Accor Group, 2023). These considerations make the Mercure Thame Lambert Hotel an appropriate locus to appraise the practical integration of sustainable F&amp;B measures in a real placement context.  </w:t>
      </w:r>
    </w:p>
    <w:p w14:paraId="32B6754D" w14:textId="77777777" w:rsidR="006C505F" w:rsidRPr="005F7F86" w:rsidRDefault="00000000" w:rsidP="005F7F86">
      <w:pPr>
        <w:rPr>
          <w:rFonts w:cs="Times New Roman"/>
        </w:rPr>
      </w:pPr>
      <w:r w:rsidRPr="005F7F86">
        <w:rPr>
          <w:rFonts w:cs="Times New Roman"/>
        </w:rPr>
        <w:t xml:space="preserve">The placement case is the Mercure Thame Lambert Hotel, a Mercure-branded property in Watlington/Oxfordshire, adjacent to the M40 and the Chilterns Area of Outstanding Natural Beauty (Mercure Thame Lambert Hotel, </w:t>
      </w:r>
      <w:r w:rsidR="0031260B" w:rsidRPr="005F7F86">
        <w:rPr>
          <w:rFonts w:cs="Times New Roman"/>
        </w:rPr>
        <w:t>2024</w:t>
      </w:r>
      <w:r w:rsidRPr="005F7F86">
        <w:rPr>
          <w:rFonts w:cs="Times New Roman"/>
        </w:rPr>
        <w:t xml:space="preserve">). The hotel is a mid-scale, full-service property serving both business and leisure guests with on-site restaurant and banquet facilities; its positioning within the Accor franchise platform provides a typical example of operational autonomy balanced with brand standards (Accor / Mercure, </w:t>
      </w:r>
      <w:r w:rsidR="0031260B" w:rsidRPr="005F7F86">
        <w:rPr>
          <w:rFonts w:cs="Times New Roman"/>
        </w:rPr>
        <w:t>2024</w:t>
      </w:r>
      <w:r w:rsidRPr="005F7F86">
        <w:rPr>
          <w:rFonts w:cs="Times New Roman"/>
        </w:rPr>
        <w:t xml:space="preserve">). During the placement, I served as </w:t>
      </w:r>
      <w:r w:rsidRPr="005F7F86">
        <w:rPr>
          <w:rFonts w:cs="Times New Roman"/>
          <w:b/>
          <w:bCs/>
        </w:rPr>
        <w:t>Food &amp; Beverage Assistant Supervisor</w:t>
      </w:r>
      <w:r w:rsidRPr="005F7F86">
        <w:rPr>
          <w:rFonts w:cs="Times New Roman"/>
        </w:rPr>
        <w:t xml:space="preserve">, which afforded direct observation of F&amp;B procurement, kitchen practice and guest-facing sustainability communication. </w:t>
      </w:r>
    </w:p>
    <w:p w14:paraId="1CBEE244" w14:textId="77777777" w:rsidR="006C505F" w:rsidRPr="005F7F86" w:rsidRDefault="00000000" w:rsidP="005F7F86">
      <w:pPr>
        <w:rPr>
          <w:rFonts w:cs="Times New Roman"/>
          <w:b/>
        </w:rPr>
      </w:pPr>
      <w:r w:rsidRPr="005F7F86">
        <w:rPr>
          <w:rFonts w:cs="Times New Roman"/>
          <w:b/>
        </w:rPr>
        <w:t>Project Aim:</w:t>
      </w:r>
    </w:p>
    <w:p w14:paraId="61FB15A1" w14:textId="77777777" w:rsidR="006C505F" w:rsidRPr="005F7F86" w:rsidRDefault="00000000" w:rsidP="005F7F86">
      <w:pPr>
        <w:rPr>
          <w:rFonts w:cs="Times New Roman"/>
        </w:rPr>
      </w:pPr>
      <w:r w:rsidRPr="005F7F86">
        <w:rPr>
          <w:rFonts w:cs="Times New Roman"/>
        </w:rPr>
        <w:lastRenderedPageBreak/>
        <w:t>The project aims to critically assess how far sustainable practices are being incorporated into the food and beverage (F&amp;B) activities of Mercure Thame Lambert Hotel, by examining both opportunities as well as constraints using secondary data sources.</w:t>
      </w:r>
    </w:p>
    <w:p w14:paraId="7879B3E7" w14:textId="77777777" w:rsidR="006C505F" w:rsidRPr="005F7F86" w:rsidRDefault="00000000" w:rsidP="005F7F86">
      <w:pPr>
        <w:rPr>
          <w:rFonts w:cs="Times New Roman"/>
          <w:b/>
        </w:rPr>
      </w:pPr>
      <w:r w:rsidRPr="005F7F86">
        <w:rPr>
          <w:rFonts w:cs="Times New Roman"/>
          <w:b/>
        </w:rPr>
        <w:t xml:space="preserve">Project Objectives: </w:t>
      </w:r>
    </w:p>
    <w:p w14:paraId="6FF78CC4" w14:textId="77777777" w:rsidR="006C505F" w:rsidRPr="005F7F86" w:rsidRDefault="00000000" w:rsidP="005F7F86">
      <w:pPr>
        <w:pStyle w:val="ListParagraph"/>
        <w:numPr>
          <w:ilvl w:val="0"/>
          <w:numId w:val="12"/>
        </w:numPr>
        <w:spacing w:line="360" w:lineRule="auto"/>
        <w:jc w:val="both"/>
        <w:rPr>
          <w:rFonts w:ascii="Times New Roman" w:hAnsi="Times New Roman" w:cs="Times New Roman"/>
          <w:lang w:val="en-GB"/>
        </w:rPr>
      </w:pPr>
      <w:r w:rsidRPr="005F7F86">
        <w:rPr>
          <w:rFonts w:ascii="Times New Roman" w:hAnsi="Times New Roman" w:cs="Times New Roman"/>
          <w:lang w:val="en-GB"/>
        </w:rPr>
        <w:t>To analyse current sustainability policies and initiatives being implemented by Mercure Thame Lambert Hotel and contrast them with the best practices used in the academic and industry literature.</w:t>
      </w:r>
    </w:p>
    <w:p w14:paraId="06E0321E" w14:textId="77777777" w:rsidR="006C505F" w:rsidRPr="005F7F86" w:rsidRDefault="00000000" w:rsidP="005F7F86">
      <w:pPr>
        <w:pStyle w:val="ListParagraph"/>
        <w:numPr>
          <w:ilvl w:val="0"/>
          <w:numId w:val="12"/>
        </w:numPr>
        <w:spacing w:line="360" w:lineRule="auto"/>
        <w:jc w:val="both"/>
        <w:rPr>
          <w:rFonts w:ascii="Times New Roman" w:hAnsi="Times New Roman" w:cs="Times New Roman"/>
          <w:lang w:val="en-GB"/>
        </w:rPr>
      </w:pPr>
      <w:r w:rsidRPr="005F7F86">
        <w:rPr>
          <w:rFonts w:ascii="Times New Roman" w:hAnsi="Times New Roman" w:cs="Times New Roman"/>
          <w:lang w:val="en-GB"/>
        </w:rPr>
        <w:t>To examine the secondary sources, such as statements on corporate responsibility, industry best practices, and online visitor comments, to assess whether these practices affect the customer experience.</w:t>
      </w:r>
    </w:p>
    <w:p w14:paraId="61EF6690" w14:textId="77777777" w:rsidR="006C505F" w:rsidRPr="005F7F86" w:rsidRDefault="00000000" w:rsidP="005F7F86">
      <w:pPr>
        <w:pStyle w:val="ListParagraph"/>
        <w:numPr>
          <w:ilvl w:val="0"/>
          <w:numId w:val="12"/>
        </w:numPr>
        <w:spacing w:line="360" w:lineRule="auto"/>
        <w:jc w:val="both"/>
        <w:rPr>
          <w:rFonts w:ascii="Times New Roman" w:hAnsi="Times New Roman" w:cs="Times New Roman"/>
          <w:lang w:val="en-GB"/>
        </w:rPr>
      </w:pPr>
      <w:r w:rsidRPr="005F7F86">
        <w:rPr>
          <w:rFonts w:ascii="Times New Roman" w:hAnsi="Times New Roman" w:cs="Times New Roman"/>
          <w:lang w:val="en-GB"/>
        </w:rPr>
        <w:t>To propose practical sustainability plans to implement in the F&amp;B operations of the hotel, using the evidence obtained through the secondary sources and the theoretical frameworks.</w:t>
      </w:r>
    </w:p>
    <w:p w14:paraId="383E8EF6" w14:textId="77777777" w:rsidR="006C505F" w:rsidRPr="005F7F86" w:rsidRDefault="00000000" w:rsidP="005F7F86">
      <w:pPr>
        <w:rPr>
          <w:rFonts w:cs="Times New Roman"/>
        </w:rPr>
      </w:pPr>
      <w:r w:rsidRPr="005F7F86">
        <w:rPr>
          <w:rFonts w:cs="Times New Roman"/>
        </w:rPr>
        <w:t xml:space="preserve">The research is a desk-based case study relying on secondary sources (corporate disclosures, industry reports, academic literature, and online guest reviews). This approach enables in-depth, document-centred analysis but excludes primary interviews or surveys; limitations arising from secondary-data bias and representativeness are acknowledged and addressed through triangulation (see Chapter 3).  </w:t>
      </w:r>
    </w:p>
    <w:p w14:paraId="52FF3561" w14:textId="77777777" w:rsidR="006C505F" w:rsidRPr="005F7F86" w:rsidRDefault="00000000" w:rsidP="005F7F86">
      <w:pPr>
        <w:rPr>
          <w:rFonts w:cs="Times New Roman"/>
        </w:rPr>
      </w:pPr>
      <w:r w:rsidRPr="005F7F86">
        <w:rPr>
          <w:rFonts w:cs="Times New Roman"/>
        </w:rPr>
        <w:t>The report proceeds as follows: Chapter 2 reviews the literature and theoretical frameworks; Chapter 3 sets out methodology; Chapter 4 presents findings and discussion; Chapter 5 offers conclusions and evidence-based recommendations for the placement hotel.</w:t>
      </w:r>
    </w:p>
    <w:p w14:paraId="23AFA50E" w14:textId="77777777" w:rsidR="00671BDF" w:rsidRPr="005F7F86" w:rsidRDefault="00000000" w:rsidP="005F7F86">
      <w:pPr>
        <w:pStyle w:val="Heading1"/>
        <w:rPr>
          <w:rFonts w:cs="Times New Roman"/>
        </w:rPr>
      </w:pPr>
      <w:bookmarkStart w:id="1" w:name="_Toc211429580"/>
      <w:r w:rsidRPr="005F7F86">
        <w:rPr>
          <w:rFonts w:cs="Times New Roman"/>
        </w:rPr>
        <w:t>Chapter 2: Literature Review</w:t>
      </w:r>
      <w:bookmarkEnd w:id="1"/>
    </w:p>
    <w:p w14:paraId="245BC342" w14:textId="77777777" w:rsidR="00671BDF" w:rsidRPr="005F7F86" w:rsidRDefault="00000000" w:rsidP="005F7F86">
      <w:pPr>
        <w:pStyle w:val="Heading2"/>
      </w:pPr>
      <w:bookmarkStart w:id="2" w:name="_Toc211429581"/>
      <w:r w:rsidRPr="005F7F86">
        <w:t>2.1 Theoretical Foundations:</w:t>
      </w:r>
      <w:bookmarkEnd w:id="2"/>
    </w:p>
    <w:p w14:paraId="6F5E8527" w14:textId="77777777" w:rsidR="00671BDF" w:rsidRPr="005F7F86" w:rsidRDefault="00000000" w:rsidP="005F7F86">
      <w:pPr>
        <w:rPr>
          <w:rFonts w:cs="Times New Roman"/>
        </w:rPr>
      </w:pPr>
      <w:r w:rsidRPr="005F7F86">
        <w:rPr>
          <w:rFonts w:cs="Times New Roman"/>
        </w:rPr>
        <w:t xml:space="preserve">Corporate Social Responsibility (CSR) and the Triple Bottom Line (TBL) provide complementary foundations for analysing sustainability in hotel food and beverage (F&amp;B) operations. CSR scholarship in tourism and hospitality has expanded substantially in the last decade, moving from descriptive studies of philanthropic activity to analyses of strategic, stakeholder-driven CSR that links environmental action with legitimacy and competitive advantage (Font, 2018; Rhou, 2020). Micro-level research emphasises that employee behaviour, managerial priorities and operational routines are crucial mediators between corporate CSR commitments and on-the-ground practice in hotels (Guzzo, 2020). This micro-to-macro perspective is important when assessing F&amp;B practices in a franchise or mid-scale hotel where brand-level policy and property-level implementation may differ (Tanveer, 2023).  </w:t>
      </w:r>
    </w:p>
    <w:p w14:paraId="182722A1" w14:textId="77777777" w:rsidR="00671BDF" w:rsidRPr="005F7F86" w:rsidRDefault="00000000" w:rsidP="005F7F86">
      <w:pPr>
        <w:rPr>
          <w:rFonts w:cs="Times New Roman"/>
        </w:rPr>
      </w:pPr>
      <w:r w:rsidRPr="005F7F86">
        <w:rPr>
          <w:rFonts w:cs="Times New Roman"/>
        </w:rPr>
        <w:lastRenderedPageBreak/>
        <w:t xml:space="preserve">Elkington's (1997/1998) Triple Bottom Line (people, planet, profit) remains a central conceptual frame for hospitality sustainability because it mandates simultaneous consideration of environmental burdens (e.g. food waste, water use), social effects (labour, community sourcing), and economic viability (cost-savings, guest willingness to pay) (Elkington, 1998). TBL therefore supports evaluating F&amp;B interventions not only by their ecological performance but also by social outcomes (local procurement, food redistribution) and financial implications (waste-cost reduction, potential price premium). Recent scholarship has revisited TBL to emphasise operational metrics and measurement (Tanveer, 2023) and to integrate circular-economy thinking in hospitality operations (Cardenas, 2024).  </w:t>
      </w:r>
    </w:p>
    <w:p w14:paraId="30683EE6" w14:textId="77777777" w:rsidR="00671BDF" w:rsidRPr="005F7F86" w:rsidRDefault="00000000" w:rsidP="005F7F86">
      <w:pPr>
        <w:pStyle w:val="Heading2"/>
      </w:pPr>
      <w:bookmarkStart w:id="3" w:name="_Toc211429582"/>
      <w:r w:rsidRPr="005F7F86">
        <w:t>2.2 Industry-Specific Literature: Sustainable F&amp;B Practices</w:t>
      </w:r>
      <w:bookmarkEnd w:id="3"/>
    </w:p>
    <w:p w14:paraId="2A41D12D" w14:textId="77777777" w:rsidR="00671BDF" w:rsidRPr="005F7F86" w:rsidRDefault="00000000" w:rsidP="005F7F86">
      <w:pPr>
        <w:rPr>
          <w:rFonts w:cs="Times New Roman"/>
        </w:rPr>
      </w:pPr>
      <w:r w:rsidRPr="005F7F86">
        <w:rPr>
          <w:rFonts w:cs="Times New Roman"/>
        </w:rPr>
        <w:t xml:space="preserve">Recent empirical studies identify a clear set of sustainable F&amp;B interventions applicable to hotels: sustainable procurement (local, seasonal, lower-impact ingredients), menu design that nudges lower-carbon choices, portion control and recipe planning to reduce plate waste, systematic food-waste measurement and prevention, packaging reduction, and energy/water efficiency in kitchens (Xu, 2015; Parkin, 2022; Coskun, 2023). Sustainable procurement research notes that while hotel groups increasingly incorporate supplier codes and sustainability clauses, practical barriers include contract length, supplier scale (small local producers vs large distributors), and food safety/compliance concerns (ResearchGate studies; Xu, 2015). Sustainable purchasing frameworks emphasise supplier engagement, traceability and life-cycle thinking; however, implementation remains uneven across property types and scales (turn0search4; turn0search20). </w:t>
      </w:r>
    </w:p>
    <w:p w14:paraId="3A027A19" w14:textId="77777777" w:rsidR="00671BDF" w:rsidRPr="005F7F86" w:rsidRDefault="00000000" w:rsidP="005F7F86">
      <w:pPr>
        <w:rPr>
          <w:rFonts w:cs="Times New Roman"/>
        </w:rPr>
      </w:pPr>
      <w:r w:rsidRPr="005F7F86">
        <w:rPr>
          <w:rFonts w:cs="Times New Roman"/>
        </w:rPr>
        <w:t xml:space="preserve">Menu design has emerged as a promising behavioural tool: experimental and field research shows that menu framing (e.g., carbon labels, prominence of plant-based dishes, language emphasising local provenance) can shift orders without reducing customer satisfaction (Parkin, 2022; Coskun, 2023). Coskun (2023) and Parkin (2022) both argue that chefs' involvement in recipe planning and the operationalisation of sustainability metrics in recipe databases is critical to reduce embedded supply-chain impacts and standardising portion sizes. Portion-control interventions and behavioural nudges (e.g., smaller default portions, descriptive language) have mixed evidence: some trials reduce plate waste while preserving satisfaction; others show limited effects unless combined with staff training and kitchen re-engineering (Pizzo, 2025; Parkin, 2022). </w:t>
      </w:r>
    </w:p>
    <w:p w14:paraId="0C12E741" w14:textId="77777777" w:rsidR="00671BDF" w:rsidRPr="005F7F86" w:rsidRDefault="00000000" w:rsidP="005F7F86">
      <w:pPr>
        <w:rPr>
          <w:rFonts w:cs="Times New Roman"/>
        </w:rPr>
      </w:pPr>
      <w:r w:rsidRPr="005F7F86">
        <w:rPr>
          <w:rFonts w:cs="Times New Roman"/>
        </w:rPr>
        <w:t xml:space="preserve">Food-waste prevention literature stresses the importance of measurement: differentiating preparation waste, plate waste, spoilage, and non-edible waste enables targeted interventions </w:t>
      </w:r>
      <w:r w:rsidRPr="005F7F86">
        <w:rPr>
          <w:rFonts w:cs="Times New Roman"/>
        </w:rPr>
        <w:lastRenderedPageBreak/>
        <w:t xml:space="preserve">(Hotel Kitchen Measurement Methodology, 2021). Industry guides and coalition reports provide practical measurement frameworks and case studies of success: several hotel and restaurant groups have reduced waste by combining data-driven portioning, redistribution partnerships, and technology (Sustainable Hospitality Alliance; Institute of Hospitality case studies; IFWC, 2022). Circular strategies, for example, on-site composting, converting vegetable trimmings to stocks, or selling surplus through resale platforms, are gaining traction, although their feasibility depends on local infrastructure and regulatory context (Sustainable Hospitality Alliance; Cardenas, 2024). </w:t>
      </w:r>
    </w:p>
    <w:p w14:paraId="4C3E57BE" w14:textId="77777777" w:rsidR="00671BDF" w:rsidRPr="005F7F86" w:rsidRDefault="00000000" w:rsidP="005F7F86">
      <w:pPr>
        <w:rPr>
          <w:rFonts w:cs="Times New Roman"/>
        </w:rPr>
      </w:pPr>
      <w:r w:rsidRPr="005F7F86">
        <w:rPr>
          <w:rFonts w:cs="Times New Roman"/>
        </w:rPr>
        <w:t xml:space="preserve">Packaging and single-use plastics remain a major concern in F&amp;B operations. The EU-level packaging reforms and bans on certain single-use items (negotiated 2024) create both regulatory risk and operational impetus for hotels to phase out disposable serviceware and optimise supply packaging (Reuters, 2024). At the property level, beverage packaging, takeaway containers and small-item portioning (e.g., single-use condiments) are common targets for cost-effective substitution and reuse schemes. Energy and water use in kitchens, while widely examined in hotel sustainability reports, require targeted, F&amp;B-specific benchmarks (Sustainable Hospitality Alliance decarbonisation work). </w:t>
      </w:r>
    </w:p>
    <w:p w14:paraId="0EB8F788" w14:textId="77777777" w:rsidR="00671BDF" w:rsidRPr="005F7F86" w:rsidRDefault="00000000" w:rsidP="005F7F86">
      <w:pPr>
        <w:pStyle w:val="Heading2"/>
      </w:pPr>
      <w:bookmarkStart w:id="4" w:name="_Toc211429583"/>
      <w:r w:rsidRPr="005F7F86">
        <w:t>2.3 Policy and Standards:</w:t>
      </w:r>
      <w:bookmarkEnd w:id="4"/>
    </w:p>
    <w:p w14:paraId="68FCD846" w14:textId="77777777" w:rsidR="00671BDF" w:rsidRPr="005F7F86" w:rsidRDefault="00000000" w:rsidP="005F7F86">
      <w:pPr>
        <w:rPr>
          <w:rFonts w:cs="Times New Roman"/>
        </w:rPr>
      </w:pPr>
      <w:r w:rsidRPr="005F7F86">
        <w:rPr>
          <w:rFonts w:cs="Times New Roman"/>
        </w:rPr>
        <w:t xml:space="preserve">A range of voluntary standards and sector bodies shape expectations for hotel F&amp;B sustainability. Green Key and the Sustainable Restaurant Association's Food Made Good standard offer certification pathways and operational checklists for hotels and restaurants seeking third-party validation (Green Key; SRA). These standards typically require evidence of waste measurement, procurement policies, staff training and guest communication elements directly relevant to F&amp;B practice (Green Key; SRA). The Sustainable Hospitality Alliance has published industry-oriented toolkits, including a Hotel Waste Measurement Methodology and a pathway for decarbonising hotel food systems; these practical guides support hotels in translating high-level targets into kitchen-level actions (Sustainable Hospitality Alliance; HotelWasteMeasurementMethodology, 2021). Regulatory trends, particularly packaging restrictions and food-waste reduction targets linked to SDG 12.3, also create an external compliance baseline that hotels must navigate (EU packaging deal; FAO/UN reports). </w:t>
      </w:r>
    </w:p>
    <w:p w14:paraId="4701D44A" w14:textId="77777777" w:rsidR="00671BDF" w:rsidRPr="005F7F86" w:rsidRDefault="00000000" w:rsidP="005F7F86">
      <w:pPr>
        <w:pStyle w:val="Heading2"/>
      </w:pPr>
      <w:bookmarkStart w:id="5" w:name="_Toc211429584"/>
      <w:r w:rsidRPr="005F7F86">
        <w:t>2.4 Evidence on Customer Perceptions and Commercial Impact:</w:t>
      </w:r>
      <w:bookmarkEnd w:id="5"/>
    </w:p>
    <w:p w14:paraId="2C39F313" w14:textId="77777777" w:rsidR="00671BDF" w:rsidRPr="005F7F86" w:rsidRDefault="00000000" w:rsidP="005F7F86">
      <w:pPr>
        <w:rPr>
          <w:rFonts w:cs="Times New Roman"/>
        </w:rPr>
      </w:pPr>
      <w:r w:rsidRPr="005F7F86">
        <w:rPr>
          <w:rFonts w:cs="Times New Roman"/>
        </w:rPr>
        <w:t xml:space="preserve">A significant body of work investigates whether and how sustainability affects guest behaviour. Meta-analyses and systematic reviews show that a portion of customers are willing to pay a modest premium for certified "green" accommodation, with typical estimates in the range of </w:t>
      </w:r>
      <w:r w:rsidRPr="005F7F86">
        <w:rPr>
          <w:rFonts w:cs="Times New Roman"/>
        </w:rPr>
        <w:lastRenderedPageBreak/>
        <w:t xml:space="preserve">~4–6% or a small per-room/per-night uplift, though willingness-to-pay varies by geography, guest segment and measurement method (Gao, 2016; Damigos, 2023; Nelson, 2021). Recent primary research finds a positive association between perceived green practices, guest satisfaction and willingness to pay premium prices, with loyalty and experiential factors moderating the relationship (Yang, 2024; Damigos, 2023). These findings suggest that transparently communicated, credible F&amp;B sustainability actions (e.g., clear provenance claims, visible waste-prevention measures) can support both reputation and incremental revenue, but claims must be verified to avoid backlash (greenwashing risk) (Damigos, 2023; Yang, 2024). </w:t>
      </w:r>
    </w:p>
    <w:p w14:paraId="462EF1B9" w14:textId="77777777" w:rsidR="00671BDF" w:rsidRPr="005F7F86" w:rsidRDefault="00000000" w:rsidP="005F7F86">
      <w:pPr>
        <w:pStyle w:val="Heading2"/>
      </w:pPr>
      <w:bookmarkStart w:id="6" w:name="_Toc211429585"/>
      <w:r w:rsidRPr="005F7F86">
        <w:t>2.5 Identified Research Gaps:</w:t>
      </w:r>
      <w:bookmarkEnd w:id="6"/>
    </w:p>
    <w:p w14:paraId="11FC2D89" w14:textId="77777777" w:rsidR="00671BDF" w:rsidRPr="005F7F86" w:rsidRDefault="00000000" w:rsidP="005F7F86">
      <w:pPr>
        <w:rPr>
          <w:rFonts w:cs="Times New Roman"/>
        </w:rPr>
      </w:pPr>
      <w:r w:rsidRPr="005F7F86">
        <w:rPr>
          <w:rFonts w:cs="Times New Roman"/>
        </w:rPr>
        <w:t>Despite growth in the literature, several gaps are evident and justify the present desk-based case study. First, many empirical studies focus on large, managed-brand or luxury hotels where resources for sustainability are greater; mid-scale and franchised properties (where operational autonomy and budget constraints differ) are under-represented (Guzzo, 2020; Tanveer, 2023). Second, operational research that links procurement contracts, recipe-level decisions and quantified plate-waste measures remains scarce; much of the literature relies on self-reported managerial surveys or pilot studies in larger groups. Third, although online guest reviews are increasingly used to infer perceptions, there is limited triangulated work that juxtaposes brand-level disclosures, third-party standards compliance, and guest sentiment for a single placement hotel. Finally, while measurement frameworks exist, adoption is inconsistent, and evidence on cost-benefit calculations for mid-scale F&amp;B interventions (e.g., on-site composting vs redistribution partnerships) is limited, creating an important practical gap for placement-level recommendations (HotelWasteMeasurementMethodology; IFWC; Sustainable Hospitality Alliance). These limitations provide the rationale for a focused case study of Mercure Thame Lambert Hotel using secondary sources to examine alignment between policy, practice and guest perception.</w:t>
      </w:r>
    </w:p>
    <w:p w14:paraId="126BA6C1" w14:textId="77777777" w:rsidR="00671BDF" w:rsidRPr="005F7F86" w:rsidRDefault="00000000" w:rsidP="005F7F86">
      <w:pPr>
        <w:pStyle w:val="Heading1"/>
        <w:rPr>
          <w:rFonts w:cs="Times New Roman"/>
        </w:rPr>
      </w:pPr>
      <w:bookmarkStart w:id="7" w:name="_Toc211429586"/>
      <w:r w:rsidRPr="005F7F86">
        <w:rPr>
          <w:rFonts w:cs="Times New Roman"/>
        </w:rPr>
        <w:t>Chapter 3: Methodology</w:t>
      </w:r>
      <w:bookmarkEnd w:id="7"/>
    </w:p>
    <w:p w14:paraId="46E9069D" w14:textId="77777777" w:rsidR="00671BDF" w:rsidRPr="005F7F86" w:rsidRDefault="00000000" w:rsidP="005F7F86">
      <w:pPr>
        <w:pStyle w:val="Heading2"/>
      </w:pPr>
      <w:bookmarkStart w:id="8" w:name="_Toc211429587"/>
      <w:r w:rsidRPr="005F7F86">
        <w:t>3.1 Research Design: Desk-Based Case Study Rationale</w:t>
      </w:r>
      <w:bookmarkEnd w:id="8"/>
    </w:p>
    <w:p w14:paraId="74AFA054" w14:textId="77777777" w:rsidR="00671BDF" w:rsidRPr="005F7F86" w:rsidRDefault="00000000" w:rsidP="005F7F86">
      <w:pPr>
        <w:rPr>
          <w:rFonts w:cs="Times New Roman"/>
        </w:rPr>
      </w:pPr>
      <w:r w:rsidRPr="005F7F86">
        <w:rPr>
          <w:rFonts w:cs="Times New Roman"/>
        </w:rPr>
        <w:t>This research employs a </w:t>
      </w:r>
      <w:r w:rsidRPr="005F7F86">
        <w:rPr>
          <w:rFonts w:cs="Times New Roman"/>
          <w:b/>
          <w:bCs/>
        </w:rPr>
        <w:t>desk-based single case-study</w:t>
      </w:r>
      <w:r w:rsidRPr="005F7F86">
        <w:rPr>
          <w:rFonts w:cs="Times New Roman"/>
        </w:rPr>
        <w:t xml:space="preserve"> design to examine sustainable F&amp;B practices at Mercure Thame Lambert Hotel. Case studies are well-suited to placement research because they prioritise contextual depth and permit a detailed, holistic examination of real-world organisational phenomena (Yin, 2018). A document-centred case approach aligns with </w:t>
      </w:r>
      <w:r w:rsidRPr="005F7F86">
        <w:rPr>
          <w:rFonts w:cs="Times New Roman"/>
        </w:rPr>
        <w:lastRenderedPageBreak/>
        <w:t xml:space="preserve">the module's requirement to use placement experience while remaining feasible within ethical and time constraints: it permits triangulation of corporate disclosures, industry guidance and guest-generated material to construct a credible, evidence-based account of practice at the placement hotel (Saunders et al., 2019). The desk-based approach emphasises existing, public data rather than primary interviews; this is appropriate when the research aim is to compare property-level practice with brand commitments and secondary indicators of guest perception. </w:t>
      </w:r>
    </w:p>
    <w:p w14:paraId="10A6BAEB" w14:textId="77777777" w:rsidR="00671BDF" w:rsidRPr="005F7F86" w:rsidRDefault="00000000" w:rsidP="005F7F86">
      <w:pPr>
        <w:rPr>
          <w:rFonts w:cs="Times New Roman"/>
        </w:rPr>
      </w:pPr>
      <w:r w:rsidRPr="005F7F86">
        <w:rPr>
          <w:rFonts w:cs="Times New Roman"/>
        </w:rPr>
        <w:t xml:space="preserve">The principal advantages of this design are feasibility, low ethical risk, and the ability to access a broad range of documentary evidence quickly (Saunders et al., 2019). Limitations include the inability to collect primary interview data (which would provide direct managerial perspectives) and the potential for incomplete or biased public documentation (Yin, 2018). These constraints are managed through systematic source selection and triangulation. </w:t>
      </w:r>
    </w:p>
    <w:p w14:paraId="675D7B59" w14:textId="77777777" w:rsidR="00671BDF" w:rsidRPr="005F7F86" w:rsidRDefault="00000000" w:rsidP="005F7F86">
      <w:pPr>
        <w:pStyle w:val="Heading2"/>
      </w:pPr>
      <w:bookmarkStart w:id="9" w:name="_Toc211429588"/>
      <w:r w:rsidRPr="005F7F86">
        <w:t>3.2 Data Sources and Sampling:</w:t>
      </w:r>
      <w:bookmarkEnd w:id="9"/>
    </w:p>
    <w:p w14:paraId="0851E518" w14:textId="77777777" w:rsidR="00671BDF" w:rsidRPr="005F7F86" w:rsidRDefault="00000000" w:rsidP="005F7F86">
      <w:pPr>
        <w:rPr>
          <w:rFonts w:cs="Times New Roman"/>
        </w:rPr>
      </w:pPr>
      <w:r w:rsidRPr="005F7F86">
        <w:rPr>
          <w:rFonts w:cs="Times New Roman"/>
        </w:rPr>
        <w:t>Four categories of secondary data were targeted: (1) </w:t>
      </w:r>
      <w:r w:rsidRPr="005F7F86">
        <w:rPr>
          <w:rFonts w:cs="Times New Roman"/>
          <w:b/>
          <w:bCs/>
        </w:rPr>
        <w:t>corporate documents</w:t>
      </w:r>
      <w:r w:rsidRPr="005F7F86">
        <w:rPr>
          <w:rFonts w:cs="Times New Roman"/>
        </w:rPr>
        <w:t> (Accor Group/ Mercure sustainability reports, brand guidance, and any hotel-level policy pages); (2) </w:t>
      </w:r>
      <w:r w:rsidRPr="005F7F86">
        <w:rPr>
          <w:rFonts w:cs="Times New Roman"/>
          <w:b/>
          <w:bCs/>
        </w:rPr>
        <w:t>industry reports and guidance</w:t>
      </w:r>
      <w:r w:rsidRPr="005F7F86">
        <w:rPr>
          <w:rFonts w:cs="Times New Roman"/>
        </w:rPr>
        <w:t> (UK bodies and international organisations such as BHA, UNWTO and WRAP); (3) </w:t>
      </w:r>
      <w:r w:rsidRPr="005F7F86">
        <w:rPr>
          <w:rFonts w:cs="Times New Roman"/>
          <w:b/>
          <w:bCs/>
        </w:rPr>
        <w:t>academic literature</w:t>
      </w:r>
      <w:r w:rsidRPr="005F7F86">
        <w:rPr>
          <w:rFonts w:cs="Times New Roman"/>
        </w:rPr>
        <w:t> (2015–2025 emphasis for contemporary evidence); and (4) </w:t>
      </w:r>
      <w:r w:rsidRPr="005F7F86">
        <w:rPr>
          <w:rFonts w:cs="Times New Roman"/>
          <w:b/>
          <w:bCs/>
        </w:rPr>
        <w:t>customer-generated content</w:t>
      </w:r>
      <w:r w:rsidRPr="005F7F86">
        <w:rPr>
          <w:rFonts w:cs="Times New Roman"/>
        </w:rPr>
        <w:t> (TripAdvisor, Google Reviews and OTA comments) plus relevant </w:t>
      </w:r>
      <w:r w:rsidRPr="005F7F86">
        <w:rPr>
          <w:rFonts w:cs="Times New Roman"/>
          <w:b/>
          <w:bCs/>
        </w:rPr>
        <w:t>media or local supplier</w:t>
      </w:r>
      <w:r w:rsidRPr="005F7F86">
        <w:rPr>
          <w:rFonts w:cs="Times New Roman"/>
        </w:rPr>
        <w:t xml:space="preserve"> information. Corporate and industry documents provide formal statements of intent and metrics; academic sources offer analytical frameworks; and guest reviews supply observable signals of customer perceptions (Saunders et al., 2019; Xiang et al., 2017). </w:t>
      </w:r>
    </w:p>
    <w:p w14:paraId="48CE8270" w14:textId="77777777" w:rsidR="00671BDF" w:rsidRPr="005F7F86" w:rsidRDefault="00000000" w:rsidP="005F7F86">
      <w:pPr>
        <w:rPr>
          <w:rFonts w:cs="Times New Roman"/>
        </w:rPr>
      </w:pPr>
      <w:r w:rsidRPr="005F7F86">
        <w:rPr>
          <w:rFonts w:cs="Times New Roman"/>
        </w:rPr>
        <w:t>A purposive sampling strategy was used for review data: reviews published in the </w:t>
      </w:r>
      <w:r w:rsidRPr="005F7F86">
        <w:rPr>
          <w:rFonts w:cs="Times New Roman"/>
          <w:b/>
          <w:bCs/>
        </w:rPr>
        <w:t>past three years</w:t>
      </w:r>
      <w:r w:rsidRPr="005F7F86">
        <w:rPr>
          <w:rFonts w:cs="Times New Roman"/>
        </w:rPr>
        <w:t xml:space="preserve"> (to capture recent practice and pandemic-recovery changes) were screened for explicit sustainability terms (e.g., “local”, “plastic”, “waste”, “recycling”, “menu”, “sourcing”). Purposeful sampling is an established qualitative strategy when seeking information-rich cases that speak to specific research questions (Palinkas et al., 2015). For document sources, the most recent Accor/brand sustainability disclosures and any hotel pages or press coverage were selected to ensure temporal relevance.  </w:t>
      </w:r>
    </w:p>
    <w:p w14:paraId="356EEFC9" w14:textId="77777777" w:rsidR="00671BDF" w:rsidRPr="005F7F86" w:rsidRDefault="00000000" w:rsidP="005F7F86">
      <w:pPr>
        <w:pStyle w:val="Heading2"/>
      </w:pPr>
      <w:bookmarkStart w:id="10" w:name="_Toc211429589"/>
      <w:r w:rsidRPr="005F7F86">
        <w:t>3.3 Data Collection and Analysis Methods:</w:t>
      </w:r>
      <w:bookmarkEnd w:id="10"/>
    </w:p>
    <w:p w14:paraId="7BF1B77A" w14:textId="77777777" w:rsidR="00E6079C" w:rsidRPr="005F7F86" w:rsidRDefault="00000000" w:rsidP="005F7F86">
      <w:pPr>
        <w:rPr>
          <w:rFonts w:cs="Times New Roman"/>
        </w:rPr>
      </w:pPr>
      <w:r w:rsidRPr="005F7F86">
        <w:rPr>
          <w:rFonts w:cs="Times New Roman"/>
        </w:rPr>
        <w:t xml:space="preserve">Corporate and industry documents were analysed using the content analysis to identify the mentioned policies, targets and reported KPIs applicable in F&amp;B (Krippendorff, 2018). It was done by methodical coding of documents into pre-specified categories (procurement, waste, packaging, communication, measurement), and inductive coding of emergent items. Thematic </w:t>
      </w:r>
      <w:r w:rsidRPr="005F7F86">
        <w:rPr>
          <w:rFonts w:cs="Times New Roman"/>
        </w:rPr>
        <w:lastRenderedPageBreak/>
        <w:t xml:space="preserve">analysis of the reviews left by guests underwent a six-step process of familiarisation, coding, theme development, review, definition and reporting as described by Braun and Clarke (2006). The guidance of coding was based on the recommendations of Saldana (2021), who suggested that first- and second-cycle coding approaches should be employed to create uniformity in the interpretation of narrative texts. These qualitative methods can be used when analysing secondary text data and allow triangulation between the evidence types (Krippendorff, 2018; Braun and Clarke, 2006; Saldana, 2021). </w:t>
      </w:r>
    </w:p>
    <w:p w14:paraId="0318ABC6" w14:textId="77777777" w:rsidR="00671BDF" w:rsidRPr="005F7F86" w:rsidRDefault="00000000" w:rsidP="005F7F86">
      <w:pPr>
        <w:rPr>
          <w:rFonts w:cs="Times New Roman"/>
        </w:rPr>
      </w:pPr>
      <w:r w:rsidRPr="005F7F86">
        <w:rPr>
          <w:rFonts w:cs="Times New Roman"/>
        </w:rPr>
        <w:t xml:space="preserve">The benchmarking exercise was used to compare hotel practices (found in documents and reviews) with TBL/CSR indicators found in the literature and industry toolsets to assess the operational alignment with the overarching sustainability goals. The findings were placed in the internal capacities of the hotel and the external regulatory and market environment with a short SWOT analysis and a PESTEL scanner (Johnson et al., 2017). These practical instruments transform qualitative results into a format of diagnostics present in management recommendations. </w:t>
      </w:r>
    </w:p>
    <w:p w14:paraId="6482867F" w14:textId="77777777" w:rsidR="00671BDF" w:rsidRPr="005F7F86" w:rsidRDefault="00000000" w:rsidP="005F7F86">
      <w:pPr>
        <w:pStyle w:val="Heading2"/>
      </w:pPr>
      <w:bookmarkStart w:id="11" w:name="_Toc211429590"/>
      <w:r w:rsidRPr="005F7F86">
        <w:t>3.4 Quality, Validity and Ethical Considerations:</w:t>
      </w:r>
      <w:bookmarkEnd w:id="11"/>
    </w:p>
    <w:p w14:paraId="7E6E9F7C" w14:textId="77777777" w:rsidR="00671BDF" w:rsidRPr="005F7F86" w:rsidRDefault="00000000" w:rsidP="005F7F86">
      <w:pPr>
        <w:rPr>
          <w:rFonts w:cs="Times New Roman"/>
        </w:rPr>
      </w:pPr>
      <w:r w:rsidRPr="005F7F86">
        <w:rPr>
          <w:rFonts w:cs="Times New Roman"/>
        </w:rPr>
        <w:t>Validity was strengthened through </w:t>
      </w:r>
      <w:r w:rsidRPr="005F7F86">
        <w:rPr>
          <w:rFonts w:cs="Times New Roman"/>
          <w:b/>
          <w:bCs/>
        </w:rPr>
        <w:t>triangulation</w:t>
      </w:r>
      <w:r w:rsidRPr="005F7F86">
        <w:rPr>
          <w:rFonts w:cs="Times New Roman"/>
        </w:rPr>
        <w:t xml:space="preserve">, comparing corporate claims, industry benchmarks, and guest experience signals to reduce reliance on any single data type (Yin, 2018). A clear audit trail (source lists, coding framework, sample sizes and selection criteria) was maintained to support transparency and reproducibility (Saunders et al., 2019). Online review data carry risks of manipulation and selection bias; the methodology therefore reports review counts, search terms and sampling filters and treats individual comments as illustrative rather than definitive (Xiang et al., 2017; Vo, 2022). </w:t>
      </w:r>
    </w:p>
    <w:p w14:paraId="74E957B9" w14:textId="77777777" w:rsidR="00671BDF" w:rsidRPr="005F7F86" w:rsidRDefault="00000000" w:rsidP="005F7F86">
      <w:pPr>
        <w:rPr>
          <w:rFonts w:cs="Times New Roman"/>
        </w:rPr>
      </w:pPr>
      <w:r w:rsidRPr="005F7F86">
        <w:rPr>
          <w:rFonts w:cs="Times New Roman"/>
        </w:rPr>
        <w:t>Ethically, the research follows recognised guidance: public web content was used only in anonymised form (no personal identifiers reproduced), and the study adheres to UK research-ethics principles and data-protection guidance (BERA; UK ICO) regarding the use of publicly available but potentially personal data. Any quoted guest comment in the report is paraphrased and anonymised to respect privacy and to align with ICO advice on ethical scraping and processing of online data (BERA, 2018; ICO, 2025).</w:t>
      </w:r>
    </w:p>
    <w:p w14:paraId="36D741D4" w14:textId="77777777" w:rsidR="008A28DD" w:rsidRPr="005F7F86" w:rsidRDefault="00000000" w:rsidP="005F7F86">
      <w:pPr>
        <w:pStyle w:val="Heading1"/>
        <w:rPr>
          <w:rFonts w:cs="Times New Roman"/>
        </w:rPr>
      </w:pPr>
      <w:bookmarkStart w:id="12" w:name="_Toc211429591"/>
      <w:r w:rsidRPr="005F7F86">
        <w:rPr>
          <w:rFonts w:cs="Times New Roman"/>
        </w:rPr>
        <w:t>Chapter 4: Findings &amp; Discussion</w:t>
      </w:r>
      <w:bookmarkEnd w:id="12"/>
    </w:p>
    <w:p w14:paraId="7B0531F6" w14:textId="77777777" w:rsidR="008A28DD" w:rsidRPr="005F7F86" w:rsidRDefault="00000000" w:rsidP="005F7F86">
      <w:pPr>
        <w:pStyle w:val="Heading2"/>
      </w:pPr>
      <w:bookmarkStart w:id="13" w:name="_Toc211429592"/>
      <w:r w:rsidRPr="005F7F86">
        <w:t>4.1 Findings:</w:t>
      </w:r>
      <w:bookmarkEnd w:id="13"/>
    </w:p>
    <w:p w14:paraId="115AA34E" w14:textId="77777777" w:rsidR="008A28DD" w:rsidRPr="005F7F86" w:rsidRDefault="00000000" w:rsidP="005F7F86">
      <w:pPr>
        <w:rPr>
          <w:rFonts w:cs="Times New Roman"/>
        </w:rPr>
      </w:pPr>
      <w:r w:rsidRPr="005F7F86">
        <w:rPr>
          <w:rFonts w:cs="Times New Roman"/>
        </w:rPr>
        <w:t xml:space="preserve">This chapter presents the empirical findings from the desk-based case study of sustainable food and beverage (F&amp;B) practices at Mercure Thame Lambert Hotel, organised around the research </w:t>
      </w:r>
      <w:r w:rsidRPr="005F7F86">
        <w:rPr>
          <w:rFonts w:cs="Times New Roman"/>
        </w:rPr>
        <w:lastRenderedPageBreak/>
        <w:t>objectives. Evidence is drawn from Accor/ Mercure corporate materials, sector toolkits, media reports and a purposive sample of recent online guest reviews. Findings below cover: (1) current sustainability policies and initiatives for the case hotel, (2) procurement and supply-chain practices, (3) food-waste management and recycling, (4) guest-facing sustainability communication, (5) customer perceptions, and (6) comparative benchmarking against Accor/Mercure commitments and industry best practice.</w:t>
      </w:r>
    </w:p>
    <w:p w14:paraId="5D37A167" w14:textId="77777777" w:rsidR="008A28DD" w:rsidRPr="005F7F86" w:rsidRDefault="00000000" w:rsidP="005F7F86">
      <w:pPr>
        <w:pStyle w:val="Heading3"/>
        <w:rPr>
          <w:rFonts w:cs="Times New Roman"/>
        </w:rPr>
      </w:pPr>
      <w:bookmarkStart w:id="14" w:name="_Toc211429593"/>
      <w:r w:rsidRPr="005F7F86">
        <w:rPr>
          <w:rFonts w:cs="Times New Roman"/>
        </w:rPr>
        <w:t>4.1.1 Current Sustainability Policies &amp; Initiatives at Mercure Thame Lambert Hotel:</w:t>
      </w:r>
      <w:bookmarkEnd w:id="14"/>
    </w:p>
    <w:p w14:paraId="3A37E3DB" w14:textId="77777777" w:rsidR="008A28DD" w:rsidRPr="005F7F86" w:rsidRDefault="00000000" w:rsidP="005F7F86">
      <w:pPr>
        <w:rPr>
          <w:rFonts w:cs="Times New Roman"/>
        </w:rPr>
      </w:pPr>
      <w:r w:rsidRPr="005F7F86">
        <w:rPr>
          <w:rFonts w:cs="Times New Roman"/>
        </w:rPr>
        <w:t xml:space="preserve">Accor Group’s public sustainability programme (Planet 21 / Accor Impact) sets clear expectations for portfolio-level action on food sustainability, including commitments to measure and reduce food waste, phase out certain single-use plastics and promote local sourcing and community partnerships (Accor Group, 2023). The 2023/24 Accor Impact Report documents partnerships (e.g., Too Good To Go) and the rollout of measurement technologies (Winnow, Orbisk) across many hotels, and it reports aggregated metrics for redistributed meals and waste reductions attributable to these partnerships (Accor Group, 2023). These group-level commitments create a framework that franchised Mercure properties are expected to follow, although the degree of local implementation varies across properties (Accor Group, 2023; Accor, 2022). </w:t>
      </w:r>
    </w:p>
    <w:p w14:paraId="0D2D1091" w14:textId="77777777" w:rsidR="008A28DD" w:rsidRPr="005F7F86" w:rsidRDefault="00000000" w:rsidP="005F7F86">
      <w:pPr>
        <w:rPr>
          <w:rFonts w:cs="Times New Roman"/>
        </w:rPr>
      </w:pPr>
      <w:r w:rsidRPr="005F7F86">
        <w:rPr>
          <w:rFonts w:cs="Times New Roman"/>
        </w:rPr>
        <w:t xml:space="preserve">Mercure Thame Lambert Hotel's public materials (hotel and restaurant pages) emphasise seasonal and locally sourced produce and showcase destination-focused food offerings (Mercure Thame Lambert Hotel; Lambert Arms restaurant pages). Marketing language stresses that the hotel's kitchen "focuses on locally sourced produce" and highlights regional ingredients used in menus, indicating a property-level emphasis on provenance as part of the guest experience (Lambert Arms; Mercure listing). However, there is no publicly posted, detailed hotel-level sustainability policy document or quantified F&amp;B KPIs visible for the property; this suggests that while sustainability is present in promotional messaging, formal disclosure of measured targets and operational KPIs (e.g., daily waste tonnage, number of redistribution events) is limited for the property online (Mercure Thame Lambert Hotel; Accor Impact Report). </w:t>
      </w:r>
    </w:p>
    <w:p w14:paraId="14E15382" w14:textId="77777777" w:rsidR="008A28DD" w:rsidRPr="005F7F86" w:rsidRDefault="00000000" w:rsidP="005F7F86">
      <w:pPr>
        <w:rPr>
          <w:rFonts w:cs="Times New Roman"/>
        </w:rPr>
      </w:pPr>
      <w:r w:rsidRPr="005F7F86">
        <w:rPr>
          <w:rFonts w:cs="Times New Roman"/>
        </w:rPr>
        <w:t xml:space="preserve">Operational examples observed during the placement (role: Food &amp; Beverage Assistant Supervisor) corroborate promotional claims: menus and restaurant descriptions feature seasonal dishes and local suppliers; visible single-use packaging in served meals has been reduced compared with earlier standards; in-service practice shows conscious efforts to present </w:t>
      </w:r>
      <w:r w:rsidRPr="005F7F86">
        <w:rPr>
          <w:rFonts w:cs="Times New Roman"/>
        </w:rPr>
        <w:lastRenderedPageBreak/>
        <w:t xml:space="preserve">local beverages and to avoid unnecessary plastic disposables in dining. Nevertheless, the property lacks evidence of systematic, technology-enabled measurement (e.g., Winnow or Orbisk installations) and there is no online indication of formal redistribution participation (e.g., public Too Good To Go storefront), pointing to a pattern of selective adoption rather than comprehensive, measured implementation (Accor press; Orbisk blog). </w:t>
      </w:r>
    </w:p>
    <w:p w14:paraId="234D6AFC" w14:textId="77777777" w:rsidR="008A28DD" w:rsidRPr="005F7F86" w:rsidRDefault="00000000" w:rsidP="005F7F86">
      <w:pPr>
        <w:pStyle w:val="Heading3"/>
        <w:rPr>
          <w:rFonts w:cs="Times New Roman"/>
        </w:rPr>
      </w:pPr>
      <w:bookmarkStart w:id="15" w:name="_Toc211429594"/>
      <w:r w:rsidRPr="005F7F86">
        <w:rPr>
          <w:rFonts w:cs="Times New Roman"/>
        </w:rPr>
        <w:t>4.1.2 Procurement and Supply-Chain Practices:</w:t>
      </w:r>
      <w:bookmarkEnd w:id="15"/>
    </w:p>
    <w:p w14:paraId="6C0E0755" w14:textId="77777777" w:rsidR="008A28DD" w:rsidRPr="005F7F86" w:rsidRDefault="00000000" w:rsidP="005F7F86">
      <w:pPr>
        <w:rPr>
          <w:rFonts w:cs="Times New Roman"/>
        </w:rPr>
      </w:pPr>
      <w:r w:rsidRPr="005F7F86">
        <w:rPr>
          <w:rFonts w:cs="Times New Roman"/>
        </w:rPr>
        <w:t xml:space="preserve">Accor and Mercure brand guidance promote the use of local and seasonal food where possible, both to enrich guest experience and to reduce supply-chain impacts (Accor sustainable hospitality pages). Industry guidance (Sustainable Hospitality Alliance, Travel Foundation) recommends combining centralised distribution for staples with local supplier partnerships for seasonal produce and experience items, a model that balances cost, food safety and provenance (Sustainable Hospitality Alliance; Travel Foundation). For many mid-scale hotels, the practical procurement model is therefore mixed: national distributors for basic SKUs and selected local suppliers for seasonal menu items (Sustainable Hospitality Alliance, 2021). </w:t>
      </w:r>
    </w:p>
    <w:p w14:paraId="713C3426" w14:textId="77777777" w:rsidR="008A28DD" w:rsidRPr="005F7F86" w:rsidRDefault="00000000" w:rsidP="005F7F86">
      <w:pPr>
        <w:rPr>
          <w:rFonts w:cs="Times New Roman"/>
        </w:rPr>
      </w:pPr>
      <w:r w:rsidRPr="005F7F86">
        <w:rPr>
          <w:rFonts w:cs="Times New Roman"/>
        </w:rPr>
        <w:t xml:space="preserve">Public evidence for Mercure Thame Lambert indicates that the hotel uses local suppliers for highlighted dishes and beverages (hotel restaurant pages reference local producers). However, there is no published supplier list or procurement policy on the hotel’s public pages; this obscures the breadth and depth of local supply relationships and prevents direct assessment of supplier sustainability credentials, traceability, or frequency of local procurement (Mercure Thame Lambert Hotel; Lambert Arms). Constraints that commonly affect mid-scale properties supplier minimum order quantities, higher costs for small-producer goods and food-safety documentation requirements are likely relevant here and are frequently cited in sector literature as limiting deeper local sourcing (FAO; Sustainable Hospitality Alliance). </w:t>
      </w:r>
    </w:p>
    <w:p w14:paraId="2DA981C7" w14:textId="77777777" w:rsidR="008A28DD" w:rsidRPr="005F7F86" w:rsidRDefault="00000000" w:rsidP="005F7F86">
      <w:pPr>
        <w:rPr>
          <w:rFonts w:cs="Times New Roman"/>
        </w:rPr>
      </w:pPr>
      <w:r w:rsidRPr="005F7F86">
        <w:rPr>
          <w:rFonts w:cs="Times New Roman"/>
        </w:rPr>
        <w:t>A pragmatic procurement pathway for hotels like Mercure Thame Lambert is to adopt a “core-plus-local” approach: retain core contracts with major distributors for staples while developing a curated local-supplier list for seasonal and high-value menu items; use seasonal menus and menu cycles to absorb variability; and create contractual flexibility to test and scale local partnerships. This model is widely recommended in industry guidance and is consistent with Accor’s brand messaging, though it requires property-level purchasing autonomy and staff time for supplier development (Travel Foundation; Sustainable Hospitality Alliance).</w:t>
      </w:r>
    </w:p>
    <w:p w14:paraId="5AE47F64" w14:textId="77777777" w:rsidR="008A28DD" w:rsidRPr="005F7F86" w:rsidRDefault="00000000" w:rsidP="005F7F86">
      <w:pPr>
        <w:pStyle w:val="Heading3"/>
        <w:rPr>
          <w:rFonts w:cs="Times New Roman"/>
        </w:rPr>
      </w:pPr>
      <w:bookmarkStart w:id="16" w:name="_Toc211429595"/>
      <w:r w:rsidRPr="005F7F86">
        <w:rPr>
          <w:rFonts w:cs="Times New Roman"/>
        </w:rPr>
        <w:t>4.1.3 Food-Waste Management and Recycling Practices:</w:t>
      </w:r>
      <w:bookmarkEnd w:id="16"/>
    </w:p>
    <w:p w14:paraId="0AF7FFD7" w14:textId="77777777" w:rsidR="008A28DD" w:rsidRPr="005F7F86" w:rsidRDefault="00000000" w:rsidP="005F7F86">
      <w:pPr>
        <w:rPr>
          <w:rFonts w:cs="Times New Roman"/>
        </w:rPr>
      </w:pPr>
      <w:r w:rsidRPr="005F7F86">
        <w:rPr>
          <w:rFonts w:cs="Times New Roman"/>
        </w:rPr>
        <w:t>Food-waste reduction at the group level has progressed via partnerships and technology. Accor's reporting describes redistribution (Too Good To Go) and the adoption of waste-</w:t>
      </w:r>
      <w:r w:rsidRPr="005F7F86">
        <w:rPr>
          <w:rFonts w:cs="Times New Roman"/>
        </w:rPr>
        <w:lastRenderedPageBreak/>
        <w:t>measurement technology (Winnow, Orbisk) to inform menu and production decisions (Accor Impact Report; Accor news). These technologies have demonstrable case results, e.g., significant reductions in kitchen waste when AI/measurement tools are combined with chef engagement and menu adjustments (Winnow case studies; Orbisk/Accor press releases)</w:t>
      </w:r>
      <w:r w:rsidR="0031260B" w:rsidRPr="005F7F86">
        <w:rPr>
          <w:rFonts w:cs="Times New Roman"/>
        </w:rPr>
        <w:t xml:space="preserve">, </w:t>
      </w:r>
      <w:r w:rsidRPr="005F7F86">
        <w:rPr>
          <w:rFonts w:cs="Times New Roman"/>
        </w:rPr>
        <w:t xml:space="preserve">and press coverage highlights the growing adoption of AI to scan and quantify waste in hospitality kitchens (Business Insider; Winnow). </w:t>
      </w:r>
    </w:p>
    <w:p w14:paraId="671E8CC8" w14:textId="77777777" w:rsidR="008A28DD" w:rsidRPr="005F7F86" w:rsidRDefault="00000000" w:rsidP="005F7F86">
      <w:pPr>
        <w:rPr>
          <w:rFonts w:cs="Times New Roman"/>
        </w:rPr>
      </w:pPr>
      <w:r w:rsidRPr="005F7F86">
        <w:rPr>
          <w:rFonts w:cs="Times New Roman"/>
        </w:rPr>
        <w:t xml:space="preserve">On-site evidence for Mercure Thame Lambert indicates informal, manual waste-reduction activities rather than a full digital measurement system. During the placement, kitchen practice included recipe re-use for trimmings (stock and stock-based sauces), portion-control attention during busy services, and efforts to minimise pre-packaged condiments. There was, however, no visible dedicated AI measuring device (camera/scale), nor a documented formal redistribution partnership visible on public platforms at the time of research (no Too Good To Go listing and no FareShare partnership statement apparent). Recycling streams (cardboard, glass) were handled through standard local contractor arrangements rather than bespoke on-site composting or anaerobic digestion, which is consistent with common mid-scale constraints (space, staff time, cost) reported in sector guides (WRAP; SHA). </w:t>
      </w:r>
    </w:p>
    <w:p w14:paraId="1A0BBEE8" w14:textId="77777777" w:rsidR="008A28DD" w:rsidRPr="005F7F86" w:rsidRDefault="00000000" w:rsidP="005F7F86">
      <w:pPr>
        <w:rPr>
          <w:rFonts w:cs="Times New Roman"/>
        </w:rPr>
      </w:pPr>
      <w:r w:rsidRPr="005F7F86">
        <w:rPr>
          <w:rFonts w:cs="Times New Roman"/>
        </w:rPr>
        <w:t xml:space="preserve">Financial and regulatory drivers increase incentives for measurement and diversion. WRAP estimates large costs from avoidable hospitality food waste and demonstrates that measurement, redistribution and prevention deliver both cost-savings and carbon benefits, a dual incentive that Accor and other groups have leveraged in their pilots (WRAP; Accor Impact Report). For the placement hotel, the absence of published measurement suggests an opportunity for low-cost measurement pilots (manual weighing protocols initially, then scaled to digital) to capture waste types and inform menu/portion decisions. </w:t>
      </w:r>
    </w:p>
    <w:p w14:paraId="4FA7937C" w14:textId="77777777" w:rsidR="008A28DD" w:rsidRPr="005F7F86" w:rsidRDefault="00000000" w:rsidP="005F7F86">
      <w:pPr>
        <w:pStyle w:val="Heading3"/>
        <w:rPr>
          <w:rFonts w:cs="Times New Roman"/>
        </w:rPr>
      </w:pPr>
      <w:bookmarkStart w:id="17" w:name="_Toc211429596"/>
      <w:r w:rsidRPr="005F7F86">
        <w:rPr>
          <w:rFonts w:cs="Times New Roman"/>
        </w:rPr>
        <w:t>4.1.4 Guest-Facing Sustainability Communication:</w:t>
      </w:r>
      <w:bookmarkEnd w:id="17"/>
    </w:p>
    <w:p w14:paraId="6AD1E7A4" w14:textId="77777777" w:rsidR="008A28DD" w:rsidRPr="005F7F86" w:rsidRDefault="00000000" w:rsidP="005F7F86">
      <w:pPr>
        <w:rPr>
          <w:rFonts w:cs="Times New Roman"/>
        </w:rPr>
      </w:pPr>
      <w:r w:rsidRPr="005F7F86">
        <w:rPr>
          <w:rFonts w:cs="Times New Roman"/>
        </w:rPr>
        <w:t xml:space="preserve">Signalling sustainability to guests is important to convert operational actions into reputational and commercial value (CSR signalling literature). Accor promotes menu provenance features and guest knowledge sharing through destination content and on-site communication (Accor news). Evidence from the Mercure Thame Lambert public pages shows promotional content emphasising local produce and seasonal menus, which aligns with best practice for storytelling about provenance (Mercure Thame Lambert Hotel; Mercure local guide). However, standardised menu labelling (e.g., clear icons for “local”, “seasonal”, “plant-based”, or carbon/eco-labels) is not visible on publicly posted menus for the property; such labelling has </w:t>
      </w:r>
      <w:r w:rsidRPr="005F7F86">
        <w:rPr>
          <w:rFonts w:cs="Times New Roman"/>
        </w:rPr>
        <w:lastRenderedPageBreak/>
        <w:t xml:space="preserve">been shown in academic and industry experiments to nudge sustainable choices when implemented clearly and credibly (Parkin, 2022; Coskun, 2023). </w:t>
      </w:r>
    </w:p>
    <w:p w14:paraId="11B0787D" w14:textId="77777777" w:rsidR="008A28DD" w:rsidRPr="005F7F86" w:rsidRDefault="00000000" w:rsidP="005F7F86">
      <w:pPr>
        <w:rPr>
          <w:rFonts w:cs="Times New Roman"/>
        </w:rPr>
      </w:pPr>
      <w:r w:rsidRPr="005F7F86">
        <w:rPr>
          <w:rFonts w:cs="Times New Roman"/>
        </w:rPr>
        <w:t xml:space="preserve">Guest touchpoints observed during placement (restaurant staff verbally explaining local ingredients; printed menu notes about “locally sourced produce”) are positive but ad-hoc. Without consistent on-menu icons or a simple provenance legend, guest recognition of sustainability efforts is uneven and less likely to translate into measurable reputation gains or willingness-to-pay premiums. Industry guidance, therefore, recommends standardised labelling and simple, verifiable claims as low-cost ways to increase guest salience of sustainability (SRA; Sustainable Hospitality Alliance). </w:t>
      </w:r>
    </w:p>
    <w:p w14:paraId="3A0B1B44" w14:textId="77777777" w:rsidR="008A28DD" w:rsidRPr="005F7F86" w:rsidRDefault="00000000" w:rsidP="005F7F86">
      <w:pPr>
        <w:pStyle w:val="Heading3"/>
        <w:rPr>
          <w:rFonts w:cs="Times New Roman"/>
        </w:rPr>
      </w:pPr>
      <w:bookmarkStart w:id="18" w:name="_Toc211429597"/>
      <w:r w:rsidRPr="005F7F86">
        <w:rPr>
          <w:rFonts w:cs="Times New Roman"/>
        </w:rPr>
        <w:t>4.1.5 Customer Perception Evidence from Reviews (frequency and sentiment):</w:t>
      </w:r>
      <w:bookmarkEnd w:id="18"/>
    </w:p>
    <w:p w14:paraId="5721E0F5" w14:textId="77777777" w:rsidR="008A28DD" w:rsidRPr="005F7F86" w:rsidRDefault="00000000" w:rsidP="005F7F86">
      <w:pPr>
        <w:rPr>
          <w:rFonts w:cs="Times New Roman"/>
        </w:rPr>
      </w:pPr>
      <w:r w:rsidRPr="005F7F86">
        <w:rPr>
          <w:rFonts w:cs="Times New Roman"/>
        </w:rPr>
        <w:t>A purposive sample of recent online reviews (TripAdvisor, Booking.com and Google Reviews; filtered within the past three years and screened for sustainability-related keywords) was coded for mentions of provenance, packaging, waste, recycling and communication. The distribution of coded themes in the sample is summarised in Table 4.1 below.</w:t>
      </w:r>
    </w:p>
    <w:tbl>
      <w:tblPr>
        <w:tblStyle w:val="TableGrid"/>
        <w:tblW w:w="0" w:type="auto"/>
        <w:tblLook w:val="04A0" w:firstRow="1" w:lastRow="0" w:firstColumn="1" w:lastColumn="0" w:noHBand="0" w:noVBand="1"/>
      </w:tblPr>
      <w:tblGrid>
        <w:gridCol w:w="2747"/>
        <w:gridCol w:w="1871"/>
        <w:gridCol w:w="4398"/>
      </w:tblGrid>
      <w:tr w:rsidR="00320B89" w14:paraId="70911FB5" w14:textId="77777777" w:rsidTr="008A28DD">
        <w:tc>
          <w:tcPr>
            <w:tcW w:w="0" w:type="auto"/>
            <w:hideMark/>
          </w:tcPr>
          <w:p w14:paraId="49C00E5D" w14:textId="77777777" w:rsidR="008A28DD" w:rsidRPr="005F7F86" w:rsidRDefault="00000000" w:rsidP="005F7F86">
            <w:pPr>
              <w:spacing w:line="360" w:lineRule="auto"/>
              <w:rPr>
                <w:rFonts w:cs="Times New Roman"/>
                <w:b/>
                <w:bCs/>
              </w:rPr>
            </w:pPr>
            <w:r w:rsidRPr="005F7F86">
              <w:rPr>
                <w:rFonts w:cs="Times New Roman"/>
                <w:b/>
                <w:bCs/>
              </w:rPr>
              <w:t>Theme</w:t>
            </w:r>
          </w:p>
        </w:tc>
        <w:tc>
          <w:tcPr>
            <w:tcW w:w="0" w:type="auto"/>
            <w:hideMark/>
          </w:tcPr>
          <w:p w14:paraId="67F3ED2F" w14:textId="77777777" w:rsidR="008A28DD" w:rsidRPr="005F7F86" w:rsidRDefault="00000000" w:rsidP="005F7F86">
            <w:pPr>
              <w:spacing w:line="360" w:lineRule="auto"/>
              <w:rPr>
                <w:rFonts w:cs="Times New Roman"/>
                <w:b/>
                <w:bCs/>
              </w:rPr>
            </w:pPr>
            <w:r w:rsidRPr="005F7F86">
              <w:rPr>
                <w:rFonts w:cs="Times New Roman"/>
                <w:b/>
                <w:bCs/>
              </w:rPr>
              <w:t>Reviews mentioning (n)</w:t>
            </w:r>
          </w:p>
        </w:tc>
        <w:tc>
          <w:tcPr>
            <w:tcW w:w="0" w:type="auto"/>
            <w:hideMark/>
          </w:tcPr>
          <w:p w14:paraId="13DF1764" w14:textId="77777777" w:rsidR="008A28DD" w:rsidRPr="005F7F86" w:rsidRDefault="00000000" w:rsidP="005F7F86">
            <w:pPr>
              <w:spacing w:line="360" w:lineRule="auto"/>
              <w:rPr>
                <w:rFonts w:cs="Times New Roman"/>
                <w:b/>
                <w:bCs/>
              </w:rPr>
            </w:pPr>
            <w:r w:rsidRPr="005F7F86">
              <w:rPr>
                <w:rFonts w:cs="Times New Roman"/>
                <w:b/>
                <w:bCs/>
              </w:rPr>
              <w:t>Predominant sentiment</w:t>
            </w:r>
          </w:p>
        </w:tc>
      </w:tr>
      <w:tr w:rsidR="00320B89" w14:paraId="1A6824B8" w14:textId="77777777" w:rsidTr="008A28DD">
        <w:tc>
          <w:tcPr>
            <w:tcW w:w="0" w:type="auto"/>
            <w:hideMark/>
          </w:tcPr>
          <w:p w14:paraId="0A7A4E6E" w14:textId="77777777" w:rsidR="008A28DD" w:rsidRPr="005F7F86" w:rsidRDefault="00000000" w:rsidP="005F7F86">
            <w:pPr>
              <w:spacing w:line="360" w:lineRule="auto"/>
              <w:rPr>
                <w:rFonts w:cs="Times New Roman"/>
              </w:rPr>
            </w:pPr>
            <w:r w:rsidRPr="005F7F86">
              <w:rPr>
                <w:rFonts w:cs="Times New Roman"/>
              </w:rPr>
              <w:t>Food quality / local produce</w:t>
            </w:r>
          </w:p>
        </w:tc>
        <w:tc>
          <w:tcPr>
            <w:tcW w:w="0" w:type="auto"/>
            <w:hideMark/>
          </w:tcPr>
          <w:p w14:paraId="111F8630" w14:textId="77777777" w:rsidR="008A28DD" w:rsidRPr="005F7F86" w:rsidRDefault="00000000" w:rsidP="005F7F86">
            <w:pPr>
              <w:spacing w:line="360" w:lineRule="auto"/>
              <w:rPr>
                <w:rFonts w:cs="Times New Roman"/>
              </w:rPr>
            </w:pPr>
            <w:r w:rsidRPr="005F7F86">
              <w:rPr>
                <w:rFonts w:cs="Times New Roman"/>
              </w:rPr>
              <w:t>42</w:t>
            </w:r>
          </w:p>
        </w:tc>
        <w:tc>
          <w:tcPr>
            <w:tcW w:w="0" w:type="auto"/>
            <w:hideMark/>
          </w:tcPr>
          <w:p w14:paraId="016BAA12" w14:textId="77777777" w:rsidR="008A28DD" w:rsidRPr="005F7F86" w:rsidRDefault="00000000" w:rsidP="005F7F86">
            <w:pPr>
              <w:spacing w:line="360" w:lineRule="auto"/>
              <w:rPr>
                <w:rFonts w:cs="Times New Roman"/>
              </w:rPr>
            </w:pPr>
            <w:r w:rsidRPr="005F7F86">
              <w:rPr>
                <w:rFonts w:cs="Times New Roman"/>
              </w:rPr>
              <w:t xml:space="preserve">Mostly positive </w:t>
            </w:r>
            <w:r w:rsidR="0031260B" w:rsidRPr="005F7F86">
              <w:rPr>
                <w:rFonts w:cs="Times New Roman"/>
              </w:rPr>
              <w:t>-</w:t>
            </w:r>
            <w:r w:rsidRPr="005F7F86">
              <w:rPr>
                <w:rFonts w:cs="Times New Roman"/>
              </w:rPr>
              <w:t xml:space="preserve"> “excellent local menu”, “good local produce” (TripAdvisor / Booking). </w:t>
            </w:r>
          </w:p>
        </w:tc>
      </w:tr>
      <w:tr w:rsidR="00320B89" w14:paraId="758A0FFB" w14:textId="77777777" w:rsidTr="008A28DD">
        <w:tc>
          <w:tcPr>
            <w:tcW w:w="0" w:type="auto"/>
            <w:hideMark/>
          </w:tcPr>
          <w:p w14:paraId="285578D1" w14:textId="77777777" w:rsidR="008A28DD" w:rsidRPr="005F7F86" w:rsidRDefault="00000000" w:rsidP="005F7F86">
            <w:pPr>
              <w:spacing w:line="360" w:lineRule="auto"/>
              <w:rPr>
                <w:rFonts w:cs="Times New Roman"/>
              </w:rPr>
            </w:pPr>
            <w:r w:rsidRPr="005F7F86">
              <w:rPr>
                <w:rFonts w:cs="Times New Roman"/>
              </w:rPr>
              <w:t>Packaging/takeaway concerns</w:t>
            </w:r>
          </w:p>
        </w:tc>
        <w:tc>
          <w:tcPr>
            <w:tcW w:w="0" w:type="auto"/>
            <w:hideMark/>
          </w:tcPr>
          <w:p w14:paraId="7208C453" w14:textId="77777777" w:rsidR="008A28DD" w:rsidRPr="005F7F86" w:rsidRDefault="00000000" w:rsidP="005F7F86">
            <w:pPr>
              <w:spacing w:line="360" w:lineRule="auto"/>
              <w:rPr>
                <w:rFonts w:cs="Times New Roman"/>
              </w:rPr>
            </w:pPr>
            <w:r w:rsidRPr="005F7F86">
              <w:rPr>
                <w:rFonts w:cs="Times New Roman"/>
              </w:rPr>
              <w:t>7</w:t>
            </w:r>
          </w:p>
        </w:tc>
        <w:tc>
          <w:tcPr>
            <w:tcW w:w="0" w:type="auto"/>
            <w:hideMark/>
          </w:tcPr>
          <w:p w14:paraId="556096E7" w14:textId="77777777" w:rsidR="008A28DD" w:rsidRPr="005F7F86" w:rsidRDefault="00000000" w:rsidP="005F7F86">
            <w:pPr>
              <w:spacing w:line="360" w:lineRule="auto"/>
              <w:rPr>
                <w:rFonts w:cs="Times New Roman"/>
              </w:rPr>
            </w:pPr>
            <w:r w:rsidRPr="005F7F86">
              <w:rPr>
                <w:rFonts w:cs="Times New Roman"/>
              </w:rPr>
              <w:t xml:space="preserve">Mixed </w:t>
            </w:r>
            <w:r w:rsidR="0031260B" w:rsidRPr="005F7F86">
              <w:rPr>
                <w:rFonts w:cs="Times New Roman"/>
              </w:rPr>
              <w:t>-</w:t>
            </w:r>
            <w:r w:rsidRPr="005F7F86">
              <w:rPr>
                <w:rFonts w:cs="Times New Roman"/>
              </w:rPr>
              <w:t xml:space="preserve"> some comments on takeaway packaging during events.  </w:t>
            </w:r>
          </w:p>
        </w:tc>
      </w:tr>
      <w:tr w:rsidR="00320B89" w14:paraId="70FD733A" w14:textId="77777777" w:rsidTr="008A28DD">
        <w:tc>
          <w:tcPr>
            <w:tcW w:w="0" w:type="auto"/>
            <w:hideMark/>
          </w:tcPr>
          <w:p w14:paraId="4C93F7E2" w14:textId="77777777" w:rsidR="008A28DD" w:rsidRPr="005F7F86" w:rsidRDefault="00000000" w:rsidP="005F7F86">
            <w:pPr>
              <w:spacing w:line="360" w:lineRule="auto"/>
              <w:rPr>
                <w:rFonts w:cs="Times New Roman"/>
              </w:rPr>
            </w:pPr>
            <w:r w:rsidRPr="005F7F86">
              <w:rPr>
                <w:rFonts w:cs="Times New Roman"/>
              </w:rPr>
              <w:t>Visible recycling/sustainability</w:t>
            </w:r>
          </w:p>
        </w:tc>
        <w:tc>
          <w:tcPr>
            <w:tcW w:w="0" w:type="auto"/>
            <w:hideMark/>
          </w:tcPr>
          <w:p w14:paraId="639981ED" w14:textId="77777777" w:rsidR="008A28DD" w:rsidRPr="005F7F86" w:rsidRDefault="00000000" w:rsidP="005F7F86">
            <w:pPr>
              <w:spacing w:line="360" w:lineRule="auto"/>
              <w:rPr>
                <w:rFonts w:cs="Times New Roman"/>
              </w:rPr>
            </w:pPr>
            <w:r w:rsidRPr="005F7F86">
              <w:rPr>
                <w:rFonts w:cs="Times New Roman"/>
              </w:rPr>
              <w:t>5</w:t>
            </w:r>
          </w:p>
        </w:tc>
        <w:tc>
          <w:tcPr>
            <w:tcW w:w="0" w:type="auto"/>
            <w:hideMark/>
          </w:tcPr>
          <w:p w14:paraId="131A3F5C" w14:textId="77777777" w:rsidR="008A28DD" w:rsidRPr="005F7F86" w:rsidRDefault="00000000" w:rsidP="005F7F86">
            <w:pPr>
              <w:spacing w:line="360" w:lineRule="auto"/>
              <w:rPr>
                <w:rFonts w:cs="Times New Roman"/>
              </w:rPr>
            </w:pPr>
            <w:r w:rsidRPr="005F7F86">
              <w:rPr>
                <w:rFonts w:cs="Times New Roman"/>
              </w:rPr>
              <w:t xml:space="preserve">Neutral </w:t>
            </w:r>
            <w:r w:rsidR="0031260B" w:rsidRPr="005F7F86">
              <w:rPr>
                <w:rFonts w:cs="Times New Roman"/>
              </w:rPr>
              <w:t>-</w:t>
            </w:r>
            <w:r w:rsidRPr="005F7F86">
              <w:rPr>
                <w:rFonts w:cs="Times New Roman"/>
              </w:rPr>
              <w:t xml:space="preserve"> limited guest awareness of recycling practice. </w:t>
            </w:r>
          </w:p>
        </w:tc>
      </w:tr>
      <w:tr w:rsidR="00320B89" w14:paraId="7E9E30AB" w14:textId="77777777" w:rsidTr="008A28DD">
        <w:tc>
          <w:tcPr>
            <w:tcW w:w="0" w:type="auto"/>
            <w:hideMark/>
          </w:tcPr>
          <w:p w14:paraId="463A6ADC" w14:textId="77777777" w:rsidR="008A28DD" w:rsidRPr="005F7F86" w:rsidRDefault="00000000" w:rsidP="005F7F86">
            <w:pPr>
              <w:spacing w:line="360" w:lineRule="auto"/>
              <w:rPr>
                <w:rFonts w:cs="Times New Roman"/>
              </w:rPr>
            </w:pPr>
            <w:r w:rsidRPr="005F7F86">
              <w:rPr>
                <w:rFonts w:cs="Times New Roman"/>
              </w:rPr>
              <w:t>Portion size/waste hints</w:t>
            </w:r>
          </w:p>
        </w:tc>
        <w:tc>
          <w:tcPr>
            <w:tcW w:w="0" w:type="auto"/>
            <w:hideMark/>
          </w:tcPr>
          <w:p w14:paraId="4A225E40" w14:textId="77777777" w:rsidR="008A28DD" w:rsidRPr="005F7F86" w:rsidRDefault="00000000" w:rsidP="005F7F86">
            <w:pPr>
              <w:spacing w:line="360" w:lineRule="auto"/>
              <w:rPr>
                <w:rFonts w:cs="Times New Roman"/>
              </w:rPr>
            </w:pPr>
            <w:r w:rsidRPr="005F7F86">
              <w:rPr>
                <w:rFonts w:cs="Times New Roman"/>
              </w:rPr>
              <w:t>3</w:t>
            </w:r>
          </w:p>
        </w:tc>
        <w:tc>
          <w:tcPr>
            <w:tcW w:w="0" w:type="auto"/>
            <w:hideMark/>
          </w:tcPr>
          <w:p w14:paraId="23869F68" w14:textId="77777777" w:rsidR="008A28DD" w:rsidRPr="005F7F86" w:rsidRDefault="00000000" w:rsidP="005F7F86">
            <w:pPr>
              <w:spacing w:line="360" w:lineRule="auto"/>
              <w:rPr>
                <w:rFonts w:cs="Times New Roman"/>
              </w:rPr>
            </w:pPr>
            <w:r w:rsidRPr="005F7F86">
              <w:rPr>
                <w:rFonts w:cs="Times New Roman"/>
              </w:rPr>
              <w:t xml:space="preserve">Mixed </w:t>
            </w:r>
            <w:r w:rsidR="0031260B" w:rsidRPr="005F7F86">
              <w:rPr>
                <w:rFonts w:cs="Times New Roman"/>
              </w:rPr>
              <w:t>-</w:t>
            </w:r>
            <w:r w:rsidRPr="005F7F86">
              <w:rPr>
                <w:rFonts w:cs="Times New Roman"/>
              </w:rPr>
              <w:t xml:space="preserve"> occasional mentions of portion size (too large or too small).  </w:t>
            </w:r>
          </w:p>
        </w:tc>
      </w:tr>
    </w:tbl>
    <w:p w14:paraId="15BE12CD" w14:textId="77777777" w:rsidR="008A28DD" w:rsidRPr="005F7F86" w:rsidRDefault="00000000" w:rsidP="005F7F86">
      <w:pPr>
        <w:jc w:val="center"/>
        <w:rPr>
          <w:rFonts w:cs="Times New Roman"/>
        </w:rPr>
      </w:pPr>
      <w:r w:rsidRPr="005F7F86">
        <w:rPr>
          <w:rFonts w:cs="Times New Roman"/>
          <w:b/>
          <w:bCs/>
        </w:rPr>
        <w:t>Table 4.1: Coded review themes (purposive sample of recent reviews).</w:t>
      </w:r>
    </w:p>
    <w:p w14:paraId="37E3ED8F" w14:textId="77777777" w:rsidR="008A28DD" w:rsidRPr="005F7F86" w:rsidRDefault="00000000" w:rsidP="005F7F86">
      <w:pPr>
        <w:rPr>
          <w:rFonts w:cs="Times New Roman"/>
        </w:rPr>
      </w:pPr>
      <w:r w:rsidRPr="005F7F86">
        <w:rPr>
          <w:rFonts w:cs="Times New Roman"/>
        </w:rPr>
        <w:t xml:space="preserve">Overall, guests referenced food quality and provenance far more frequently than explicit sustainability practices (e.g., recycling or waste-reduction). Positive comments tended to praise local ingredients and the dining experience, indicating that provenance messaging resonates with guests even if broader sustainability measures are less visible. Where guests did notice packaging or portion issues (particularly during events or takeaways), sentiment was mixed; these mentions indicate that visible packaging and portion control are tangible elements that can affect guest perceptions if not managed. </w:t>
      </w:r>
    </w:p>
    <w:p w14:paraId="3E1D4B6F" w14:textId="77777777" w:rsidR="008A28DD" w:rsidRPr="005F7F86" w:rsidRDefault="00000000" w:rsidP="005F7F86">
      <w:pPr>
        <w:pStyle w:val="Heading3"/>
        <w:rPr>
          <w:rFonts w:cs="Times New Roman"/>
        </w:rPr>
      </w:pPr>
      <w:bookmarkStart w:id="19" w:name="_Toc211429598"/>
      <w:r w:rsidRPr="005F7F86">
        <w:rPr>
          <w:rFonts w:cs="Times New Roman"/>
        </w:rPr>
        <w:lastRenderedPageBreak/>
        <w:t>4.1.6 Comparative Benchmarking: Property vs Accor/Mercure Commitments and Industry Best Practice</w:t>
      </w:r>
      <w:bookmarkEnd w:id="19"/>
    </w:p>
    <w:p w14:paraId="04E3BBEB" w14:textId="77777777" w:rsidR="008A28DD" w:rsidRPr="005F7F86" w:rsidRDefault="00000000" w:rsidP="005F7F86">
      <w:pPr>
        <w:rPr>
          <w:rFonts w:cs="Times New Roman"/>
        </w:rPr>
      </w:pPr>
      <w:r w:rsidRPr="005F7F86">
        <w:rPr>
          <w:rFonts w:cs="Times New Roman"/>
        </w:rPr>
        <w:t xml:space="preserve">Accor’s portfolio strategy includes measurable goals and technology partnerships designed to enable rapid reductions in food waste and improved redistribution (Accor Impact Report; Orbisk blog). Best practice exemplars show sustained reductions where measurement technology is combined with chef engagement and redistribution partnerships (Winnow; Orbisk; Too Good To Go) (Winnow case studies; Orbisk). </w:t>
      </w:r>
    </w:p>
    <w:p w14:paraId="2FACCAA3" w14:textId="77777777" w:rsidR="008A28DD" w:rsidRPr="005F7F86" w:rsidRDefault="00000000" w:rsidP="005F7F86">
      <w:pPr>
        <w:rPr>
          <w:rFonts w:cs="Times New Roman"/>
        </w:rPr>
      </w:pPr>
      <w:r w:rsidRPr="005F7F86">
        <w:rPr>
          <w:rFonts w:cs="Times New Roman"/>
        </w:rPr>
        <w:t>For Mercure Thame Lambert, strengths include visible provenance storytelling, menu emphasis on local produce and some ad-hoc operational steps to reduce disposables. Weaknesses include limited visible measurement, no published redistribution partnership, and an absence of standardised menu labelling. Table 4.2 (matrix) summarises property practices against a best-practice checklist.</w:t>
      </w:r>
    </w:p>
    <w:tbl>
      <w:tblPr>
        <w:tblStyle w:val="TableGrid"/>
        <w:tblW w:w="0" w:type="auto"/>
        <w:tblLook w:val="04A0" w:firstRow="1" w:lastRow="0" w:firstColumn="1" w:lastColumn="0" w:noHBand="0" w:noVBand="1"/>
      </w:tblPr>
      <w:tblGrid>
        <w:gridCol w:w="3175"/>
        <w:gridCol w:w="2833"/>
        <w:gridCol w:w="3008"/>
      </w:tblGrid>
      <w:tr w:rsidR="00320B89" w14:paraId="562DAFF3" w14:textId="77777777" w:rsidTr="008A28DD">
        <w:tc>
          <w:tcPr>
            <w:tcW w:w="0" w:type="auto"/>
            <w:hideMark/>
          </w:tcPr>
          <w:p w14:paraId="12E6A5C3" w14:textId="77777777" w:rsidR="008A28DD" w:rsidRPr="005F7F86" w:rsidRDefault="00000000" w:rsidP="005F7F86">
            <w:pPr>
              <w:spacing w:line="360" w:lineRule="auto"/>
              <w:rPr>
                <w:rFonts w:cs="Times New Roman"/>
                <w:b/>
                <w:bCs/>
              </w:rPr>
            </w:pPr>
            <w:r w:rsidRPr="005F7F86">
              <w:rPr>
                <w:rFonts w:cs="Times New Roman"/>
                <w:b/>
                <w:bCs/>
              </w:rPr>
              <w:t>Best practice element</w:t>
            </w:r>
          </w:p>
        </w:tc>
        <w:tc>
          <w:tcPr>
            <w:tcW w:w="0" w:type="auto"/>
            <w:hideMark/>
          </w:tcPr>
          <w:p w14:paraId="3571D573" w14:textId="77777777" w:rsidR="008A28DD" w:rsidRPr="005F7F86" w:rsidRDefault="00000000" w:rsidP="005F7F86">
            <w:pPr>
              <w:spacing w:line="360" w:lineRule="auto"/>
              <w:rPr>
                <w:rFonts w:cs="Times New Roman"/>
                <w:b/>
                <w:bCs/>
              </w:rPr>
            </w:pPr>
            <w:r w:rsidRPr="005F7F86">
              <w:rPr>
                <w:rFonts w:cs="Times New Roman"/>
                <w:b/>
                <w:bCs/>
              </w:rPr>
              <w:t>Accor/Sector expectation</w:t>
            </w:r>
          </w:p>
        </w:tc>
        <w:tc>
          <w:tcPr>
            <w:tcW w:w="0" w:type="auto"/>
            <w:hideMark/>
          </w:tcPr>
          <w:p w14:paraId="6B166BAD" w14:textId="77777777" w:rsidR="008A28DD" w:rsidRPr="005F7F86" w:rsidRDefault="00000000" w:rsidP="005F7F86">
            <w:pPr>
              <w:spacing w:line="360" w:lineRule="auto"/>
              <w:rPr>
                <w:rFonts w:cs="Times New Roman"/>
                <w:b/>
                <w:bCs/>
              </w:rPr>
            </w:pPr>
            <w:r w:rsidRPr="005F7F86">
              <w:rPr>
                <w:rFonts w:cs="Times New Roman"/>
                <w:b/>
                <w:bCs/>
              </w:rPr>
              <w:t>Mercure Thame Lambert (evidence)</w:t>
            </w:r>
          </w:p>
        </w:tc>
      </w:tr>
      <w:tr w:rsidR="00320B89" w14:paraId="7355A4EF" w14:textId="77777777" w:rsidTr="008A28DD">
        <w:tc>
          <w:tcPr>
            <w:tcW w:w="0" w:type="auto"/>
            <w:hideMark/>
          </w:tcPr>
          <w:p w14:paraId="31C3F0E5" w14:textId="77777777" w:rsidR="008A28DD" w:rsidRPr="005F7F86" w:rsidRDefault="00000000" w:rsidP="005F7F86">
            <w:pPr>
              <w:spacing w:line="360" w:lineRule="auto"/>
              <w:rPr>
                <w:rFonts w:cs="Times New Roman"/>
              </w:rPr>
            </w:pPr>
            <w:r w:rsidRPr="005F7F86">
              <w:rPr>
                <w:rFonts w:cs="Times New Roman"/>
              </w:rPr>
              <w:t>Digital waste measurement (Winnow/Orbisk)</w:t>
            </w:r>
          </w:p>
        </w:tc>
        <w:tc>
          <w:tcPr>
            <w:tcW w:w="0" w:type="auto"/>
            <w:hideMark/>
          </w:tcPr>
          <w:p w14:paraId="44FD3F15" w14:textId="77777777" w:rsidR="008A28DD" w:rsidRPr="005F7F86" w:rsidRDefault="00000000" w:rsidP="005F7F86">
            <w:pPr>
              <w:spacing w:line="360" w:lineRule="auto"/>
              <w:rPr>
                <w:rFonts w:cs="Times New Roman"/>
              </w:rPr>
            </w:pPr>
            <w:r w:rsidRPr="005F7F86">
              <w:rPr>
                <w:rFonts w:cs="Times New Roman"/>
              </w:rPr>
              <w:t>Recommended/rolled out in pilots</w:t>
            </w:r>
          </w:p>
        </w:tc>
        <w:tc>
          <w:tcPr>
            <w:tcW w:w="0" w:type="auto"/>
            <w:hideMark/>
          </w:tcPr>
          <w:p w14:paraId="4269E3D1" w14:textId="77777777" w:rsidR="008A28DD" w:rsidRPr="005F7F86" w:rsidRDefault="00000000" w:rsidP="005F7F86">
            <w:pPr>
              <w:spacing w:line="360" w:lineRule="auto"/>
              <w:rPr>
                <w:rFonts w:cs="Times New Roman"/>
              </w:rPr>
            </w:pPr>
            <w:r w:rsidRPr="005F7F86">
              <w:rPr>
                <w:rFonts w:cs="Times New Roman"/>
              </w:rPr>
              <w:t xml:space="preserve">Not visibly implemented (no public evidence). </w:t>
            </w:r>
          </w:p>
        </w:tc>
      </w:tr>
      <w:tr w:rsidR="00320B89" w14:paraId="06B9DC4F" w14:textId="77777777" w:rsidTr="008A28DD">
        <w:tc>
          <w:tcPr>
            <w:tcW w:w="0" w:type="auto"/>
            <w:hideMark/>
          </w:tcPr>
          <w:p w14:paraId="37A56720" w14:textId="77777777" w:rsidR="008A28DD" w:rsidRPr="005F7F86" w:rsidRDefault="00000000" w:rsidP="005F7F86">
            <w:pPr>
              <w:spacing w:line="360" w:lineRule="auto"/>
              <w:rPr>
                <w:rFonts w:cs="Times New Roman"/>
              </w:rPr>
            </w:pPr>
            <w:r w:rsidRPr="005F7F86">
              <w:rPr>
                <w:rFonts w:cs="Times New Roman"/>
              </w:rPr>
              <w:t>Redistribution partnerships (Too Good To Go / FareShare)</w:t>
            </w:r>
          </w:p>
        </w:tc>
        <w:tc>
          <w:tcPr>
            <w:tcW w:w="0" w:type="auto"/>
            <w:hideMark/>
          </w:tcPr>
          <w:p w14:paraId="5F720BAB" w14:textId="77777777" w:rsidR="008A28DD" w:rsidRPr="005F7F86" w:rsidRDefault="00000000" w:rsidP="005F7F86">
            <w:pPr>
              <w:spacing w:line="360" w:lineRule="auto"/>
              <w:rPr>
                <w:rFonts w:cs="Times New Roman"/>
              </w:rPr>
            </w:pPr>
            <w:r w:rsidRPr="005F7F86">
              <w:rPr>
                <w:rFonts w:cs="Times New Roman"/>
              </w:rPr>
              <w:t>Encouraged; many Accor hotels participate</w:t>
            </w:r>
          </w:p>
        </w:tc>
        <w:tc>
          <w:tcPr>
            <w:tcW w:w="0" w:type="auto"/>
            <w:hideMark/>
          </w:tcPr>
          <w:p w14:paraId="35367F2E" w14:textId="77777777" w:rsidR="008A28DD" w:rsidRPr="005F7F86" w:rsidRDefault="00000000" w:rsidP="005F7F86">
            <w:pPr>
              <w:spacing w:line="360" w:lineRule="auto"/>
              <w:rPr>
                <w:rFonts w:cs="Times New Roman"/>
              </w:rPr>
            </w:pPr>
            <w:r w:rsidRPr="005F7F86">
              <w:rPr>
                <w:rFonts w:cs="Times New Roman"/>
              </w:rPr>
              <w:t xml:space="preserve">No public listing/evidence of participation. </w:t>
            </w:r>
          </w:p>
        </w:tc>
      </w:tr>
      <w:tr w:rsidR="00320B89" w14:paraId="47FA49FB" w14:textId="77777777" w:rsidTr="008A28DD">
        <w:tc>
          <w:tcPr>
            <w:tcW w:w="0" w:type="auto"/>
            <w:hideMark/>
          </w:tcPr>
          <w:p w14:paraId="234578F3" w14:textId="77777777" w:rsidR="008A28DD" w:rsidRPr="005F7F86" w:rsidRDefault="00000000" w:rsidP="005F7F86">
            <w:pPr>
              <w:spacing w:line="360" w:lineRule="auto"/>
              <w:rPr>
                <w:rFonts w:cs="Times New Roman"/>
              </w:rPr>
            </w:pPr>
            <w:r w:rsidRPr="005F7F86">
              <w:rPr>
                <w:rFonts w:cs="Times New Roman"/>
              </w:rPr>
              <w:t>Local/seasonal procurement</w:t>
            </w:r>
          </w:p>
        </w:tc>
        <w:tc>
          <w:tcPr>
            <w:tcW w:w="0" w:type="auto"/>
            <w:hideMark/>
          </w:tcPr>
          <w:p w14:paraId="3B3DC93C" w14:textId="77777777" w:rsidR="008A28DD" w:rsidRPr="005F7F86" w:rsidRDefault="00000000" w:rsidP="005F7F86">
            <w:pPr>
              <w:spacing w:line="360" w:lineRule="auto"/>
              <w:rPr>
                <w:rFonts w:cs="Times New Roman"/>
              </w:rPr>
            </w:pPr>
            <w:r w:rsidRPr="005F7F86">
              <w:rPr>
                <w:rFonts w:cs="Times New Roman"/>
              </w:rPr>
              <w:t>Promoted in brand guidance</w:t>
            </w:r>
          </w:p>
        </w:tc>
        <w:tc>
          <w:tcPr>
            <w:tcW w:w="0" w:type="auto"/>
            <w:hideMark/>
          </w:tcPr>
          <w:p w14:paraId="4C5DDD29" w14:textId="77777777" w:rsidR="008A28DD" w:rsidRPr="005F7F86" w:rsidRDefault="00000000" w:rsidP="005F7F86">
            <w:pPr>
              <w:spacing w:line="360" w:lineRule="auto"/>
              <w:rPr>
                <w:rFonts w:cs="Times New Roman"/>
              </w:rPr>
            </w:pPr>
            <w:r w:rsidRPr="005F7F86">
              <w:rPr>
                <w:rFonts w:cs="Times New Roman"/>
              </w:rPr>
              <w:t xml:space="preserve">Evident in menus and marketing (local produce emphasised). </w:t>
            </w:r>
          </w:p>
        </w:tc>
      </w:tr>
      <w:tr w:rsidR="00320B89" w14:paraId="52DEC040" w14:textId="77777777" w:rsidTr="008A28DD">
        <w:tc>
          <w:tcPr>
            <w:tcW w:w="0" w:type="auto"/>
            <w:hideMark/>
          </w:tcPr>
          <w:p w14:paraId="67F50516" w14:textId="77777777" w:rsidR="008A28DD" w:rsidRPr="005F7F86" w:rsidRDefault="00000000" w:rsidP="005F7F86">
            <w:pPr>
              <w:spacing w:line="360" w:lineRule="auto"/>
              <w:rPr>
                <w:rFonts w:cs="Times New Roman"/>
              </w:rPr>
            </w:pPr>
            <w:r w:rsidRPr="005F7F86">
              <w:rPr>
                <w:rFonts w:cs="Times New Roman"/>
              </w:rPr>
              <w:t>Standardised menu labelling (provenance / plant-based icons)</w:t>
            </w:r>
          </w:p>
        </w:tc>
        <w:tc>
          <w:tcPr>
            <w:tcW w:w="0" w:type="auto"/>
            <w:hideMark/>
          </w:tcPr>
          <w:p w14:paraId="3DD11434" w14:textId="77777777" w:rsidR="008A28DD" w:rsidRPr="005F7F86" w:rsidRDefault="00000000" w:rsidP="005F7F86">
            <w:pPr>
              <w:spacing w:line="360" w:lineRule="auto"/>
              <w:rPr>
                <w:rFonts w:cs="Times New Roman"/>
              </w:rPr>
            </w:pPr>
            <w:r w:rsidRPr="005F7F86">
              <w:rPr>
                <w:rFonts w:cs="Times New Roman"/>
              </w:rPr>
              <w:t>Industry recommended to nudge choices</w:t>
            </w:r>
          </w:p>
        </w:tc>
        <w:tc>
          <w:tcPr>
            <w:tcW w:w="0" w:type="auto"/>
            <w:hideMark/>
          </w:tcPr>
          <w:p w14:paraId="1900E85C" w14:textId="77777777" w:rsidR="008A28DD" w:rsidRPr="005F7F86" w:rsidRDefault="00000000" w:rsidP="005F7F86">
            <w:pPr>
              <w:spacing w:line="360" w:lineRule="auto"/>
              <w:rPr>
                <w:rFonts w:cs="Times New Roman"/>
              </w:rPr>
            </w:pPr>
            <w:r w:rsidRPr="005F7F86">
              <w:rPr>
                <w:rFonts w:cs="Times New Roman"/>
              </w:rPr>
              <w:t>Not visible on public menus; ad-hoc verbal staff communication.</w:t>
            </w:r>
          </w:p>
        </w:tc>
      </w:tr>
      <w:tr w:rsidR="00320B89" w14:paraId="6E376F97" w14:textId="77777777" w:rsidTr="008A28DD">
        <w:tc>
          <w:tcPr>
            <w:tcW w:w="0" w:type="auto"/>
            <w:hideMark/>
          </w:tcPr>
          <w:p w14:paraId="4682453F" w14:textId="77777777" w:rsidR="008A28DD" w:rsidRPr="005F7F86" w:rsidRDefault="00000000" w:rsidP="005F7F86">
            <w:pPr>
              <w:spacing w:line="360" w:lineRule="auto"/>
              <w:rPr>
                <w:rFonts w:cs="Times New Roman"/>
              </w:rPr>
            </w:pPr>
            <w:r w:rsidRPr="005F7F86">
              <w:rPr>
                <w:rFonts w:cs="Times New Roman"/>
              </w:rPr>
              <w:t>Recycling &amp; diversion (on-site composting or contractor diversion)</w:t>
            </w:r>
          </w:p>
        </w:tc>
        <w:tc>
          <w:tcPr>
            <w:tcW w:w="0" w:type="auto"/>
            <w:hideMark/>
          </w:tcPr>
          <w:p w14:paraId="0EA74E3E" w14:textId="77777777" w:rsidR="008A28DD" w:rsidRPr="005F7F86" w:rsidRDefault="00000000" w:rsidP="005F7F86">
            <w:pPr>
              <w:spacing w:line="360" w:lineRule="auto"/>
              <w:rPr>
                <w:rFonts w:cs="Times New Roman"/>
              </w:rPr>
            </w:pPr>
            <w:r w:rsidRPr="005F7F86">
              <w:rPr>
                <w:rFonts w:cs="Times New Roman"/>
              </w:rPr>
              <w:t>Context-dependent (space/cost)</w:t>
            </w:r>
          </w:p>
        </w:tc>
        <w:tc>
          <w:tcPr>
            <w:tcW w:w="0" w:type="auto"/>
            <w:hideMark/>
          </w:tcPr>
          <w:p w14:paraId="43715785" w14:textId="77777777" w:rsidR="008A28DD" w:rsidRPr="005F7F86" w:rsidRDefault="00000000" w:rsidP="005F7F86">
            <w:pPr>
              <w:spacing w:line="360" w:lineRule="auto"/>
              <w:rPr>
                <w:rFonts w:cs="Times New Roman"/>
              </w:rPr>
            </w:pPr>
            <w:r w:rsidRPr="005F7F86">
              <w:rPr>
                <w:rFonts w:cs="Times New Roman"/>
              </w:rPr>
              <w:t xml:space="preserve">Standard contractor recycling; no visible on-site composting. </w:t>
            </w:r>
          </w:p>
        </w:tc>
      </w:tr>
    </w:tbl>
    <w:p w14:paraId="5FC0F1BC" w14:textId="77777777" w:rsidR="008A28DD" w:rsidRPr="005F7F86" w:rsidRDefault="00000000" w:rsidP="005F7F86">
      <w:pPr>
        <w:jc w:val="center"/>
        <w:rPr>
          <w:rFonts w:cs="Times New Roman"/>
          <w:b/>
          <w:bCs/>
        </w:rPr>
      </w:pPr>
      <w:r w:rsidRPr="005F7F86">
        <w:rPr>
          <w:rFonts w:cs="Times New Roman"/>
          <w:b/>
          <w:bCs/>
        </w:rPr>
        <w:t>Table 4.2: Practices vs Best-Practice Checklist (summary).</w:t>
      </w:r>
    </w:p>
    <w:p w14:paraId="08069922" w14:textId="77777777" w:rsidR="008A28DD" w:rsidRPr="005F7F86" w:rsidRDefault="00000000" w:rsidP="005F7F86">
      <w:pPr>
        <w:rPr>
          <w:rFonts w:cs="Times New Roman"/>
        </w:rPr>
      </w:pPr>
      <w:r w:rsidRPr="005F7F86">
        <w:rPr>
          <w:rFonts w:cs="Times New Roman"/>
        </w:rPr>
        <w:t>A concise SWOT summary follows:</w:t>
      </w:r>
    </w:p>
    <w:tbl>
      <w:tblPr>
        <w:tblStyle w:val="TableGrid"/>
        <w:tblW w:w="0" w:type="auto"/>
        <w:tblLook w:val="04A0" w:firstRow="1" w:lastRow="0" w:firstColumn="1" w:lastColumn="0" w:noHBand="0" w:noVBand="1"/>
      </w:tblPr>
      <w:tblGrid>
        <w:gridCol w:w="5135"/>
        <w:gridCol w:w="3881"/>
      </w:tblGrid>
      <w:tr w:rsidR="00320B89" w14:paraId="12F38382" w14:textId="77777777" w:rsidTr="008A28DD">
        <w:tc>
          <w:tcPr>
            <w:tcW w:w="0" w:type="auto"/>
            <w:hideMark/>
          </w:tcPr>
          <w:p w14:paraId="002D6D0B" w14:textId="77777777" w:rsidR="008A28DD" w:rsidRPr="005F7F86" w:rsidRDefault="00000000" w:rsidP="005F7F86">
            <w:pPr>
              <w:spacing w:line="360" w:lineRule="auto"/>
              <w:jc w:val="center"/>
              <w:rPr>
                <w:rFonts w:cs="Times New Roman"/>
                <w:b/>
                <w:bCs/>
              </w:rPr>
            </w:pPr>
            <w:r w:rsidRPr="005F7F86">
              <w:rPr>
                <w:rFonts w:cs="Times New Roman"/>
                <w:b/>
                <w:bCs/>
              </w:rPr>
              <w:t>Strengths</w:t>
            </w:r>
          </w:p>
        </w:tc>
        <w:tc>
          <w:tcPr>
            <w:tcW w:w="0" w:type="auto"/>
            <w:hideMark/>
          </w:tcPr>
          <w:p w14:paraId="69BD019B" w14:textId="77777777" w:rsidR="008A28DD" w:rsidRPr="005F7F86" w:rsidRDefault="00000000" w:rsidP="005F7F86">
            <w:pPr>
              <w:spacing w:line="360" w:lineRule="auto"/>
              <w:jc w:val="center"/>
              <w:rPr>
                <w:rFonts w:cs="Times New Roman"/>
                <w:b/>
                <w:bCs/>
              </w:rPr>
            </w:pPr>
            <w:r w:rsidRPr="005F7F86">
              <w:rPr>
                <w:rFonts w:cs="Times New Roman"/>
                <w:b/>
                <w:bCs/>
              </w:rPr>
              <w:t>Weaknesses</w:t>
            </w:r>
          </w:p>
        </w:tc>
      </w:tr>
      <w:tr w:rsidR="00320B89" w14:paraId="4C7E4E07" w14:textId="77777777" w:rsidTr="008A28DD">
        <w:tc>
          <w:tcPr>
            <w:tcW w:w="0" w:type="auto"/>
            <w:hideMark/>
          </w:tcPr>
          <w:p w14:paraId="2308DF2E" w14:textId="77777777" w:rsidR="008A28DD" w:rsidRPr="005F7F86" w:rsidRDefault="00000000" w:rsidP="005F7F86">
            <w:pPr>
              <w:spacing w:line="360" w:lineRule="auto"/>
              <w:rPr>
                <w:rFonts w:cs="Times New Roman"/>
              </w:rPr>
            </w:pPr>
            <w:r w:rsidRPr="005F7F86">
              <w:rPr>
                <w:rFonts w:cs="Times New Roman"/>
              </w:rPr>
              <w:t xml:space="preserve">Strong provenance marketing and local menu focus (positive guest sentiment).  </w:t>
            </w:r>
          </w:p>
        </w:tc>
        <w:tc>
          <w:tcPr>
            <w:tcW w:w="0" w:type="auto"/>
            <w:hideMark/>
          </w:tcPr>
          <w:p w14:paraId="2666B018" w14:textId="77777777" w:rsidR="008A28DD" w:rsidRPr="005F7F86" w:rsidRDefault="00000000" w:rsidP="005F7F86">
            <w:pPr>
              <w:spacing w:line="360" w:lineRule="auto"/>
              <w:rPr>
                <w:rFonts w:cs="Times New Roman"/>
              </w:rPr>
            </w:pPr>
            <w:r w:rsidRPr="005F7F86">
              <w:rPr>
                <w:rFonts w:cs="Times New Roman"/>
              </w:rPr>
              <w:t xml:space="preserve">Lack of visible, quantified measurement and formal redistribution partnerships. </w:t>
            </w:r>
          </w:p>
        </w:tc>
      </w:tr>
      <w:tr w:rsidR="00320B89" w14:paraId="79D408D5" w14:textId="77777777" w:rsidTr="008A28DD">
        <w:tc>
          <w:tcPr>
            <w:tcW w:w="0" w:type="auto"/>
            <w:hideMark/>
          </w:tcPr>
          <w:p w14:paraId="24843D0F" w14:textId="77777777" w:rsidR="008A28DD" w:rsidRPr="005F7F86" w:rsidRDefault="00000000" w:rsidP="005F7F86">
            <w:pPr>
              <w:spacing w:line="360" w:lineRule="auto"/>
              <w:rPr>
                <w:rFonts w:cs="Times New Roman"/>
              </w:rPr>
            </w:pPr>
            <w:r w:rsidRPr="005F7F86">
              <w:rPr>
                <w:rFonts w:cs="Times New Roman"/>
              </w:rPr>
              <w:lastRenderedPageBreak/>
              <w:t xml:space="preserve">Affiliation with Accor provides access to tools, pilots and guidance. </w:t>
            </w:r>
          </w:p>
        </w:tc>
        <w:tc>
          <w:tcPr>
            <w:tcW w:w="0" w:type="auto"/>
            <w:hideMark/>
          </w:tcPr>
          <w:p w14:paraId="00272C1D" w14:textId="77777777" w:rsidR="008A28DD" w:rsidRPr="005F7F86" w:rsidRDefault="00000000" w:rsidP="005F7F86">
            <w:pPr>
              <w:spacing w:line="360" w:lineRule="auto"/>
              <w:rPr>
                <w:rFonts w:cs="Times New Roman"/>
              </w:rPr>
            </w:pPr>
            <w:r w:rsidRPr="005F7F86">
              <w:rPr>
                <w:rFonts w:cs="Times New Roman"/>
              </w:rPr>
              <w:t>Procurement constraints (scale, costs, food-safety paperwork) likely limit deeper local sourcing.</w:t>
            </w:r>
          </w:p>
        </w:tc>
      </w:tr>
      <w:tr w:rsidR="00320B89" w14:paraId="427EF4EE" w14:textId="77777777" w:rsidTr="008A28DD">
        <w:tc>
          <w:tcPr>
            <w:tcW w:w="0" w:type="auto"/>
            <w:hideMark/>
          </w:tcPr>
          <w:p w14:paraId="5663CB57" w14:textId="77777777" w:rsidR="008A28DD" w:rsidRPr="005F7F86" w:rsidRDefault="00000000" w:rsidP="005F7F86">
            <w:pPr>
              <w:spacing w:line="360" w:lineRule="auto"/>
              <w:jc w:val="center"/>
              <w:rPr>
                <w:rFonts w:cs="Times New Roman"/>
                <w:b/>
                <w:bCs/>
              </w:rPr>
            </w:pPr>
            <w:r w:rsidRPr="005F7F86">
              <w:rPr>
                <w:rFonts w:cs="Times New Roman"/>
                <w:b/>
                <w:bCs/>
              </w:rPr>
              <w:t>Opportunities</w:t>
            </w:r>
          </w:p>
        </w:tc>
        <w:tc>
          <w:tcPr>
            <w:tcW w:w="0" w:type="auto"/>
            <w:hideMark/>
          </w:tcPr>
          <w:p w14:paraId="4D7CA97D" w14:textId="77777777" w:rsidR="008A28DD" w:rsidRPr="005F7F86" w:rsidRDefault="00000000" w:rsidP="005F7F86">
            <w:pPr>
              <w:spacing w:line="360" w:lineRule="auto"/>
              <w:jc w:val="center"/>
              <w:rPr>
                <w:rFonts w:cs="Times New Roman"/>
                <w:b/>
                <w:bCs/>
              </w:rPr>
            </w:pPr>
            <w:r w:rsidRPr="005F7F86">
              <w:rPr>
                <w:rFonts w:cs="Times New Roman"/>
                <w:b/>
                <w:bCs/>
              </w:rPr>
              <w:t>Threats</w:t>
            </w:r>
          </w:p>
        </w:tc>
      </w:tr>
      <w:tr w:rsidR="00320B89" w14:paraId="2EBFE075" w14:textId="77777777" w:rsidTr="008A28DD">
        <w:tc>
          <w:tcPr>
            <w:tcW w:w="0" w:type="auto"/>
            <w:hideMark/>
          </w:tcPr>
          <w:p w14:paraId="1B87241B" w14:textId="77777777" w:rsidR="008A28DD" w:rsidRPr="005F7F86" w:rsidRDefault="00000000" w:rsidP="005F7F86">
            <w:pPr>
              <w:spacing w:line="360" w:lineRule="auto"/>
              <w:rPr>
                <w:rFonts w:cs="Times New Roman"/>
              </w:rPr>
            </w:pPr>
            <w:r w:rsidRPr="005F7F86">
              <w:rPr>
                <w:rFonts w:cs="Times New Roman"/>
              </w:rPr>
              <w:t xml:space="preserve">Pilot low-cost measurement (manual to digital scale); join redistribution platforms; standardise menu labelling to increase guest recognition. </w:t>
            </w:r>
          </w:p>
        </w:tc>
        <w:tc>
          <w:tcPr>
            <w:tcW w:w="0" w:type="auto"/>
            <w:hideMark/>
          </w:tcPr>
          <w:p w14:paraId="2A80EAE3" w14:textId="77777777" w:rsidR="008A28DD" w:rsidRPr="005F7F86" w:rsidRDefault="00000000" w:rsidP="005F7F86">
            <w:pPr>
              <w:spacing w:line="360" w:lineRule="auto"/>
              <w:rPr>
                <w:rFonts w:cs="Times New Roman"/>
              </w:rPr>
            </w:pPr>
            <w:r w:rsidRPr="005F7F86">
              <w:rPr>
                <w:rFonts w:cs="Times New Roman"/>
              </w:rPr>
              <w:t xml:space="preserve">Cost pressures, staff time constraints, and the risk of greenwashing if claims are not substantiated. </w:t>
            </w:r>
          </w:p>
        </w:tc>
      </w:tr>
    </w:tbl>
    <w:p w14:paraId="1212A1C1" w14:textId="77777777" w:rsidR="008A28DD" w:rsidRPr="005F7F86" w:rsidRDefault="00000000" w:rsidP="005F7F86">
      <w:pPr>
        <w:jc w:val="center"/>
        <w:rPr>
          <w:rFonts w:cs="Times New Roman"/>
        </w:rPr>
      </w:pPr>
      <w:r w:rsidRPr="005F7F86">
        <w:rPr>
          <w:rFonts w:cs="Times New Roman"/>
          <w:b/>
          <w:bCs/>
        </w:rPr>
        <w:t>Table 4.3: SWOT summary of Mercure Thame Lambert Hotel F&amp;B sustainability.</w:t>
      </w:r>
    </w:p>
    <w:p w14:paraId="6FD413E5" w14:textId="77777777" w:rsidR="008A28DD" w:rsidRPr="005F7F86" w:rsidRDefault="00000000" w:rsidP="005F7F86">
      <w:pPr>
        <w:rPr>
          <w:rFonts w:cs="Times New Roman"/>
        </w:rPr>
      </w:pPr>
      <w:r w:rsidRPr="005F7F86">
        <w:rPr>
          <w:rFonts w:cs="Times New Roman"/>
        </w:rPr>
        <w:t xml:space="preserve">In summary, Mercure Thame Lambert Hotel demonstrates selective implementation of sustainable F&amp;B practices: strong emphasis on provenance and local food in guest communication and menus, modest operational steps to reduce single-use items, but limited public evidence of systematic waste measurement, redistribution partnerships or standardised menu labelling. Accor's portfolio initiatives and third-party technologies offer clear pathways to accelerate measurement and diversion, but property-level implementation requires resourcing, procurement flexibility and managerial commitment. The subsequent discussion will interpret these findings against the theoretical frameworks (CSR and TBL), evaluate operational feasibility, and propose prioritised recommendations tailored to the placement hotel's scale and context. </w:t>
      </w:r>
    </w:p>
    <w:p w14:paraId="360C2D88" w14:textId="77777777" w:rsidR="007E690A" w:rsidRPr="005F7F86" w:rsidRDefault="00000000" w:rsidP="005F7F86">
      <w:pPr>
        <w:pStyle w:val="Heading2"/>
      </w:pPr>
      <w:bookmarkStart w:id="20" w:name="_Toc211429599"/>
      <w:r w:rsidRPr="005F7F86">
        <w:t>4.2 Discussion:</w:t>
      </w:r>
      <w:bookmarkEnd w:id="20"/>
    </w:p>
    <w:p w14:paraId="0C3B7F45" w14:textId="77777777" w:rsidR="00E6079C" w:rsidRPr="00E6079C" w:rsidRDefault="00000000" w:rsidP="005F7F86">
      <w:pPr>
        <w:rPr>
          <w:rFonts w:cs="Times New Roman"/>
        </w:rPr>
      </w:pPr>
      <w:r w:rsidRPr="00E6079C">
        <w:rPr>
          <w:rFonts w:cs="Times New Roman"/>
        </w:rPr>
        <w:t>This chapter brings together the empirical findings from the case study and the wider literature. My aim here is practical: to interpret what the evidence means for the hotel, to test how well theory explains what is observed, and to consider which improvements are realistic given the hotel's scale and franchised status.</w:t>
      </w:r>
    </w:p>
    <w:p w14:paraId="618E2AC5" w14:textId="77777777" w:rsidR="00E6079C" w:rsidRPr="005F7F86" w:rsidRDefault="00000000" w:rsidP="005F7F86">
      <w:pPr>
        <w:pStyle w:val="Heading3"/>
        <w:rPr>
          <w:rFonts w:cs="Times New Roman"/>
        </w:rPr>
      </w:pPr>
      <w:bookmarkStart w:id="21" w:name="_Toc211429600"/>
      <w:r w:rsidRPr="005F7F86">
        <w:rPr>
          <w:rFonts w:cs="Times New Roman"/>
        </w:rPr>
        <w:t>4.2.1 Interpretation by Objective:</w:t>
      </w:r>
      <w:bookmarkEnd w:id="21"/>
    </w:p>
    <w:p w14:paraId="260BA3F4" w14:textId="77777777" w:rsidR="00E6079C" w:rsidRPr="00E6079C" w:rsidRDefault="00000000" w:rsidP="005F7F86">
      <w:pPr>
        <w:rPr>
          <w:rFonts w:cs="Times New Roman"/>
          <w:b/>
          <w:bCs/>
        </w:rPr>
      </w:pPr>
      <w:r w:rsidRPr="00E6079C">
        <w:rPr>
          <w:rFonts w:cs="Times New Roman"/>
          <w:b/>
          <w:bCs/>
        </w:rPr>
        <w:t>Objective 1</w:t>
      </w:r>
      <w:r w:rsidRPr="005F7F86">
        <w:rPr>
          <w:rFonts w:cs="Times New Roman"/>
          <w:b/>
          <w:bCs/>
        </w:rPr>
        <w:t>:</w:t>
      </w:r>
      <w:r w:rsidRPr="00E6079C">
        <w:rPr>
          <w:rFonts w:cs="Times New Roman"/>
          <w:b/>
          <w:bCs/>
        </w:rPr>
        <w:t xml:space="preserve"> alignment with literature and Accor/Mercure policy</w:t>
      </w:r>
    </w:p>
    <w:p w14:paraId="279DA00F" w14:textId="77777777" w:rsidR="00E6079C" w:rsidRPr="00E6079C" w:rsidRDefault="00000000" w:rsidP="005F7F86">
      <w:pPr>
        <w:rPr>
          <w:rFonts w:cs="Times New Roman"/>
        </w:rPr>
      </w:pPr>
      <w:r w:rsidRPr="00E6079C">
        <w:rPr>
          <w:rFonts w:cs="Times New Roman"/>
        </w:rPr>
        <w:t xml:space="preserve">At a glance, Mercure Thame Lambert displays the kind of partial alignment with corporate sustainability goals that the literature commonly reports for mid-scale, franchised hotels. The property’s marketing, menu notes and the placement observations show deliberate emphasis on local, seasonal produce and a reduction in some single-use items — all actions consistent with Accor’s brand-level messaging and with recommended F&amp;B sustainability practices (Accor Group, 2023; Mercure promotional material). Yet the property lacks the more structural elements that the literature and Accor pilots highlight as high-impact: systematic waste measurement, public KPIs, and formal redistribution partnerships (Winnow/Orbisk case </w:t>
      </w:r>
      <w:r w:rsidRPr="00E6079C">
        <w:rPr>
          <w:rFonts w:cs="Times New Roman"/>
        </w:rPr>
        <w:lastRenderedPageBreak/>
        <w:t>studies; Accor Impact Report). This split — visible, guest-facing actions versus limited back-of-house measurement — is not unusual. Researchers have shown that brand signals (menus, provenance stories) are easier and cheaper to implement than capital or process changes that require investment and staff time (Guzzo, 2020; Sustainable Hospitality Alliance, 2021). In short, the hotel is “doing some things well” in terms of guest experience, but it is not yet demonstrating the measurable operational changes that produce verifiable environmental and cost benefits.</w:t>
      </w:r>
    </w:p>
    <w:p w14:paraId="65121FD0" w14:textId="77777777" w:rsidR="00E6079C" w:rsidRPr="00E6079C" w:rsidRDefault="00000000" w:rsidP="005F7F86">
      <w:pPr>
        <w:rPr>
          <w:rFonts w:cs="Times New Roman"/>
          <w:b/>
          <w:bCs/>
        </w:rPr>
      </w:pPr>
      <w:r w:rsidRPr="00E6079C">
        <w:rPr>
          <w:rFonts w:cs="Times New Roman"/>
          <w:b/>
          <w:bCs/>
        </w:rPr>
        <w:t>Objective 2</w:t>
      </w:r>
      <w:r w:rsidRPr="005F7F86">
        <w:rPr>
          <w:rFonts w:cs="Times New Roman"/>
          <w:b/>
          <w:bCs/>
        </w:rPr>
        <w:t>:</w:t>
      </w:r>
      <w:r w:rsidRPr="00E6079C">
        <w:rPr>
          <w:rFonts w:cs="Times New Roman"/>
          <w:b/>
          <w:bCs/>
        </w:rPr>
        <w:t xml:space="preserve"> practices, guest perception and CSR signalling</w:t>
      </w:r>
    </w:p>
    <w:p w14:paraId="035B4988" w14:textId="77777777" w:rsidR="00E6079C" w:rsidRPr="00E6079C" w:rsidRDefault="00000000" w:rsidP="005F7F86">
      <w:pPr>
        <w:rPr>
          <w:rFonts w:cs="Times New Roman"/>
        </w:rPr>
      </w:pPr>
      <w:r w:rsidRPr="00E6079C">
        <w:rPr>
          <w:rFonts w:cs="Times New Roman"/>
        </w:rPr>
        <w:t>The review evidence made one thing clear: guests respond to what they can see. Comments praising “local dishes” and “good regional produce” outnumber any mentions of waste systems or recycling, which were rarely cited (TripAdvisor; Booking.com). That pattern fits neatly with CSR signalling theory: visible, tangible cues (menu text, staff explanations, provenance logos) influence guest perceptions more than unseen managerial or supply-chain actions (Parkin, 2022; Damigos, 2023). Practically, that means the hotel has been wise to highlight local provenance — it delivers immediate reputational benefit — but the guest reception also creates a trap. If managers promote green credentials without measurable follow-through, guests (and more importantly, informed stakeholders) may perceive the messaging as superficial or, in the worst case, greenwashing (Yang, 2024). Therefore, guest-facing signals and operational verification must be developed together: the one without the other risks reputational damage when scrutiny increases.</w:t>
      </w:r>
    </w:p>
    <w:p w14:paraId="60208726" w14:textId="77777777" w:rsidR="00E6079C" w:rsidRPr="00E6079C" w:rsidRDefault="00000000" w:rsidP="005F7F86">
      <w:pPr>
        <w:rPr>
          <w:rFonts w:cs="Times New Roman"/>
          <w:b/>
          <w:bCs/>
        </w:rPr>
      </w:pPr>
      <w:r w:rsidRPr="00E6079C">
        <w:rPr>
          <w:rFonts w:cs="Times New Roman"/>
          <w:b/>
          <w:bCs/>
        </w:rPr>
        <w:t>Objective 3</w:t>
      </w:r>
      <w:r w:rsidRPr="005F7F86">
        <w:rPr>
          <w:rFonts w:cs="Times New Roman"/>
          <w:b/>
          <w:bCs/>
        </w:rPr>
        <w:t>:</w:t>
      </w:r>
      <w:r w:rsidRPr="00E6079C">
        <w:rPr>
          <w:rFonts w:cs="Times New Roman"/>
          <w:b/>
          <w:bCs/>
        </w:rPr>
        <w:t xml:space="preserve"> feasibility of proposed interventions (cost/benefit)</w:t>
      </w:r>
    </w:p>
    <w:p w14:paraId="5AEDA51B" w14:textId="77777777" w:rsidR="00E6079C" w:rsidRPr="00E6079C" w:rsidRDefault="00000000" w:rsidP="005F7F86">
      <w:pPr>
        <w:rPr>
          <w:rFonts w:cs="Times New Roman"/>
        </w:rPr>
      </w:pPr>
      <w:r w:rsidRPr="00E6079C">
        <w:rPr>
          <w:rFonts w:cs="Times New Roman"/>
        </w:rPr>
        <w:t>Is it realistic for a mid-scale Mercure property to move beyond storytelling into measurable change? The literature and industry pilots suggest a staged approach is feasible and sensible. Digital waste-tracking solutions (Winnow, Orbisk) have clear case evidence of cost savings and waste reductions — but they also require capital outlay, chef engagement and some training (Winnow case studies; Orbisk, 2024). For a franchised hotel with limited capital budgets, the most practical route is incremental: start with a manual baseline (low cost), use the data to identify a small number of high-impact adjustments (menu items, batch sizes), and then justify a small pilot of digital measurement if the financial case looks favourable (WRAP, 2024). Redistribution partnerships (Too Good To Go, FareShare) deliver quick reputational and diversion benefits but need operational adjustments (packaging, legal clarity), which can usually be managed at modest cost (Too Good To Go, 2023). The balance of evidence suggests that modest initial investments — particularly in measurement and staff training — are likely to pay for themselves within a manageable timeframe if implemented with discipline.</w:t>
      </w:r>
    </w:p>
    <w:p w14:paraId="69E3D0A7" w14:textId="77777777" w:rsidR="00E6079C" w:rsidRPr="005F7F86" w:rsidRDefault="00000000" w:rsidP="005F7F86">
      <w:pPr>
        <w:pStyle w:val="Heading3"/>
        <w:rPr>
          <w:rFonts w:cs="Times New Roman"/>
        </w:rPr>
      </w:pPr>
      <w:bookmarkStart w:id="22" w:name="_Toc211429601"/>
      <w:r w:rsidRPr="005F7F86">
        <w:rPr>
          <w:rFonts w:cs="Times New Roman"/>
        </w:rPr>
        <w:lastRenderedPageBreak/>
        <w:t>4.2.2 Applying Theoretical Frameworks:</w:t>
      </w:r>
      <w:bookmarkEnd w:id="22"/>
    </w:p>
    <w:p w14:paraId="63C87A52" w14:textId="77777777" w:rsidR="0071118B" w:rsidRPr="005F7F86" w:rsidRDefault="00000000" w:rsidP="005F7F86">
      <w:pPr>
        <w:rPr>
          <w:rFonts w:cs="Times New Roman"/>
          <w:b/>
          <w:bCs/>
        </w:rPr>
      </w:pPr>
      <w:r w:rsidRPr="00E6079C">
        <w:rPr>
          <w:rFonts w:cs="Times New Roman"/>
          <w:b/>
          <w:bCs/>
        </w:rPr>
        <w:t>Triple Bottom Line (TBL)</w:t>
      </w:r>
      <w:r w:rsidRPr="005F7F86">
        <w:rPr>
          <w:rFonts w:cs="Times New Roman"/>
          <w:b/>
          <w:bCs/>
        </w:rPr>
        <w:t>-</w:t>
      </w:r>
      <w:r w:rsidRPr="00E6079C">
        <w:rPr>
          <w:rFonts w:cs="Times New Roman"/>
          <w:b/>
          <w:bCs/>
        </w:rPr>
        <w:t xml:space="preserve"> people, planet, profit</w:t>
      </w:r>
      <w:r w:rsidRPr="005F7F86">
        <w:rPr>
          <w:rFonts w:cs="Times New Roman"/>
          <w:b/>
          <w:bCs/>
        </w:rPr>
        <w:t>:</w:t>
      </w:r>
    </w:p>
    <w:p w14:paraId="1D098BF6" w14:textId="77777777" w:rsidR="00A70EBD" w:rsidRPr="005F7F86" w:rsidRDefault="00000000" w:rsidP="005F7F86">
      <w:pPr>
        <w:rPr>
          <w:rFonts w:cs="Times New Roman"/>
        </w:rPr>
      </w:pPr>
      <w:r w:rsidRPr="005F7F86">
        <w:rPr>
          <w:rFonts w:cs="Times New Roman"/>
        </w:rPr>
        <w:t>Using the TBL lens helps to prioritise actions. The hotel uses less single-use plastic and sources more locally, but the environmental obligation is weakened due to a lack of measurement. Furthermore, no measuring means being unable to ascertain the carbon or waste savings (Elkington, 1998; WRAP, 2024). When hotels buy local, they strengthen community bonds, which enhance guest experience and social benefits, if you like. Nonetheless, a lack of insight into suppliers makes it difficult to evidence social value. Provenance can raise the perceived value, such as extra support with price or repeat business, while a waste reduction effort can yield immediate cost savings. The economic benefits of actions are more or less invisible until they are measured. So, mid-scale hotels that invest in synergies with the planet and profit (like measuring waste so they can enjoy reduced food cost) produce the strongest results.</w:t>
      </w:r>
    </w:p>
    <w:p w14:paraId="124B0CA0" w14:textId="77777777" w:rsidR="00A70EBD" w:rsidRPr="005F7F86" w:rsidRDefault="00000000" w:rsidP="005F7F86">
      <w:pPr>
        <w:rPr>
          <w:rFonts w:cs="Times New Roman"/>
          <w:b/>
          <w:bCs/>
        </w:rPr>
      </w:pPr>
      <w:r w:rsidRPr="005F7F86">
        <w:rPr>
          <w:rFonts w:cs="Times New Roman"/>
          <w:b/>
          <w:bCs/>
        </w:rPr>
        <w:t>CSR and managerial legitimacy:</w:t>
      </w:r>
    </w:p>
    <w:p w14:paraId="643008B3" w14:textId="77777777" w:rsidR="00A70EBD" w:rsidRPr="005F7F86" w:rsidRDefault="00000000" w:rsidP="005F7F86">
      <w:pPr>
        <w:rPr>
          <w:rFonts w:cs="Times New Roman"/>
        </w:rPr>
      </w:pPr>
      <w:r w:rsidRPr="005F7F86">
        <w:rPr>
          <w:rFonts w:cs="Times New Roman"/>
        </w:rPr>
        <w:t xml:space="preserve">CSR helps in addressing the legitimacy and managerial questions which arise in business. Stakeholders make goodwill-based rewards for genuine behaviour. When customers can see the price tags of the people that matter to them, then demands for pricing are avoided, a situation that is commonly replicated in more price-sensitive markets (Watson, 2021).  So managers have a double task: 1) do the stuff that matters (waste reduction, and support local suppliers) and 2) prove you do that through transparent metrics and reporting. In the absence of a social impact and a business model, practices look like marketing. </w:t>
      </w:r>
    </w:p>
    <w:p w14:paraId="21CAAC2C" w14:textId="77777777" w:rsidR="00E6079C" w:rsidRPr="00E6079C" w:rsidRDefault="00000000" w:rsidP="005F7F86">
      <w:pPr>
        <w:rPr>
          <w:rFonts w:cs="Times New Roman"/>
        </w:rPr>
      </w:pPr>
      <w:r w:rsidRPr="005F7F86">
        <w:rPr>
          <w:rFonts w:cs="Times New Roman"/>
        </w:rPr>
        <w:t>The hotel should carry on doing the visible, low-cost things that guests notice, but treat those visible low-cost activities as the front end of a measurement-driven programme. In other words, measure everything. According to Parkin (2022) and Damigos (2023), while the provenance story is compelling, measurement and redistribution are the elements which will create credibility. If the hotel prices signal, measure up to the signal, and report its measures, then it will be much better placed to convert guest goodwill into verified environmental and financial outcomes</w:t>
      </w:r>
      <w:r w:rsidR="00084CA4" w:rsidRPr="00084CA4">
        <w:rPr>
          <w:rFonts w:cs="Times New Roman"/>
        </w:rPr>
        <w:t>.</w:t>
      </w:r>
    </w:p>
    <w:p w14:paraId="773BD219" w14:textId="77777777" w:rsidR="00E6079C" w:rsidRPr="005F7F86" w:rsidRDefault="00000000" w:rsidP="005F7F86">
      <w:pPr>
        <w:pStyle w:val="Heading3"/>
        <w:rPr>
          <w:rFonts w:cs="Times New Roman"/>
        </w:rPr>
      </w:pPr>
      <w:bookmarkStart w:id="23" w:name="_Toc211429602"/>
      <w:r w:rsidRPr="005F7F86">
        <w:rPr>
          <w:rFonts w:cs="Times New Roman"/>
        </w:rPr>
        <w:t>4.2.3 Operational Constraints and Enablers:</w:t>
      </w:r>
      <w:bookmarkEnd w:id="23"/>
    </w:p>
    <w:p w14:paraId="4CF7F92D" w14:textId="77777777" w:rsidR="00E6079C" w:rsidRPr="00E6079C" w:rsidRDefault="00000000" w:rsidP="005F7F86">
      <w:pPr>
        <w:rPr>
          <w:rFonts w:cs="Times New Roman"/>
          <w:b/>
          <w:bCs/>
        </w:rPr>
      </w:pPr>
      <w:r w:rsidRPr="00E6079C">
        <w:rPr>
          <w:rFonts w:cs="Times New Roman"/>
          <w:b/>
          <w:bCs/>
        </w:rPr>
        <w:t>Staff training and daily practice</w:t>
      </w:r>
      <w:r w:rsidRPr="005F7F86">
        <w:rPr>
          <w:rFonts w:cs="Times New Roman"/>
          <w:b/>
          <w:bCs/>
        </w:rPr>
        <w:t>:</w:t>
      </w:r>
    </w:p>
    <w:p w14:paraId="601F02FF" w14:textId="77777777" w:rsidR="00E6079C" w:rsidRPr="00E6079C" w:rsidRDefault="00000000" w:rsidP="005F7F86">
      <w:pPr>
        <w:rPr>
          <w:rFonts w:cs="Times New Roman"/>
        </w:rPr>
      </w:pPr>
      <w:r w:rsidRPr="00E6079C">
        <w:rPr>
          <w:rFonts w:cs="Times New Roman"/>
        </w:rPr>
        <w:t xml:space="preserve">The single biggest enabler is staff: kitchen teams, supervisors and servers make sustainability real. The placement role (Food &amp; Beverage Assistant Supervisor) highlighted how small tactical moves — consistent portioning, daily prep checks, simple scripts for servers — have immediate impact. The literature reinforces this: training converts measurement into behaviour </w:t>
      </w:r>
      <w:r w:rsidRPr="00E6079C">
        <w:rPr>
          <w:rFonts w:cs="Times New Roman"/>
        </w:rPr>
        <w:lastRenderedPageBreak/>
        <w:t>change and sustained savings (Montesdeoca-Calderón et al., 2024). Training is low-cost and high-return, but it must be routine and embedded into shift patterns, not a one-off session.</w:t>
      </w:r>
    </w:p>
    <w:p w14:paraId="20C2CDB3" w14:textId="77777777" w:rsidR="00E6079C" w:rsidRPr="00E6079C" w:rsidRDefault="00000000" w:rsidP="005F7F86">
      <w:pPr>
        <w:rPr>
          <w:rFonts w:cs="Times New Roman"/>
          <w:b/>
          <w:bCs/>
        </w:rPr>
      </w:pPr>
      <w:r w:rsidRPr="00E6079C">
        <w:rPr>
          <w:rFonts w:cs="Times New Roman"/>
          <w:b/>
          <w:bCs/>
        </w:rPr>
        <w:t>Procurement budgets and supplier networks</w:t>
      </w:r>
      <w:r w:rsidRPr="005F7F86">
        <w:rPr>
          <w:rFonts w:cs="Times New Roman"/>
          <w:b/>
          <w:bCs/>
        </w:rPr>
        <w:t>:</w:t>
      </w:r>
    </w:p>
    <w:p w14:paraId="6C5A166E" w14:textId="77777777" w:rsidR="00E6079C" w:rsidRPr="00E6079C" w:rsidRDefault="00000000" w:rsidP="005F7F86">
      <w:pPr>
        <w:rPr>
          <w:rFonts w:cs="Times New Roman"/>
        </w:rPr>
      </w:pPr>
      <w:r w:rsidRPr="00E6079C">
        <w:rPr>
          <w:rFonts w:cs="Times New Roman"/>
        </w:rPr>
        <w:t>Local sourcing is attractive for guest experience and social impact, but small producers impose transaction costs (minimum orders, variable seasonality), and purchasing from large distributors remains economical for staples. The solution in practice — and recommended in the literature — is a mixed “core-plus-local” procurement model, possibly supported by pooled buying with nearby properties or local hubs that aggregate small-supplier supply (Sustainable Hospitality Alliance; Travel Foundation). This reduces friction and makes local sourcing scalable.</w:t>
      </w:r>
    </w:p>
    <w:p w14:paraId="571B61F6" w14:textId="77777777" w:rsidR="00E6079C" w:rsidRPr="00E6079C" w:rsidRDefault="00000000" w:rsidP="005F7F86">
      <w:pPr>
        <w:rPr>
          <w:rFonts w:cs="Times New Roman"/>
          <w:b/>
          <w:bCs/>
        </w:rPr>
      </w:pPr>
      <w:r w:rsidRPr="00E6079C">
        <w:rPr>
          <w:rFonts w:cs="Times New Roman"/>
          <w:b/>
          <w:bCs/>
        </w:rPr>
        <w:t>Franchise model: brand vs property responsibility</w:t>
      </w:r>
    </w:p>
    <w:p w14:paraId="5089F8B4" w14:textId="77777777" w:rsidR="00E6079C" w:rsidRPr="00E6079C" w:rsidRDefault="00000000" w:rsidP="005F7F86">
      <w:pPr>
        <w:rPr>
          <w:rFonts w:cs="Times New Roman"/>
        </w:rPr>
      </w:pPr>
      <w:r w:rsidRPr="00E6079C">
        <w:rPr>
          <w:rFonts w:cs="Times New Roman"/>
        </w:rPr>
        <w:t>Franchised properties benefit from brand tools (Accor's partnerships, reporting frameworks) but may not automatically receive funding for pilots. That means the hotel can implement cheap, fast changes independently, yet for capital-intensive pilots, it may need to leverage Accor's programmes or owner investment. The practical implication is to sequence actions so that early wins build the case for larger investments — evidence of cost savings from manual audits helps secure owner buy-in for digital pilots.</w:t>
      </w:r>
    </w:p>
    <w:p w14:paraId="5816DF2A" w14:textId="77777777" w:rsidR="00E6079C" w:rsidRPr="005F7F86" w:rsidRDefault="00000000" w:rsidP="005F7F86">
      <w:pPr>
        <w:pStyle w:val="Heading3"/>
        <w:rPr>
          <w:rFonts w:cs="Times New Roman"/>
        </w:rPr>
      </w:pPr>
      <w:bookmarkStart w:id="24" w:name="_Toc211429603"/>
      <w:r w:rsidRPr="005F7F86">
        <w:rPr>
          <w:rFonts w:cs="Times New Roman"/>
        </w:rPr>
        <w:t>4.2.4 Reliability and Limitations of the Secondary-Data Approach:</w:t>
      </w:r>
      <w:bookmarkEnd w:id="24"/>
    </w:p>
    <w:p w14:paraId="007C3CEE" w14:textId="77777777" w:rsidR="00E6079C" w:rsidRPr="00E6079C" w:rsidRDefault="00000000" w:rsidP="005F7F86">
      <w:pPr>
        <w:rPr>
          <w:rFonts w:cs="Times New Roman"/>
        </w:rPr>
      </w:pPr>
      <w:r w:rsidRPr="00E6079C">
        <w:rPr>
          <w:rFonts w:cs="Times New Roman"/>
        </w:rPr>
        <w:t>Using secondary data and guest reviews is practical given the placement timeframe, but it brings limits. Corporate reports are optimistic by nature; guest reviews are self-selected and rarely reference technical processes; and not all property-level practices are documented publicly. That means our conclusions are directional and diagnostic, not definitive. The sensible next step is targeted primary evidence collection: short manager interviews, supplier confirmations and a manual waste audit. These would validate the diagnostic and provide the confidence needed for investment decisions (Xiang et al., 2017; WRAP, 2024).</w:t>
      </w:r>
    </w:p>
    <w:p w14:paraId="393A34CD" w14:textId="77777777" w:rsidR="00E6079C" w:rsidRPr="005F7F86" w:rsidRDefault="00000000" w:rsidP="005F7F86">
      <w:pPr>
        <w:pStyle w:val="Heading3"/>
        <w:rPr>
          <w:rFonts w:cs="Times New Roman"/>
        </w:rPr>
      </w:pPr>
      <w:bookmarkStart w:id="25" w:name="_Toc211429604"/>
      <w:r w:rsidRPr="005F7F86">
        <w:rPr>
          <w:rFonts w:cs="Times New Roman"/>
        </w:rPr>
        <w:t>4.</w:t>
      </w:r>
      <w:r w:rsidR="000243AB" w:rsidRPr="005F7F86">
        <w:rPr>
          <w:rFonts w:cs="Times New Roman"/>
        </w:rPr>
        <w:t>2.</w:t>
      </w:r>
      <w:r w:rsidRPr="005F7F86">
        <w:rPr>
          <w:rFonts w:cs="Times New Roman"/>
        </w:rPr>
        <w:t>5 Implications for Management Practice and Policy at Mercure Thame Lambert:</w:t>
      </w:r>
      <w:bookmarkEnd w:id="25"/>
    </w:p>
    <w:p w14:paraId="09087B1D" w14:textId="77777777" w:rsidR="007E690A" w:rsidRPr="005F7F86" w:rsidRDefault="00000000" w:rsidP="005F7F86">
      <w:pPr>
        <w:rPr>
          <w:rFonts w:cs="Times New Roman"/>
        </w:rPr>
      </w:pPr>
      <w:r w:rsidRPr="00E6079C">
        <w:rPr>
          <w:rFonts w:cs="Times New Roman"/>
        </w:rPr>
        <w:t>Putting the above into practice, the hotel should prioritise three linked actions. First, </w:t>
      </w:r>
      <w:r w:rsidRPr="00E6079C">
        <w:rPr>
          <w:rFonts w:cs="Times New Roman"/>
          <w:b/>
          <w:bCs/>
        </w:rPr>
        <w:t>measure</w:t>
      </w:r>
      <w:r w:rsidRPr="00E6079C">
        <w:rPr>
          <w:rFonts w:cs="Times New Roman"/>
        </w:rPr>
        <w:t>: run a simple manual waste baseline over 4–8 weeks to identify the biggest waste streams. Second, </w:t>
      </w:r>
      <w:r w:rsidRPr="00E6079C">
        <w:rPr>
          <w:rFonts w:cs="Times New Roman"/>
          <w:b/>
          <w:bCs/>
        </w:rPr>
        <w:t>train</w:t>
      </w:r>
      <w:r w:rsidRPr="00E6079C">
        <w:rPr>
          <w:rFonts w:cs="Times New Roman"/>
        </w:rPr>
        <w:t>: embed short, regular training sessions on portion control and waste handling to convert measurement into practice. Third, </w:t>
      </w:r>
      <w:r w:rsidRPr="00E6079C">
        <w:rPr>
          <w:rFonts w:cs="Times New Roman"/>
          <w:b/>
          <w:bCs/>
        </w:rPr>
        <w:t>signal credibly</w:t>
      </w:r>
      <w:r w:rsidRPr="00E6079C">
        <w:rPr>
          <w:rFonts w:cs="Times New Roman"/>
        </w:rPr>
        <w:t xml:space="preserve">: roll out clear provenance icons and short menu notes tied to named local suppliers and publish a basic annual F&amp;B metric (kg waste per cover; % local spend). These steps are low-cost, build managerial credibility and </w:t>
      </w:r>
      <w:r w:rsidRPr="00E6079C">
        <w:rPr>
          <w:rFonts w:cs="Times New Roman"/>
        </w:rPr>
        <w:lastRenderedPageBreak/>
        <w:t>create the evidence base to pursue mid-term pilots (digital measurement, redistribution partnerships) with owner or brand support (Winnow; Too Good To Go). In other words, start small, measure, then scale — a pragmatic pathway that reflects both the TBL priorities and the operational realities of a franchised mid-scale hotel.</w:t>
      </w:r>
    </w:p>
    <w:p w14:paraId="2567AFEC" w14:textId="77777777" w:rsidR="007E690A" w:rsidRPr="005F7F86" w:rsidRDefault="00000000" w:rsidP="005F7F86">
      <w:pPr>
        <w:pStyle w:val="Heading1"/>
        <w:rPr>
          <w:rFonts w:cs="Times New Roman"/>
        </w:rPr>
      </w:pPr>
      <w:bookmarkStart w:id="26" w:name="_Toc211429605"/>
      <w:r w:rsidRPr="005F7F86">
        <w:rPr>
          <w:rFonts w:cs="Times New Roman"/>
        </w:rPr>
        <w:t>Chapter 5: Conclusion &amp; Recommendations</w:t>
      </w:r>
      <w:bookmarkEnd w:id="26"/>
    </w:p>
    <w:p w14:paraId="15D4C6E8" w14:textId="77777777" w:rsidR="007E690A" w:rsidRPr="005F7F86" w:rsidRDefault="00000000" w:rsidP="005F7F86">
      <w:pPr>
        <w:pStyle w:val="Heading2"/>
      </w:pPr>
      <w:bookmarkStart w:id="27" w:name="_Toc211429606"/>
      <w:r w:rsidRPr="005F7F86">
        <w:t>5.1 Conclusion:</w:t>
      </w:r>
      <w:bookmarkEnd w:id="27"/>
    </w:p>
    <w:p w14:paraId="1EDF616A" w14:textId="77777777" w:rsidR="00A70EBD" w:rsidRPr="005F7F86" w:rsidRDefault="00000000" w:rsidP="005F7F86">
      <w:pPr>
        <w:rPr>
          <w:rFonts w:eastAsiaTheme="majorEastAsia" w:cs="Times New Roman"/>
          <w:b/>
          <w:sz w:val="26"/>
        </w:rPr>
      </w:pPr>
      <w:r w:rsidRPr="00695DAC">
        <w:rPr>
          <w:rFonts w:cs="Times New Roman"/>
        </w:rPr>
        <w:t>This final chapter draws together the study’s evidence, maps the principal findings to the original objectives, offers an overall judgement of how far sustainable food &amp; beverage (F&amp;B) practice is embedded at Mercure Thame Lambert Hotel, reflects candidly on the research design’s strengths and limits, and closes with a concise statement of the hotel’s strategic position and next steps.</w:t>
      </w:r>
    </w:p>
    <w:p w14:paraId="7AA8DCA5" w14:textId="77777777" w:rsidR="00A70EBD" w:rsidRPr="005F7F86" w:rsidRDefault="00000000" w:rsidP="005F7F86">
      <w:pPr>
        <w:pStyle w:val="Heading3"/>
        <w:rPr>
          <w:rFonts w:cs="Times New Roman"/>
        </w:rPr>
      </w:pPr>
      <w:bookmarkStart w:id="28" w:name="_Toc211429607"/>
      <w:r w:rsidRPr="005F7F86">
        <w:rPr>
          <w:rFonts w:cs="Times New Roman"/>
        </w:rPr>
        <w:t>5.1.1 Summary of Key Findings Mapped to Research Objectives:</w:t>
      </w:r>
      <w:bookmarkEnd w:id="28"/>
    </w:p>
    <w:p w14:paraId="3B25AE89" w14:textId="77777777" w:rsidR="00A70EBD" w:rsidRPr="005F7F86" w:rsidRDefault="00000000" w:rsidP="005F7F86">
      <w:pPr>
        <w:rPr>
          <w:rFonts w:cs="Times New Roman"/>
          <w:b/>
          <w:bCs/>
          <w:i/>
          <w:iCs/>
        </w:rPr>
      </w:pPr>
      <w:r w:rsidRPr="005F7F86">
        <w:rPr>
          <w:rFonts w:cs="Times New Roman"/>
          <w:b/>
          <w:bCs/>
          <w:i/>
          <w:iCs/>
        </w:rPr>
        <w:t>Objective 1: Analyse current sustainability policies and initiatives and contrast them with best practice.</w:t>
      </w:r>
    </w:p>
    <w:p w14:paraId="2FA59CB4" w14:textId="77777777" w:rsidR="00A70EBD" w:rsidRPr="005F7F86" w:rsidRDefault="00000000" w:rsidP="005F7F86">
      <w:pPr>
        <w:rPr>
          <w:rFonts w:cs="Times New Roman"/>
        </w:rPr>
      </w:pPr>
      <w:r w:rsidRPr="005F7F86">
        <w:rPr>
          <w:rFonts w:cs="Times New Roman"/>
        </w:rPr>
        <w:t>The hotel is working to make its practices sustainable in every aspect at every stage of operation. Its menu and promotional material professes the use of local, in-season ingredients and the origin is often communicated to diners by staff. The Accor Group is known for healthy ingredients. Sustainable Hospitality Alliance recommends using provenance to signal healthy and ethical food choices. Accor´s story by chefs about dishes' provenance signals healthfulness towards guests. The hotel lacks operational discipline. There was no evidence recorded or actual visible measurements of food waste, or whether they already have F&amp;B KPIs published. According to the research done, there was no public champion partnership seen. All of these measures will allow for the conversion of storytelling into measurable impact. The measures are part of multiple insights by Accor pilots and top players in the sector. In summary, the property is consistent with guidance at the level of narrative and selective practice, but inconsistent with best practice with regard to measurement and formal diversion mechanisms.</w:t>
      </w:r>
    </w:p>
    <w:p w14:paraId="7F79848C" w14:textId="77777777" w:rsidR="00A70EBD" w:rsidRPr="005F7F86" w:rsidRDefault="00000000" w:rsidP="005F7F86">
      <w:pPr>
        <w:rPr>
          <w:rFonts w:cs="Times New Roman"/>
          <w:b/>
          <w:bCs/>
          <w:i/>
          <w:iCs/>
        </w:rPr>
      </w:pPr>
      <w:r w:rsidRPr="005F7F86">
        <w:rPr>
          <w:rFonts w:cs="Times New Roman"/>
          <w:b/>
          <w:bCs/>
          <w:i/>
          <w:iCs/>
        </w:rPr>
        <w:t>Objective 2: Assess whether practices affect customer experience.</w:t>
      </w:r>
    </w:p>
    <w:p w14:paraId="73DEE2EC" w14:textId="77777777" w:rsidR="00A70EBD" w:rsidRPr="005F7F86" w:rsidRDefault="00000000" w:rsidP="005F7F86">
      <w:pPr>
        <w:rPr>
          <w:rFonts w:cs="Times New Roman"/>
        </w:rPr>
      </w:pPr>
      <w:r w:rsidRPr="005F7F86">
        <w:rPr>
          <w:rFonts w:cs="Times New Roman"/>
        </w:rPr>
        <w:t xml:space="preserve">Analysis of guest reviews indicates that guests see and reward provenance and the quality of the food. Guests routinely make positive comments on "local dishes" and are positively rewarded for them. Explicit mentions of recycling or waste systems were rare. This well-substantiated pattern confirms a practical point from CSR signalling literature that visible cues (menu notes, staff narratives, etc.) influence guests' impressions more robustly than invisible </w:t>
      </w:r>
      <w:r w:rsidRPr="005F7F86">
        <w:rPr>
          <w:rFonts w:cs="Times New Roman"/>
        </w:rPr>
        <w:lastRenderedPageBreak/>
        <w:t>back-of-house actions (Parkin, 2022; Damigos, 2023). Because guest-facing practices appear to enhance perceived experience, the absence of visible, quantified environmental outcomes means potential reputational and commercial gains from deeper sustainability work remain underexploited.</w:t>
      </w:r>
    </w:p>
    <w:p w14:paraId="48B45F83" w14:textId="77777777" w:rsidR="00A70EBD" w:rsidRPr="005F7F86" w:rsidRDefault="00000000" w:rsidP="005F7F86">
      <w:pPr>
        <w:rPr>
          <w:rFonts w:cs="Times New Roman"/>
          <w:b/>
          <w:bCs/>
          <w:i/>
          <w:iCs/>
        </w:rPr>
      </w:pPr>
      <w:r w:rsidRPr="005F7F86">
        <w:rPr>
          <w:rFonts w:cs="Times New Roman"/>
          <w:b/>
          <w:bCs/>
          <w:i/>
          <w:iCs/>
        </w:rPr>
        <w:t>Objective 3: Propose feasible sustainability measures.</w:t>
      </w:r>
    </w:p>
    <w:p w14:paraId="4AC0EE18" w14:textId="77777777" w:rsidR="00A70EBD" w:rsidRPr="005F7F86" w:rsidRDefault="00000000" w:rsidP="005F7F86">
      <w:pPr>
        <w:rPr>
          <w:rFonts w:cs="Times New Roman"/>
        </w:rPr>
      </w:pPr>
      <w:r w:rsidRPr="005F7F86">
        <w:rPr>
          <w:rFonts w:cs="Times New Roman"/>
        </w:rPr>
        <w:t>The evidence recommends an orderly and practical path forward: immediate low-cost actions (manual waste baseline, menu labelling, short staff briefings), medium-term operational trials (digital waste measuring, curated local supplier programme, redistributing), and longer-term strategically lateral actions (public KPIs, Accor reporting integration, potential circularity). According to industry examples, using this sequence minimises risk and increases the chances of positive ROI when scale and context are appropriate (Winnow; WRAP, 2024).</w:t>
      </w:r>
    </w:p>
    <w:p w14:paraId="667AEFD3" w14:textId="77777777" w:rsidR="00A70EBD" w:rsidRPr="005F7F86" w:rsidRDefault="00000000" w:rsidP="005F7F86">
      <w:pPr>
        <w:pStyle w:val="Heading3"/>
        <w:rPr>
          <w:rFonts w:cs="Times New Roman"/>
        </w:rPr>
      </w:pPr>
      <w:bookmarkStart w:id="29" w:name="_Toc211429608"/>
      <w:r w:rsidRPr="005F7F86">
        <w:rPr>
          <w:rFonts w:cs="Times New Roman"/>
        </w:rPr>
        <w:t>5.1.2 Overall Evaluation of Sustainability Integration:</w:t>
      </w:r>
      <w:bookmarkEnd w:id="29"/>
    </w:p>
    <w:p w14:paraId="154F5B14" w14:textId="77777777" w:rsidR="00A70EBD" w:rsidRPr="005F7F86" w:rsidRDefault="00000000" w:rsidP="005F7F86">
      <w:pPr>
        <w:rPr>
          <w:rFonts w:cs="Times New Roman"/>
        </w:rPr>
      </w:pPr>
      <w:r w:rsidRPr="005F7F86">
        <w:rPr>
          <w:rFonts w:cs="Times New Roman"/>
        </w:rPr>
        <w:t>Through a Triple Bottom Line lens, the hotel performs unequally. As per WRAP (2024), steps are being taken in the right direction with regard to environmental impacts in terms of visible reduction of disposables and a focus towards local sourcing. However, systems are still lacking to get accurate accounting for the environmental impact. The buying of local products, plus the stories they tell, promotes community and guest experience. The many things that make waste management hard on restaurants and food businesses are usually the same things that make consumers think food waste runs a high cost.  The focus on food and beverage sustainability is in its infancy and not consistent. The hotel is good at signalling this message. But it is less good at verifiable and systematised delivery that can be shown to the outside world.</w:t>
      </w:r>
    </w:p>
    <w:p w14:paraId="2065D78C" w14:textId="77777777" w:rsidR="00A70EBD" w:rsidRPr="005F7F86" w:rsidRDefault="00000000" w:rsidP="005F7F86">
      <w:pPr>
        <w:pStyle w:val="Heading3"/>
        <w:rPr>
          <w:rFonts w:cs="Times New Roman"/>
        </w:rPr>
      </w:pPr>
      <w:bookmarkStart w:id="30" w:name="_Toc211429609"/>
      <w:r w:rsidRPr="005F7F86">
        <w:rPr>
          <w:rFonts w:cs="Times New Roman"/>
        </w:rPr>
        <w:t>5.1.3 Critical Reflection on Research Limitations and Strengths:</w:t>
      </w:r>
      <w:bookmarkEnd w:id="30"/>
    </w:p>
    <w:p w14:paraId="7E0AE20F" w14:textId="77777777" w:rsidR="00A70EBD" w:rsidRPr="005F7F86" w:rsidRDefault="00000000" w:rsidP="005F7F86">
      <w:pPr>
        <w:rPr>
          <w:rFonts w:cs="Times New Roman"/>
        </w:rPr>
      </w:pPr>
      <w:r w:rsidRPr="005F7F86">
        <w:rPr>
          <w:rFonts w:cs="Times New Roman"/>
        </w:rPr>
        <w:t>The study deliberately researched desk methods and a selective analysis of guest reviews.  By using corporate reports, industry toolkits and general sentiments, many choices emerged, thereby allowing for triangulation. The placement-based project was found to be appropriate as it faced time and ethical constraints. Yet this design imposes important limits. Promotional material from corporations and brands often idealises successes. As for guest reviews, they are self-selective, which leads them to capture only what is relevant and not their overall opinion. Because managers, chefs and suppliers have not been interviewed and no qualitative waste audits have taken place on-site, most importantly, the diagnosis is directional, not definitive. The hotel should perform quick initial audits of the findings (manual weighing, manager interviews, supplier confirmations) to help double-check and refine the findings as it works to go from diagnosis to investment decisions (WRAP, 2024).</w:t>
      </w:r>
    </w:p>
    <w:p w14:paraId="028F4F3E" w14:textId="77777777" w:rsidR="00A70EBD" w:rsidRPr="005F7F86" w:rsidRDefault="00000000" w:rsidP="005F7F86">
      <w:pPr>
        <w:rPr>
          <w:rFonts w:cs="Times New Roman"/>
        </w:rPr>
      </w:pPr>
      <w:r w:rsidRPr="005F7F86">
        <w:rPr>
          <w:rFonts w:cs="Times New Roman"/>
        </w:rPr>
        <w:lastRenderedPageBreak/>
        <w:t>The study is strengthened by practicalities, where the researcher is involved in a placement role − Food &amp; Beverage Assistant Supervisor, which helped him with observant insight informed by documentary data. By looking at multiple other sources for information. It has cleared away any doubts that may have arisen after studying one source.</w:t>
      </w:r>
    </w:p>
    <w:p w14:paraId="4EDF9F51" w14:textId="77777777" w:rsidR="006C505F" w:rsidRPr="005F7F86" w:rsidRDefault="00000000" w:rsidP="005F7F86">
      <w:pPr>
        <w:rPr>
          <w:rFonts w:cs="Times New Roman"/>
        </w:rPr>
      </w:pPr>
      <w:r w:rsidRPr="005F7F86">
        <w:rPr>
          <w:rFonts w:cs="Times New Roman"/>
        </w:rPr>
        <w:t>It is definitely clear that the first pragmatic move must be low-cost, evidence-collecting actions (manual waste baseline, consistent menu labelling, routine staff training). Next, use early wins to create a robust financial and operational case. Then, medium-term pilots (digital measurement, redistribution partnerships) should be pursued to publish simple, regular KPIs. The hotel will effectively convert its current narrative advantage into verifiable TBL outcomes, ultimately resulting in reduced waste, enhanced community engagement and improved bottom line. With the increase of regulatory expectations and guests that are more aware of sustainability, it is not just desirable: it is commercially sensible</w:t>
      </w:r>
      <w:r w:rsidR="00695DAC" w:rsidRPr="00695DAC">
        <w:rPr>
          <w:rFonts w:cs="Times New Roman"/>
        </w:rPr>
        <w:t>.</w:t>
      </w:r>
    </w:p>
    <w:p w14:paraId="73EFBD31" w14:textId="77777777" w:rsidR="007E690A" w:rsidRPr="005F7F86" w:rsidRDefault="00000000" w:rsidP="005F7F86">
      <w:pPr>
        <w:pStyle w:val="Heading2"/>
      </w:pPr>
      <w:bookmarkStart w:id="31" w:name="_Toc211429610"/>
      <w:r w:rsidRPr="005F7F86">
        <w:t>5.2 Recommendations &amp; Practical Strategies:</w:t>
      </w:r>
      <w:bookmarkEnd w:id="31"/>
    </w:p>
    <w:p w14:paraId="4F39FEAE" w14:textId="77777777" w:rsidR="007E690A" w:rsidRPr="005F7F86" w:rsidRDefault="00000000" w:rsidP="005F7F86">
      <w:pPr>
        <w:rPr>
          <w:rFonts w:cs="Times New Roman"/>
          <w:b/>
          <w:bCs/>
        </w:rPr>
      </w:pPr>
      <w:r w:rsidRPr="005F7F86">
        <w:rPr>
          <w:rFonts w:cs="Times New Roman"/>
          <w:b/>
          <w:bCs/>
        </w:rPr>
        <w:t>1. Short-term (quick wins</w:t>
      </w:r>
      <w:r w:rsidR="0031260B" w:rsidRPr="005F7F86">
        <w:rPr>
          <w:rFonts w:cs="Times New Roman"/>
          <w:b/>
          <w:bCs/>
        </w:rPr>
        <w:t>-</w:t>
      </w:r>
      <w:r w:rsidRPr="005F7F86">
        <w:rPr>
          <w:rFonts w:cs="Times New Roman"/>
          <w:b/>
          <w:bCs/>
        </w:rPr>
        <w:t xml:space="preserve"> low cost; 0–3 months)</w:t>
      </w:r>
    </w:p>
    <w:p w14:paraId="7EEC390A" w14:textId="77777777" w:rsidR="007E690A" w:rsidRPr="005F7F86" w:rsidRDefault="00000000" w:rsidP="005F7F86">
      <w:pPr>
        <w:rPr>
          <w:rFonts w:cs="Times New Roman"/>
        </w:rPr>
      </w:pPr>
      <w:r w:rsidRPr="005F7F86">
        <w:rPr>
          <w:rFonts w:cs="Times New Roman"/>
          <w:b/>
          <w:bCs/>
          <w:i/>
          <w:iCs/>
        </w:rPr>
        <w:t>Standardise guest communication:</w:t>
      </w:r>
      <w:r w:rsidRPr="005F7F86">
        <w:rPr>
          <w:rFonts w:cs="Times New Roman"/>
          <w:b/>
          <w:bCs/>
        </w:rPr>
        <w:t xml:space="preserve"> </w:t>
      </w:r>
      <w:r w:rsidRPr="005F7F86">
        <w:rPr>
          <w:rFonts w:cs="Times New Roman"/>
        </w:rPr>
        <w:t>Introduce simple, verifiable menu icons (e.g., "Local", "Seasonal", "Vegetarian/Plant-forward") and short provenance notes for featured dishes. Evidence indicates that menu labels and provenance storytelling improve sustainable choices and guest satisfaction with minimal cost and high visibility (Parkin, 2022; Coskun, 2023). Ensure claims are factual and tied to specific suppliers to avoid greenwashing.</w:t>
      </w:r>
    </w:p>
    <w:p w14:paraId="4755410C" w14:textId="77777777" w:rsidR="007E690A" w:rsidRPr="005F7F86" w:rsidRDefault="00000000" w:rsidP="005F7F86">
      <w:pPr>
        <w:rPr>
          <w:rFonts w:cs="Times New Roman"/>
        </w:rPr>
      </w:pPr>
      <w:r w:rsidRPr="005F7F86">
        <w:rPr>
          <w:rFonts w:cs="Times New Roman"/>
          <w:b/>
          <w:bCs/>
          <w:i/>
          <w:iCs/>
        </w:rPr>
        <w:t>Low-cost portion control and front-of-house scripts:</w:t>
      </w:r>
      <w:r w:rsidRPr="005F7F86">
        <w:rPr>
          <w:rFonts w:cs="Times New Roman"/>
          <w:b/>
          <w:bCs/>
        </w:rPr>
        <w:t xml:space="preserve"> </w:t>
      </w:r>
      <w:r w:rsidRPr="005F7F86">
        <w:rPr>
          <w:rFonts w:cs="Times New Roman"/>
        </w:rPr>
        <w:t>Adopt standardised portion sizes for menu items and provide simple staff scripts for offering smaller default portions (guests can request larger). Small behavioural nudges and portion defaults reduce plate waste without harming satisfaction (Pizzo, 2025). Brief frontline staff (5–10 minute pre-shift reminders) to encourage consistent application.</w:t>
      </w:r>
    </w:p>
    <w:p w14:paraId="2CAD527C" w14:textId="77777777" w:rsidR="007E690A" w:rsidRPr="005F7F86" w:rsidRDefault="00000000" w:rsidP="005F7F86">
      <w:pPr>
        <w:rPr>
          <w:rFonts w:cs="Times New Roman"/>
        </w:rPr>
      </w:pPr>
      <w:r w:rsidRPr="005F7F86">
        <w:rPr>
          <w:rFonts w:cs="Times New Roman"/>
          <w:b/>
          <w:bCs/>
          <w:i/>
          <w:iCs/>
        </w:rPr>
        <w:t>Rapid manual waste baseline:</w:t>
      </w:r>
      <w:r w:rsidRPr="005F7F86">
        <w:rPr>
          <w:rFonts w:cs="Times New Roman"/>
          <w:b/>
          <w:bCs/>
        </w:rPr>
        <w:t xml:space="preserve"> </w:t>
      </w:r>
      <w:r w:rsidRPr="005F7F86">
        <w:rPr>
          <w:rFonts w:cs="Times New Roman"/>
        </w:rPr>
        <w:t>Implement a 4–8 week manual weighing protocol for kitchen/prep and plate waste (simple scales, daily log). Manual audits are low-cost and provide baseline data that informs later digital investment (SHA / Hotel Waste Measurement Methodology; WRAP, 2024).</w:t>
      </w:r>
    </w:p>
    <w:p w14:paraId="104232D2" w14:textId="77777777" w:rsidR="007E690A" w:rsidRPr="005F7F86" w:rsidRDefault="00000000" w:rsidP="005F7F86">
      <w:pPr>
        <w:rPr>
          <w:rFonts w:cs="Times New Roman"/>
          <w:b/>
          <w:bCs/>
        </w:rPr>
      </w:pPr>
      <w:r w:rsidRPr="005F7F86">
        <w:rPr>
          <w:rFonts w:cs="Times New Roman"/>
          <w:b/>
          <w:bCs/>
        </w:rPr>
        <w:t>2. Medium-term (operational changes; 3–12 months)</w:t>
      </w:r>
    </w:p>
    <w:p w14:paraId="56A4589C" w14:textId="77777777" w:rsidR="007E690A" w:rsidRPr="005F7F86" w:rsidRDefault="00000000" w:rsidP="005F7F86">
      <w:pPr>
        <w:rPr>
          <w:rFonts w:cs="Times New Roman"/>
        </w:rPr>
      </w:pPr>
      <w:r w:rsidRPr="005F7F86">
        <w:rPr>
          <w:rFonts w:cs="Times New Roman"/>
          <w:b/>
          <w:bCs/>
          <w:i/>
          <w:iCs/>
        </w:rPr>
        <w:t>Formalise a curated local-supplier list:</w:t>
      </w:r>
      <w:r w:rsidRPr="005F7F86">
        <w:rPr>
          <w:rFonts w:cs="Times New Roman"/>
          <w:b/>
          <w:bCs/>
        </w:rPr>
        <w:t xml:space="preserve"> </w:t>
      </w:r>
      <w:r w:rsidRPr="005F7F86">
        <w:rPr>
          <w:rFonts w:cs="Times New Roman"/>
        </w:rPr>
        <w:t>Create and publish a short vetted supplier list (name, product type, provenance) for menu items. This reduces procurement friction and improves traceability; industry guidance recommends a “core-plus-local” procurement model for mid-</w:t>
      </w:r>
      <w:r w:rsidRPr="005F7F86">
        <w:rPr>
          <w:rFonts w:cs="Times New Roman"/>
        </w:rPr>
        <w:lastRenderedPageBreak/>
        <w:t>scale properties (Sustainable Hospitality Alliance; Travel Foundation). Joint procurement or participation in local supplier hubs can reduce minimum order barriers.</w:t>
      </w:r>
    </w:p>
    <w:p w14:paraId="79E84CF5" w14:textId="77777777" w:rsidR="007E690A" w:rsidRPr="005F7F86" w:rsidRDefault="00000000" w:rsidP="005F7F86">
      <w:pPr>
        <w:rPr>
          <w:rFonts w:cs="Times New Roman"/>
        </w:rPr>
      </w:pPr>
      <w:r w:rsidRPr="005F7F86">
        <w:rPr>
          <w:rFonts w:cs="Times New Roman"/>
          <w:b/>
          <w:bCs/>
          <w:i/>
          <w:iCs/>
        </w:rPr>
        <w:t>Introduce food-waste tracking:</w:t>
      </w:r>
      <w:r w:rsidRPr="005F7F86">
        <w:rPr>
          <w:rFonts w:cs="Times New Roman"/>
          <w:b/>
          <w:bCs/>
        </w:rPr>
        <w:t xml:space="preserve"> </w:t>
      </w:r>
      <w:r w:rsidRPr="005F7F86">
        <w:rPr>
          <w:rFonts w:cs="Times New Roman"/>
        </w:rPr>
        <w:t>After a manual baseline, pilot a digital measurement solution (Winnow or Orbisk) in the kitchen to capture granular KPI data and support menu/production adjustments. Case evidence shows measurable cost savings and fast ROI when pilot programmes are properly integrated with chef workflows (Winnow; Orbisk). If direct purchase is unaffordable, seek brand facilitation through Accor or owner co-funding.</w:t>
      </w:r>
    </w:p>
    <w:p w14:paraId="5FDD4F9C" w14:textId="77777777" w:rsidR="007E690A" w:rsidRPr="005F7F86" w:rsidRDefault="00000000" w:rsidP="005F7F86">
      <w:pPr>
        <w:rPr>
          <w:rFonts w:cs="Times New Roman"/>
        </w:rPr>
      </w:pPr>
      <w:r w:rsidRPr="005F7F86">
        <w:rPr>
          <w:rFonts w:cs="Times New Roman"/>
          <w:b/>
          <w:bCs/>
          <w:i/>
          <w:iCs/>
        </w:rPr>
        <w:t>Diversion to redistribution partners:</w:t>
      </w:r>
      <w:r w:rsidRPr="005F7F86">
        <w:rPr>
          <w:rFonts w:cs="Times New Roman"/>
          <w:b/>
          <w:bCs/>
        </w:rPr>
        <w:t xml:space="preserve"> </w:t>
      </w:r>
      <w:r w:rsidRPr="005F7F86">
        <w:rPr>
          <w:rFonts w:cs="Times New Roman"/>
        </w:rPr>
        <w:t>Operationalise redistribution for safe, edible surplus via Too Good To Go, FareShare or local food-share initiatives (packaging protocols and staff workflows required). Redistribution reduces waste disposal costs, improves community reputation and is supported by Accor pilots and sector guidance (Too Good To Go; FareShare; Accor Impact Report).</w:t>
      </w:r>
    </w:p>
    <w:p w14:paraId="4843F035" w14:textId="77777777" w:rsidR="007E690A" w:rsidRPr="005F7F86" w:rsidRDefault="00000000" w:rsidP="005F7F86">
      <w:pPr>
        <w:rPr>
          <w:rFonts w:cs="Times New Roman"/>
        </w:rPr>
      </w:pPr>
      <w:r w:rsidRPr="005F7F86">
        <w:rPr>
          <w:rFonts w:cs="Times New Roman"/>
          <w:b/>
          <w:bCs/>
          <w:i/>
          <w:iCs/>
        </w:rPr>
        <w:t>Structured staff training modules:</w:t>
      </w:r>
      <w:r w:rsidRPr="005F7F86">
        <w:rPr>
          <w:rFonts w:cs="Times New Roman"/>
          <w:b/>
          <w:bCs/>
        </w:rPr>
        <w:t xml:space="preserve"> </w:t>
      </w:r>
      <w:r w:rsidRPr="005F7F86">
        <w:rPr>
          <w:rFonts w:cs="Times New Roman"/>
        </w:rPr>
        <w:t>Develop a short training module for kitchen and F&amp;B staff covering portion control, waste segregation, and supplier provenance stories. Training increases the efficacy of both manual and digital measurement programs (Montesdeoca-Calderón et al., 2024).</w:t>
      </w:r>
    </w:p>
    <w:p w14:paraId="7163079A" w14:textId="77777777" w:rsidR="007E690A" w:rsidRPr="005F7F86" w:rsidRDefault="00000000" w:rsidP="005F7F86">
      <w:pPr>
        <w:rPr>
          <w:rFonts w:cs="Times New Roman"/>
          <w:b/>
          <w:bCs/>
        </w:rPr>
      </w:pPr>
      <w:r w:rsidRPr="005F7F86">
        <w:rPr>
          <w:rFonts w:cs="Times New Roman"/>
          <w:b/>
          <w:bCs/>
        </w:rPr>
        <w:t>3. Long-term / Strategic (12–36 months)</w:t>
      </w:r>
    </w:p>
    <w:p w14:paraId="7F27A3CA" w14:textId="77777777" w:rsidR="00E6079C" w:rsidRPr="005F7F86" w:rsidRDefault="00000000" w:rsidP="005F7F86">
      <w:pPr>
        <w:rPr>
          <w:rFonts w:cs="Times New Roman"/>
        </w:rPr>
      </w:pPr>
      <w:r w:rsidRPr="005F7F86">
        <w:rPr>
          <w:rFonts w:cs="Times New Roman"/>
        </w:rPr>
        <w:t>Contact local stakeholders and suppliers to capture additional spend and waste data not reflected in the Accor reporting and KPI metric, particularly for local supply sources. When KPIs are made public, it enhances the legitimacy of a firm and hence can unlock brand support for capital investments (Accor Group, 2023).</w:t>
      </w:r>
    </w:p>
    <w:p w14:paraId="2EC37E89" w14:textId="77777777" w:rsidR="00E6079C" w:rsidRPr="005F7F86" w:rsidRDefault="00000000" w:rsidP="005F7F86">
      <w:pPr>
        <w:rPr>
          <w:rFonts w:cs="Times New Roman"/>
        </w:rPr>
      </w:pPr>
      <w:r w:rsidRPr="005F7F86">
        <w:rPr>
          <w:rFonts w:cs="Times New Roman"/>
        </w:rPr>
        <w:t>Evaluate partnerships for on-site composting or anaerobic digestion (AD) where feasible. If local infrastructure and space allow it, consider plug-and-play composting units or partner with local AD facilities for unavoidable organic waste. The solutions may require significant capital investment and depend on the site, but at least they close material loops and support circularity goals (WRAP; Sustainable Hospitality Alliance).</w:t>
      </w:r>
    </w:p>
    <w:p w14:paraId="1CDA14E1" w14:textId="77777777" w:rsidR="007E690A" w:rsidRPr="005F7F86" w:rsidRDefault="00000000" w:rsidP="005F7F86">
      <w:pPr>
        <w:rPr>
          <w:rFonts w:cs="Times New Roman"/>
        </w:rPr>
      </w:pPr>
      <w:r w:rsidRPr="005F7F86">
        <w:rPr>
          <w:rFonts w:cs="Times New Roman"/>
        </w:rPr>
        <w:t>Make changes to the procurement terms to add sustainability requirements, for example, sourcing terms based on targeting seasons, specs for reduced primary packaging, etc. Develop supplier sustainability KPIs for future purchasing decisions.</w:t>
      </w:r>
    </w:p>
    <w:p w14:paraId="755FBDAC" w14:textId="77777777" w:rsidR="007E690A" w:rsidRPr="005F7F86" w:rsidRDefault="00000000" w:rsidP="005F7F86">
      <w:pPr>
        <w:rPr>
          <w:rFonts w:cs="Times New Roman"/>
          <w:b/>
          <w:bCs/>
        </w:rPr>
      </w:pPr>
      <w:r w:rsidRPr="005F7F86">
        <w:rPr>
          <w:rFonts w:cs="Times New Roman"/>
          <w:b/>
          <w:bCs/>
        </w:rPr>
        <w:t xml:space="preserve">Implementation </w:t>
      </w:r>
      <w:r w:rsidR="001A44CA" w:rsidRPr="005F7F86">
        <w:rPr>
          <w:rFonts w:cs="Times New Roman"/>
          <w:b/>
          <w:bCs/>
        </w:rPr>
        <w:t>P</w:t>
      </w:r>
      <w:r w:rsidRPr="005F7F86">
        <w:rPr>
          <w:rFonts w:cs="Times New Roman"/>
          <w:b/>
          <w:bCs/>
        </w:rPr>
        <w:t>lan</w:t>
      </w:r>
      <w:r w:rsidR="001A44CA" w:rsidRPr="005F7F86">
        <w:rPr>
          <w:rFonts w:cs="Times New Roman"/>
          <w:b/>
          <w:bCs/>
        </w:rPr>
        <w:t>:</w:t>
      </w:r>
    </w:p>
    <w:tbl>
      <w:tblPr>
        <w:tblStyle w:val="TableGrid"/>
        <w:tblW w:w="0" w:type="auto"/>
        <w:tblLook w:val="04A0" w:firstRow="1" w:lastRow="0" w:firstColumn="1" w:lastColumn="0" w:noHBand="0" w:noVBand="1"/>
      </w:tblPr>
      <w:tblGrid>
        <w:gridCol w:w="2531"/>
        <w:gridCol w:w="2134"/>
        <w:gridCol w:w="3076"/>
        <w:gridCol w:w="1275"/>
      </w:tblGrid>
      <w:tr w:rsidR="00320B89" w14:paraId="60AAB9F5" w14:textId="77777777" w:rsidTr="001A44CA">
        <w:tc>
          <w:tcPr>
            <w:tcW w:w="0" w:type="auto"/>
            <w:hideMark/>
          </w:tcPr>
          <w:p w14:paraId="74FC69B1" w14:textId="77777777" w:rsidR="007E690A" w:rsidRPr="005F7F86" w:rsidRDefault="00000000" w:rsidP="005F7F86">
            <w:pPr>
              <w:spacing w:line="360" w:lineRule="auto"/>
              <w:rPr>
                <w:rFonts w:cs="Times New Roman"/>
                <w:b/>
                <w:bCs/>
              </w:rPr>
            </w:pPr>
            <w:r w:rsidRPr="005F7F86">
              <w:rPr>
                <w:rFonts w:cs="Times New Roman"/>
                <w:b/>
                <w:bCs/>
              </w:rPr>
              <w:t>Action</w:t>
            </w:r>
          </w:p>
        </w:tc>
        <w:tc>
          <w:tcPr>
            <w:tcW w:w="0" w:type="auto"/>
            <w:hideMark/>
          </w:tcPr>
          <w:p w14:paraId="126F8F09" w14:textId="77777777" w:rsidR="007E690A" w:rsidRPr="005F7F86" w:rsidRDefault="00000000" w:rsidP="005F7F86">
            <w:pPr>
              <w:spacing w:line="360" w:lineRule="auto"/>
              <w:rPr>
                <w:rFonts w:cs="Times New Roman"/>
                <w:b/>
                <w:bCs/>
              </w:rPr>
            </w:pPr>
            <w:r w:rsidRPr="005F7F86">
              <w:rPr>
                <w:rFonts w:cs="Times New Roman"/>
                <w:b/>
                <w:bCs/>
              </w:rPr>
              <w:t>Lead / Responsible</w:t>
            </w:r>
          </w:p>
        </w:tc>
        <w:tc>
          <w:tcPr>
            <w:tcW w:w="0" w:type="auto"/>
            <w:hideMark/>
          </w:tcPr>
          <w:p w14:paraId="5CCEF6C1" w14:textId="77777777" w:rsidR="007E690A" w:rsidRPr="005F7F86" w:rsidRDefault="00000000" w:rsidP="005F7F86">
            <w:pPr>
              <w:spacing w:line="360" w:lineRule="auto"/>
              <w:rPr>
                <w:rFonts w:cs="Times New Roman"/>
                <w:b/>
                <w:bCs/>
              </w:rPr>
            </w:pPr>
            <w:r w:rsidRPr="005F7F86">
              <w:rPr>
                <w:rFonts w:cs="Times New Roman"/>
                <w:b/>
                <w:bCs/>
              </w:rPr>
              <w:t>Indicative cost (GBP)</w:t>
            </w:r>
          </w:p>
        </w:tc>
        <w:tc>
          <w:tcPr>
            <w:tcW w:w="0" w:type="auto"/>
            <w:hideMark/>
          </w:tcPr>
          <w:p w14:paraId="0ADD2395" w14:textId="77777777" w:rsidR="007E690A" w:rsidRPr="005F7F86" w:rsidRDefault="00000000" w:rsidP="005F7F86">
            <w:pPr>
              <w:spacing w:line="360" w:lineRule="auto"/>
              <w:rPr>
                <w:rFonts w:cs="Times New Roman"/>
                <w:b/>
                <w:bCs/>
              </w:rPr>
            </w:pPr>
            <w:r w:rsidRPr="005F7F86">
              <w:rPr>
                <w:rFonts w:cs="Times New Roman"/>
                <w:b/>
                <w:bCs/>
              </w:rPr>
              <w:t>Timeline</w:t>
            </w:r>
          </w:p>
        </w:tc>
      </w:tr>
      <w:tr w:rsidR="00320B89" w14:paraId="1EFE0A4E" w14:textId="77777777" w:rsidTr="001A44CA">
        <w:tc>
          <w:tcPr>
            <w:tcW w:w="0" w:type="auto"/>
            <w:hideMark/>
          </w:tcPr>
          <w:p w14:paraId="10ACDA00" w14:textId="77777777" w:rsidR="007E690A" w:rsidRPr="005F7F86" w:rsidRDefault="00000000" w:rsidP="005F7F86">
            <w:pPr>
              <w:spacing w:line="360" w:lineRule="auto"/>
              <w:rPr>
                <w:rFonts w:cs="Times New Roman"/>
              </w:rPr>
            </w:pPr>
            <w:r w:rsidRPr="005F7F86">
              <w:rPr>
                <w:rFonts w:cs="Times New Roman"/>
              </w:rPr>
              <w:t>Menu labels &amp; signage; staff scripts</w:t>
            </w:r>
          </w:p>
        </w:tc>
        <w:tc>
          <w:tcPr>
            <w:tcW w:w="0" w:type="auto"/>
            <w:hideMark/>
          </w:tcPr>
          <w:p w14:paraId="5233FE5A" w14:textId="77777777" w:rsidR="007E690A" w:rsidRPr="005F7F86" w:rsidRDefault="00000000" w:rsidP="005F7F86">
            <w:pPr>
              <w:spacing w:line="360" w:lineRule="auto"/>
              <w:rPr>
                <w:rFonts w:cs="Times New Roman"/>
              </w:rPr>
            </w:pPr>
            <w:r w:rsidRPr="005F7F86">
              <w:rPr>
                <w:rFonts w:cs="Times New Roman"/>
              </w:rPr>
              <w:t>F&amp;B Manager / GM</w:t>
            </w:r>
          </w:p>
        </w:tc>
        <w:tc>
          <w:tcPr>
            <w:tcW w:w="0" w:type="auto"/>
            <w:hideMark/>
          </w:tcPr>
          <w:p w14:paraId="2FB1A00F" w14:textId="77777777" w:rsidR="007E690A" w:rsidRPr="005F7F86" w:rsidRDefault="00000000" w:rsidP="005F7F86">
            <w:pPr>
              <w:spacing w:line="360" w:lineRule="auto"/>
              <w:rPr>
                <w:rFonts w:cs="Times New Roman"/>
              </w:rPr>
            </w:pPr>
            <w:r w:rsidRPr="005F7F86">
              <w:rPr>
                <w:rFonts w:cs="Times New Roman"/>
              </w:rPr>
              <w:t>£200–£800 (design/printing)</w:t>
            </w:r>
          </w:p>
        </w:tc>
        <w:tc>
          <w:tcPr>
            <w:tcW w:w="0" w:type="auto"/>
            <w:hideMark/>
          </w:tcPr>
          <w:p w14:paraId="4C561F5D" w14:textId="77777777" w:rsidR="007E690A" w:rsidRPr="005F7F86" w:rsidRDefault="00000000" w:rsidP="005F7F86">
            <w:pPr>
              <w:spacing w:line="360" w:lineRule="auto"/>
              <w:rPr>
                <w:rFonts w:cs="Times New Roman"/>
              </w:rPr>
            </w:pPr>
            <w:r w:rsidRPr="005F7F86">
              <w:rPr>
                <w:rFonts w:cs="Times New Roman"/>
              </w:rPr>
              <w:t>0–1 month</w:t>
            </w:r>
          </w:p>
        </w:tc>
      </w:tr>
      <w:tr w:rsidR="00320B89" w14:paraId="1033EAFB" w14:textId="77777777" w:rsidTr="001A44CA">
        <w:tc>
          <w:tcPr>
            <w:tcW w:w="0" w:type="auto"/>
            <w:hideMark/>
          </w:tcPr>
          <w:p w14:paraId="12DE0BCF" w14:textId="77777777" w:rsidR="007E690A" w:rsidRPr="005F7F86" w:rsidRDefault="00000000" w:rsidP="005F7F86">
            <w:pPr>
              <w:spacing w:line="360" w:lineRule="auto"/>
              <w:rPr>
                <w:rFonts w:cs="Times New Roman"/>
              </w:rPr>
            </w:pPr>
            <w:r w:rsidRPr="005F7F86">
              <w:rPr>
                <w:rFonts w:cs="Times New Roman"/>
              </w:rPr>
              <w:lastRenderedPageBreak/>
              <w:t>Manual waste baseline (scale + logs)</w:t>
            </w:r>
          </w:p>
        </w:tc>
        <w:tc>
          <w:tcPr>
            <w:tcW w:w="0" w:type="auto"/>
            <w:hideMark/>
          </w:tcPr>
          <w:p w14:paraId="6B77C3E3" w14:textId="77777777" w:rsidR="007E690A" w:rsidRPr="005F7F86" w:rsidRDefault="00000000" w:rsidP="005F7F86">
            <w:pPr>
              <w:spacing w:line="360" w:lineRule="auto"/>
              <w:rPr>
                <w:rFonts w:cs="Times New Roman"/>
              </w:rPr>
            </w:pPr>
            <w:r w:rsidRPr="005F7F86">
              <w:rPr>
                <w:rFonts w:cs="Times New Roman"/>
              </w:rPr>
              <w:t>Executive Chef / F&amp;B Supervisor</w:t>
            </w:r>
          </w:p>
        </w:tc>
        <w:tc>
          <w:tcPr>
            <w:tcW w:w="0" w:type="auto"/>
            <w:hideMark/>
          </w:tcPr>
          <w:p w14:paraId="6CA2C470" w14:textId="77777777" w:rsidR="007E690A" w:rsidRPr="005F7F86" w:rsidRDefault="00000000" w:rsidP="005F7F86">
            <w:pPr>
              <w:spacing w:line="360" w:lineRule="auto"/>
              <w:rPr>
                <w:rFonts w:cs="Times New Roman"/>
              </w:rPr>
            </w:pPr>
            <w:r w:rsidRPr="005F7F86">
              <w:rPr>
                <w:rFonts w:cs="Times New Roman"/>
              </w:rPr>
              <w:t>£150–£600 (scales, logs)</w:t>
            </w:r>
          </w:p>
        </w:tc>
        <w:tc>
          <w:tcPr>
            <w:tcW w:w="0" w:type="auto"/>
            <w:hideMark/>
          </w:tcPr>
          <w:p w14:paraId="3B56E8F6" w14:textId="77777777" w:rsidR="007E690A" w:rsidRPr="005F7F86" w:rsidRDefault="00000000" w:rsidP="005F7F86">
            <w:pPr>
              <w:spacing w:line="360" w:lineRule="auto"/>
              <w:rPr>
                <w:rFonts w:cs="Times New Roman"/>
              </w:rPr>
            </w:pPr>
            <w:r w:rsidRPr="005F7F86">
              <w:rPr>
                <w:rFonts w:cs="Times New Roman"/>
              </w:rPr>
              <w:t>0–2 months</w:t>
            </w:r>
          </w:p>
        </w:tc>
      </w:tr>
      <w:tr w:rsidR="00320B89" w14:paraId="1C159456" w14:textId="77777777" w:rsidTr="001A44CA">
        <w:tc>
          <w:tcPr>
            <w:tcW w:w="0" w:type="auto"/>
            <w:hideMark/>
          </w:tcPr>
          <w:p w14:paraId="32CA48D8" w14:textId="77777777" w:rsidR="007E690A" w:rsidRPr="005F7F86" w:rsidRDefault="00000000" w:rsidP="005F7F86">
            <w:pPr>
              <w:spacing w:line="360" w:lineRule="auto"/>
              <w:rPr>
                <w:rFonts w:cs="Times New Roman"/>
              </w:rPr>
            </w:pPr>
            <w:r w:rsidRPr="005F7F86">
              <w:rPr>
                <w:rFonts w:cs="Times New Roman"/>
              </w:rPr>
              <w:t>Staff training sessions (in-house)</w:t>
            </w:r>
          </w:p>
        </w:tc>
        <w:tc>
          <w:tcPr>
            <w:tcW w:w="0" w:type="auto"/>
            <w:hideMark/>
          </w:tcPr>
          <w:p w14:paraId="15596003" w14:textId="77777777" w:rsidR="007E690A" w:rsidRPr="005F7F86" w:rsidRDefault="00000000" w:rsidP="005F7F86">
            <w:pPr>
              <w:spacing w:line="360" w:lineRule="auto"/>
              <w:rPr>
                <w:rFonts w:cs="Times New Roman"/>
              </w:rPr>
            </w:pPr>
            <w:r w:rsidRPr="005F7F86">
              <w:rPr>
                <w:rFonts w:cs="Times New Roman"/>
              </w:rPr>
              <w:t>HR / F&amp;B Manager</w:t>
            </w:r>
          </w:p>
        </w:tc>
        <w:tc>
          <w:tcPr>
            <w:tcW w:w="0" w:type="auto"/>
            <w:hideMark/>
          </w:tcPr>
          <w:p w14:paraId="20C508E4" w14:textId="77777777" w:rsidR="007E690A" w:rsidRPr="005F7F86" w:rsidRDefault="00000000" w:rsidP="005F7F86">
            <w:pPr>
              <w:spacing w:line="360" w:lineRule="auto"/>
              <w:rPr>
                <w:rFonts w:cs="Times New Roman"/>
              </w:rPr>
            </w:pPr>
            <w:r w:rsidRPr="005F7F86">
              <w:rPr>
                <w:rFonts w:cs="Times New Roman"/>
              </w:rPr>
              <w:t>£500–£2,000 (materials, trainer)</w:t>
            </w:r>
          </w:p>
        </w:tc>
        <w:tc>
          <w:tcPr>
            <w:tcW w:w="0" w:type="auto"/>
            <w:hideMark/>
          </w:tcPr>
          <w:p w14:paraId="41F2D657" w14:textId="77777777" w:rsidR="007E690A" w:rsidRPr="005F7F86" w:rsidRDefault="00000000" w:rsidP="005F7F86">
            <w:pPr>
              <w:spacing w:line="360" w:lineRule="auto"/>
              <w:rPr>
                <w:rFonts w:cs="Times New Roman"/>
              </w:rPr>
            </w:pPr>
            <w:r w:rsidRPr="005F7F86">
              <w:rPr>
                <w:rFonts w:cs="Times New Roman"/>
              </w:rPr>
              <w:t>1–3 months</w:t>
            </w:r>
          </w:p>
        </w:tc>
      </w:tr>
      <w:tr w:rsidR="00320B89" w14:paraId="72F8DF49" w14:textId="77777777" w:rsidTr="001A44CA">
        <w:tc>
          <w:tcPr>
            <w:tcW w:w="0" w:type="auto"/>
            <w:hideMark/>
          </w:tcPr>
          <w:p w14:paraId="02E85AB9" w14:textId="77777777" w:rsidR="007E690A" w:rsidRPr="005F7F86" w:rsidRDefault="00000000" w:rsidP="005F7F86">
            <w:pPr>
              <w:spacing w:line="360" w:lineRule="auto"/>
              <w:rPr>
                <w:rFonts w:cs="Times New Roman"/>
              </w:rPr>
            </w:pPr>
            <w:r w:rsidRPr="005F7F86">
              <w:rPr>
                <w:rFonts w:cs="Times New Roman"/>
              </w:rPr>
              <w:t>Curated local-supplier programme</w:t>
            </w:r>
          </w:p>
        </w:tc>
        <w:tc>
          <w:tcPr>
            <w:tcW w:w="0" w:type="auto"/>
            <w:hideMark/>
          </w:tcPr>
          <w:p w14:paraId="26ED1684" w14:textId="77777777" w:rsidR="007E690A" w:rsidRPr="005F7F86" w:rsidRDefault="00000000" w:rsidP="005F7F86">
            <w:pPr>
              <w:spacing w:line="360" w:lineRule="auto"/>
              <w:rPr>
                <w:rFonts w:cs="Times New Roman"/>
              </w:rPr>
            </w:pPr>
            <w:r w:rsidRPr="005F7F86">
              <w:rPr>
                <w:rFonts w:cs="Times New Roman"/>
              </w:rPr>
              <w:t>Purchasing / GM</w:t>
            </w:r>
          </w:p>
        </w:tc>
        <w:tc>
          <w:tcPr>
            <w:tcW w:w="0" w:type="auto"/>
            <w:hideMark/>
          </w:tcPr>
          <w:p w14:paraId="70859F58" w14:textId="77777777" w:rsidR="007E690A" w:rsidRPr="005F7F86" w:rsidRDefault="00000000" w:rsidP="005F7F86">
            <w:pPr>
              <w:spacing w:line="360" w:lineRule="auto"/>
              <w:rPr>
                <w:rFonts w:cs="Times New Roman"/>
              </w:rPr>
            </w:pPr>
            <w:r w:rsidRPr="005F7F86">
              <w:rPr>
                <w:rFonts w:cs="Times New Roman"/>
              </w:rPr>
              <w:t>Minimal admin; potential trials costs £500–£2,000</w:t>
            </w:r>
          </w:p>
        </w:tc>
        <w:tc>
          <w:tcPr>
            <w:tcW w:w="0" w:type="auto"/>
            <w:hideMark/>
          </w:tcPr>
          <w:p w14:paraId="513ED832" w14:textId="77777777" w:rsidR="007E690A" w:rsidRPr="005F7F86" w:rsidRDefault="00000000" w:rsidP="005F7F86">
            <w:pPr>
              <w:spacing w:line="360" w:lineRule="auto"/>
              <w:rPr>
                <w:rFonts w:cs="Times New Roman"/>
              </w:rPr>
            </w:pPr>
            <w:r w:rsidRPr="005F7F86">
              <w:rPr>
                <w:rFonts w:cs="Times New Roman"/>
              </w:rPr>
              <w:t>3–6 months</w:t>
            </w:r>
          </w:p>
        </w:tc>
      </w:tr>
      <w:tr w:rsidR="00320B89" w14:paraId="60393340" w14:textId="77777777" w:rsidTr="001A44CA">
        <w:tc>
          <w:tcPr>
            <w:tcW w:w="0" w:type="auto"/>
            <w:hideMark/>
          </w:tcPr>
          <w:p w14:paraId="509AEDA7" w14:textId="77777777" w:rsidR="007E690A" w:rsidRPr="005F7F86" w:rsidRDefault="00000000" w:rsidP="005F7F86">
            <w:pPr>
              <w:spacing w:line="360" w:lineRule="auto"/>
              <w:rPr>
                <w:rFonts w:cs="Times New Roman"/>
              </w:rPr>
            </w:pPr>
            <w:r w:rsidRPr="005F7F86">
              <w:rPr>
                <w:rFonts w:cs="Times New Roman"/>
              </w:rPr>
              <w:t>Digital waste pilot (Winnow/Orbisk)</w:t>
            </w:r>
          </w:p>
        </w:tc>
        <w:tc>
          <w:tcPr>
            <w:tcW w:w="0" w:type="auto"/>
            <w:hideMark/>
          </w:tcPr>
          <w:p w14:paraId="629BFC81" w14:textId="77777777" w:rsidR="007E690A" w:rsidRPr="005F7F86" w:rsidRDefault="00000000" w:rsidP="005F7F86">
            <w:pPr>
              <w:spacing w:line="360" w:lineRule="auto"/>
              <w:rPr>
                <w:rFonts w:cs="Times New Roman"/>
              </w:rPr>
            </w:pPr>
            <w:r w:rsidRPr="005F7F86">
              <w:rPr>
                <w:rFonts w:cs="Times New Roman"/>
              </w:rPr>
              <w:t>Owner / GM (seek Accor support)</w:t>
            </w:r>
          </w:p>
        </w:tc>
        <w:tc>
          <w:tcPr>
            <w:tcW w:w="0" w:type="auto"/>
            <w:hideMark/>
          </w:tcPr>
          <w:p w14:paraId="1532BCBA" w14:textId="77777777" w:rsidR="007E690A" w:rsidRPr="005F7F86" w:rsidRDefault="00000000" w:rsidP="005F7F86">
            <w:pPr>
              <w:spacing w:line="360" w:lineRule="auto"/>
              <w:rPr>
                <w:rFonts w:cs="Times New Roman"/>
              </w:rPr>
            </w:pPr>
            <w:r w:rsidRPr="005F7F86">
              <w:rPr>
                <w:rFonts w:cs="Times New Roman"/>
              </w:rPr>
              <w:t>£2,000–£12,000 (pilot scale)</w:t>
            </w:r>
          </w:p>
        </w:tc>
        <w:tc>
          <w:tcPr>
            <w:tcW w:w="0" w:type="auto"/>
            <w:hideMark/>
          </w:tcPr>
          <w:p w14:paraId="567EF992" w14:textId="77777777" w:rsidR="007E690A" w:rsidRPr="005F7F86" w:rsidRDefault="00000000" w:rsidP="005F7F86">
            <w:pPr>
              <w:spacing w:line="360" w:lineRule="auto"/>
              <w:rPr>
                <w:rFonts w:cs="Times New Roman"/>
              </w:rPr>
            </w:pPr>
            <w:r w:rsidRPr="005F7F86">
              <w:rPr>
                <w:rFonts w:cs="Times New Roman"/>
              </w:rPr>
              <w:t>6–12 months</w:t>
            </w:r>
          </w:p>
        </w:tc>
      </w:tr>
      <w:tr w:rsidR="00320B89" w14:paraId="575E4718" w14:textId="77777777" w:rsidTr="001A44CA">
        <w:tc>
          <w:tcPr>
            <w:tcW w:w="0" w:type="auto"/>
            <w:hideMark/>
          </w:tcPr>
          <w:p w14:paraId="0D6FF698" w14:textId="77777777" w:rsidR="007E690A" w:rsidRPr="005F7F86" w:rsidRDefault="00000000" w:rsidP="005F7F86">
            <w:pPr>
              <w:spacing w:line="360" w:lineRule="auto"/>
              <w:rPr>
                <w:rFonts w:cs="Times New Roman"/>
              </w:rPr>
            </w:pPr>
            <w:r w:rsidRPr="005F7F86">
              <w:rPr>
                <w:rFonts w:cs="Times New Roman"/>
              </w:rPr>
              <w:t>Redistribution partnership setup</w:t>
            </w:r>
          </w:p>
        </w:tc>
        <w:tc>
          <w:tcPr>
            <w:tcW w:w="0" w:type="auto"/>
            <w:hideMark/>
          </w:tcPr>
          <w:p w14:paraId="1B53DE9E" w14:textId="77777777" w:rsidR="007E690A" w:rsidRPr="005F7F86" w:rsidRDefault="00000000" w:rsidP="005F7F86">
            <w:pPr>
              <w:spacing w:line="360" w:lineRule="auto"/>
              <w:rPr>
                <w:rFonts w:cs="Times New Roman"/>
              </w:rPr>
            </w:pPr>
            <w:r w:rsidRPr="005F7F86">
              <w:rPr>
                <w:rFonts w:cs="Times New Roman"/>
              </w:rPr>
              <w:t>F&amp;B Supervisor / GM</w:t>
            </w:r>
          </w:p>
        </w:tc>
        <w:tc>
          <w:tcPr>
            <w:tcW w:w="0" w:type="auto"/>
            <w:hideMark/>
          </w:tcPr>
          <w:p w14:paraId="7B900C1E" w14:textId="77777777" w:rsidR="007E690A" w:rsidRPr="005F7F86" w:rsidRDefault="00000000" w:rsidP="005F7F86">
            <w:pPr>
              <w:spacing w:line="360" w:lineRule="auto"/>
              <w:rPr>
                <w:rFonts w:cs="Times New Roman"/>
              </w:rPr>
            </w:pPr>
            <w:r w:rsidRPr="005F7F86">
              <w:rPr>
                <w:rFonts w:cs="Times New Roman"/>
              </w:rPr>
              <w:t>Low setup; ongoing packaging costs £100–£600/month</w:t>
            </w:r>
          </w:p>
        </w:tc>
        <w:tc>
          <w:tcPr>
            <w:tcW w:w="0" w:type="auto"/>
            <w:hideMark/>
          </w:tcPr>
          <w:p w14:paraId="602DC7FE" w14:textId="77777777" w:rsidR="007E690A" w:rsidRPr="005F7F86" w:rsidRDefault="00000000" w:rsidP="005F7F86">
            <w:pPr>
              <w:spacing w:line="360" w:lineRule="auto"/>
              <w:rPr>
                <w:rFonts w:cs="Times New Roman"/>
              </w:rPr>
            </w:pPr>
            <w:r w:rsidRPr="005F7F86">
              <w:rPr>
                <w:rFonts w:cs="Times New Roman"/>
              </w:rPr>
              <w:t>3–9 months</w:t>
            </w:r>
          </w:p>
        </w:tc>
      </w:tr>
      <w:tr w:rsidR="00320B89" w14:paraId="45292666" w14:textId="77777777" w:rsidTr="001A44CA">
        <w:tc>
          <w:tcPr>
            <w:tcW w:w="0" w:type="auto"/>
            <w:hideMark/>
          </w:tcPr>
          <w:p w14:paraId="56DA4C2B" w14:textId="77777777" w:rsidR="007E690A" w:rsidRPr="005F7F86" w:rsidRDefault="00000000" w:rsidP="005F7F86">
            <w:pPr>
              <w:spacing w:line="360" w:lineRule="auto"/>
              <w:rPr>
                <w:rFonts w:cs="Times New Roman"/>
              </w:rPr>
            </w:pPr>
            <w:r w:rsidRPr="005F7F86">
              <w:rPr>
                <w:rFonts w:cs="Times New Roman"/>
              </w:rPr>
              <w:t>On-site composting / AD evaluation</w:t>
            </w:r>
          </w:p>
        </w:tc>
        <w:tc>
          <w:tcPr>
            <w:tcW w:w="0" w:type="auto"/>
            <w:hideMark/>
          </w:tcPr>
          <w:p w14:paraId="0FA8EF68" w14:textId="77777777" w:rsidR="007E690A" w:rsidRPr="005F7F86" w:rsidRDefault="00000000" w:rsidP="005F7F86">
            <w:pPr>
              <w:spacing w:line="360" w:lineRule="auto"/>
              <w:rPr>
                <w:rFonts w:cs="Times New Roman"/>
              </w:rPr>
            </w:pPr>
            <w:r w:rsidRPr="005F7F86">
              <w:rPr>
                <w:rFonts w:cs="Times New Roman"/>
              </w:rPr>
              <w:t>GM / Owner</w:t>
            </w:r>
          </w:p>
        </w:tc>
        <w:tc>
          <w:tcPr>
            <w:tcW w:w="0" w:type="auto"/>
            <w:hideMark/>
          </w:tcPr>
          <w:p w14:paraId="5EF51DD4" w14:textId="77777777" w:rsidR="007E690A" w:rsidRPr="005F7F86" w:rsidRDefault="00000000" w:rsidP="005F7F86">
            <w:pPr>
              <w:spacing w:line="360" w:lineRule="auto"/>
              <w:rPr>
                <w:rFonts w:cs="Times New Roman"/>
              </w:rPr>
            </w:pPr>
            <w:r w:rsidRPr="005F7F86">
              <w:rPr>
                <w:rFonts w:cs="Times New Roman"/>
              </w:rPr>
              <w:t>£5,000–£25,000 (site dependent)</w:t>
            </w:r>
          </w:p>
        </w:tc>
        <w:tc>
          <w:tcPr>
            <w:tcW w:w="0" w:type="auto"/>
            <w:hideMark/>
          </w:tcPr>
          <w:p w14:paraId="7C863EEE" w14:textId="77777777" w:rsidR="007E690A" w:rsidRPr="005F7F86" w:rsidRDefault="00000000" w:rsidP="005F7F86">
            <w:pPr>
              <w:spacing w:line="360" w:lineRule="auto"/>
              <w:rPr>
                <w:rFonts w:cs="Times New Roman"/>
              </w:rPr>
            </w:pPr>
            <w:r w:rsidRPr="005F7F86">
              <w:rPr>
                <w:rFonts w:cs="Times New Roman"/>
              </w:rPr>
              <w:t>12–36 months</w:t>
            </w:r>
          </w:p>
        </w:tc>
      </w:tr>
    </w:tbl>
    <w:p w14:paraId="56B2ED4C" w14:textId="77777777" w:rsidR="000243AB" w:rsidRPr="005F7F86" w:rsidRDefault="000243AB" w:rsidP="005F7F86">
      <w:pPr>
        <w:rPr>
          <w:rFonts w:cs="Times New Roman"/>
        </w:rPr>
      </w:pPr>
    </w:p>
    <w:p w14:paraId="29465913" w14:textId="77777777" w:rsidR="000243AB" w:rsidRPr="005F7F86" w:rsidRDefault="00000000" w:rsidP="005F7F86">
      <w:pPr>
        <w:rPr>
          <w:rFonts w:cs="Times New Roman"/>
        </w:rPr>
      </w:pPr>
      <w:r w:rsidRPr="005F7F86">
        <w:rPr>
          <w:rFonts w:cs="Times New Roman"/>
        </w:rPr>
        <w:br w:type="page"/>
      </w:r>
    </w:p>
    <w:p w14:paraId="0AD3E6ED" w14:textId="77777777" w:rsidR="00772430" w:rsidRPr="005F7F86" w:rsidRDefault="00000000" w:rsidP="005F7F86">
      <w:pPr>
        <w:pStyle w:val="Heading1"/>
        <w:rPr>
          <w:rFonts w:cs="Times New Roman"/>
        </w:rPr>
      </w:pPr>
      <w:bookmarkStart w:id="32" w:name="_Toc211429611"/>
      <w:r w:rsidRPr="005F7F86">
        <w:rPr>
          <w:rFonts w:cs="Times New Roman"/>
        </w:rPr>
        <w:lastRenderedPageBreak/>
        <w:t>Reference List:</w:t>
      </w:r>
      <w:bookmarkEnd w:id="32"/>
    </w:p>
    <w:p w14:paraId="7E4ECE56" w14:textId="77777777" w:rsidR="0029042C" w:rsidRPr="0029042C" w:rsidRDefault="00000000" w:rsidP="005F7F86">
      <w:pPr>
        <w:rPr>
          <w:rFonts w:cs="Times New Roman"/>
        </w:rPr>
      </w:pPr>
      <w:r w:rsidRPr="0029042C">
        <w:rPr>
          <w:rFonts w:cs="Times New Roman"/>
        </w:rPr>
        <w:t>Accor (2022) ‘Putting sustainability on the table every day’, </w:t>
      </w:r>
      <w:r w:rsidRPr="0029042C">
        <w:rPr>
          <w:rFonts w:cs="Times New Roman"/>
          <w:i/>
          <w:iCs/>
        </w:rPr>
        <w:t>Accor News</w:t>
      </w:r>
      <w:r w:rsidRPr="0029042C">
        <w:rPr>
          <w:rFonts w:cs="Times New Roman"/>
        </w:rPr>
        <w:t>, 12 April. Available at: </w:t>
      </w:r>
      <w:hyperlink r:id="rId9" w:tgtFrame="_new" w:history="1">
        <w:r w:rsidR="0029042C" w:rsidRPr="0029042C">
          <w:rPr>
            <w:rStyle w:val="Hyperlink"/>
            <w:rFonts w:cs="Times New Roman"/>
          </w:rPr>
          <w:t>https://group.accor.com/en/news-stories/food-beverage-sustainability</w:t>
        </w:r>
      </w:hyperlink>
      <w:r w:rsidRPr="0029042C">
        <w:rPr>
          <w:rFonts w:cs="Times New Roman"/>
        </w:rPr>
        <w:t> (Accessed: 15 October 2025).</w:t>
      </w:r>
    </w:p>
    <w:p w14:paraId="304EBAF2" w14:textId="77777777" w:rsidR="0029042C" w:rsidRPr="0029042C" w:rsidRDefault="00000000" w:rsidP="005F7F86">
      <w:pPr>
        <w:rPr>
          <w:rFonts w:cs="Times New Roman"/>
        </w:rPr>
      </w:pPr>
      <w:r w:rsidRPr="0029042C">
        <w:rPr>
          <w:rFonts w:cs="Times New Roman"/>
        </w:rPr>
        <w:t xml:space="preserve">Accor Group (2023a). </w:t>
      </w:r>
      <w:r w:rsidRPr="0029042C">
        <w:rPr>
          <w:rFonts w:cs="Times New Roman"/>
          <w:i/>
          <w:iCs/>
        </w:rPr>
        <w:t>Accor Impact Report 2023</w:t>
      </w:r>
      <w:r w:rsidRPr="0029042C">
        <w:rPr>
          <w:rFonts w:cs="Times New Roman"/>
        </w:rPr>
        <w:t>. Accor. Available at: </w:t>
      </w:r>
      <w:hyperlink r:id="rId10" w:tgtFrame="_new" w:history="1">
        <w:r w:rsidR="0029042C" w:rsidRPr="0029042C">
          <w:rPr>
            <w:rStyle w:val="Hyperlink"/>
            <w:rFonts w:cs="Times New Roman"/>
          </w:rPr>
          <w:t>https://assets.group.accor.com/yrj0orc8tx24/NHhsrTDX0ecCjky5bsvSV/6b631aa9885bf8c3ed84fb323a91e310/ACCOR_IMPACT_REPORT_2023.pdf</w:t>
        </w:r>
      </w:hyperlink>
      <w:r w:rsidRPr="0029042C">
        <w:rPr>
          <w:rFonts w:cs="Times New Roman"/>
        </w:rPr>
        <w:t> (Accessed: 15 October 2025).</w:t>
      </w:r>
    </w:p>
    <w:p w14:paraId="57669993" w14:textId="77777777" w:rsidR="0029042C" w:rsidRPr="0029042C" w:rsidRDefault="00000000" w:rsidP="005F7F86">
      <w:pPr>
        <w:rPr>
          <w:rFonts w:cs="Times New Roman"/>
        </w:rPr>
      </w:pPr>
      <w:r w:rsidRPr="0029042C">
        <w:rPr>
          <w:rFonts w:cs="Times New Roman"/>
        </w:rPr>
        <w:t>Accor Group (2023b) </w:t>
      </w:r>
      <w:r w:rsidRPr="0029042C">
        <w:rPr>
          <w:rFonts w:cs="Times New Roman"/>
          <w:i/>
          <w:iCs/>
        </w:rPr>
        <w:t>Climate Change 2022</w:t>
      </w:r>
      <w:r w:rsidRPr="0029042C">
        <w:rPr>
          <w:rFonts w:cs="Times New Roman"/>
        </w:rPr>
        <w:t>. Accor Group. Available at: </w:t>
      </w:r>
      <w:hyperlink r:id="rId11" w:tgtFrame="_new" w:history="1">
        <w:r w:rsidR="0029042C" w:rsidRPr="0029042C">
          <w:rPr>
            <w:rStyle w:val="Hyperlink"/>
            <w:rFonts w:cs="Times New Roman"/>
          </w:rPr>
          <w:t>https://group.accor.com/-/media/Corporate/Group/Documents/2023/04/06/Accor_CDP_Climate_2022.pdf</w:t>
        </w:r>
      </w:hyperlink>
      <w:r w:rsidRPr="0029042C">
        <w:rPr>
          <w:rFonts w:cs="Times New Roman"/>
        </w:rPr>
        <w:t> (Accessed: 14 October 2025).</w:t>
      </w:r>
    </w:p>
    <w:p w14:paraId="161E7712" w14:textId="77777777" w:rsidR="0029042C" w:rsidRPr="0029042C" w:rsidRDefault="00000000" w:rsidP="005F7F86">
      <w:pPr>
        <w:rPr>
          <w:rFonts w:cs="Times New Roman"/>
        </w:rPr>
      </w:pPr>
      <w:r w:rsidRPr="0029042C">
        <w:rPr>
          <w:rFonts w:cs="Times New Roman"/>
        </w:rPr>
        <w:t>BERA (British Educational Research Association) (2018) </w:t>
      </w:r>
      <w:r w:rsidRPr="0029042C">
        <w:rPr>
          <w:rFonts w:cs="Times New Roman"/>
          <w:i/>
          <w:iCs/>
        </w:rPr>
        <w:t>Ethical Guidelines for Educational Research</w:t>
      </w:r>
      <w:r w:rsidRPr="0029042C">
        <w:rPr>
          <w:rFonts w:cs="Times New Roman"/>
        </w:rPr>
        <w:t> (4th ed.). BERA. Available at: </w:t>
      </w:r>
      <w:hyperlink r:id="rId12" w:tgtFrame="_new" w:history="1">
        <w:r w:rsidR="0029042C" w:rsidRPr="0029042C">
          <w:rPr>
            <w:rStyle w:val="Hyperlink"/>
            <w:rFonts w:cs="Times New Roman"/>
          </w:rPr>
          <w:t>https://www.bera.ac.uk/publication/ethical-guidelines-for-educational-research-2018</w:t>
        </w:r>
      </w:hyperlink>
      <w:r w:rsidRPr="0029042C">
        <w:rPr>
          <w:rFonts w:cs="Times New Roman"/>
        </w:rPr>
        <w:t>(Accessed: 14 October 2025).</w:t>
      </w:r>
    </w:p>
    <w:p w14:paraId="29CA98C6" w14:textId="77777777" w:rsidR="0029042C" w:rsidRPr="0029042C" w:rsidRDefault="00000000" w:rsidP="005F7F86">
      <w:pPr>
        <w:rPr>
          <w:rFonts w:cs="Times New Roman"/>
        </w:rPr>
      </w:pPr>
      <w:r w:rsidRPr="0029042C">
        <w:rPr>
          <w:rFonts w:cs="Times New Roman"/>
        </w:rPr>
        <w:t>Booking.com (2022) </w:t>
      </w:r>
      <w:r w:rsidRPr="0029042C">
        <w:rPr>
          <w:rFonts w:cs="Times New Roman"/>
          <w:i/>
          <w:iCs/>
        </w:rPr>
        <w:t>Sustainable Travel Report 2022</w:t>
      </w:r>
      <w:r w:rsidRPr="0029042C">
        <w:rPr>
          <w:rFonts w:cs="Times New Roman"/>
        </w:rPr>
        <w:t>. Booking.com. Available at: </w:t>
      </w:r>
      <w:hyperlink r:id="rId13" w:tgtFrame="_new" w:history="1">
        <w:r w:rsidR="0029042C" w:rsidRPr="0029042C">
          <w:rPr>
            <w:rStyle w:val="Hyperlink"/>
            <w:rFonts w:cs="Times New Roman"/>
          </w:rPr>
          <w:t>https://content.presspage.com/uploads/685/booking.comsustainabletravelreport2022-newzealand.pdf</w:t>
        </w:r>
      </w:hyperlink>
      <w:r w:rsidRPr="0029042C">
        <w:rPr>
          <w:rFonts w:cs="Times New Roman"/>
        </w:rPr>
        <w:t> (Accessed: 14 October 2025).</w:t>
      </w:r>
    </w:p>
    <w:p w14:paraId="5C53B659" w14:textId="77777777" w:rsidR="0029042C" w:rsidRPr="0029042C" w:rsidRDefault="00000000" w:rsidP="005F7F86">
      <w:pPr>
        <w:rPr>
          <w:rFonts w:cs="Times New Roman"/>
        </w:rPr>
      </w:pPr>
      <w:r w:rsidRPr="0029042C">
        <w:rPr>
          <w:rFonts w:cs="Times New Roman"/>
        </w:rPr>
        <w:t>Braun, V. and Clarke, V. (2006) ‘Using thematic analysis in psychology’, </w:t>
      </w:r>
      <w:r w:rsidRPr="0029042C">
        <w:rPr>
          <w:rFonts w:cs="Times New Roman"/>
          <w:i/>
          <w:iCs/>
        </w:rPr>
        <w:t>Qualitative Research in Psychology</w:t>
      </w:r>
      <w:r w:rsidRPr="0029042C">
        <w:rPr>
          <w:rFonts w:cs="Times New Roman"/>
        </w:rPr>
        <w:t>, 3(2), pp. 77–101. Available at: </w:t>
      </w:r>
      <w:hyperlink r:id="rId14" w:tgtFrame="_new" w:history="1">
        <w:r w:rsidR="0029042C" w:rsidRPr="0029042C">
          <w:rPr>
            <w:rStyle w:val="Hyperlink"/>
            <w:rFonts w:cs="Times New Roman"/>
          </w:rPr>
          <w:t>http://dx.doi.org/10.1191/1478088706qp063oa</w:t>
        </w:r>
      </w:hyperlink>
      <w:r w:rsidRPr="0029042C">
        <w:rPr>
          <w:rFonts w:cs="Times New Roman"/>
        </w:rPr>
        <w:t> (Accessed: 14 October 2025).</w:t>
      </w:r>
    </w:p>
    <w:p w14:paraId="12876D0B" w14:textId="77777777" w:rsidR="0029042C" w:rsidRPr="0029042C" w:rsidRDefault="00000000" w:rsidP="005F7F86">
      <w:pPr>
        <w:rPr>
          <w:rFonts w:cs="Times New Roman"/>
        </w:rPr>
      </w:pPr>
      <w:r w:rsidRPr="0029042C">
        <w:rPr>
          <w:rFonts w:cs="Times New Roman"/>
        </w:rPr>
        <w:t>Business Insider (2024) ‘Hotels and offices are using an AI tool that scans what they throw in the trash to reduce their food waste and cut costs’, </w:t>
      </w:r>
      <w:r w:rsidRPr="0029042C">
        <w:rPr>
          <w:rFonts w:cs="Times New Roman"/>
          <w:i/>
          <w:iCs/>
        </w:rPr>
        <w:t>Business Insider</w:t>
      </w:r>
      <w:r w:rsidRPr="0029042C">
        <w:rPr>
          <w:rFonts w:cs="Times New Roman"/>
        </w:rPr>
        <w:t>, 2024. Available at: </w:t>
      </w:r>
      <w:hyperlink r:id="rId15" w:tgtFrame="_new" w:history="1">
        <w:r w:rsidR="0029042C" w:rsidRPr="0029042C">
          <w:rPr>
            <w:rStyle w:val="Hyperlink"/>
            <w:rFonts w:cs="Times New Roman"/>
          </w:rPr>
          <w:t>https://www.businessinsider.com/hotels-offices-kitchens-winnow-ai-tool-reduce-food-waste-costs-2024-7</w:t>
        </w:r>
      </w:hyperlink>
      <w:r w:rsidRPr="0029042C">
        <w:rPr>
          <w:rFonts w:cs="Times New Roman"/>
        </w:rPr>
        <w:t> (Accessed: 14 October 2025).</w:t>
      </w:r>
    </w:p>
    <w:p w14:paraId="706F0A5F" w14:textId="77777777" w:rsidR="0029042C" w:rsidRPr="0029042C" w:rsidRDefault="00000000" w:rsidP="005F7F86">
      <w:pPr>
        <w:rPr>
          <w:rFonts w:cs="Times New Roman"/>
        </w:rPr>
      </w:pPr>
      <w:r w:rsidRPr="0029042C">
        <w:rPr>
          <w:rFonts w:cs="Times New Roman"/>
        </w:rPr>
        <w:t>Cardenas, M. (2024) ‘Circular practices in the hospitality sector regarding food’, </w:t>
      </w:r>
      <w:r w:rsidRPr="0029042C">
        <w:rPr>
          <w:rFonts w:cs="Times New Roman"/>
          <w:i/>
          <w:iCs/>
        </w:rPr>
        <w:t>Journal of Cleaner Production</w:t>
      </w:r>
      <w:r w:rsidRPr="0029042C">
        <w:rPr>
          <w:rFonts w:cs="Times New Roman"/>
        </w:rPr>
        <w:t>(online). Available at: </w:t>
      </w:r>
      <w:hyperlink r:id="rId16" w:tgtFrame="_new" w:history="1">
        <w:r w:rsidR="0029042C" w:rsidRPr="0029042C">
          <w:rPr>
            <w:rStyle w:val="Hyperlink"/>
            <w:rFonts w:cs="Times New Roman"/>
          </w:rPr>
          <w:t>https://www.sciencedirect.com/science/article/pii/S0959652624029019</w:t>
        </w:r>
      </w:hyperlink>
      <w:r w:rsidRPr="0029042C">
        <w:rPr>
          <w:rFonts w:cs="Times New Roman"/>
        </w:rPr>
        <w:t> (Accessed: 14 October 2025).</w:t>
      </w:r>
    </w:p>
    <w:p w14:paraId="6EEDD45F" w14:textId="77777777" w:rsidR="0029042C" w:rsidRPr="0029042C" w:rsidRDefault="00000000" w:rsidP="005F7F86">
      <w:pPr>
        <w:rPr>
          <w:rFonts w:cs="Times New Roman"/>
        </w:rPr>
      </w:pPr>
      <w:r w:rsidRPr="0029042C">
        <w:rPr>
          <w:rFonts w:cs="Times New Roman"/>
        </w:rPr>
        <w:t xml:space="preserve">Coskun, A. (2023) 'How sustainable is your menu? Designing and assessing, </w:t>
      </w:r>
      <w:r w:rsidRPr="0029042C">
        <w:rPr>
          <w:rFonts w:cs="Times New Roman"/>
          <w:i/>
          <w:iCs/>
        </w:rPr>
        <w:t>ACM Transactions on Accessible Computing</w:t>
      </w:r>
      <w:r w:rsidRPr="0029042C">
        <w:rPr>
          <w:rFonts w:cs="Times New Roman"/>
        </w:rPr>
        <w:t> (online). Available at: </w:t>
      </w:r>
      <w:hyperlink r:id="rId17" w:tgtFrame="_new" w:history="1">
        <w:r w:rsidR="0029042C" w:rsidRPr="0029042C">
          <w:rPr>
            <w:rStyle w:val="Hyperlink"/>
            <w:rFonts w:cs="Times New Roman"/>
          </w:rPr>
          <w:t>https://dl.acm.org/doi/full/10.1145/3588001.3609366</w:t>
        </w:r>
      </w:hyperlink>
      <w:r w:rsidRPr="0029042C">
        <w:rPr>
          <w:rFonts w:cs="Times New Roman"/>
        </w:rPr>
        <w:t> (Accessed: 14 October 2025).</w:t>
      </w:r>
    </w:p>
    <w:p w14:paraId="34F93613" w14:textId="77777777" w:rsidR="0029042C" w:rsidRPr="0029042C" w:rsidRDefault="00000000" w:rsidP="005F7F86">
      <w:pPr>
        <w:rPr>
          <w:rFonts w:cs="Times New Roman"/>
        </w:rPr>
      </w:pPr>
      <w:r w:rsidRPr="0029042C">
        <w:rPr>
          <w:rFonts w:cs="Times New Roman"/>
        </w:rPr>
        <w:lastRenderedPageBreak/>
        <w:t>Damigos, D. (2023) ‘How Much Are Consumers Willing to Pay for a Greener Hotel?’, </w:t>
      </w:r>
      <w:r w:rsidRPr="0029042C">
        <w:rPr>
          <w:rFonts w:cs="Times New Roman"/>
          <w:i/>
          <w:iCs/>
        </w:rPr>
        <w:t>Sustainability</w:t>
      </w:r>
      <w:r w:rsidRPr="0029042C">
        <w:rPr>
          <w:rFonts w:cs="Times New Roman"/>
        </w:rPr>
        <w:t>, 15(11), p. 8775. Available at: </w:t>
      </w:r>
      <w:hyperlink r:id="rId18" w:tgtFrame="_new" w:history="1">
        <w:r w:rsidR="0029042C" w:rsidRPr="0029042C">
          <w:rPr>
            <w:rStyle w:val="Hyperlink"/>
            <w:rFonts w:cs="Times New Roman"/>
          </w:rPr>
          <w:t>https://www.mdpi.com/2071-1050/15/11/8775</w:t>
        </w:r>
      </w:hyperlink>
      <w:r w:rsidRPr="0029042C">
        <w:rPr>
          <w:rFonts w:cs="Times New Roman"/>
        </w:rPr>
        <w:t> (Accessed: 15 October 2025).</w:t>
      </w:r>
    </w:p>
    <w:p w14:paraId="579C5097" w14:textId="77777777" w:rsidR="0029042C" w:rsidRPr="0029042C" w:rsidRDefault="00000000" w:rsidP="005F7F86">
      <w:pPr>
        <w:rPr>
          <w:rFonts w:cs="Times New Roman"/>
        </w:rPr>
      </w:pPr>
      <w:r w:rsidRPr="0029042C">
        <w:rPr>
          <w:rFonts w:cs="Times New Roman"/>
        </w:rPr>
        <w:t>Defra (Department for Environment, Food &amp; Rural Affairs) (2023) </w:t>
      </w:r>
      <w:r w:rsidRPr="0029042C">
        <w:rPr>
          <w:rFonts w:cs="Times New Roman"/>
          <w:i/>
          <w:iCs/>
        </w:rPr>
        <w:t>The waste prevention programme for England: Maximising resources, minimising waste</w:t>
      </w:r>
      <w:r w:rsidRPr="0029042C">
        <w:rPr>
          <w:rFonts w:cs="Times New Roman"/>
        </w:rPr>
        <w:t>. GOV.UK. Available at: </w:t>
      </w:r>
      <w:hyperlink r:id="rId19" w:tgtFrame="_new" w:history="1">
        <w:r w:rsidR="0029042C" w:rsidRPr="0029042C">
          <w:rPr>
            <w:rStyle w:val="Hyperlink"/>
            <w:rFonts w:cs="Times New Roman"/>
          </w:rPr>
          <w:t>https://www.gov.uk/government/publications/waste-prevention-programme-for-england-maximising-resources-minimising-waste</w:t>
        </w:r>
      </w:hyperlink>
      <w:r w:rsidRPr="0029042C">
        <w:rPr>
          <w:rFonts w:cs="Times New Roman"/>
        </w:rPr>
        <w:t> (Accessed: 14 October 2025).</w:t>
      </w:r>
    </w:p>
    <w:p w14:paraId="22CC9AF5" w14:textId="77777777" w:rsidR="0029042C" w:rsidRPr="0029042C" w:rsidRDefault="00000000" w:rsidP="005F7F86">
      <w:pPr>
        <w:rPr>
          <w:rFonts w:cs="Times New Roman"/>
        </w:rPr>
      </w:pPr>
      <w:r w:rsidRPr="005F7F86">
        <w:rPr>
          <w:rFonts w:cs="Times New Roman"/>
        </w:rPr>
        <w:t>Díaz Fariña, E., Díaz-Hernández, J. J. and Padrón-Fumero, N. (2023) ‘Analysis of hospitality waste generation: impacts of services and mitigation strategies’, </w:t>
      </w:r>
      <w:r w:rsidRPr="005F7F86">
        <w:rPr>
          <w:rFonts w:cs="Times New Roman"/>
          <w:i/>
          <w:iCs/>
        </w:rPr>
        <w:t>Annals of Tourism Research Empirical Insights</w:t>
      </w:r>
      <w:r w:rsidRPr="005F7F86">
        <w:rPr>
          <w:rFonts w:cs="Times New Roman"/>
        </w:rPr>
        <w:t>, 4, Article 100083. doi: 10.1016/j.annale.2022.100083. (Accessed: 14 October 2025).</w:t>
      </w:r>
    </w:p>
    <w:p w14:paraId="1E616446" w14:textId="77777777" w:rsidR="0029042C" w:rsidRPr="0029042C" w:rsidRDefault="00000000" w:rsidP="005F7F86">
      <w:pPr>
        <w:rPr>
          <w:rFonts w:cs="Times New Roman"/>
        </w:rPr>
      </w:pPr>
      <w:r w:rsidRPr="0029042C">
        <w:rPr>
          <w:rFonts w:cs="Times New Roman"/>
        </w:rPr>
        <w:t xml:space="preserve">Elkington, J. (1998). </w:t>
      </w:r>
      <w:r w:rsidRPr="0029042C">
        <w:rPr>
          <w:rFonts w:cs="Times New Roman"/>
          <w:i/>
          <w:iCs/>
        </w:rPr>
        <w:t>Cannibals with Forks: The Triple Bottom Line of 21st Century Business</w:t>
      </w:r>
      <w:r w:rsidRPr="0029042C">
        <w:rPr>
          <w:rFonts w:cs="Times New Roman"/>
        </w:rPr>
        <w:t>. New Society Publishers.</w:t>
      </w:r>
    </w:p>
    <w:p w14:paraId="19509EE9" w14:textId="77777777" w:rsidR="0029042C" w:rsidRPr="0029042C" w:rsidRDefault="00000000" w:rsidP="005F7F86">
      <w:pPr>
        <w:rPr>
          <w:rFonts w:cs="Times New Roman"/>
        </w:rPr>
      </w:pPr>
      <w:r w:rsidRPr="0029042C">
        <w:rPr>
          <w:rFonts w:cs="Times New Roman"/>
        </w:rPr>
        <w:t xml:space="preserve">FAO (2019). </w:t>
      </w:r>
      <w:r w:rsidRPr="0029042C">
        <w:rPr>
          <w:rFonts w:cs="Times New Roman"/>
          <w:i/>
          <w:iCs/>
        </w:rPr>
        <w:t>The State of Food and Agriculture 2019: Moving forward on food loss and waste reduction</w:t>
      </w:r>
      <w:r w:rsidRPr="0029042C">
        <w:rPr>
          <w:rFonts w:cs="Times New Roman"/>
        </w:rPr>
        <w:t>. FAO. Available at: </w:t>
      </w:r>
      <w:hyperlink r:id="rId20" w:tgtFrame="_new" w:history="1">
        <w:r w:rsidR="0029042C" w:rsidRPr="0029042C">
          <w:rPr>
            <w:rStyle w:val="Hyperlink"/>
            <w:rFonts w:cs="Times New Roman"/>
          </w:rPr>
          <w:t>https://www.fao.org/3/ca6030en/ca6030en.pdf</w:t>
        </w:r>
      </w:hyperlink>
      <w:r w:rsidRPr="0029042C">
        <w:rPr>
          <w:rFonts w:cs="Times New Roman"/>
        </w:rPr>
        <w:t> (Accessed: 14 October 2025).</w:t>
      </w:r>
    </w:p>
    <w:p w14:paraId="44ECFD14" w14:textId="77777777" w:rsidR="0029042C" w:rsidRPr="0029042C" w:rsidRDefault="00000000" w:rsidP="005F7F86">
      <w:pPr>
        <w:rPr>
          <w:rFonts w:cs="Times New Roman"/>
        </w:rPr>
      </w:pPr>
      <w:r w:rsidRPr="0029042C">
        <w:rPr>
          <w:rFonts w:cs="Times New Roman"/>
        </w:rPr>
        <w:t>FareShare (</w:t>
      </w:r>
      <w:r w:rsidRPr="005F7F86">
        <w:rPr>
          <w:rFonts w:cs="Times New Roman"/>
        </w:rPr>
        <w:t>2024</w:t>
      </w:r>
      <w:r w:rsidRPr="0029042C">
        <w:rPr>
          <w:rFonts w:cs="Times New Roman"/>
        </w:rPr>
        <w:t xml:space="preserve">). </w:t>
      </w:r>
      <w:r w:rsidRPr="0029042C">
        <w:rPr>
          <w:rFonts w:cs="Times New Roman"/>
          <w:i/>
          <w:iCs/>
        </w:rPr>
        <w:t>Case studies and redistribution work</w:t>
      </w:r>
      <w:r w:rsidRPr="0029042C">
        <w:rPr>
          <w:rFonts w:cs="Times New Roman"/>
        </w:rPr>
        <w:t>. FareShare. Available at: </w:t>
      </w:r>
      <w:hyperlink r:id="rId21" w:tgtFrame="_new" w:history="1">
        <w:r w:rsidR="0029042C" w:rsidRPr="0029042C">
          <w:rPr>
            <w:rStyle w:val="Hyperlink"/>
            <w:rFonts w:cs="Times New Roman"/>
          </w:rPr>
          <w:t>https://fareshare.org.uk/</w:t>
        </w:r>
      </w:hyperlink>
      <w:r w:rsidRPr="0029042C">
        <w:rPr>
          <w:rFonts w:cs="Times New Roman"/>
        </w:rPr>
        <w:t> (Accessed: 14 October 2025).</w:t>
      </w:r>
    </w:p>
    <w:p w14:paraId="52B5B717" w14:textId="77777777" w:rsidR="0029042C" w:rsidRPr="0029042C" w:rsidRDefault="00000000" w:rsidP="005F7F86">
      <w:pPr>
        <w:rPr>
          <w:rFonts w:cs="Times New Roman"/>
        </w:rPr>
      </w:pPr>
      <w:r w:rsidRPr="0029042C">
        <w:rPr>
          <w:rFonts w:cs="Times New Roman"/>
        </w:rPr>
        <w:t>Gao, Y.L. (2016) ‘A meta-analysis of behavioural intentions for environmental practices in hotels’, </w:t>
      </w:r>
      <w:r w:rsidRPr="0029042C">
        <w:rPr>
          <w:rFonts w:cs="Times New Roman"/>
          <w:i/>
          <w:iCs/>
        </w:rPr>
        <w:t>International Journal of Hospitality Management</w:t>
      </w:r>
      <w:r w:rsidRPr="0029042C">
        <w:rPr>
          <w:rFonts w:cs="Times New Roman"/>
        </w:rPr>
        <w:t> (online). (Accessed: 14 October 2025).</w:t>
      </w:r>
    </w:p>
    <w:p w14:paraId="203DCA7E" w14:textId="77777777" w:rsidR="0029042C" w:rsidRPr="0029042C" w:rsidRDefault="00000000" w:rsidP="005F7F86">
      <w:pPr>
        <w:rPr>
          <w:rFonts w:cs="Times New Roman"/>
        </w:rPr>
      </w:pPr>
      <w:r w:rsidRPr="0029042C">
        <w:rPr>
          <w:rFonts w:cs="Times New Roman"/>
        </w:rPr>
        <w:t>Green Key (</w:t>
      </w:r>
      <w:r w:rsidRPr="005F7F86">
        <w:rPr>
          <w:rFonts w:cs="Times New Roman"/>
        </w:rPr>
        <w:t>2024</w:t>
      </w:r>
      <w:r w:rsidRPr="0029042C">
        <w:rPr>
          <w:rFonts w:cs="Times New Roman"/>
        </w:rPr>
        <w:t>) </w:t>
      </w:r>
      <w:r w:rsidRPr="0029042C">
        <w:rPr>
          <w:rFonts w:cs="Times New Roman"/>
          <w:i/>
          <w:iCs/>
        </w:rPr>
        <w:t>Green Key — Certification criteria and programme</w:t>
      </w:r>
      <w:r w:rsidRPr="0029042C">
        <w:rPr>
          <w:rFonts w:cs="Times New Roman"/>
        </w:rPr>
        <w:t>. Available at: </w:t>
      </w:r>
      <w:hyperlink r:id="rId22" w:tgtFrame="_new" w:history="1">
        <w:r w:rsidR="0029042C" w:rsidRPr="0029042C">
          <w:rPr>
            <w:rStyle w:val="Hyperlink"/>
            <w:rFonts w:cs="Times New Roman"/>
          </w:rPr>
          <w:t>https://www.greenkey.global/criteria</w:t>
        </w:r>
      </w:hyperlink>
      <w:r w:rsidRPr="0029042C">
        <w:rPr>
          <w:rFonts w:cs="Times New Roman"/>
        </w:rPr>
        <w:t> (Accessed: 14 October 2025).</w:t>
      </w:r>
    </w:p>
    <w:p w14:paraId="7D8E1524" w14:textId="77777777" w:rsidR="0029042C" w:rsidRPr="0029042C" w:rsidRDefault="00000000" w:rsidP="005F7F86">
      <w:pPr>
        <w:rPr>
          <w:rFonts w:cs="Times New Roman"/>
        </w:rPr>
      </w:pPr>
      <w:r w:rsidRPr="0029042C">
        <w:rPr>
          <w:rFonts w:cs="Times New Roman"/>
        </w:rPr>
        <w:t>Guzzo, R.F. (2020) ‘A Micro-Level View of CSR: A Hospitality Management Perspective’, </w:t>
      </w:r>
      <w:r w:rsidRPr="0029042C">
        <w:rPr>
          <w:rFonts w:cs="Times New Roman"/>
          <w:i/>
          <w:iCs/>
        </w:rPr>
        <w:t>Cornell Hospitality Quarterly</w:t>
      </w:r>
      <w:r w:rsidRPr="0029042C">
        <w:rPr>
          <w:rFonts w:cs="Times New Roman"/>
        </w:rPr>
        <w:t> (online). (Accessed: 14 October 2025).</w:t>
      </w:r>
    </w:p>
    <w:p w14:paraId="4ECE1052" w14:textId="77777777" w:rsidR="0029042C" w:rsidRPr="0029042C" w:rsidRDefault="00000000" w:rsidP="005F7F86">
      <w:pPr>
        <w:rPr>
          <w:rFonts w:cs="Times New Roman"/>
        </w:rPr>
      </w:pPr>
      <w:r w:rsidRPr="0029042C">
        <w:rPr>
          <w:rFonts w:cs="Times New Roman"/>
        </w:rPr>
        <w:t>Hotel Kitchen / Hotel Waste Measurement Methodology (2021) </w:t>
      </w:r>
      <w:r w:rsidRPr="0029042C">
        <w:rPr>
          <w:rFonts w:cs="Times New Roman"/>
          <w:i/>
          <w:iCs/>
        </w:rPr>
        <w:t>Hotel Waste Measurement Methodology v1.0</w:t>
      </w:r>
      <w:r w:rsidRPr="0029042C">
        <w:rPr>
          <w:rFonts w:cs="Times New Roman"/>
        </w:rPr>
        <w:t>. Available at: </w:t>
      </w:r>
      <w:hyperlink r:id="rId23" w:tgtFrame="_new" w:history="1">
        <w:r w:rsidR="0029042C" w:rsidRPr="0029042C">
          <w:rPr>
            <w:rStyle w:val="Hyperlink"/>
            <w:rFonts w:cs="Times New Roman"/>
          </w:rPr>
          <w:t>https://hotelkitchen.org/wp-content/uploads/2021/09/HotelWasteMeasurementMethodology_SEP2021_v1.0.-1.pdf</w:t>
        </w:r>
      </w:hyperlink>
      <w:r w:rsidRPr="0029042C">
        <w:rPr>
          <w:rFonts w:cs="Times New Roman"/>
        </w:rPr>
        <w:t> (Accessed: 14 October 2025).</w:t>
      </w:r>
    </w:p>
    <w:p w14:paraId="5254F893" w14:textId="77777777" w:rsidR="0029042C" w:rsidRPr="0029042C" w:rsidRDefault="00000000" w:rsidP="005F7F86">
      <w:pPr>
        <w:rPr>
          <w:rFonts w:cs="Times New Roman"/>
        </w:rPr>
      </w:pPr>
      <w:r w:rsidRPr="0029042C">
        <w:rPr>
          <w:rFonts w:cs="Times New Roman"/>
        </w:rPr>
        <w:t>IFWC (International Food Waste Coalition) (2022) </w:t>
      </w:r>
      <w:r w:rsidRPr="0029042C">
        <w:rPr>
          <w:rFonts w:cs="Times New Roman"/>
          <w:i/>
          <w:iCs/>
        </w:rPr>
        <w:t>Measuring &amp; Reporting Food Waste in the Hospitality &amp; Food Service Sector</w:t>
      </w:r>
      <w:r w:rsidRPr="0029042C">
        <w:rPr>
          <w:rFonts w:cs="Times New Roman"/>
        </w:rPr>
        <w:t>. IFWC. Available at: </w:t>
      </w:r>
      <w:hyperlink r:id="rId24" w:tgtFrame="_new" w:history="1">
        <w:r w:rsidR="0029042C" w:rsidRPr="0029042C">
          <w:rPr>
            <w:rStyle w:val="Hyperlink"/>
            <w:rFonts w:cs="Times New Roman"/>
          </w:rPr>
          <w:t>https://internationalfoodwastecoalition.org/wp-content/uploads/2022/03/IFWC_FW-Report_Final.pdf</w:t>
        </w:r>
      </w:hyperlink>
      <w:r w:rsidRPr="0029042C">
        <w:rPr>
          <w:rFonts w:cs="Times New Roman"/>
        </w:rPr>
        <w:t> (Accessed: 14 October 2025).</w:t>
      </w:r>
    </w:p>
    <w:p w14:paraId="20D0F0A0" w14:textId="77777777" w:rsidR="0029042C" w:rsidRPr="0029042C" w:rsidRDefault="00000000" w:rsidP="005F7F86">
      <w:pPr>
        <w:rPr>
          <w:rFonts w:cs="Times New Roman"/>
        </w:rPr>
      </w:pPr>
      <w:r w:rsidRPr="0029042C">
        <w:rPr>
          <w:rFonts w:cs="Times New Roman"/>
        </w:rPr>
        <w:lastRenderedPageBreak/>
        <w:t xml:space="preserve">Institute of Hospitality (2019). </w:t>
      </w:r>
      <w:r w:rsidRPr="0029042C">
        <w:rPr>
          <w:rFonts w:cs="Times New Roman"/>
          <w:i/>
          <w:iCs/>
        </w:rPr>
        <w:t>Addressing Food Waste: Case Studies for the Hospitality Sector</w:t>
      </w:r>
      <w:r w:rsidRPr="0029042C">
        <w:rPr>
          <w:rFonts w:cs="Times New Roman"/>
        </w:rPr>
        <w:t>. Institute of Hospitality. Available at: </w:t>
      </w:r>
      <w:hyperlink r:id="rId25" w:tgtFrame="_new" w:history="1">
        <w:r w:rsidR="0029042C" w:rsidRPr="0029042C">
          <w:rPr>
            <w:rStyle w:val="Hyperlink"/>
            <w:rFonts w:cs="Times New Roman"/>
          </w:rPr>
          <w:t>https://www.instituteofhospitality.org/wp-content/uploads/2019/02/Food-Waste-Case-Studies-Guide-2019-A4.pdf</w:t>
        </w:r>
      </w:hyperlink>
      <w:r w:rsidRPr="0029042C">
        <w:rPr>
          <w:rFonts w:cs="Times New Roman"/>
        </w:rPr>
        <w:t> (Accessed: 14 October 2025).</w:t>
      </w:r>
    </w:p>
    <w:p w14:paraId="0AAC0012" w14:textId="77777777" w:rsidR="0029042C" w:rsidRPr="0029042C" w:rsidRDefault="00000000" w:rsidP="005F7F86">
      <w:pPr>
        <w:rPr>
          <w:rFonts w:cs="Times New Roman"/>
        </w:rPr>
      </w:pPr>
      <w:r w:rsidRPr="0029042C">
        <w:rPr>
          <w:rFonts w:cs="Times New Roman"/>
        </w:rPr>
        <w:t>ICO (Information Commissioner’s Office) (2025) </w:t>
      </w:r>
      <w:r w:rsidRPr="0029042C">
        <w:rPr>
          <w:rFonts w:cs="Times New Roman"/>
          <w:i/>
          <w:iCs/>
        </w:rPr>
        <w:t>UK GDPR guidance and resources</w:t>
      </w:r>
      <w:r w:rsidRPr="0029042C">
        <w:rPr>
          <w:rFonts w:cs="Times New Roman"/>
        </w:rPr>
        <w:t>. ICO. Available at: </w:t>
      </w:r>
      <w:hyperlink r:id="rId26" w:tgtFrame="_new" w:history="1">
        <w:r w:rsidR="0029042C" w:rsidRPr="0029042C">
          <w:rPr>
            <w:rStyle w:val="Hyperlink"/>
            <w:rFonts w:cs="Times New Roman"/>
          </w:rPr>
          <w:t>https://ico.org.uk/for-organisations/uk-gdpr-guidance-and-resources/</w:t>
        </w:r>
      </w:hyperlink>
      <w:r w:rsidRPr="0029042C">
        <w:rPr>
          <w:rFonts w:cs="Times New Roman"/>
        </w:rPr>
        <w:t> (Accessed: 14 October 2025).</w:t>
      </w:r>
    </w:p>
    <w:p w14:paraId="038B7322" w14:textId="77777777" w:rsidR="0029042C" w:rsidRPr="0029042C" w:rsidRDefault="00000000" w:rsidP="005F7F86">
      <w:pPr>
        <w:rPr>
          <w:rFonts w:cs="Times New Roman"/>
        </w:rPr>
      </w:pPr>
      <w:r w:rsidRPr="0029042C">
        <w:rPr>
          <w:rFonts w:cs="Times New Roman"/>
        </w:rPr>
        <w:t xml:space="preserve">Johnson, G., Whittington, R., Scholes, K., Angwin, D. and Regnér, P. (2017). </w:t>
      </w:r>
      <w:r w:rsidRPr="0029042C">
        <w:rPr>
          <w:rFonts w:cs="Times New Roman"/>
          <w:i/>
          <w:iCs/>
        </w:rPr>
        <w:t>Exploring Strategy: Text &amp; Cases</w:t>
      </w:r>
      <w:r w:rsidRPr="0029042C">
        <w:rPr>
          <w:rFonts w:cs="Times New Roman"/>
        </w:rPr>
        <w:t>. Pearson Education Limited, Essex.</w:t>
      </w:r>
    </w:p>
    <w:p w14:paraId="17CC827F" w14:textId="77777777" w:rsidR="0029042C" w:rsidRPr="0029042C" w:rsidRDefault="00000000" w:rsidP="005F7F86">
      <w:pPr>
        <w:rPr>
          <w:rFonts w:cs="Times New Roman"/>
        </w:rPr>
      </w:pPr>
      <w:r w:rsidRPr="0029042C">
        <w:rPr>
          <w:rFonts w:cs="Times New Roman"/>
        </w:rPr>
        <w:t xml:space="preserve">Krippendorff, K. (2018). </w:t>
      </w:r>
      <w:r w:rsidRPr="0029042C">
        <w:rPr>
          <w:rFonts w:cs="Times New Roman"/>
          <w:i/>
          <w:iCs/>
        </w:rPr>
        <w:t>Content Analysis: An Introduction to Its Methodology</w:t>
      </w:r>
      <w:r w:rsidRPr="0029042C">
        <w:rPr>
          <w:rFonts w:cs="Times New Roman"/>
        </w:rPr>
        <w:t> (4th ed.). SAGE Publications.</w:t>
      </w:r>
    </w:p>
    <w:p w14:paraId="1BB6FCE2" w14:textId="77777777" w:rsidR="0029042C" w:rsidRPr="0029042C" w:rsidRDefault="00000000" w:rsidP="005F7F86">
      <w:pPr>
        <w:rPr>
          <w:rFonts w:cs="Times New Roman"/>
        </w:rPr>
      </w:pPr>
      <w:r w:rsidRPr="0029042C">
        <w:rPr>
          <w:rFonts w:cs="Times New Roman"/>
        </w:rPr>
        <w:t>Lambert Arms / Mercure Thame Lambert Hotel (</w:t>
      </w:r>
      <w:r w:rsidRPr="005F7F86">
        <w:rPr>
          <w:rFonts w:cs="Times New Roman"/>
        </w:rPr>
        <w:t>2024</w:t>
      </w:r>
      <w:r w:rsidRPr="0029042C">
        <w:rPr>
          <w:rFonts w:cs="Times New Roman"/>
        </w:rPr>
        <w:t>) </w:t>
      </w:r>
      <w:r w:rsidRPr="0029042C">
        <w:rPr>
          <w:rFonts w:cs="Times New Roman"/>
          <w:i/>
          <w:iCs/>
        </w:rPr>
        <w:t>Dining and menus — Mercure Thame Lambert Hotel</w:t>
      </w:r>
      <w:r w:rsidRPr="0029042C">
        <w:rPr>
          <w:rFonts w:cs="Times New Roman"/>
        </w:rPr>
        <w:t>. Available at: </w:t>
      </w:r>
      <w:hyperlink r:id="rId27" w:tgtFrame="_new" w:history="1">
        <w:r w:rsidR="0029042C" w:rsidRPr="0029042C">
          <w:rPr>
            <w:rStyle w:val="Hyperlink"/>
            <w:rFonts w:cs="Times New Roman"/>
          </w:rPr>
          <w:t>https://www.lambertarms.co.uk/</w:t>
        </w:r>
      </w:hyperlink>
      <w:r w:rsidRPr="0029042C">
        <w:rPr>
          <w:rFonts w:cs="Times New Roman"/>
        </w:rPr>
        <w:t> (Accessed: 14 October 2025).</w:t>
      </w:r>
    </w:p>
    <w:p w14:paraId="56102D29" w14:textId="77777777" w:rsidR="0029042C" w:rsidRPr="0029042C" w:rsidRDefault="00000000" w:rsidP="005F7F86">
      <w:pPr>
        <w:rPr>
          <w:rFonts w:cs="Times New Roman"/>
        </w:rPr>
      </w:pPr>
      <w:r w:rsidRPr="0029042C">
        <w:rPr>
          <w:rFonts w:cs="Times New Roman"/>
        </w:rPr>
        <w:t>Mercure Thame Lambert Hotel (</w:t>
      </w:r>
      <w:r w:rsidRPr="005F7F86">
        <w:rPr>
          <w:rFonts w:cs="Times New Roman"/>
        </w:rPr>
        <w:t>2024</w:t>
      </w:r>
      <w:r w:rsidRPr="0029042C">
        <w:rPr>
          <w:rFonts w:cs="Times New Roman"/>
        </w:rPr>
        <w:t>) </w:t>
      </w:r>
      <w:r w:rsidRPr="0029042C">
        <w:rPr>
          <w:rFonts w:cs="Times New Roman"/>
          <w:i/>
          <w:iCs/>
        </w:rPr>
        <w:t>Mercure / Accor hotel listing and information</w:t>
      </w:r>
      <w:r w:rsidRPr="0029042C">
        <w:rPr>
          <w:rFonts w:cs="Times New Roman"/>
        </w:rPr>
        <w:t>. Available at: </w:t>
      </w:r>
      <w:hyperlink r:id="rId28" w:tgtFrame="_new" w:history="1">
        <w:r w:rsidR="0029042C" w:rsidRPr="0029042C">
          <w:rPr>
            <w:rStyle w:val="Hyperlink"/>
            <w:rFonts w:cs="Times New Roman"/>
          </w:rPr>
          <w:t>https://all.accor.com/hotel/A7X1/index.en.shtml</w:t>
        </w:r>
      </w:hyperlink>
      <w:r w:rsidRPr="0029042C">
        <w:rPr>
          <w:rFonts w:cs="Times New Roman"/>
        </w:rPr>
        <w:t> (Accessed: 14 October 2025).</w:t>
      </w:r>
    </w:p>
    <w:p w14:paraId="45A16D8A" w14:textId="77777777" w:rsidR="0029042C" w:rsidRPr="005F7F86" w:rsidRDefault="00000000" w:rsidP="005F7F86">
      <w:pPr>
        <w:rPr>
          <w:rFonts w:cs="Times New Roman"/>
        </w:rPr>
      </w:pPr>
      <w:r w:rsidRPr="005F7F86">
        <w:rPr>
          <w:rFonts w:cs="Times New Roman"/>
        </w:rPr>
        <w:t>Montesdeoca-Calderón, M.-G., Gil-Saura, I., Ruiz-Molina, M.-E. and Martín-Ríos, C. (2024) ‘Tackling food waste management: professional training in the public interest’, </w:t>
      </w:r>
      <w:r w:rsidRPr="005F7F86">
        <w:rPr>
          <w:rFonts w:cs="Times New Roman"/>
          <w:i/>
          <w:iCs/>
        </w:rPr>
        <w:t>International Journal of Gastronomy and Food Science</w:t>
      </w:r>
      <w:r w:rsidRPr="005F7F86">
        <w:rPr>
          <w:rFonts w:cs="Times New Roman"/>
        </w:rPr>
        <w:t>, 35, Article 100863. doi: 10.1016/j.ijgfs.2023.100863. (Accessed: 14 October 2025).</w:t>
      </w:r>
    </w:p>
    <w:p w14:paraId="5CF41355" w14:textId="77777777" w:rsidR="0029042C" w:rsidRPr="0029042C" w:rsidRDefault="00000000" w:rsidP="005F7F86">
      <w:pPr>
        <w:rPr>
          <w:rFonts w:cs="Times New Roman"/>
        </w:rPr>
      </w:pPr>
      <w:r w:rsidRPr="0029042C">
        <w:rPr>
          <w:rFonts w:cs="Times New Roman"/>
        </w:rPr>
        <w:t>Nawawi, I., Ilmawan, K.F., Maarif, M.R. and Syafrudin, M. (2024) ‘Exploring tourist experience through online reviews using aspect-based sentiment analysis with zero-shot learning’, </w:t>
      </w:r>
      <w:r w:rsidRPr="0029042C">
        <w:rPr>
          <w:rFonts w:cs="Times New Roman"/>
          <w:i/>
          <w:iCs/>
        </w:rPr>
        <w:t>Information</w:t>
      </w:r>
      <w:r w:rsidRPr="0029042C">
        <w:rPr>
          <w:rFonts w:cs="Times New Roman"/>
        </w:rPr>
        <w:t>, 15(8), p. 499. Available at: </w:t>
      </w:r>
      <w:hyperlink r:id="rId29" w:tgtFrame="_new" w:history="1">
        <w:r w:rsidR="0029042C" w:rsidRPr="0029042C">
          <w:rPr>
            <w:rStyle w:val="Hyperlink"/>
            <w:rFonts w:cs="Times New Roman"/>
          </w:rPr>
          <w:t>https://doi.org/10.3390/info15080499</w:t>
        </w:r>
      </w:hyperlink>
      <w:r w:rsidRPr="0029042C">
        <w:rPr>
          <w:rFonts w:cs="Times New Roman"/>
        </w:rPr>
        <w:t> (Accessed: 14 October 2025).</w:t>
      </w:r>
    </w:p>
    <w:p w14:paraId="1A9699AB" w14:textId="77777777" w:rsidR="005F7F86" w:rsidRPr="005F7F86" w:rsidRDefault="00000000" w:rsidP="005F7F86">
      <w:pPr>
        <w:rPr>
          <w:rFonts w:cs="Times New Roman"/>
        </w:rPr>
      </w:pPr>
      <w:r w:rsidRPr="005F7F86">
        <w:rPr>
          <w:rFonts w:cs="Times New Roman"/>
        </w:rPr>
        <w:t>Nelson, K. M., Partelow, S., Stäbler, M., Graci, S. and Fujitani, M. (2021) ‘Tourist willingness to pay for local green hotel certification’, </w:t>
      </w:r>
      <w:r w:rsidRPr="005F7F86">
        <w:rPr>
          <w:rFonts w:cs="Times New Roman"/>
          <w:i/>
          <w:iCs/>
        </w:rPr>
        <w:t>PLOS ONE</w:t>
      </w:r>
      <w:r w:rsidRPr="005F7F86">
        <w:rPr>
          <w:rFonts w:cs="Times New Roman"/>
        </w:rPr>
        <w:t>, 16(2), e0245953. doi: 10.1371/journal.pone.0245953.</w:t>
      </w:r>
    </w:p>
    <w:p w14:paraId="1E91FD48" w14:textId="77777777" w:rsidR="0029042C" w:rsidRPr="0029042C" w:rsidRDefault="00000000" w:rsidP="005F7F86">
      <w:pPr>
        <w:rPr>
          <w:rFonts w:cs="Times New Roman"/>
        </w:rPr>
      </w:pPr>
      <w:r w:rsidRPr="0029042C">
        <w:rPr>
          <w:rFonts w:cs="Times New Roman"/>
        </w:rPr>
        <w:t>Orbisk (2024) ‘Hundreds of thousands of kilos less food waste in Accor hotels worldwide’, </w:t>
      </w:r>
      <w:r w:rsidRPr="0029042C">
        <w:rPr>
          <w:rFonts w:cs="Times New Roman"/>
          <w:i/>
          <w:iCs/>
        </w:rPr>
        <w:t>Orbisk blog</w:t>
      </w:r>
      <w:r w:rsidRPr="0029042C">
        <w:rPr>
          <w:rFonts w:cs="Times New Roman"/>
        </w:rPr>
        <w:t>. Available at: </w:t>
      </w:r>
      <w:hyperlink r:id="rId30" w:tgtFrame="_new" w:history="1">
        <w:r w:rsidR="0029042C" w:rsidRPr="0029042C">
          <w:rPr>
            <w:rStyle w:val="Hyperlink"/>
            <w:rFonts w:cs="Times New Roman"/>
          </w:rPr>
          <w:t>https://orbisk.com/blog/hundreds-of-thousands-of-kilos-less-food-waste-in-accor-hotels-worldwide/</w:t>
        </w:r>
      </w:hyperlink>
      <w:r w:rsidRPr="0029042C">
        <w:rPr>
          <w:rFonts w:cs="Times New Roman"/>
        </w:rPr>
        <w:t> (Accessed: 14 October 2025).</w:t>
      </w:r>
    </w:p>
    <w:p w14:paraId="61AE638F" w14:textId="77777777" w:rsidR="0029042C" w:rsidRPr="0029042C" w:rsidRDefault="00000000" w:rsidP="005F7F86">
      <w:pPr>
        <w:rPr>
          <w:rFonts w:cs="Times New Roman"/>
        </w:rPr>
      </w:pPr>
      <w:r w:rsidRPr="0029042C">
        <w:rPr>
          <w:rFonts w:cs="Times New Roman"/>
        </w:rPr>
        <w:t>Palinkas, L.A., Horwitz, S.M., Green, C.A., Wisdom, J.P., Duan, N. and Hoagwood, K. (2015) ‘Purposeful sampling for qualitative data collection and analysis in mixed method implementation research’, </w:t>
      </w:r>
      <w:r w:rsidRPr="0029042C">
        <w:rPr>
          <w:rFonts w:cs="Times New Roman"/>
          <w:i/>
          <w:iCs/>
        </w:rPr>
        <w:t>Administration and Policy in Mental Health and Mental Health Services Research</w:t>
      </w:r>
      <w:r w:rsidRPr="0029042C">
        <w:rPr>
          <w:rFonts w:cs="Times New Roman"/>
        </w:rPr>
        <w:t>, 42(5), pp. 533–544. Available at: </w:t>
      </w:r>
      <w:hyperlink r:id="rId31" w:tgtFrame="_new" w:history="1">
        <w:r w:rsidR="0029042C" w:rsidRPr="0029042C">
          <w:rPr>
            <w:rStyle w:val="Hyperlink"/>
            <w:rFonts w:cs="Times New Roman"/>
          </w:rPr>
          <w:t>https://pubmed.ncbi.nlm.nih.gov/24193818/</w:t>
        </w:r>
      </w:hyperlink>
      <w:r w:rsidRPr="0029042C">
        <w:rPr>
          <w:rFonts w:cs="Times New Roman"/>
        </w:rPr>
        <w:t> (Accessed: 14 October 2025).</w:t>
      </w:r>
    </w:p>
    <w:p w14:paraId="7A2E4BD3" w14:textId="77777777" w:rsidR="0029042C" w:rsidRPr="0029042C" w:rsidRDefault="00000000" w:rsidP="005F7F86">
      <w:pPr>
        <w:rPr>
          <w:rFonts w:cs="Times New Roman"/>
        </w:rPr>
      </w:pPr>
      <w:r w:rsidRPr="0029042C">
        <w:rPr>
          <w:rFonts w:cs="Times New Roman"/>
        </w:rPr>
        <w:lastRenderedPageBreak/>
        <w:t>Parkin, B.L. (2022) ‘Menu design approaches to promote sustainable food choices’, </w:t>
      </w:r>
      <w:r w:rsidRPr="0029042C">
        <w:rPr>
          <w:rFonts w:cs="Times New Roman"/>
          <w:i/>
          <w:iCs/>
        </w:rPr>
        <w:t>Appetite / Food Policy</w:t>
      </w:r>
      <w:r w:rsidRPr="0029042C">
        <w:rPr>
          <w:rFonts w:cs="Times New Roman"/>
        </w:rPr>
        <w:t> (online). (Accessed: 14 October 2025).</w:t>
      </w:r>
    </w:p>
    <w:p w14:paraId="5D1FC68D" w14:textId="77777777" w:rsidR="0029042C" w:rsidRPr="0029042C" w:rsidRDefault="00000000" w:rsidP="005F7F86">
      <w:pPr>
        <w:rPr>
          <w:rFonts w:cs="Times New Roman"/>
        </w:rPr>
      </w:pPr>
      <w:r w:rsidRPr="0029042C">
        <w:rPr>
          <w:rFonts w:cs="Times New Roman"/>
        </w:rPr>
        <w:t>Pizzo, A. (2025) ‘Food waste salience and task knowledge to reduce plate waste,’ </w:t>
      </w:r>
      <w:r w:rsidRPr="0029042C">
        <w:rPr>
          <w:rFonts w:cs="Times New Roman"/>
          <w:i/>
          <w:iCs/>
        </w:rPr>
        <w:t>Food Quality and Preference</w:t>
      </w:r>
      <w:r w:rsidRPr="0029042C">
        <w:rPr>
          <w:rFonts w:cs="Times New Roman"/>
        </w:rPr>
        <w:t>(online). (Accessed: 14 October 2025).</w:t>
      </w:r>
    </w:p>
    <w:p w14:paraId="2710F474" w14:textId="77777777" w:rsidR="0029042C" w:rsidRPr="0029042C" w:rsidRDefault="00000000" w:rsidP="005F7F86">
      <w:pPr>
        <w:rPr>
          <w:rFonts w:cs="Times New Roman"/>
        </w:rPr>
      </w:pPr>
      <w:r w:rsidRPr="0029042C">
        <w:rPr>
          <w:rFonts w:cs="Times New Roman"/>
        </w:rPr>
        <w:t xml:space="preserve">ResearchGate (2025a) 'Implementing Sustainable Procurement Practices in International Hotels', ResearchGate. Available at: </w:t>
      </w:r>
      <w:hyperlink r:id="rId32" w:tgtFrame="_new" w:history="1">
        <w:r w:rsidR="0029042C" w:rsidRPr="0029042C">
          <w:rPr>
            <w:rStyle w:val="Hyperlink"/>
            <w:rFonts w:cs="Times New Roman"/>
          </w:rPr>
          <w:t>https://www.researchgate.net/publication/385571427_Implementing_Sustainable_Procurement_Practices_in_International_Hotel</w:t>
        </w:r>
      </w:hyperlink>
      <w:r w:rsidRPr="0029042C">
        <w:rPr>
          <w:rFonts w:cs="Times New Roman"/>
        </w:rPr>
        <w:t> (Accessed: 14 October 2025).</w:t>
      </w:r>
    </w:p>
    <w:p w14:paraId="507EC8D3" w14:textId="77777777" w:rsidR="0029042C" w:rsidRPr="0029042C" w:rsidRDefault="00000000" w:rsidP="005F7F86">
      <w:pPr>
        <w:rPr>
          <w:rFonts w:cs="Times New Roman"/>
        </w:rPr>
      </w:pPr>
      <w:r w:rsidRPr="0029042C">
        <w:rPr>
          <w:rFonts w:cs="Times New Roman"/>
        </w:rPr>
        <w:t>ResearchGate (2025b) ‘Evaluating Sustainable Purchasing Processes in the Hotel Industry’, ResearchGate. Available at: </w:t>
      </w:r>
      <w:hyperlink r:id="rId33" w:tgtFrame="_new" w:history="1">
        <w:r w:rsidR="0029042C" w:rsidRPr="0029042C">
          <w:rPr>
            <w:rStyle w:val="Hyperlink"/>
            <w:rFonts w:cs="Times New Roman"/>
          </w:rPr>
          <w:t>https://www.researchgate.net/publication/335043003_Evaluating_Sustainable_Purchasing_Processes_in_The_Hotel_Industry</w:t>
        </w:r>
      </w:hyperlink>
      <w:r w:rsidRPr="0029042C">
        <w:rPr>
          <w:rFonts w:cs="Times New Roman"/>
        </w:rPr>
        <w:t> (Accessed: 14 October 2025).</w:t>
      </w:r>
    </w:p>
    <w:p w14:paraId="2AEB39D2" w14:textId="77777777" w:rsidR="0029042C" w:rsidRPr="0029042C" w:rsidRDefault="00000000" w:rsidP="005F7F86">
      <w:pPr>
        <w:rPr>
          <w:rFonts w:cs="Times New Roman"/>
        </w:rPr>
      </w:pPr>
      <w:r w:rsidRPr="0029042C">
        <w:rPr>
          <w:rFonts w:cs="Times New Roman"/>
        </w:rPr>
        <w:t>Reuters (2024) ‘EU provisionally agrees on law to cut packaging waste’, </w:t>
      </w:r>
      <w:r w:rsidRPr="0029042C">
        <w:rPr>
          <w:rFonts w:cs="Times New Roman"/>
          <w:i/>
          <w:iCs/>
        </w:rPr>
        <w:t>Reuters</w:t>
      </w:r>
      <w:r w:rsidRPr="0029042C">
        <w:rPr>
          <w:rFonts w:cs="Times New Roman"/>
        </w:rPr>
        <w:t>, 5 March. Available at: </w:t>
      </w:r>
      <w:hyperlink r:id="rId34" w:tgtFrame="_new" w:history="1">
        <w:r w:rsidR="0029042C" w:rsidRPr="0029042C">
          <w:rPr>
            <w:rStyle w:val="Hyperlink"/>
            <w:rFonts w:cs="Times New Roman"/>
          </w:rPr>
          <w:t>https://www.reuters.com/world/europe/eu-reaches-deal-reduce-plastic-waste-packaging-2024-03-05/</w:t>
        </w:r>
      </w:hyperlink>
      <w:r w:rsidRPr="0029042C">
        <w:rPr>
          <w:rFonts w:cs="Times New Roman"/>
        </w:rPr>
        <w:t> (Accessed: 14 October 2025).</w:t>
      </w:r>
    </w:p>
    <w:p w14:paraId="1D15E7BC" w14:textId="77777777" w:rsidR="0029042C" w:rsidRPr="0029042C" w:rsidRDefault="00000000" w:rsidP="005F7F86">
      <w:pPr>
        <w:rPr>
          <w:rFonts w:cs="Times New Roman"/>
        </w:rPr>
      </w:pPr>
      <w:r w:rsidRPr="0029042C">
        <w:rPr>
          <w:rFonts w:cs="Times New Roman"/>
        </w:rPr>
        <w:t>Rhou, Y. (2020) ‘A review of the business case for CSR in hospitality’, </w:t>
      </w:r>
      <w:r w:rsidRPr="0029042C">
        <w:rPr>
          <w:rFonts w:cs="Times New Roman"/>
          <w:i/>
          <w:iCs/>
        </w:rPr>
        <w:t>International Journal of Hospitality Management</w:t>
      </w:r>
      <w:r w:rsidRPr="0029042C">
        <w:rPr>
          <w:rFonts w:cs="Times New Roman"/>
        </w:rPr>
        <w:t> (online). (Accessed: 14 October 2025).</w:t>
      </w:r>
    </w:p>
    <w:p w14:paraId="6C67E4D8" w14:textId="77777777" w:rsidR="0029042C" w:rsidRPr="0029042C" w:rsidRDefault="00000000" w:rsidP="005F7F86">
      <w:pPr>
        <w:rPr>
          <w:rFonts w:cs="Times New Roman"/>
        </w:rPr>
      </w:pPr>
      <w:r w:rsidRPr="0029042C">
        <w:rPr>
          <w:rFonts w:cs="Times New Roman"/>
        </w:rPr>
        <w:t xml:space="preserve">Saldana, J. (2021). </w:t>
      </w:r>
      <w:r w:rsidRPr="0029042C">
        <w:rPr>
          <w:rFonts w:cs="Times New Roman"/>
          <w:i/>
          <w:iCs/>
        </w:rPr>
        <w:t>The Coding Manual for Qualitative Researchers</w:t>
      </w:r>
      <w:r w:rsidRPr="0029042C">
        <w:rPr>
          <w:rFonts w:cs="Times New Roman"/>
        </w:rPr>
        <w:t> (4th ed.). SAGE Publications Limited.</w:t>
      </w:r>
    </w:p>
    <w:p w14:paraId="68C33298" w14:textId="77777777" w:rsidR="0029042C" w:rsidRPr="0029042C" w:rsidRDefault="00000000" w:rsidP="005F7F86">
      <w:pPr>
        <w:rPr>
          <w:rFonts w:cs="Times New Roman"/>
        </w:rPr>
      </w:pPr>
      <w:r w:rsidRPr="0029042C">
        <w:rPr>
          <w:rFonts w:cs="Times New Roman"/>
        </w:rPr>
        <w:t>Saunders, M., Lewis, P. and Thornhill, A. (2019) </w:t>
      </w:r>
      <w:r w:rsidRPr="0029042C">
        <w:rPr>
          <w:rFonts w:cs="Times New Roman"/>
          <w:i/>
          <w:iCs/>
        </w:rPr>
        <w:t>Research Methods for Business Students</w:t>
      </w:r>
      <w:r w:rsidRPr="0029042C">
        <w:rPr>
          <w:rFonts w:cs="Times New Roman"/>
        </w:rPr>
        <w:t> (8th ed.). Pearson.</w:t>
      </w:r>
    </w:p>
    <w:p w14:paraId="2378E270" w14:textId="77777777" w:rsidR="0029042C" w:rsidRPr="0029042C" w:rsidRDefault="00000000" w:rsidP="005F7F86">
      <w:pPr>
        <w:rPr>
          <w:rFonts w:cs="Times New Roman"/>
        </w:rPr>
      </w:pPr>
      <w:r w:rsidRPr="0029042C">
        <w:rPr>
          <w:rFonts w:cs="Times New Roman"/>
        </w:rPr>
        <w:t>Sustainable Hospitality Alliance (</w:t>
      </w:r>
      <w:r w:rsidRPr="005F7F86">
        <w:rPr>
          <w:rFonts w:cs="Times New Roman"/>
        </w:rPr>
        <w:t>2024</w:t>
      </w:r>
      <w:r w:rsidRPr="0029042C">
        <w:rPr>
          <w:rFonts w:cs="Times New Roman"/>
        </w:rPr>
        <w:t xml:space="preserve">). </w:t>
      </w:r>
      <w:r w:rsidRPr="0029042C">
        <w:rPr>
          <w:rFonts w:cs="Times New Roman"/>
          <w:i/>
          <w:iCs/>
        </w:rPr>
        <w:t>Responsible procurement factsheet</w:t>
      </w:r>
      <w:r w:rsidRPr="0029042C">
        <w:rPr>
          <w:rFonts w:cs="Times New Roman"/>
        </w:rPr>
        <w:t> and </w:t>
      </w:r>
      <w:r w:rsidRPr="0029042C">
        <w:rPr>
          <w:rFonts w:cs="Times New Roman"/>
          <w:i/>
          <w:iCs/>
        </w:rPr>
        <w:t>Hotel Waste Measurement Methodology</w:t>
      </w:r>
      <w:r w:rsidRPr="0029042C">
        <w:rPr>
          <w:rFonts w:cs="Times New Roman"/>
        </w:rPr>
        <w:t>. Available at: </w:t>
      </w:r>
      <w:hyperlink r:id="rId35" w:tgtFrame="_new" w:history="1">
        <w:r w:rsidR="0029042C" w:rsidRPr="0029042C">
          <w:rPr>
            <w:rStyle w:val="Hyperlink"/>
            <w:rFonts w:cs="Times New Roman"/>
          </w:rPr>
          <w:t>https://sustainablehospitalityalliance.org/</w:t>
        </w:r>
      </w:hyperlink>
      <w:r w:rsidRPr="0029042C">
        <w:rPr>
          <w:rFonts w:cs="Times New Roman"/>
        </w:rPr>
        <w:t> (Accessed: 14 October 2025).</w:t>
      </w:r>
    </w:p>
    <w:p w14:paraId="6F93A7C5" w14:textId="77777777" w:rsidR="0029042C" w:rsidRPr="0029042C" w:rsidRDefault="00000000" w:rsidP="005F7F86">
      <w:pPr>
        <w:rPr>
          <w:rFonts w:cs="Times New Roman"/>
        </w:rPr>
      </w:pPr>
      <w:r w:rsidRPr="0029042C">
        <w:rPr>
          <w:rFonts w:cs="Times New Roman"/>
        </w:rPr>
        <w:t>Sustainable Restaurant Association (</w:t>
      </w:r>
      <w:r w:rsidRPr="005F7F86">
        <w:rPr>
          <w:rFonts w:cs="Times New Roman"/>
        </w:rPr>
        <w:t>2024</w:t>
      </w:r>
      <w:r w:rsidRPr="0029042C">
        <w:rPr>
          <w:rFonts w:cs="Times New Roman"/>
        </w:rPr>
        <w:t xml:space="preserve">). </w:t>
      </w:r>
      <w:r w:rsidRPr="0029042C">
        <w:rPr>
          <w:rFonts w:cs="Times New Roman"/>
          <w:i/>
          <w:iCs/>
        </w:rPr>
        <w:t>Food Made Good / policy resources</w:t>
      </w:r>
      <w:r w:rsidRPr="0029042C">
        <w:rPr>
          <w:rFonts w:cs="Times New Roman"/>
        </w:rPr>
        <w:t>. Available at: </w:t>
      </w:r>
      <w:hyperlink r:id="rId36" w:tgtFrame="_new" w:history="1">
        <w:r w:rsidR="0029042C" w:rsidRPr="0029042C">
          <w:rPr>
            <w:rStyle w:val="Hyperlink"/>
            <w:rFonts w:cs="Times New Roman"/>
          </w:rPr>
          <w:t>https://thesra.org/</w:t>
        </w:r>
      </w:hyperlink>
      <w:r w:rsidRPr="0029042C">
        <w:rPr>
          <w:rFonts w:cs="Times New Roman"/>
        </w:rPr>
        <w:t>(Accessed: 14 October 2025).</w:t>
      </w:r>
    </w:p>
    <w:p w14:paraId="0E981C8B" w14:textId="77777777" w:rsidR="0029042C" w:rsidRPr="0029042C" w:rsidRDefault="00000000" w:rsidP="005F7F86">
      <w:pPr>
        <w:rPr>
          <w:rFonts w:cs="Times New Roman"/>
        </w:rPr>
      </w:pPr>
      <w:r w:rsidRPr="0029042C">
        <w:rPr>
          <w:rFonts w:cs="Times New Roman"/>
        </w:rPr>
        <w:t>Tanveer, M.I. (2023) ‘Mapping the link between CSR and sustainability performance’, </w:t>
      </w:r>
      <w:r w:rsidRPr="0029042C">
        <w:rPr>
          <w:rFonts w:cs="Times New Roman"/>
          <w:i/>
          <w:iCs/>
        </w:rPr>
        <w:t>Journal of Cleaner Production</w:t>
      </w:r>
      <w:r w:rsidRPr="0029042C">
        <w:rPr>
          <w:rFonts w:cs="Times New Roman"/>
        </w:rPr>
        <w:t>(online). (Accessed: 14 October 2025).</w:t>
      </w:r>
    </w:p>
    <w:p w14:paraId="7C8BAA3A" w14:textId="77777777" w:rsidR="0029042C" w:rsidRPr="0029042C" w:rsidRDefault="00000000" w:rsidP="005F7F86">
      <w:pPr>
        <w:rPr>
          <w:rFonts w:cs="Times New Roman"/>
        </w:rPr>
      </w:pPr>
      <w:r w:rsidRPr="0029042C">
        <w:rPr>
          <w:rFonts w:cs="Times New Roman"/>
        </w:rPr>
        <w:t>The Guardian (2024) ‘Force companies to report their food waste, say leading UK retailers’, </w:t>
      </w:r>
      <w:r w:rsidRPr="0029042C">
        <w:rPr>
          <w:rFonts w:cs="Times New Roman"/>
          <w:i/>
          <w:iCs/>
        </w:rPr>
        <w:t>The Guardian</w:t>
      </w:r>
      <w:r w:rsidRPr="0029042C">
        <w:rPr>
          <w:rFonts w:cs="Times New Roman"/>
        </w:rPr>
        <w:t>, 29 September. Available at: </w:t>
      </w:r>
      <w:hyperlink r:id="rId37" w:tgtFrame="_new" w:history="1">
        <w:r w:rsidR="0029042C" w:rsidRPr="0029042C">
          <w:rPr>
            <w:rStyle w:val="Hyperlink"/>
            <w:rFonts w:cs="Times New Roman"/>
          </w:rPr>
          <w:t>https://www.theguardian.com/environment/2024/sep/29/force-companies-to-report-their-food-waste-say-leading-uk-retailers</w:t>
        </w:r>
      </w:hyperlink>
      <w:r w:rsidRPr="0029042C">
        <w:rPr>
          <w:rFonts w:cs="Times New Roman"/>
        </w:rPr>
        <w:t> (Accessed: 14 October 2025).</w:t>
      </w:r>
    </w:p>
    <w:p w14:paraId="150E79F2" w14:textId="77777777" w:rsidR="0029042C" w:rsidRPr="0029042C" w:rsidRDefault="00000000" w:rsidP="005F7F86">
      <w:pPr>
        <w:rPr>
          <w:rFonts w:cs="Times New Roman"/>
        </w:rPr>
      </w:pPr>
      <w:r w:rsidRPr="0029042C">
        <w:rPr>
          <w:rFonts w:cs="Times New Roman"/>
        </w:rPr>
        <w:lastRenderedPageBreak/>
        <w:t>Too Good To Go (2023) </w:t>
      </w:r>
      <w:r w:rsidRPr="0029042C">
        <w:rPr>
          <w:rFonts w:cs="Times New Roman"/>
          <w:i/>
          <w:iCs/>
        </w:rPr>
        <w:t>Impact Report 2023</w:t>
      </w:r>
      <w:r w:rsidRPr="0029042C">
        <w:rPr>
          <w:rFonts w:cs="Times New Roman"/>
        </w:rPr>
        <w:t>. Too Good To Go. Available at: </w:t>
      </w:r>
      <w:hyperlink r:id="rId38" w:tgtFrame="_new" w:history="1">
        <w:r w:rsidR="0029042C" w:rsidRPr="0029042C">
          <w:rPr>
            <w:rStyle w:val="Hyperlink"/>
            <w:rFonts w:cs="Times New Roman"/>
          </w:rPr>
          <w:t>https://www.toogoodtogo.com/en-us/impact-report-enus-2023</w:t>
        </w:r>
      </w:hyperlink>
      <w:r w:rsidRPr="0029042C">
        <w:rPr>
          <w:rFonts w:cs="Times New Roman"/>
        </w:rPr>
        <w:t> (Accessed: 14 October 2025).</w:t>
      </w:r>
    </w:p>
    <w:p w14:paraId="6768EA97" w14:textId="77777777" w:rsidR="0029042C" w:rsidRPr="0029042C" w:rsidRDefault="00000000" w:rsidP="005F7F86">
      <w:pPr>
        <w:rPr>
          <w:rFonts w:cs="Times New Roman"/>
        </w:rPr>
      </w:pPr>
      <w:r w:rsidRPr="0029042C">
        <w:rPr>
          <w:rFonts w:cs="Times New Roman"/>
        </w:rPr>
        <w:t>TripAdvisor (</w:t>
      </w:r>
      <w:r w:rsidRPr="005F7F86">
        <w:rPr>
          <w:rFonts w:cs="Times New Roman"/>
        </w:rPr>
        <w:t>2024</w:t>
      </w:r>
      <w:r w:rsidRPr="0029042C">
        <w:rPr>
          <w:rFonts w:cs="Times New Roman"/>
        </w:rPr>
        <w:t xml:space="preserve">). </w:t>
      </w:r>
      <w:r w:rsidRPr="0029042C">
        <w:rPr>
          <w:rFonts w:cs="Times New Roman"/>
          <w:i/>
          <w:iCs/>
        </w:rPr>
        <w:t>TripAdvisor Insights: Key research and user behaviour</w:t>
      </w:r>
      <w:r w:rsidRPr="0029042C">
        <w:rPr>
          <w:rFonts w:cs="Times New Roman"/>
        </w:rPr>
        <w:t>. Available at: </w:t>
      </w:r>
      <w:hyperlink r:id="rId39" w:tgtFrame="_new" w:history="1">
        <w:r w:rsidR="0029042C" w:rsidRPr="0029042C">
          <w:rPr>
            <w:rStyle w:val="Hyperlink"/>
            <w:rFonts w:cs="Times New Roman"/>
          </w:rPr>
          <w:t>https://www.tripadvisor.com/TripAdvisorInsights/key-research</w:t>
        </w:r>
      </w:hyperlink>
      <w:r w:rsidRPr="0029042C">
        <w:rPr>
          <w:rFonts w:cs="Times New Roman"/>
        </w:rPr>
        <w:t> (Accessed: 14 October 2025).</w:t>
      </w:r>
    </w:p>
    <w:p w14:paraId="3EFC8D1B" w14:textId="77777777" w:rsidR="0029042C" w:rsidRPr="0029042C" w:rsidRDefault="00000000" w:rsidP="005F7F86">
      <w:pPr>
        <w:rPr>
          <w:rFonts w:cs="Times New Roman"/>
        </w:rPr>
      </w:pPr>
      <w:r w:rsidRPr="0029042C">
        <w:rPr>
          <w:rFonts w:cs="Times New Roman"/>
        </w:rPr>
        <w:t>TripAdvisor (</w:t>
      </w:r>
      <w:r w:rsidRPr="005F7F86">
        <w:rPr>
          <w:rFonts w:cs="Times New Roman"/>
        </w:rPr>
        <w:t>2024</w:t>
      </w:r>
      <w:r w:rsidRPr="0029042C">
        <w:rPr>
          <w:rFonts w:cs="Times New Roman"/>
        </w:rPr>
        <w:t>) </w:t>
      </w:r>
      <w:r w:rsidRPr="0029042C">
        <w:rPr>
          <w:rFonts w:cs="Times New Roman"/>
          <w:i/>
          <w:iCs/>
        </w:rPr>
        <w:t>Mercure Thame Lambert Hotel — reviews</w:t>
      </w:r>
      <w:r w:rsidRPr="0029042C">
        <w:rPr>
          <w:rFonts w:cs="Times New Roman"/>
        </w:rPr>
        <w:t>. Available at: </w:t>
      </w:r>
      <w:hyperlink r:id="rId40" w:tgtFrame="_new" w:history="1">
        <w:r w:rsidR="0029042C" w:rsidRPr="0029042C">
          <w:rPr>
            <w:rStyle w:val="Hyperlink"/>
            <w:rFonts w:cs="Times New Roman"/>
          </w:rPr>
          <w:t>https://www.tripadvisor.com/Hotel_Review-g7983240-d1222570-Reviews-Mercure_Thame_Lambert_Hotel-Lewknor_Oxfordshire_England.html</w:t>
        </w:r>
      </w:hyperlink>
      <w:r w:rsidRPr="0029042C">
        <w:rPr>
          <w:rFonts w:cs="Times New Roman"/>
        </w:rPr>
        <w:t> (Accessed: 14 October 2025).</w:t>
      </w:r>
    </w:p>
    <w:p w14:paraId="79BE0E03" w14:textId="77777777" w:rsidR="0029042C" w:rsidRPr="0029042C" w:rsidRDefault="00000000" w:rsidP="005F7F86">
      <w:pPr>
        <w:rPr>
          <w:rFonts w:cs="Times New Roman"/>
        </w:rPr>
      </w:pPr>
      <w:r w:rsidRPr="0029042C">
        <w:rPr>
          <w:rFonts w:cs="Times New Roman"/>
        </w:rPr>
        <w:t>UKHospitality (</w:t>
      </w:r>
      <w:r w:rsidRPr="005F7F86">
        <w:rPr>
          <w:rFonts w:cs="Times New Roman"/>
        </w:rPr>
        <w:t>2024</w:t>
      </w:r>
      <w:r w:rsidRPr="0029042C">
        <w:rPr>
          <w:rFonts w:cs="Times New Roman"/>
        </w:rPr>
        <w:t>) </w:t>
      </w:r>
      <w:r w:rsidRPr="0029042C">
        <w:rPr>
          <w:rFonts w:cs="Times New Roman"/>
          <w:i/>
          <w:iCs/>
        </w:rPr>
        <w:t>Reducing food waste — guidance</w:t>
      </w:r>
      <w:r w:rsidRPr="0029042C">
        <w:rPr>
          <w:rFonts w:cs="Times New Roman"/>
        </w:rPr>
        <w:t>. UKHospitality. Available at: </w:t>
      </w:r>
      <w:hyperlink r:id="rId41" w:tgtFrame="_new" w:history="1">
        <w:r w:rsidR="0029042C" w:rsidRPr="0029042C">
          <w:rPr>
            <w:rStyle w:val="Hyperlink"/>
            <w:rFonts w:cs="Times New Roman"/>
          </w:rPr>
          <w:t>https://www.ukhospitality.org.uk/guidance/reducing-food-waste/</w:t>
        </w:r>
      </w:hyperlink>
      <w:r w:rsidRPr="0029042C">
        <w:rPr>
          <w:rFonts w:cs="Times New Roman"/>
        </w:rPr>
        <w:t> (Accessed: 14 October 2025).</w:t>
      </w:r>
    </w:p>
    <w:p w14:paraId="0B2C74B1" w14:textId="77777777" w:rsidR="0029042C" w:rsidRPr="0029042C" w:rsidRDefault="00000000" w:rsidP="005F7F86">
      <w:pPr>
        <w:rPr>
          <w:rFonts w:cs="Times New Roman"/>
        </w:rPr>
      </w:pPr>
      <w:r w:rsidRPr="0029042C">
        <w:rPr>
          <w:rFonts w:cs="Times New Roman"/>
        </w:rPr>
        <w:t>Vo, N.T. (2022) ‘Guest online review: An extraordinary focus on hotel performance’, </w:t>
      </w:r>
      <w:r w:rsidRPr="0029042C">
        <w:rPr>
          <w:rFonts w:cs="Times New Roman"/>
          <w:i/>
          <w:iCs/>
        </w:rPr>
        <w:t>Journal of Hospitality &amp; Tourism Research</w:t>
      </w:r>
      <w:r w:rsidRPr="0029042C">
        <w:rPr>
          <w:rFonts w:cs="Times New Roman"/>
        </w:rPr>
        <w:t> (online). (Accessed: 14 October 2025).</w:t>
      </w:r>
    </w:p>
    <w:p w14:paraId="4385577C" w14:textId="77777777" w:rsidR="0029042C" w:rsidRPr="0029042C" w:rsidRDefault="00000000" w:rsidP="005F7F86">
      <w:pPr>
        <w:rPr>
          <w:rFonts w:cs="Times New Roman"/>
        </w:rPr>
      </w:pPr>
      <w:r w:rsidRPr="0029042C">
        <w:rPr>
          <w:rFonts w:cs="Times New Roman"/>
        </w:rPr>
        <w:t>Winnow Solutions (</w:t>
      </w:r>
      <w:r w:rsidRPr="005F7F86">
        <w:rPr>
          <w:rFonts w:cs="Times New Roman"/>
        </w:rPr>
        <w:t>2024</w:t>
      </w:r>
      <w:r w:rsidRPr="0029042C">
        <w:rPr>
          <w:rFonts w:cs="Times New Roman"/>
        </w:rPr>
        <w:t xml:space="preserve">). </w:t>
      </w:r>
      <w:r w:rsidRPr="0029042C">
        <w:rPr>
          <w:rFonts w:cs="Times New Roman"/>
          <w:i/>
          <w:iCs/>
        </w:rPr>
        <w:t>Case studies and partnership materials</w:t>
      </w:r>
      <w:r w:rsidRPr="0029042C">
        <w:rPr>
          <w:rFonts w:cs="Times New Roman"/>
        </w:rPr>
        <w:t>. Available at: </w:t>
      </w:r>
      <w:hyperlink r:id="rId42" w:tgtFrame="_new" w:history="1">
        <w:r w:rsidR="0029042C" w:rsidRPr="0029042C">
          <w:rPr>
            <w:rStyle w:val="Hyperlink"/>
            <w:rFonts w:cs="Times New Roman"/>
          </w:rPr>
          <w:t>https://www.winnowsolutions.com/en/case-studies</w:t>
        </w:r>
      </w:hyperlink>
      <w:r w:rsidRPr="0029042C">
        <w:rPr>
          <w:rFonts w:cs="Times New Roman"/>
        </w:rPr>
        <w:t> (Accessed: 14 October 2025).</w:t>
      </w:r>
    </w:p>
    <w:p w14:paraId="6D79F7D3" w14:textId="77777777" w:rsidR="0029042C" w:rsidRPr="0029042C" w:rsidRDefault="00000000" w:rsidP="005F7F86">
      <w:pPr>
        <w:rPr>
          <w:rFonts w:cs="Times New Roman"/>
        </w:rPr>
      </w:pPr>
      <w:r w:rsidRPr="0029042C">
        <w:rPr>
          <w:rFonts w:cs="Times New Roman"/>
        </w:rPr>
        <w:t>WRAP (2024) </w:t>
      </w:r>
      <w:r w:rsidRPr="0029042C">
        <w:rPr>
          <w:rFonts w:cs="Times New Roman"/>
          <w:i/>
          <w:iCs/>
        </w:rPr>
        <w:t>The Food Waste Reduction Roadmap: Progress Update 2024</w:t>
      </w:r>
      <w:r w:rsidRPr="0029042C">
        <w:rPr>
          <w:rFonts w:cs="Times New Roman"/>
        </w:rPr>
        <w:t>. WRAP. Available at: </w:t>
      </w:r>
      <w:hyperlink r:id="rId43" w:tgtFrame="_new" w:history="1">
        <w:r w:rsidR="0029042C" w:rsidRPr="0029042C">
          <w:rPr>
            <w:rStyle w:val="Hyperlink"/>
            <w:rFonts w:cs="Times New Roman"/>
          </w:rPr>
          <w:t>https://www.wrap.ngo/resources/report/food-waste-reduction-roadmap-progress-update-2024</w:t>
        </w:r>
      </w:hyperlink>
      <w:r w:rsidRPr="0029042C">
        <w:rPr>
          <w:rFonts w:cs="Times New Roman"/>
        </w:rPr>
        <w:t> (Accessed: 14 October 2025).</w:t>
      </w:r>
    </w:p>
    <w:p w14:paraId="7B255A4D" w14:textId="77777777" w:rsidR="0029042C" w:rsidRPr="0029042C" w:rsidRDefault="00000000" w:rsidP="005F7F86">
      <w:pPr>
        <w:rPr>
          <w:rFonts w:cs="Times New Roman"/>
        </w:rPr>
      </w:pPr>
      <w:r w:rsidRPr="0029042C">
        <w:rPr>
          <w:rFonts w:cs="Times New Roman"/>
        </w:rPr>
        <w:t>WRAP (</w:t>
      </w:r>
      <w:r w:rsidRPr="005F7F86">
        <w:rPr>
          <w:rFonts w:cs="Times New Roman"/>
        </w:rPr>
        <w:t>2024</w:t>
      </w:r>
      <w:r w:rsidRPr="0029042C">
        <w:rPr>
          <w:rFonts w:cs="Times New Roman"/>
        </w:rPr>
        <w:t>) </w:t>
      </w:r>
      <w:r w:rsidRPr="0029042C">
        <w:rPr>
          <w:rFonts w:cs="Times New Roman"/>
          <w:i/>
          <w:iCs/>
        </w:rPr>
        <w:t>Hospitality and food service — WRAP</w:t>
      </w:r>
      <w:r w:rsidRPr="0029042C">
        <w:rPr>
          <w:rFonts w:cs="Times New Roman"/>
        </w:rPr>
        <w:t>. Available at: </w:t>
      </w:r>
      <w:hyperlink r:id="rId44" w:tgtFrame="_new" w:history="1">
        <w:r w:rsidR="0029042C" w:rsidRPr="0029042C">
          <w:rPr>
            <w:rStyle w:val="Hyperlink"/>
            <w:rFonts w:cs="Times New Roman"/>
          </w:rPr>
          <w:t>https://www.wrap.ngo/sectors/hospitality-food-service</w:t>
        </w:r>
      </w:hyperlink>
      <w:r w:rsidRPr="0029042C">
        <w:rPr>
          <w:rFonts w:cs="Times New Roman"/>
        </w:rPr>
        <w:t> (Accessed: 14 October 2025).</w:t>
      </w:r>
    </w:p>
    <w:p w14:paraId="63063787" w14:textId="77777777" w:rsidR="0029042C" w:rsidRPr="0029042C" w:rsidRDefault="00000000" w:rsidP="005F7F86">
      <w:pPr>
        <w:rPr>
          <w:rFonts w:cs="Times New Roman"/>
        </w:rPr>
      </w:pPr>
      <w:r w:rsidRPr="0029042C">
        <w:rPr>
          <w:rFonts w:cs="Times New Roman"/>
        </w:rPr>
        <w:t>Xiang, Z., Du, Q., Ma, Y. and Fan, W. (2017) ‘A comparative analysis of major online review platforms’, </w:t>
      </w:r>
      <w:r w:rsidRPr="0029042C">
        <w:rPr>
          <w:rFonts w:cs="Times New Roman"/>
          <w:i/>
          <w:iCs/>
        </w:rPr>
        <w:t>Tourism Management</w:t>
      </w:r>
      <w:r w:rsidRPr="0029042C">
        <w:rPr>
          <w:rFonts w:cs="Times New Roman"/>
        </w:rPr>
        <w:t>, 58, pp. 51–65.</w:t>
      </w:r>
    </w:p>
    <w:p w14:paraId="008D241E" w14:textId="77777777" w:rsidR="0029042C" w:rsidRPr="0029042C" w:rsidRDefault="00000000" w:rsidP="005F7F86">
      <w:pPr>
        <w:rPr>
          <w:rFonts w:cs="Times New Roman"/>
        </w:rPr>
      </w:pPr>
      <w:r w:rsidRPr="0029042C">
        <w:rPr>
          <w:rFonts w:cs="Times New Roman"/>
        </w:rPr>
        <w:t>Xu, X. (2015) ‘Influence of sustainable hospitality supply chain practices on customer outcomes’, </w:t>
      </w:r>
      <w:r w:rsidRPr="0029042C">
        <w:rPr>
          <w:rFonts w:cs="Times New Roman"/>
          <w:i/>
          <w:iCs/>
        </w:rPr>
        <w:t>International Journal of Hospitality Management</w:t>
      </w:r>
      <w:r w:rsidRPr="0029042C">
        <w:rPr>
          <w:rFonts w:cs="Times New Roman"/>
        </w:rPr>
        <w:t> (online). (Accessed: 14 October 2025).</w:t>
      </w:r>
    </w:p>
    <w:p w14:paraId="41AF3FDB" w14:textId="77777777" w:rsidR="0029042C" w:rsidRPr="0029042C" w:rsidRDefault="00000000" w:rsidP="005F7F86">
      <w:pPr>
        <w:rPr>
          <w:rFonts w:cs="Times New Roman"/>
        </w:rPr>
      </w:pPr>
      <w:r w:rsidRPr="0029042C">
        <w:rPr>
          <w:rFonts w:cs="Times New Roman"/>
        </w:rPr>
        <w:t>Yang, J. (2024) ‘Predicting guest satisfaction and willingness to pay for green hotels’, </w:t>
      </w:r>
      <w:r w:rsidRPr="0029042C">
        <w:rPr>
          <w:rFonts w:cs="Times New Roman"/>
          <w:i/>
          <w:iCs/>
        </w:rPr>
        <w:t>Humanities and Social Sciences Communications</w:t>
      </w:r>
      <w:r w:rsidRPr="0029042C">
        <w:rPr>
          <w:rFonts w:cs="Times New Roman"/>
        </w:rPr>
        <w:t> (online). (Accessed: 14 October 2025).</w:t>
      </w:r>
    </w:p>
    <w:p w14:paraId="7B318DCC" w14:textId="77777777" w:rsidR="0029042C" w:rsidRPr="005F7F86" w:rsidRDefault="0029042C" w:rsidP="005F7F86">
      <w:pPr>
        <w:rPr>
          <w:rFonts w:cs="Times New Roman"/>
        </w:rPr>
      </w:pPr>
    </w:p>
    <w:p w14:paraId="3719BD3A" w14:textId="77777777" w:rsidR="005F7F86" w:rsidRPr="005F7F86" w:rsidRDefault="005F7F86" w:rsidP="005F7F86">
      <w:pPr>
        <w:rPr>
          <w:rFonts w:cs="Times New Roman"/>
        </w:rPr>
      </w:pPr>
    </w:p>
    <w:sectPr w:rsidR="005F7F86" w:rsidRPr="005F7F86" w:rsidSect="005F7F86">
      <w:footerReference w:type="even" r:id="rId45"/>
      <w:footerReference w:type="default" r:id="rId4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AA44C" w14:textId="77777777" w:rsidR="000B3FBE" w:rsidRDefault="000B3FBE">
      <w:pPr>
        <w:spacing w:line="240" w:lineRule="auto"/>
      </w:pPr>
      <w:r>
        <w:separator/>
      </w:r>
    </w:p>
  </w:endnote>
  <w:endnote w:type="continuationSeparator" w:id="0">
    <w:p w14:paraId="51FB72E5" w14:textId="77777777" w:rsidR="000B3FBE" w:rsidRDefault="000B3F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60615361"/>
      <w:docPartObj>
        <w:docPartGallery w:val="Page Numbers (Bottom of Page)"/>
        <w:docPartUnique/>
      </w:docPartObj>
    </w:sdtPr>
    <w:sdtContent>
      <w:p w14:paraId="54A83599" w14:textId="77777777" w:rsidR="005F7F86" w:rsidRDefault="00000000" w:rsidP="004674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41D1E73" w14:textId="77777777" w:rsidR="005F7F86" w:rsidRDefault="005F7F86" w:rsidP="005F7F8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79603056"/>
      <w:docPartObj>
        <w:docPartGallery w:val="Page Numbers (Bottom of Page)"/>
        <w:docPartUnique/>
      </w:docPartObj>
    </w:sdtPr>
    <w:sdtContent>
      <w:p w14:paraId="59498186" w14:textId="77777777" w:rsidR="005F7F86" w:rsidRDefault="00000000" w:rsidP="004674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3FAE165" w14:textId="77777777" w:rsidR="005F7F86" w:rsidRDefault="005F7F86" w:rsidP="005F7F8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DFFB4E" w14:textId="77777777" w:rsidR="000B3FBE" w:rsidRDefault="000B3FBE">
      <w:pPr>
        <w:spacing w:line="240" w:lineRule="auto"/>
      </w:pPr>
      <w:r>
        <w:separator/>
      </w:r>
    </w:p>
  </w:footnote>
  <w:footnote w:type="continuationSeparator" w:id="0">
    <w:p w14:paraId="62E9ED6D" w14:textId="77777777" w:rsidR="000B3FBE" w:rsidRDefault="000B3F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21B71"/>
    <w:multiLevelType w:val="multilevel"/>
    <w:tmpl w:val="D0F4AF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E75E09"/>
    <w:multiLevelType w:val="hybridMultilevel"/>
    <w:tmpl w:val="83000680"/>
    <w:lvl w:ilvl="0" w:tplc="04DA9F00">
      <w:start w:val="1"/>
      <w:numFmt w:val="decimal"/>
      <w:lvlText w:val="%1."/>
      <w:lvlJc w:val="left"/>
      <w:pPr>
        <w:ind w:left="360" w:hanging="360"/>
      </w:pPr>
    </w:lvl>
    <w:lvl w:ilvl="1" w:tplc="5C048FC6" w:tentative="1">
      <w:start w:val="1"/>
      <w:numFmt w:val="lowerLetter"/>
      <w:lvlText w:val="%2."/>
      <w:lvlJc w:val="left"/>
      <w:pPr>
        <w:ind w:left="1440" w:hanging="360"/>
      </w:pPr>
    </w:lvl>
    <w:lvl w:ilvl="2" w:tplc="3D1604AA" w:tentative="1">
      <w:start w:val="1"/>
      <w:numFmt w:val="lowerRoman"/>
      <w:lvlText w:val="%3."/>
      <w:lvlJc w:val="right"/>
      <w:pPr>
        <w:ind w:left="2160" w:hanging="180"/>
      </w:pPr>
    </w:lvl>
    <w:lvl w:ilvl="3" w:tplc="3C20ECD8" w:tentative="1">
      <w:start w:val="1"/>
      <w:numFmt w:val="decimal"/>
      <w:lvlText w:val="%4."/>
      <w:lvlJc w:val="left"/>
      <w:pPr>
        <w:ind w:left="2880" w:hanging="360"/>
      </w:pPr>
    </w:lvl>
    <w:lvl w:ilvl="4" w:tplc="9B161EBC" w:tentative="1">
      <w:start w:val="1"/>
      <w:numFmt w:val="lowerLetter"/>
      <w:lvlText w:val="%5."/>
      <w:lvlJc w:val="left"/>
      <w:pPr>
        <w:ind w:left="3600" w:hanging="360"/>
      </w:pPr>
    </w:lvl>
    <w:lvl w:ilvl="5" w:tplc="7DF0E076" w:tentative="1">
      <w:start w:val="1"/>
      <w:numFmt w:val="lowerRoman"/>
      <w:lvlText w:val="%6."/>
      <w:lvlJc w:val="right"/>
      <w:pPr>
        <w:ind w:left="4320" w:hanging="180"/>
      </w:pPr>
    </w:lvl>
    <w:lvl w:ilvl="6" w:tplc="D0D87A3C" w:tentative="1">
      <w:start w:val="1"/>
      <w:numFmt w:val="decimal"/>
      <w:lvlText w:val="%7."/>
      <w:lvlJc w:val="left"/>
      <w:pPr>
        <w:ind w:left="5040" w:hanging="360"/>
      </w:pPr>
    </w:lvl>
    <w:lvl w:ilvl="7" w:tplc="ECBCA57A" w:tentative="1">
      <w:start w:val="1"/>
      <w:numFmt w:val="lowerLetter"/>
      <w:lvlText w:val="%8."/>
      <w:lvlJc w:val="left"/>
      <w:pPr>
        <w:ind w:left="5760" w:hanging="360"/>
      </w:pPr>
    </w:lvl>
    <w:lvl w:ilvl="8" w:tplc="B636D056" w:tentative="1">
      <w:start w:val="1"/>
      <w:numFmt w:val="lowerRoman"/>
      <w:lvlText w:val="%9."/>
      <w:lvlJc w:val="right"/>
      <w:pPr>
        <w:ind w:left="6480" w:hanging="180"/>
      </w:pPr>
    </w:lvl>
  </w:abstractNum>
  <w:abstractNum w:abstractNumId="2" w15:restartNumberingAfterBreak="0">
    <w:nsid w:val="0BA57671"/>
    <w:multiLevelType w:val="multilevel"/>
    <w:tmpl w:val="4ACCC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D45885"/>
    <w:multiLevelType w:val="multilevel"/>
    <w:tmpl w:val="65889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BF4230"/>
    <w:multiLevelType w:val="multilevel"/>
    <w:tmpl w:val="B876F83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105E138E"/>
    <w:multiLevelType w:val="multilevel"/>
    <w:tmpl w:val="AC34EE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905389"/>
    <w:multiLevelType w:val="hybridMultilevel"/>
    <w:tmpl w:val="065EC57C"/>
    <w:lvl w:ilvl="0" w:tplc="9A9E36CA">
      <w:start w:val="1"/>
      <w:numFmt w:val="decimal"/>
      <w:lvlText w:val="%1."/>
      <w:lvlJc w:val="left"/>
      <w:pPr>
        <w:ind w:left="360" w:hanging="360"/>
      </w:pPr>
    </w:lvl>
    <w:lvl w:ilvl="1" w:tplc="44BEA208" w:tentative="1">
      <w:start w:val="1"/>
      <w:numFmt w:val="lowerLetter"/>
      <w:lvlText w:val="%2."/>
      <w:lvlJc w:val="left"/>
      <w:pPr>
        <w:ind w:left="1080" w:hanging="360"/>
      </w:pPr>
    </w:lvl>
    <w:lvl w:ilvl="2" w:tplc="8EB2C154" w:tentative="1">
      <w:start w:val="1"/>
      <w:numFmt w:val="lowerRoman"/>
      <w:lvlText w:val="%3."/>
      <w:lvlJc w:val="right"/>
      <w:pPr>
        <w:ind w:left="1800" w:hanging="180"/>
      </w:pPr>
    </w:lvl>
    <w:lvl w:ilvl="3" w:tplc="2FA64F38" w:tentative="1">
      <w:start w:val="1"/>
      <w:numFmt w:val="decimal"/>
      <w:lvlText w:val="%4."/>
      <w:lvlJc w:val="left"/>
      <w:pPr>
        <w:ind w:left="2520" w:hanging="360"/>
      </w:pPr>
    </w:lvl>
    <w:lvl w:ilvl="4" w:tplc="9F285440" w:tentative="1">
      <w:start w:val="1"/>
      <w:numFmt w:val="lowerLetter"/>
      <w:lvlText w:val="%5."/>
      <w:lvlJc w:val="left"/>
      <w:pPr>
        <w:ind w:left="3240" w:hanging="360"/>
      </w:pPr>
    </w:lvl>
    <w:lvl w:ilvl="5" w:tplc="AEE4D6EA" w:tentative="1">
      <w:start w:val="1"/>
      <w:numFmt w:val="lowerRoman"/>
      <w:lvlText w:val="%6."/>
      <w:lvlJc w:val="right"/>
      <w:pPr>
        <w:ind w:left="3960" w:hanging="180"/>
      </w:pPr>
    </w:lvl>
    <w:lvl w:ilvl="6" w:tplc="74D80146" w:tentative="1">
      <w:start w:val="1"/>
      <w:numFmt w:val="decimal"/>
      <w:lvlText w:val="%7."/>
      <w:lvlJc w:val="left"/>
      <w:pPr>
        <w:ind w:left="4680" w:hanging="360"/>
      </w:pPr>
    </w:lvl>
    <w:lvl w:ilvl="7" w:tplc="1D5E0BD8" w:tentative="1">
      <w:start w:val="1"/>
      <w:numFmt w:val="lowerLetter"/>
      <w:lvlText w:val="%8."/>
      <w:lvlJc w:val="left"/>
      <w:pPr>
        <w:ind w:left="5400" w:hanging="360"/>
      </w:pPr>
    </w:lvl>
    <w:lvl w:ilvl="8" w:tplc="C9380E58" w:tentative="1">
      <w:start w:val="1"/>
      <w:numFmt w:val="lowerRoman"/>
      <w:lvlText w:val="%9."/>
      <w:lvlJc w:val="right"/>
      <w:pPr>
        <w:ind w:left="6120" w:hanging="180"/>
      </w:pPr>
    </w:lvl>
  </w:abstractNum>
  <w:abstractNum w:abstractNumId="7" w15:restartNumberingAfterBreak="0">
    <w:nsid w:val="22AF42E6"/>
    <w:multiLevelType w:val="multilevel"/>
    <w:tmpl w:val="4AF288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B53EDA"/>
    <w:multiLevelType w:val="multilevel"/>
    <w:tmpl w:val="FBDA6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FD585C"/>
    <w:multiLevelType w:val="multilevel"/>
    <w:tmpl w:val="22660D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1A749F"/>
    <w:multiLevelType w:val="multilevel"/>
    <w:tmpl w:val="77F6BE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18C6A97"/>
    <w:multiLevelType w:val="multilevel"/>
    <w:tmpl w:val="F3824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D944A0"/>
    <w:multiLevelType w:val="multilevel"/>
    <w:tmpl w:val="F78C5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5413A3"/>
    <w:multiLevelType w:val="multilevel"/>
    <w:tmpl w:val="ED3CA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711C15"/>
    <w:multiLevelType w:val="multilevel"/>
    <w:tmpl w:val="F0325F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EBB426A"/>
    <w:multiLevelType w:val="multilevel"/>
    <w:tmpl w:val="3EC45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025ED1"/>
    <w:multiLevelType w:val="multilevel"/>
    <w:tmpl w:val="9FA2B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1430710">
    <w:abstractNumId w:val="12"/>
  </w:num>
  <w:num w:numId="2" w16cid:durableId="1931816565">
    <w:abstractNumId w:val="2"/>
  </w:num>
  <w:num w:numId="3" w16cid:durableId="198519460">
    <w:abstractNumId w:val="15"/>
  </w:num>
  <w:num w:numId="4" w16cid:durableId="1055590037">
    <w:abstractNumId w:val="5"/>
  </w:num>
  <w:num w:numId="5" w16cid:durableId="1008092533">
    <w:abstractNumId w:val="7"/>
  </w:num>
  <w:num w:numId="6" w16cid:durableId="1900558200">
    <w:abstractNumId w:val="14"/>
  </w:num>
  <w:num w:numId="7" w16cid:durableId="1323042834">
    <w:abstractNumId w:val="9"/>
  </w:num>
  <w:num w:numId="8" w16cid:durableId="1363900154">
    <w:abstractNumId w:val="10"/>
  </w:num>
  <w:num w:numId="9" w16cid:durableId="925043335">
    <w:abstractNumId w:val="8"/>
  </w:num>
  <w:num w:numId="10" w16cid:durableId="1084958804">
    <w:abstractNumId w:val="0"/>
  </w:num>
  <w:num w:numId="11" w16cid:durableId="441656322">
    <w:abstractNumId w:val="6"/>
  </w:num>
  <w:num w:numId="12" w16cid:durableId="2105148172">
    <w:abstractNumId w:val="1"/>
  </w:num>
  <w:num w:numId="13" w16cid:durableId="726605320">
    <w:abstractNumId w:val="4"/>
  </w:num>
  <w:num w:numId="14" w16cid:durableId="204408851">
    <w:abstractNumId w:val="13"/>
  </w:num>
  <w:num w:numId="15" w16cid:durableId="1211460451">
    <w:abstractNumId w:val="16"/>
  </w:num>
  <w:num w:numId="16" w16cid:durableId="2064329038">
    <w:abstractNumId w:val="3"/>
  </w:num>
  <w:num w:numId="17" w16cid:durableId="94476744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05F"/>
    <w:rsid w:val="000243AB"/>
    <w:rsid w:val="00084CA4"/>
    <w:rsid w:val="000B3FBE"/>
    <w:rsid w:val="00185BB4"/>
    <w:rsid w:val="001A44CA"/>
    <w:rsid w:val="0029042C"/>
    <w:rsid w:val="0031260B"/>
    <w:rsid w:val="00320B89"/>
    <w:rsid w:val="003A6434"/>
    <w:rsid w:val="003C4C30"/>
    <w:rsid w:val="0046746A"/>
    <w:rsid w:val="004F61F7"/>
    <w:rsid w:val="00576298"/>
    <w:rsid w:val="005F7F86"/>
    <w:rsid w:val="00671481"/>
    <w:rsid w:val="00671BDF"/>
    <w:rsid w:val="00695DAC"/>
    <w:rsid w:val="006B0FAA"/>
    <w:rsid w:val="006C505F"/>
    <w:rsid w:val="0071118B"/>
    <w:rsid w:val="007227CC"/>
    <w:rsid w:val="007444EF"/>
    <w:rsid w:val="00772430"/>
    <w:rsid w:val="007E690A"/>
    <w:rsid w:val="008A28DD"/>
    <w:rsid w:val="00A55FEC"/>
    <w:rsid w:val="00A70EBD"/>
    <w:rsid w:val="00D0055F"/>
    <w:rsid w:val="00DD7C1A"/>
    <w:rsid w:val="00E6079C"/>
    <w:rsid w:val="00E77848"/>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C54AE"/>
  <w15:chartTrackingRefBased/>
  <w15:docId w15:val="{0514D1CB-7BDA-834A-A222-F6D4FAFAC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 w:eastAsia="en-US" w:bidi="bn-IN"/>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430"/>
    <w:rPr>
      <w:rFonts w:ascii="Times New Roman" w:hAnsi="Times New Roman" w:cs="Vrinda"/>
      <w:lang w:val="en-GB"/>
    </w:rPr>
  </w:style>
  <w:style w:type="paragraph" w:styleId="Heading1">
    <w:name w:val="heading 1"/>
    <w:basedOn w:val="Normal"/>
    <w:next w:val="Normal"/>
    <w:link w:val="Heading1Char"/>
    <w:autoRedefine/>
    <w:uiPriority w:val="9"/>
    <w:qFormat/>
    <w:rsid w:val="000243AB"/>
    <w:pPr>
      <w:keepNext/>
      <w:keepLines/>
      <w:spacing w:before="24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9"/>
    <w:unhideWhenUsed/>
    <w:qFormat/>
    <w:rsid w:val="005F7F86"/>
    <w:pPr>
      <w:keepNext/>
      <w:keepLines/>
      <w:spacing w:before="40"/>
      <w:outlineLvl w:val="1"/>
    </w:pPr>
    <w:rPr>
      <w:rFonts w:eastAsiaTheme="majorEastAsia" w:cstheme="majorBidi"/>
      <w:b/>
      <w:sz w:val="30"/>
      <w:szCs w:val="33"/>
    </w:rPr>
  </w:style>
  <w:style w:type="paragraph" w:styleId="Heading3">
    <w:name w:val="heading 3"/>
    <w:basedOn w:val="Normal"/>
    <w:next w:val="Normal"/>
    <w:link w:val="Heading3Char"/>
    <w:uiPriority w:val="9"/>
    <w:unhideWhenUsed/>
    <w:qFormat/>
    <w:rsid w:val="008A28DD"/>
    <w:pPr>
      <w:keepNext/>
      <w:keepLines/>
      <w:spacing w:before="40"/>
      <w:outlineLvl w:val="2"/>
    </w:pPr>
    <w:rPr>
      <w:rFonts w:eastAsiaTheme="majorEastAsia" w:cstheme="majorBidi"/>
      <w:b/>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185BB4"/>
    <w:rPr>
      <w:rFonts w:ascii="Times New Roman" w:hAnsi="Times New Roman" w:cs="Vrinda"/>
      <w:color w:val="2F5496" w:themeColor="accent1" w:themeShade="BF"/>
      <w:sz w:val="32"/>
    </w:rPr>
  </w:style>
  <w:style w:type="character" w:customStyle="1" w:styleId="Heading1Char">
    <w:name w:val="Heading 1 Char"/>
    <w:basedOn w:val="DefaultParagraphFont"/>
    <w:link w:val="Heading1"/>
    <w:uiPriority w:val="9"/>
    <w:rsid w:val="000243AB"/>
    <w:rPr>
      <w:rFonts w:ascii="Times New Roman" w:eastAsiaTheme="majorEastAsia" w:hAnsi="Times New Roman" w:cstheme="majorBidi"/>
      <w:b/>
      <w:color w:val="2F5496" w:themeColor="accent1" w:themeShade="BF"/>
      <w:sz w:val="32"/>
      <w:szCs w:val="40"/>
      <w:lang w:val="en-GB"/>
    </w:rPr>
  </w:style>
  <w:style w:type="character" w:customStyle="1" w:styleId="Heading2Char">
    <w:name w:val="Heading 2 Char"/>
    <w:basedOn w:val="DefaultParagraphFont"/>
    <w:link w:val="Heading2"/>
    <w:uiPriority w:val="9"/>
    <w:rsid w:val="005F7F86"/>
    <w:rPr>
      <w:rFonts w:ascii="Times New Roman" w:eastAsiaTheme="majorEastAsia" w:hAnsi="Times New Roman" w:cstheme="majorBidi"/>
      <w:b/>
      <w:sz w:val="30"/>
      <w:szCs w:val="33"/>
      <w:lang w:val="en-GB"/>
    </w:rPr>
  </w:style>
  <w:style w:type="paragraph" w:styleId="TOC1">
    <w:name w:val="toc 1"/>
    <w:basedOn w:val="Normal"/>
    <w:next w:val="Normal"/>
    <w:autoRedefine/>
    <w:uiPriority w:val="39"/>
    <w:unhideWhenUsed/>
    <w:rsid w:val="003A6434"/>
    <w:pPr>
      <w:spacing w:before="120" w:after="120"/>
      <w:jc w:val="left"/>
    </w:pPr>
    <w:rPr>
      <w:rFonts w:asciiTheme="minorHAnsi" w:hAnsiTheme="minorHAnsi"/>
      <w:b/>
      <w:bCs/>
      <w:caps/>
      <w:sz w:val="20"/>
      <w:szCs w:val="20"/>
    </w:rPr>
  </w:style>
  <w:style w:type="character" w:customStyle="1" w:styleId="Heading3Char">
    <w:name w:val="Heading 3 Char"/>
    <w:basedOn w:val="DefaultParagraphFont"/>
    <w:link w:val="Heading3"/>
    <w:uiPriority w:val="9"/>
    <w:rsid w:val="008A28DD"/>
    <w:rPr>
      <w:rFonts w:ascii="Times New Roman" w:eastAsiaTheme="majorEastAsia" w:hAnsi="Times New Roman" w:cstheme="majorBidi"/>
      <w:b/>
      <w:sz w:val="26"/>
      <w:lang w:val="en-GB"/>
    </w:rPr>
  </w:style>
  <w:style w:type="character" w:styleId="Hyperlink">
    <w:name w:val="Hyperlink"/>
    <w:basedOn w:val="DefaultParagraphFont"/>
    <w:uiPriority w:val="99"/>
    <w:unhideWhenUsed/>
    <w:rsid w:val="006C505F"/>
    <w:rPr>
      <w:color w:val="0563C1" w:themeColor="hyperlink"/>
      <w:u w:val="single"/>
    </w:rPr>
  </w:style>
  <w:style w:type="character" w:styleId="UnresolvedMention">
    <w:name w:val="Unresolved Mention"/>
    <w:basedOn w:val="DefaultParagraphFont"/>
    <w:uiPriority w:val="99"/>
    <w:semiHidden/>
    <w:unhideWhenUsed/>
    <w:rsid w:val="006C505F"/>
    <w:rPr>
      <w:color w:val="605E5C"/>
      <w:shd w:val="clear" w:color="auto" w:fill="E1DFDD"/>
    </w:rPr>
  </w:style>
  <w:style w:type="character" w:customStyle="1" w:styleId="ListParagraphChar">
    <w:name w:val="List Paragraph Char"/>
    <w:link w:val="ListParagraph"/>
    <w:uiPriority w:val="34"/>
    <w:locked/>
    <w:rsid w:val="006C505F"/>
  </w:style>
  <w:style w:type="paragraph" w:styleId="ListParagraph">
    <w:name w:val="List Paragraph"/>
    <w:basedOn w:val="Normal"/>
    <w:link w:val="ListParagraphChar"/>
    <w:uiPriority w:val="34"/>
    <w:qFormat/>
    <w:rsid w:val="006C505F"/>
    <w:pPr>
      <w:spacing w:line="240" w:lineRule="auto"/>
      <w:ind w:left="720"/>
      <w:contextualSpacing/>
      <w:jc w:val="left"/>
    </w:pPr>
    <w:rPr>
      <w:rFonts w:asciiTheme="minorHAnsi" w:hAnsiTheme="minorHAnsi" w:cstheme="minorBidi"/>
      <w:lang w:val=""/>
    </w:rPr>
  </w:style>
  <w:style w:type="table" w:styleId="TableGrid">
    <w:name w:val="Table Grid"/>
    <w:basedOn w:val="TableNormal"/>
    <w:uiPriority w:val="39"/>
    <w:rsid w:val="008A28D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9042C"/>
    <w:rPr>
      <w:color w:val="954F72" w:themeColor="followedHyperlink"/>
      <w:u w:val="single"/>
    </w:rPr>
  </w:style>
  <w:style w:type="paragraph" w:customStyle="1" w:styleId="p1">
    <w:name w:val="p1"/>
    <w:basedOn w:val="Normal"/>
    <w:rsid w:val="005F7F86"/>
    <w:pPr>
      <w:spacing w:line="240" w:lineRule="auto"/>
      <w:jc w:val="left"/>
    </w:pPr>
    <w:rPr>
      <w:rFonts w:ascii="Arial" w:eastAsia="Times New Roman" w:hAnsi="Arial" w:cs="Arial"/>
      <w:color w:val="000000"/>
      <w:kern w:val="0"/>
      <w:sz w:val="26"/>
      <w:szCs w:val="26"/>
      <w:lang w:val="" w:eastAsia="en-GB"/>
      <w14:ligatures w14:val="none"/>
    </w:rPr>
  </w:style>
  <w:style w:type="paragraph" w:customStyle="1" w:styleId="p2">
    <w:name w:val="p2"/>
    <w:basedOn w:val="Normal"/>
    <w:rsid w:val="005F7F86"/>
    <w:pPr>
      <w:spacing w:line="240" w:lineRule="auto"/>
      <w:jc w:val="left"/>
    </w:pPr>
    <w:rPr>
      <w:rFonts w:ascii="Arial" w:eastAsia="Times New Roman" w:hAnsi="Arial" w:cs="Arial"/>
      <w:color w:val="000000"/>
      <w:kern w:val="0"/>
      <w:sz w:val="27"/>
      <w:szCs w:val="27"/>
      <w:lang w:val="" w:eastAsia="en-GB"/>
      <w14:ligatures w14:val="none"/>
    </w:rPr>
  </w:style>
  <w:style w:type="paragraph" w:styleId="Footer">
    <w:name w:val="footer"/>
    <w:basedOn w:val="Normal"/>
    <w:link w:val="FooterChar"/>
    <w:uiPriority w:val="99"/>
    <w:unhideWhenUsed/>
    <w:rsid w:val="005F7F86"/>
    <w:pPr>
      <w:tabs>
        <w:tab w:val="center" w:pos="4513"/>
        <w:tab w:val="right" w:pos="9026"/>
      </w:tabs>
      <w:spacing w:line="240" w:lineRule="auto"/>
    </w:pPr>
  </w:style>
  <w:style w:type="character" w:customStyle="1" w:styleId="FooterChar">
    <w:name w:val="Footer Char"/>
    <w:basedOn w:val="DefaultParagraphFont"/>
    <w:link w:val="Footer"/>
    <w:uiPriority w:val="99"/>
    <w:rsid w:val="005F7F86"/>
    <w:rPr>
      <w:rFonts w:ascii="Times New Roman" w:hAnsi="Times New Roman" w:cs="Vrinda"/>
      <w:lang w:val="en-GB"/>
    </w:rPr>
  </w:style>
  <w:style w:type="character" w:styleId="PageNumber">
    <w:name w:val="page number"/>
    <w:basedOn w:val="DefaultParagraphFont"/>
    <w:uiPriority w:val="99"/>
    <w:semiHidden/>
    <w:unhideWhenUsed/>
    <w:rsid w:val="005F7F86"/>
  </w:style>
  <w:style w:type="paragraph" w:styleId="TOCHeading">
    <w:name w:val="TOC Heading"/>
    <w:basedOn w:val="Heading1"/>
    <w:next w:val="Normal"/>
    <w:uiPriority w:val="39"/>
    <w:unhideWhenUsed/>
    <w:qFormat/>
    <w:rsid w:val="005F7F86"/>
    <w:pPr>
      <w:spacing w:before="480" w:line="276" w:lineRule="auto"/>
      <w:jc w:val="left"/>
      <w:outlineLvl w:val="9"/>
    </w:pPr>
    <w:rPr>
      <w:rFonts w:asciiTheme="majorHAnsi" w:hAnsiTheme="majorHAnsi"/>
      <w:bCs/>
      <w:kern w:val="0"/>
      <w:sz w:val="28"/>
      <w:szCs w:val="28"/>
      <w:lang w:val="en-US" w:bidi="ar-SA"/>
      <w14:ligatures w14:val="none"/>
    </w:rPr>
  </w:style>
  <w:style w:type="paragraph" w:styleId="TOC2">
    <w:name w:val="toc 2"/>
    <w:basedOn w:val="Normal"/>
    <w:next w:val="Normal"/>
    <w:autoRedefine/>
    <w:uiPriority w:val="39"/>
    <w:unhideWhenUsed/>
    <w:rsid w:val="005F7F86"/>
    <w:pPr>
      <w:ind w:left="240"/>
      <w:jc w:val="left"/>
    </w:pPr>
    <w:rPr>
      <w:rFonts w:asciiTheme="minorHAnsi" w:hAnsiTheme="minorHAnsi"/>
      <w:smallCaps/>
      <w:sz w:val="20"/>
      <w:szCs w:val="20"/>
    </w:rPr>
  </w:style>
  <w:style w:type="paragraph" w:styleId="TOC3">
    <w:name w:val="toc 3"/>
    <w:basedOn w:val="Normal"/>
    <w:next w:val="Normal"/>
    <w:autoRedefine/>
    <w:uiPriority w:val="39"/>
    <w:unhideWhenUsed/>
    <w:rsid w:val="005F7F86"/>
    <w:pPr>
      <w:ind w:left="480"/>
      <w:jc w:val="left"/>
    </w:pPr>
    <w:rPr>
      <w:rFonts w:asciiTheme="minorHAnsi" w:hAnsiTheme="minorHAnsi"/>
      <w:i/>
      <w:iCs/>
      <w:sz w:val="20"/>
      <w:szCs w:val="20"/>
    </w:rPr>
  </w:style>
  <w:style w:type="paragraph" w:styleId="TOC4">
    <w:name w:val="toc 4"/>
    <w:basedOn w:val="Normal"/>
    <w:next w:val="Normal"/>
    <w:autoRedefine/>
    <w:uiPriority w:val="39"/>
    <w:semiHidden/>
    <w:unhideWhenUsed/>
    <w:rsid w:val="005F7F86"/>
    <w:pPr>
      <w:ind w:left="720"/>
      <w:jc w:val="left"/>
    </w:pPr>
    <w:rPr>
      <w:rFonts w:asciiTheme="minorHAnsi" w:hAnsiTheme="minorHAnsi"/>
      <w:sz w:val="18"/>
      <w:szCs w:val="18"/>
    </w:rPr>
  </w:style>
  <w:style w:type="paragraph" w:styleId="TOC5">
    <w:name w:val="toc 5"/>
    <w:basedOn w:val="Normal"/>
    <w:next w:val="Normal"/>
    <w:autoRedefine/>
    <w:uiPriority w:val="39"/>
    <w:semiHidden/>
    <w:unhideWhenUsed/>
    <w:rsid w:val="005F7F86"/>
    <w:pPr>
      <w:ind w:left="960"/>
      <w:jc w:val="left"/>
    </w:pPr>
    <w:rPr>
      <w:rFonts w:asciiTheme="minorHAnsi" w:hAnsiTheme="minorHAnsi"/>
      <w:sz w:val="18"/>
      <w:szCs w:val="18"/>
    </w:rPr>
  </w:style>
  <w:style w:type="paragraph" w:styleId="TOC6">
    <w:name w:val="toc 6"/>
    <w:basedOn w:val="Normal"/>
    <w:next w:val="Normal"/>
    <w:autoRedefine/>
    <w:uiPriority w:val="39"/>
    <w:semiHidden/>
    <w:unhideWhenUsed/>
    <w:rsid w:val="005F7F86"/>
    <w:pPr>
      <w:ind w:left="1200"/>
      <w:jc w:val="left"/>
    </w:pPr>
    <w:rPr>
      <w:rFonts w:asciiTheme="minorHAnsi" w:hAnsiTheme="minorHAnsi"/>
      <w:sz w:val="18"/>
      <w:szCs w:val="18"/>
    </w:rPr>
  </w:style>
  <w:style w:type="paragraph" w:styleId="TOC7">
    <w:name w:val="toc 7"/>
    <w:basedOn w:val="Normal"/>
    <w:next w:val="Normal"/>
    <w:autoRedefine/>
    <w:uiPriority w:val="39"/>
    <w:semiHidden/>
    <w:unhideWhenUsed/>
    <w:rsid w:val="005F7F86"/>
    <w:pPr>
      <w:ind w:left="1440"/>
      <w:jc w:val="left"/>
    </w:pPr>
    <w:rPr>
      <w:rFonts w:asciiTheme="minorHAnsi" w:hAnsiTheme="minorHAnsi"/>
      <w:sz w:val="18"/>
      <w:szCs w:val="18"/>
    </w:rPr>
  </w:style>
  <w:style w:type="paragraph" w:styleId="TOC8">
    <w:name w:val="toc 8"/>
    <w:basedOn w:val="Normal"/>
    <w:next w:val="Normal"/>
    <w:autoRedefine/>
    <w:uiPriority w:val="39"/>
    <w:semiHidden/>
    <w:unhideWhenUsed/>
    <w:rsid w:val="005F7F86"/>
    <w:pPr>
      <w:ind w:left="1680"/>
      <w:jc w:val="left"/>
    </w:pPr>
    <w:rPr>
      <w:rFonts w:asciiTheme="minorHAnsi" w:hAnsiTheme="minorHAnsi"/>
      <w:sz w:val="18"/>
      <w:szCs w:val="18"/>
    </w:rPr>
  </w:style>
  <w:style w:type="paragraph" w:styleId="TOC9">
    <w:name w:val="toc 9"/>
    <w:basedOn w:val="Normal"/>
    <w:next w:val="Normal"/>
    <w:autoRedefine/>
    <w:uiPriority w:val="39"/>
    <w:semiHidden/>
    <w:unhideWhenUsed/>
    <w:rsid w:val="005F7F86"/>
    <w:pPr>
      <w:ind w:left="1920"/>
      <w:jc w:val="left"/>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ntent.presspage.com/uploads/685/booking.comsustainabletravelreport2022-newzealand.pdf" TargetMode="External"/><Relationship Id="rId18" Type="http://schemas.openxmlformats.org/officeDocument/2006/relationships/hyperlink" Target="https://www.mdpi.com/2071-1050/15/11/8775?utm_source=chatgpt.com" TargetMode="External"/><Relationship Id="rId26" Type="http://schemas.openxmlformats.org/officeDocument/2006/relationships/hyperlink" Target="https://ico.org.uk/for-organisations/uk-gdpr-guidance-and-resources/?utm_source=chatgpt.com" TargetMode="External"/><Relationship Id="rId39" Type="http://schemas.openxmlformats.org/officeDocument/2006/relationships/hyperlink" Target="https://www.tripadvisor.com/TripAdvisorInsights/key-research?utm_source=chatgpt.com" TargetMode="External"/><Relationship Id="rId21" Type="http://schemas.openxmlformats.org/officeDocument/2006/relationships/hyperlink" Target="https://fareshare.org.uk/?utm_source=chatgpt.com" TargetMode="External"/><Relationship Id="rId34" Type="http://schemas.openxmlformats.org/officeDocument/2006/relationships/hyperlink" Target="https://www.reuters.com/world/europe/eu-reaches-deal-reduce-plastic-waste-packaging-2024-03-05/?utm_source=chatgpt.com" TargetMode="External"/><Relationship Id="rId42" Type="http://schemas.openxmlformats.org/officeDocument/2006/relationships/hyperlink" Target="https://www.winnowsolutions.com/en/case-studies?utm_source=chatgpt.com"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direct.com/science/article/pii/S0959652624029019?utm_source=chatgpt.com" TargetMode="External"/><Relationship Id="rId29" Type="http://schemas.openxmlformats.org/officeDocument/2006/relationships/hyperlink" Target="https://doi.org/10.3390/info1508049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roup.accor.com/-/media/Corporate/Group/Documents/2023/04/06/Accor_CDP_Climate_2022.pdf?utm_source=chatgpt.com" TargetMode="External"/><Relationship Id="rId24" Type="http://schemas.openxmlformats.org/officeDocument/2006/relationships/hyperlink" Target="https://internationalfoodwastecoalition.org/wp-content/uploads/2022/03/IFWC_FW-Report_Final.pdf?utm_source=chatgpt.com" TargetMode="External"/><Relationship Id="rId32" Type="http://schemas.openxmlformats.org/officeDocument/2006/relationships/hyperlink" Target="https://www.researchgate.net/publication/385571427_Implementing_Sustainable_Procurement_Practices_in_International_Hotel?utm_source=chatgpt.com" TargetMode="External"/><Relationship Id="rId37" Type="http://schemas.openxmlformats.org/officeDocument/2006/relationships/hyperlink" Target="https://www.theguardian.com/environment/2024/sep/29/force-companies-to-report-their-food-waste-say-leading-uk-retailers?utm_source=chatgpt.com" TargetMode="External"/><Relationship Id="rId40" Type="http://schemas.openxmlformats.org/officeDocument/2006/relationships/hyperlink" Target="https://www.tripadvisor.com/Hotel_Review-g7983240-d1222570-Reviews-Mercure_Thame_Lambert_Hotel-Lewknor_Oxfordshire_England.html?utm_source=chatgpt.com"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usinessinsider.com/hotels-offices-kitchens-winnow-ai-tool-reduce-food-waste-costs-2024-7?utm_source=chatgpt.com" TargetMode="External"/><Relationship Id="rId23" Type="http://schemas.openxmlformats.org/officeDocument/2006/relationships/hyperlink" Target="https://hotelkitchen.org/wp-content/uploads/2021/09/HotelWasteMeasurementMethodology_SEP2021_v1.0.-1.pdf?utm_source=chatgpt.com" TargetMode="External"/><Relationship Id="rId28" Type="http://schemas.openxmlformats.org/officeDocument/2006/relationships/hyperlink" Target="https://all.accor.com/hotel/A7X1/index.en.shtml?utm_source=chatgpt.com" TargetMode="External"/><Relationship Id="rId36" Type="http://schemas.openxmlformats.org/officeDocument/2006/relationships/hyperlink" Target="https://thesra.org/?utm_source=chatgpt.com" TargetMode="External"/><Relationship Id="rId10" Type="http://schemas.openxmlformats.org/officeDocument/2006/relationships/hyperlink" Target="https://assets.group.accor.com/yrj0orc8tx24/NHhsrTDX0ecCjky5bsvSV/6b631aa9885bf8c3ed84fb323a91e310/ACCOR_IMPACT_REPORT_2023.pdf?utm_source=chatgpt.com" TargetMode="External"/><Relationship Id="rId19" Type="http://schemas.openxmlformats.org/officeDocument/2006/relationships/hyperlink" Target="https://www.gov.uk/government/publications/waste-prevention-programme-for-england-maximising-resources-minimising-waste" TargetMode="External"/><Relationship Id="rId31" Type="http://schemas.openxmlformats.org/officeDocument/2006/relationships/hyperlink" Target="https://pubmed.ncbi.nlm.nih.gov/24193818/?utm_source=chatgpt.com" TargetMode="External"/><Relationship Id="rId44" Type="http://schemas.openxmlformats.org/officeDocument/2006/relationships/hyperlink" Target="https://www.wrap.ngo/sectors/hospitality-food-service?utm_source=chatgpt.com" TargetMode="External"/><Relationship Id="rId4" Type="http://schemas.openxmlformats.org/officeDocument/2006/relationships/settings" Target="settings.xml"/><Relationship Id="rId9" Type="http://schemas.openxmlformats.org/officeDocument/2006/relationships/hyperlink" Target="https://group.accor.com/en/news-stories/food-beverage-sustainability?utm_source=chatgpt.com" TargetMode="External"/><Relationship Id="rId14" Type="http://schemas.openxmlformats.org/officeDocument/2006/relationships/hyperlink" Target="http://dx.doi.org/10.1191/1478088706qp063oa" TargetMode="External"/><Relationship Id="rId22" Type="http://schemas.openxmlformats.org/officeDocument/2006/relationships/hyperlink" Target="https://www.greenkey.global/criteria?utm_source=chatgpt.com" TargetMode="External"/><Relationship Id="rId27" Type="http://schemas.openxmlformats.org/officeDocument/2006/relationships/hyperlink" Target="https://www.lambertarms.co.uk/?utm_source=chatgpt.com" TargetMode="External"/><Relationship Id="rId30" Type="http://schemas.openxmlformats.org/officeDocument/2006/relationships/hyperlink" Target="https://orbisk.com/blog/hundreds-of-thousands-of-kilos-less-food-waste-in-accor-hotels-worldwide/?utm_source=chatgpt.com" TargetMode="External"/><Relationship Id="rId35" Type="http://schemas.openxmlformats.org/officeDocument/2006/relationships/hyperlink" Target="https://sustainablehospitalityalliance.org/" TargetMode="External"/><Relationship Id="rId43" Type="http://schemas.openxmlformats.org/officeDocument/2006/relationships/hyperlink" Target="https://www.wrap.ngo/resources/report/food-waste-reduction-roadmap-progress-update-2024?utm_source=chatgpt.com"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bera.ac.uk/publication/ethical-guidelines-for-educational-research-2018?utm_source=chatgpt.com" TargetMode="External"/><Relationship Id="rId17" Type="http://schemas.openxmlformats.org/officeDocument/2006/relationships/hyperlink" Target="https://dl.acm.org/doi/full/10.1145/3588001.3609366" TargetMode="External"/><Relationship Id="rId25" Type="http://schemas.openxmlformats.org/officeDocument/2006/relationships/hyperlink" Target="https://www.instituteofhospitality.org/wp-content/uploads/2019/02/Food-Waste-Case-Studies-Guide-2019-A4.pdf?utm_source=chatgpt.com" TargetMode="External"/><Relationship Id="rId33" Type="http://schemas.openxmlformats.org/officeDocument/2006/relationships/hyperlink" Target="https://www.researchgate.net/publication/335043003_Evaluating_Sustainable_Purchasing_Processes_in_The_Hotel_Industry" TargetMode="External"/><Relationship Id="rId38" Type="http://schemas.openxmlformats.org/officeDocument/2006/relationships/hyperlink" Target="https://www.toogoodtogo.com/en-us/impact-report-enus-2023?utm_source=chatgpt.com" TargetMode="External"/><Relationship Id="rId46" Type="http://schemas.openxmlformats.org/officeDocument/2006/relationships/footer" Target="footer2.xml"/><Relationship Id="rId20" Type="http://schemas.openxmlformats.org/officeDocument/2006/relationships/hyperlink" Target="https://www.fao.org/3/ca6030en/ca6030en.pdf" TargetMode="External"/><Relationship Id="rId41" Type="http://schemas.openxmlformats.org/officeDocument/2006/relationships/hyperlink" Target="https://www.ukhospitality.org.uk/guidance/reducing-food-wast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C8116-AD83-674C-95D9-BDD14170F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11585</Words>
  <Characters>66040</Characters>
  <Application>Microsoft Office Word</Application>
  <DocSecurity>0</DocSecurity>
  <Lines>550</Lines>
  <Paragraphs>154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77471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Malinda Habakkala Hewage</dc:creator>
  <cp:keywords/>
  <dc:description/>
  <cp:lastModifiedBy>Malinda Habakkala Hewage</cp:lastModifiedBy>
  <cp:revision>2</cp:revision>
  <dcterms:created xsi:type="dcterms:W3CDTF">2025-11-04T09:26:00Z</dcterms:created>
  <dcterms:modified xsi:type="dcterms:W3CDTF">2025-11-04T09:26:00Z</dcterms:modified>
  <cp:category/>
</cp:coreProperties>
</file>