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0DDFD" w14:textId="77777777" w:rsidR="00B4307E" w:rsidRPr="000F558A" w:rsidRDefault="00B4307E" w:rsidP="00B4307E">
      <w:pPr>
        <w:jc w:val="center"/>
        <w:rPr>
          <w:rFonts w:ascii="Arial" w:hAnsi="Arial" w:cs="Arial"/>
          <w:b/>
          <w:bCs/>
          <w:szCs w:val="24"/>
        </w:rPr>
      </w:pPr>
    </w:p>
    <w:p w14:paraId="54D13177" w14:textId="77777777" w:rsidR="00B4307E" w:rsidRPr="00B4307E" w:rsidRDefault="00B4307E" w:rsidP="00B4307E">
      <w:pPr>
        <w:jc w:val="center"/>
        <w:rPr>
          <w:rFonts w:ascii="Arial" w:hAnsi="Arial" w:cs="Arial"/>
          <w:b/>
          <w:bCs/>
          <w:sz w:val="28"/>
          <w:szCs w:val="28"/>
        </w:rPr>
      </w:pPr>
      <w:r w:rsidRPr="00B4307E">
        <w:rPr>
          <w:rFonts w:ascii="Arial" w:hAnsi="Arial" w:cs="Arial"/>
          <w:b/>
          <w:bCs/>
          <w:sz w:val="28"/>
          <w:szCs w:val="28"/>
        </w:rPr>
        <w:t xml:space="preserve">UNIVERSITY OF WALES TRINITY SAINT DAVID </w:t>
      </w:r>
    </w:p>
    <w:p w14:paraId="78637420" w14:textId="37A91B44" w:rsidR="00B4307E" w:rsidRDefault="00B4307E" w:rsidP="00B4307E">
      <w:pPr>
        <w:jc w:val="center"/>
        <w:rPr>
          <w:rFonts w:ascii="Arial" w:hAnsi="Arial" w:cs="Arial"/>
          <w:b/>
          <w:bCs/>
          <w:sz w:val="28"/>
          <w:szCs w:val="28"/>
        </w:rPr>
      </w:pPr>
      <w:r w:rsidRPr="00B4307E">
        <w:rPr>
          <w:rFonts w:ascii="Arial" w:hAnsi="Arial" w:cs="Arial"/>
          <w:b/>
          <w:bCs/>
          <w:sz w:val="28"/>
          <w:szCs w:val="28"/>
        </w:rPr>
        <w:t>London Campus</w:t>
      </w:r>
    </w:p>
    <w:p w14:paraId="6D87CCBA" w14:textId="77777777" w:rsidR="00C47A20" w:rsidRPr="00B4307E" w:rsidRDefault="00C47A20" w:rsidP="00B4307E">
      <w:pPr>
        <w:jc w:val="center"/>
        <w:rPr>
          <w:rFonts w:ascii="Arial" w:hAnsi="Arial" w:cs="Arial"/>
          <w:b/>
          <w:bCs/>
          <w:sz w:val="28"/>
          <w:szCs w:val="28"/>
        </w:rPr>
      </w:pPr>
    </w:p>
    <w:p w14:paraId="6E4963EC" w14:textId="235BF840" w:rsidR="00B4307E" w:rsidRDefault="00B4307E" w:rsidP="00B4307E">
      <w:pPr>
        <w:spacing w:line="240" w:lineRule="auto"/>
        <w:jc w:val="center"/>
        <w:rPr>
          <w:rFonts w:ascii="Arial" w:hAnsi="Arial" w:cs="Arial"/>
          <w:b/>
          <w:bCs/>
          <w:sz w:val="28"/>
          <w:szCs w:val="28"/>
        </w:rPr>
      </w:pPr>
      <w:r w:rsidRPr="008F6E12">
        <w:rPr>
          <w:rFonts w:ascii="Arial" w:hAnsi="Arial" w:cs="Arial"/>
          <w:b/>
          <w:bCs/>
          <w:sz w:val="28"/>
          <w:szCs w:val="28"/>
        </w:rPr>
        <w:t>Accounting Fundamentals</w:t>
      </w:r>
    </w:p>
    <w:p w14:paraId="1A4F845F" w14:textId="77777777" w:rsidR="00C47A20" w:rsidRPr="008F6E12" w:rsidRDefault="00C47A20" w:rsidP="00B4307E">
      <w:pPr>
        <w:spacing w:line="240" w:lineRule="auto"/>
        <w:jc w:val="center"/>
        <w:rPr>
          <w:rFonts w:ascii="Arial" w:hAnsi="Arial" w:cs="Arial"/>
          <w:b/>
          <w:bCs/>
          <w:sz w:val="28"/>
          <w:szCs w:val="28"/>
        </w:rPr>
      </w:pPr>
    </w:p>
    <w:p w14:paraId="10D06899" w14:textId="19AA5C71" w:rsidR="00B4307E" w:rsidRPr="00C47A20" w:rsidRDefault="00B4307E" w:rsidP="00C47A20">
      <w:pPr>
        <w:jc w:val="center"/>
        <w:rPr>
          <w:rFonts w:ascii="Arial" w:hAnsi="Arial" w:cs="Arial"/>
          <w:b/>
          <w:bCs/>
          <w:sz w:val="28"/>
          <w:szCs w:val="28"/>
        </w:rPr>
      </w:pPr>
      <w:r w:rsidRPr="008F6E12">
        <w:rPr>
          <w:rFonts w:ascii="Arial" w:hAnsi="Arial" w:cs="Arial"/>
          <w:b/>
          <w:bCs/>
          <w:sz w:val="28"/>
          <w:szCs w:val="28"/>
        </w:rPr>
        <w:t>LCBB400</w:t>
      </w:r>
      <w:r w:rsidR="00C47A20">
        <w:rPr>
          <w:rFonts w:ascii="Arial" w:hAnsi="Arial" w:cs="Arial"/>
          <w:b/>
          <w:bCs/>
          <w:sz w:val="28"/>
          <w:szCs w:val="28"/>
        </w:rPr>
        <w:t>1</w:t>
      </w:r>
    </w:p>
    <w:p w14:paraId="79A36991" w14:textId="711EF594" w:rsidR="00B4307E" w:rsidRDefault="00B4307E" w:rsidP="00B4307E">
      <w:pPr>
        <w:rPr>
          <w:rFonts w:ascii="Arial" w:hAnsi="Arial" w:cs="Arial"/>
          <w:b/>
          <w:bCs/>
          <w:sz w:val="28"/>
          <w:szCs w:val="28"/>
        </w:rPr>
      </w:pPr>
      <w:r w:rsidRPr="00B4307E">
        <w:rPr>
          <w:rFonts w:ascii="Arial" w:hAnsi="Arial" w:cs="Arial"/>
          <w:b/>
          <w:bCs/>
          <w:sz w:val="28"/>
          <w:szCs w:val="28"/>
        </w:rPr>
        <w:t xml:space="preserve">                                      </w:t>
      </w:r>
      <w:r w:rsidR="00C47A20">
        <w:rPr>
          <w:rFonts w:ascii="Arial" w:hAnsi="Arial" w:cs="Arial"/>
          <w:b/>
          <w:bCs/>
          <w:sz w:val="28"/>
          <w:szCs w:val="28"/>
        </w:rPr>
        <w:t xml:space="preserve">          </w:t>
      </w:r>
      <w:r w:rsidRPr="00B4307E">
        <w:rPr>
          <w:rFonts w:ascii="Arial" w:hAnsi="Arial" w:cs="Arial"/>
          <w:b/>
          <w:bCs/>
          <w:sz w:val="28"/>
          <w:szCs w:val="28"/>
        </w:rPr>
        <w:t xml:space="preserve"> </w:t>
      </w:r>
      <w:r w:rsidRPr="00B4307E">
        <w:rPr>
          <w:rFonts w:ascii="Arial" w:hAnsi="Arial" w:cs="Arial"/>
          <w:b/>
          <w:bCs/>
          <w:sz w:val="28"/>
          <w:szCs w:val="28"/>
        </w:rPr>
        <w:t>Assessment</w:t>
      </w:r>
      <w:r w:rsidR="00C47A20">
        <w:rPr>
          <w:rFonts w:ascii="Arial" w:hAnsi="Arial" w:cs="Arial"/>
          <w:b/>
          <w:bCs/>
          <w:sz w:val="28"/>
          <w:szCs w:val="28"/>
        </w:rPr>
        <w:t xml:space="preserve"> A1</w:t>
      </w:r>
    </w:p>
    <w:p w14:paraId="050021CF" w14:textId="711DA530" w:rsidR="00C47A20" w:rsidRDefault="00C47A20" w:rsidP="00B4307E">
      <w:pPr>
        <w:rPr>
          <w:rFonts w:ascii="Arial" w:hAnsi="Arial" w:cs="Arial"/>
          <w:b/>
          <w:bCs/>
          <w:sz w:val="28"/>
          <w:szCs w:val="28"/>
        </w:rPr>
      </w:pPr>
    </w:p>
    <w:p w14:paraId="19572778" w14:textId="3F91F8F1" w:rsidR="00C47A20" w:rsidRDefault="00C47A20" w:rsidP="00B4307E">
      <w:pPr>
        <w:rPr>
          <w:rFonts w:ascii="Arial" w:hAnsi="Arial" w:cs="Arial"/>
          <w:b/>
          <w:bCs/>
          <w:sz w:val="28"/>
          <w:szCs w:val="28"/>
        </w:rPr>
      </w:pPr>
    </w:p>
    <w:p w14:paraId="5E0800ED" w14:textId="741879F5" w:rsidR="00C47A20" w:rsidRDefault="00C47A20" w:rsidP="00B4307E">
      <w:pPr>
        <w:rPr>
          <w:rFonts w:ascii="Arial" w:hAnsi="Arial" w:cs="Arial"/>
          <w:b/>
          <w:bCs/>
          <w:sz w:val="28"/>
          <w:szCs w:val="28"/>
        </w:rPr>
      </w:pPr>
    </w:p>
    <w:p w14:paraId="6A0BA17D" w14:textId="5B3F316B" w:rsidR="00C47A20" w:rsidRDefault="00C47A20" w:rsidP="00B4307E">
      <w:pPr>
        <w:rPr>
          <w:rFonts w:ascii="Arial" w:hAnsi="Arial" w:cs="Arial"/>
          <w:b/>
          <w:bCs/>
          <w:sz w:val="28"/>
          <w:szCs w:val="28"/>
        </w:rPr>
      </w:pPr>
    </w:p>
    <w:p w14:paraId="2257BD20" w14:textId="77777777" w:rsidR="00C47A20" w:rsidRDefault="00C47A20" w:rsidP="00B4307E">
      <w:pPr>
        <w:rPr>
          <w:rFonts w:ascii="Arial" w:hAnsi="Arial" w:cs="Arial"/>
          <w:b/>
          <w:bCs/>
          <w:szCs w:val="24"/>
        </w:rPr>
      </w:pPr>
    </w:p>
    <w:p w14:paraId="0D15CC53" w14:textId="77777777" w:rsidR="00B4307E" w:rsidRPr="00323A7D" w:rsidRDefault="00B4307E" w:rsidP="00B4307E">
      <w:pPr>
        <w:rPr>
          <w:rFonts w:cs="Arial"/>
          <w:b/>
          <w:bCs/>
          <w:szCs w:val="24"/>
        </w:rPr>
      </w:pPr>
    </w:p>
    <w:tbl>
      <w:tblPr>
        <w:tblStyle w:val="TableGrid"/>
        <w:tblW w:w="0" w:type="auto"/>
        <w:tblInd w:w="0" w:type="dxa"/>
        <w:tblLook w:val="04A0" w:firstRow="1" w:lastRow="0" w:firstColumn="1" w:lastColumn="0" w:noHBand="0" w:noVBand="1"/>
      </w:tblPr>
      <w:tblGrid>
        <w:gridCol w:w="2689"/>
        <w:gridCol w:w="6661"/>
      </w:tblGrid>
      <w:tr w:rsidR="00B4307E" w:rsidRPr="00323A7D" w14:paraId="40B471DB" w14:textId="77777777" w:rsidTr="0073271B">
        <w:tc>
          <w:tcPr>
            <w:tcW w:w="2689" w:type="dxa"/>
            <w:tcBorders>
              <w:top w:val="single" w:sz="4" w:space="0" w:color="auto"/>
              <w:left w:val="single" w:sz="4" w:space="0" w:color="auto"/>
              <w:bottom w:val="single" w:sz="4" w:space="0" w:color="auto"/>
              <w:right w:val="single" w:sz="4" w:space="0" w:color="auto"/>
            </w:tcBorders>
            <w:hideMark/>
          </w:tcPr>
          <w:p w14:paraId="184C4E51" w14:textId="77777777" w:rsidR="00B4307E" w:rsidRPr="00323A7D" w:rsidRDefault="00B4307E" w:rsidP="0073271B">
            <w:pPr>
              <w:rPr>
                <w:rFonts w:cs="Arial"/>
                <w:b/>
                <w:bCs/>
                <w:sz w:val="24"/>
                <w:szCs w:val="24"/>
              </w:rPr>
            </w:pPr>
            <w:r w:rsidRPr="00323A7D">
              <w:rPr>
                <w:rFonts w:cs="Arial"/>
                <w:b/>
                <w:bCs/>
                <w:sz w:val="24"/>
                <w:szCs w:val="24"/>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14:paraId="42653BD0" w14:textId="77777777" w:rsidR="00B4307E" w:rsidRPr="00323A7D" w:rsidRDefault="00B4307E" w:rsidP="0073271B">
            <w:pPr>
              <w:rPr>
                <w:rFonts w:cs="Arial"/>
                <w:b/>
                <w:bCs/>
                <w:sz w:val="24"/>
                <w:szCs w:val="24"/>
              </w:rPr>
            </w:pPr>
            <w:r w:rsidRPr="00323A7D">
              <w:rPr>
                <w:rFonts w:cs="Arial"/>
                <w:b/>
                <w:bCs/>
                <w:sz w:val="24"/>
                <w:szCs w:val="24"/>
              </w:rPr>
              <w:t>FLORENTINA JOITA</w:t>
            </w:r>
          </w:p>
        </w:tc>
      </w:tr>
      <w:tr w:rsidR="00B4307E" w:rsidRPr="00323A7D" w14:paraId="696652B7" w14:textId="77777777" w:rsidTr="0073271B">
        <w:tc>
          <w:tcPr>
            <w:tcW w:w="2689" w:type="dxa"/>
            <w:tcBorders>
              <w:top w:val="single" w:sz="4" w:space="0" w:color="auto"/>
              <w:left w:val="single" w:sz="4" w:space="0" w:color="auto"/>
              <w:bottom w:val="single" w:sz="4" w:space="0" w:color="auto"/>
              <w:right w:val="single" w:sz="4" w:space="0" w:color="auto"/>
            </w:tcBorders>
            <w:hideMark/>
          </w:tcPr>
          <w:p w14:paraId="6580A97C" w14:textId="77777777" w:rsidR="00B4307E" w:rsidRPr="00323A7D" w:rsidRDefault="00B4307E" w:rsidP="0073271B">
            <w:pPr>
              <w:rPr>
                <w:rFonts w:cs="Arial"/>
                <w:b/>
                <w:bCs/>
                <w:sz w:val="24"/>
                <w:szCs w:val="24"/>
              </w:rPr>
            </w:pPr>
            <w:r w:rsidRPr="00323A7D">
              <w:rPr>
                <w:rFonts w:cs="Arial"/>
                <w:b/>
                <w:bCs/>
                <w:sz w:val="24"/>
                <w:szCs w:val="24"/>
              </w:rPr>
              <w:t>STUDENT ID</w:t>
            </w:r>
          </w:p>
        </w:tc>
        <w:tc>
          <w:tcPr>
            <w:tcW w:w="6661" w:type="dxa"/>
            <w:tcBorders>
              <w:top w:val="single" w:sz="4" w:space="0" w:color="auto"/>
              <w:left w:val="single" w:sz="4" w:space="0" w:color="auto"/>
              <w:bottom w:val="single" w:sz="4" w:space="0" w:color="auto"/>
              <w:right w:val="single" w:sz="4" w:space="0" w:color="auto"/>
            </w:tcBorders>
            <w:hideMark/>
          </w:tcPr>
          <w:p w14:paraId="13F2EC77" w14:textId="77777777" w:rsidR="00B4307E" w:rsidRPr="00323A7D" w:rsidRDefault="00B4307E" w:rsidP="0073271B">
            <w:pPr>
              <w:rPr>
                <w:rFonts w:cs="Arial"/>
                <w:b/>
                <w:bCs/>
                <w:sz w:val="24"/>
                <w:szCs w:val="24"/>
              </w:rPr>
            </w:pPr>
            <w:r w:rsidRPr="00323A7D">
              <w:rPr>
                <w:rFonts w:cs="Arial"/>
                <w:b/>
                <w:bCs/>
                <w:sz w:val="24"/>
                <w:szCs w:val="24"/>
              </w:rPr>
              <w:t>2124448</w:t>
            </w:r>
          </w:p>
        </w:tc>
      </w:tr>
      <w:tr w:rsidR="00B4307E" w:rsidRPr="00323A7D" w14:paraId="50C7910D" w14:textId="77777777" w:rsidTr="0073271B">
        <w:tc>
          <w:tcPr>
            <w:tcW w:w="2689" w:type="dxa"/>
            <w:tcBorders>
              <w:top w:val="single" w:sz="4" w:space="0" w:color="auto"/>
              <w:left w:val="single" w:sz="4" w:space="0" w:color="auto"/>
              <w:bottom w:val="single" w:sz="4" w:space="0" w:color="auto"/>
              <w:right w:val="single" w:sz="4" w:space="0" w:color="auto"/>
            </w:tcBorders>
            <w:hideMark/>
          </w:tcPr>
          <w:p w14:paraId="15802D3F" w14:textId="77777777" w:rsidR="00B4307E" w:rsidRPr="00323A7D" w:rsidRDefault="00B4307E" w:rsidP="0073271B">
            <w:pPr>
              <w:rPr>
                <w:rFonts w:cs="Arial"/>
                <w:b/>
                <w:bCs/>
                <w:sz w:val="24"/>
                <w:szCs w:val="24"/>
              </w:rPr>
            </w:pPr>
            <w:r w:rsidRPr="00323A7D">
              <w:rPr>
                <w:rFonts w:cs="Arial"/>
                <w:b/>
                <w:bCs/>
                <w:sz w:val="24"/>
                <w:szCs w:val="24"/>
              </w:rPr>
              <w:t>LECTURER</w:t>
            </w:r>
          </w:p>
        </w:tc>
        <w:tc>
          <w:tcPr>
            <w:tcW w:w="6661" w:type="dxa"/>
            <w:tcBorders>
              <w:top w:val="single" w:sz="4" w:space="0" w:color="auto"/>
              <w:left w:val="single" w:sz="4" w:space="0" w:color="auto"/>
              <w:bottom w:val="single" w:sz="4" w:space="0" w:color="auto"/>
              <w:right w:val="single" w:sz="4" w:space="0" w:color="auto"/>
            </w:tcBorders>
            <w:hideMark/>
          </w:tcPr>
          <w:p w14:paraId="7154798A" w14:textId="7AE31D0D" w:rsidR="00B4307E" w:rsidRPr="00323A7D" w:rsidRDefault="00B92EFD" w:rsidP="0073271B">
            <w:pPr>
              <w:rPr>
                <w:rFonts w:cs="Arial"/>
                <w:b/>
                <w:bCs/>
                <w:sz w:val="24"/>
                <w:szCs w:val="24"/>
              </w:rPr>
            </w:pPr>
            <w:r>
              <w:rPr>
                <w:rFonts w:cs="Arial"/>
                <w:b/>
                <w:bCs/>
                <w:sz w:val="24"/>
                <w:szCs w:val="24"/>
              </w:rPr>
              <w:t>NADEEM MIRZA</w:t>
            </w:r>
          </w:p>
        </w:tc>
      </w:tr>
    </w:tbl>
    <w:p w14:paraId="3300AB85" w14:textId="77777777" w:rsidR="00332D2D" w:rsidRPr="008F6E12" w:rsidRDefault="00332D2D" w:rsidP="00332D2D">
      <w:pPr>
        <w:rPr>
          <w:rFonts w:ascii="Arial" w:hAnsi="Arial" w:cs="Arial"/>
          <w:szCs w:val="24"/>
        </w:rPr>
      </w:pPr>
    </w:p>
    <w:p w14:paraId="3BC0E68E" w14:textId="77777777" w:rsidR="00332D2D" w:rsidRPr="008F6E12" w:rsidRDefault="00332D2D" w:rsidP="00332D2D">
      <w:pPr>
        <w:rPr>
          <w:rFonts w:ascii="Arial" w:hAnsi="Arial" w:cs="Arial"/>
          <w:szCs w:val="24"/>
        </w:rPr>
      </w:pPr>
    </w:p>
    <w:p w14:paraId="7259BC3C" w14:textId="77777777" w:rsidR="00332D2D" w:rsidRPr="008F6E12" w:rsidRDefault="00332D2D" w:rsidP="00332D2D">
      <w:pPr>
        <w:spacing w:line="259" w:lineRule="auto"/>
        <w:jc w:val="left"/>
        <w:rPr>
          <w:rFonts w:ascii="Arial" w:hAnsi="Arial" w:cs="Arial"/>
          <w:szCs w:val="24"/>
        </w:rPr>
      </w:pPr>
      <w:r w:rsidRPr="008F6E12">
        <w:rPr>
          <w:rFonts w:ascii="Arial" w:hAnsi="Arial" w:cs="Arial"/>
          <w:szCs w:val="24"/>
        </w:rPr>
        <w:br w:type="page"/>
      </w:r>
    </w:p>
    <w:sdt>
      <w:sdtPr>
        <w:rPr>
          <w:rFonts w:ascii="Arial" w:eastAsiaTheme="minorHAnsi" w:hAnsi="Arial" w:cs="Arial"/>
          <w:color w:val="auto"/>
          <w:sz w:val="24"/>
          <w:szCs w:val="24"/>
          <w:lang w:val="en-GB"/>
        </w:rPr>
        <w:id w:val="-910466194"/>
        <w:docPartObj>
          <w:docPartGallery w:val="Table of Contents"/>
          <w:docPartUnique/>
        </w:docPartObj>
      </w:sdtPr>
      <w:sdtEndPr>
        <w:rPr>
          <w:b/>
          <w:bCs/>
          <w:noProof/>
        </w:rPr>
      </w:sdtEndPr>
      <w:sdtContent>
        <w:p w14:paraId="77974427" w14:textId="77777777" w:rsidR="00332D2D" w:rsidRPr="008F6E12" w:rsidRDefault="00332D2D" w:rsidP="00332D2D">
          <w:pPr>
            <w:pStyle w:val="TOCHeading"/>
            <w:rPr>
              <w:rFonts w:ascii="Arial" w:hAnsi="Arial" w:cs="Arial"/>
              <w:sz w:val="28"/>
              <w:szCs w:val="28"/>
              <w:lang w:val="en-GB"/>
            </w:rPr>
          </w:pPr>
          <w:r w:rsidRPr="008F6E12">
            <w:rPr>
              <w:rFonts w:ascii="Arial" w:hAnsi="Arial" w:cs="Arial"/>
              <w:sz w:val="28"/>
              <w:szCs w:val="28"/>
              <w:lang w:val="en-GB"/>
            </w:rPr>
            <w:t>Contents</w:t>
          </w:r>
        </w:p>
        <w:p w14:paraId="011E7DD7" w14:textId="39636083" w:rsidR="00332D2D" w:rsidRPr="008F6E12" w:rsidRDefault="00332D2D" w:rsidP="00332D2D">
          <w:pPr>
            <w:pStyle w:val="TOC1"/>
            <w:tabs>
              <w:tab w:val="right" w:leader="dot" w:pos="9350"/>
            </w:tabs>
            <w:rPr>
              <w:rFonts w:ascii="Arial" w:eastAsiaTheme="minorEastAsia" w:hAnsi="Arial" w:cs="Arial"/>
              <w:noProof/>
              <w:szCs w:val="24"/>
              <w:lang w:val="en-US"/>
            </w:rPr>
          </w:pPr>
          <w:r w:rsidRPr="008F6E12">
            <w:rPr>
              <w:rFonts w:ascii="Arial" w:hAnsi="Arial" w:cs="Arial"/>
              <w:szCs w:val="24"/>
            </w:rPr>
            <w:fldChar w:fldCharType="begin"/>
          </w:r>
          <w:r w:rsidRPr="008F6E12">
            <w:rPr>
              <w:rFonts w:ascii="Arial" w:hAnsi="Arial" w:cs="Arial"/>
              <w:szCs w:val="24"/>
            </w:rPr>
            <w:instrText xml:space="preserve"> TOC \o "1-3" \h \z \u </w:instrText>
          </w:r>
          <w:r w:rsidRPr="008F6E12">
            <w:rPr>
              <w:rFonts w:ascii="Arial" w:hAnsi="Arial" w:cs="Arial"/>
              <w:szCs w:val="24"/>
            </w:rPr>
            <w:fldChar w:fldCharType="separate"/>
          </w:r>
          <w:hyperlink w:anchor="_Toc118660414" w:history="1">
            <w:r w:rsidRPr="008F6E12">
              <w:rPr>
                <w:rStyle w:val="Hyperlink"/>
                <w:rFonts w:ascii="Arial" w:hAnsi="Arial" w:cs="Arial"/>
                <w:noProof/>
                <w:szCs w:val="24"/>
              </w:rPr>
              <w:t>Introdu</w:t>
            </w:r>
            <w:r w:rsidRPr="008F6E12">
              <w:rPr>
                <w:rStyle w:val="Hyperlink"/>
                <w:rFonts w:ascii="Arial" w:hAnsi="Arial" w:cs="Arial"/>
                <w:noProof/>
                <w:szCs w:val="24"/>
              </w:rPr>
              <w:t>c</w:t>
            </w:r>
            <w:r w:rsidRPr="008F6E12">
              <w:rPr>
                <w:rStyle w:val="Hyperlink"/>
                <w:rFonts w:ascii="Arial" w:hAnsi="Arial" w:cs="Arial"/>
                <w:noProof/>
                <w:szCs w:val="24"/>
              </w:rPr>
              <w:t>tion</w:t>
            </w:r>
            <w:r w:rsidRPr="008F6E12">
              <w:rPr>
                <w:rFonts w:ascii="Arial" w:hAnsi="Arial" w:cs="Arial"/>
                <w:noProof/>
                <w:webHidden/>
                <w:szCs w:val="24"/>
              </w:rPr>
              <w:tab/>
            </w:r>
            <w:r w:rsidRPr="008F6E12">
              <w:rPr>
                <w:rFonts w:ascii="Arial" w:hAnsi="Arial" w:cs="Arial"/>
                <w:noProof/>
                <w:webHidden/>
                <w:szCs w:val="24"/>
              </w:rPr>
              <w:fldChar w:fldCharType="begin"/>
            </w:r>
            <w:r w:rsidRPr="008F6E12">
              <w:rPr>
                <w:rFonts w:ascii="Arial" w:hAnsi="Arial" w:cs="Arial"/>
                <w:noProof/>
                <w:webHidden/>
                <w:szCs w:val="24"/>
              </w:rPr>
              <w:instrText xml:space="preserve"> PAGEREF _Toc118660414 \h </w:instrText>
            </w:r>
            <w:r w:rsidRPr="008F6E12">
              <w:rPr>
                <w:rFonts w:ascii="Arial" w:hAnsi="Arial" w:cs="Arial"/>
                <w:noProof/>
                <w:webHidden/>
                <w:szCs w:val="24"/>
              </w:rPr>
            </w:r>
            <w:r w:rsidRPr="008F6E12">
              <w:rPr>
                <w:rFonts w:ascii="Arial" w:hAnsi="Arial" w:cs="Arial"/>
                <w:noProof/>
                <w:webHidden/>
                <w:szCs w:val="24"/>
              </w:rPr>
              <w:fldChar w:fldCharType="separate"/>
            </w:r>
            <w:r w:rsidR="00C47A20">
              <w:rPr>
                <w:rFonts w:ascii="Arial" w:hAnsi="Arial" w:cs="Arial"/>
                <w:noProof/>
                <w:webHidden/>
                <w:szCs w:val="24"/>
              </w:rPr>
              <w:t>3</w:t>
            </w:r>
            <w:r w:rsidRPr="008F6E12">
              <w:rPr>
                <w:rFonts w:ascii="Arial" w:hAnsi="Arial" w:cs="Arial"/>
                <w:noProof/>
                <w:webHidden/>
                <w:szCs w:val="24"/>
              </w:rPr>
              <w:fldChar w:fldCharType="end"/>
            </w:r>
          </w:hyperlink>
        </w:p>
        <w:p w14:paraId="09CE435A" w14:textId="3460878F" w:rsidR="00332D2D" w:rsidRPr="008F6E12" w:rsidRDefault="00266061" w:rsidP="00332D2D">
          <w:pPr>
            <w:pStyle w:val="TOC1"/>
            <w:tabs>
              <w:tab w:val="right" w:leader="dot" w:pos="9350"/>
            </w:tabs>
            <w:rPr>
              <w:rFonts w:ascii="Arial" w:eastAsiaTheme="minorEastAsia" w:hAnsi="Arial" w:cs="Arial"/>
              <w:noProof/>
              <w:szCs w:val="24"/>
              <w:lang w:val="en-US"/>
            </w:rPr>
          </w:pPr>
          <w:hyperlink w:anchor="_Toc118660415" w:history="1">
            <w:r w:rsidR="00332D2D" w:rsidRPr="008F6E12">
              <w:rPr>
                <w:rStyle w:val="Hyperlink"/>
                <w:rFonts w:ascii="Arial" w:hAnsi="Arial" w:cs="Arial"/>
                <w:noProof/>
                <w:szCs w:val="24"/>
              </w:rPr>
              <w:t>Question 01</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_Toc118660415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4</w:t>
            </w:r>
            <w:r w:rsidR="00332D2D" w:rsidRPr="008F6E12">
              <w:rPr>
                <w:rFonts w:ascii="Arial" w:hAnsi="Arial" w:cs="Arial"/>
                <w:noProof/>
                <w:webHidden/>
                <w:szCs w:val="24"/>
              </w:rPr>
              <w:fldChar w:fldCharType="end"/>
            </w:r>
          </w:hyperlink>
        </w:p>
        <w:p w14:paraId="48FA878C" w14:textId="2EE1B310" w:rsidR="00332D2D" w:rsidRPr="008F6E12" w:rsidRDefault="00266061" w:rsidP="00332D2D">
          <w:pPr>
            <w:pStyle w:val="TOC2"/>
            <w:tabs>
              <w:tab w:val="right" w:leader="dot" w:pos="9350"/>
            </w:tabs>
            <w:rPr>
              <w:rFonts w:ascii="Arial" w:eastAsiaTheme="minorEastAsia" w:hAnsi="Arial" w:cs="Arial"/>
              <w:noProof/>
              <w:szCs w:val="24"/>
              <w:lang w:val="en-US"/>
            </w:rPr>
          </w:pPr>
          <w:hyperlink w:anchor="_Toc118660416" w:history="1">
            <w:r w:rsidR="00332D2D" w:rsidRPr="008F6E12">
              <w:rPr>
                <w:rStyle w:val="Hyperlink"/>
                <w:rFonts w:ascii="Arial" w:hAnsi="Arial" w:cs="Arial"/>
                <w:noProof/>
                <w:szCs w:val="24"/>
              </w:rPr>
              <w:t>Preparing Income Statement</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_Toc118660416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4</w:t>
            </w:r>
            <w:r w:rsidR="00332D2D" w:rsidRPr="008F6E12">
              <w:rPr>
                <w:rFonts w:ascii="Arial" w:hAnsi="Arial" w:cs="Arial"/>
                <w:noProof/>
                <w:webHidden/>
                <w:szCs w:val="24"/>
              </w:rPr>
              <w:fldChar w:fldCharType="end"/>
            </w:r>
          </w:hyperlink>
        </w:p>
        <w:p w14:paraId="4E2EDF83" w14:textId="54C5855B" w:rsidR="00332D2D" w:rsidRPr="008F6E12" w:rsidRDefault="00266061" w:rsidP="00332D2D">
          <w:pPr>
            <w:pStyle w:val="TOC2"/>
            <w:tabs>
              <w:tab w:val="right" w:leader="dot" w:pos="9350"/>
            </w:tabs>
            <w:rPr>
              <w:rFonts w:ascii="Arial" w:eastAsiaTheme="minorEastAsia" w:hAnsi="Arial" w:cs="Arial"/>
              <w:noProof/>
              <w:szCs w:val="24"/>
              <w:lang w:val="en-US"/>
            </w:rPr>
          </w:pPr>
          <w:hyperlink w:anchor="_Toc118660417" w:history="1">
            <w:r w:rsidR="00332D2D" w:rsidRPr="008F6E12">
              <w:rPr>
                <w:rStyle w:val="Hyperlink"/>
                <w:rFonts w:ascii="Arial" w:hAnsi="Arial" w:cs="Arial"/>
                <w:noProof/>
                <w:szCs w:val="24"/>
              </w:rPr>
              <w:t>Preparing Statement for Financial Position</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_Toc118660417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5</w:t>
            </w:r>
            <w:r w:rsidR="00332D2D" w:rsidRPr="008F6E12">
              <w:rPr>
                <w:rFonts w:ascii="Arial" w:hAnsi="Arial" w:cs="Arial"/>
                <w:noProof/>
                <w:webHidden/>
                <w:szCs w:val="24"/>
              </w:rPr>
              <w:fldChar w:fldCharType="end"/>
            </w:r>
          </w:hyperlink>
        </w:p>
        <w:p w14:paraId="7741780F" w14:textId="7A32ED34" w:rsidR="00332D2D" w:rsidRPr="008F6E12" w:rsidRDefault="00266061" w:rsidP="00332D2D">
          <w:pPr>
            <w:pStyle w:val="TOC2"/>
            <w:tabs>
              <w:tab w:val="right" w:leader="dot" w:pos="9350"/>
            </w:tabs>
            <w:rPr>
              <w:rFonts w:ascii="Arial" w:eastAsiaTheme="minorEastAsia" w:hAnsi="Arial" w:cs="Arial"/>
              <w:noProof/>
              <w:szCs w:val="24"/>
              <w:lang w:val="en-US"/>
            </w:rPr>
          </w:pPr>
          <w:hyperlink w:anchor="_Toc118660418" w:history="1">
            <w:r w:rsidR="00332D2D" w:rsidRPr="008F6E12">
              <w:rPr>
                <w:rStyle w:val="Hyperlink"/>
                <w:rFonts w:ascii="Arial" w:hAnsi="Arial" w:cs="Arial"/>
                <w:noProof/>
                <w:szCs w:val="24"/>
              </w:rPr>
              <w:t>The Rationale Behind the Balance of Financial Position Statement</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_Toc118660418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6</w:t>
            </w:r>
            <w:r w:rsidR="00332D2D" w:rsidRPr="008F6E12">
              <w:rPr>
                <w:rFonts w:ascii="Arial" w:hAnsi="Arial" w:cs="Arial"/>
                <w:noProof/>
                <w:webHidden/>
                <w:szCs w:val="24"/>
              </w:rPr>
              <w:fldChar w:fldCharType="end"/>
            </w:r>
          </w:hyperlink>
        </w:p>
        <w:p w14:paraId="25A7BEA1" w14:textId="5D9CDC2E" w:rsidR="00332D2D" w:rsidRPr="008F6E12" w:rsidRDefault="00266061" w:rsidP="00332D2D">
          <w:pPr>
            <w:pStyle w:val="TOC1"/>
            <w:tabs>
              <w:tab w:val="right" w:leader="dot" w:pos="9350"/>
            </w:tabs>
            <w:rPr>
              <w:rFonts w:ascii="Arial" w:eastAsiaTheme="minorEastAsia" w:hAnsi="Arial" w:cs="Arial"/>
              <w:noProof/>
              <w:szCs w:val="24"/>
              <w:lang w:val="en-US"/>
            </w:rPr>
          </w:pPr>
          <w:hyperlink w:anchor="_Toc118660419" w:history="1">
            <w:r w:rsidR="00332D2D" w:rsidRPr="008F6E12">
              <w:rPr>
                <w:rStyle w:val="Hyperlink"/>
                <w:rFonts w:ascii="Arial" w:hAnsi="Arial" w:cs="Arial"/>
                <w:noProof/>
                <w:szCs w:val="24"/>
              </w:rPr>
              <w:t>Question 02</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_Toc118660419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7</w:t>
            </w:r>
            <w:r w:rsidR="00332D2D" w:rsidRPr="008F6E12">
              <w:rPr>
                <w:rFonts w:ascii="Arial" w:hAnsi="Arial" w:cs="Arial"/>
                <w:noProof/>
                <w:webHidden/>
                <w:szCs w:val="24"/>
              </w:rPr>
              <w:fldChar w:fldCharType="end"/>
            </w:r>
          </w:hyperlink>
        </w:p>
        <w:p w14:paraId="2F48DE9C" w14:textId="6D749C85" w:rsidR="00332D2D" w:rsidRPr="008F6E12" w:rsidRDefault="00266061" w:rsidP="00332D2D">
          <w:pPr>
            <w:pStyle w:val="TOC2"/>
            <w:tabs>
              <w:tab w:val="right" w:leader="dot" w:pos="9350"/>
            </w:tabs>
            <w:rPr>
              <w:rFonts w:ascii="Arial" w:eastAsiaTheme="minorEastAsia" w:hAnsi="Arial" w:cs="Arial"/>
              <w:noProof/>
              <w:szCs w:val="24"/>
              <w:lang w:val="en-US"/>
            </w:rPr>
          </w:pPr>
          <w:hyperlink w:anchor="_Toc118660420" w:history="1">
            <w:r w:rsidR="00332D2D" w:rsidRPr="008F6E12">
              <w:rPr>
                <w:rStyle w:val="Hyperlink"/>
                <w:rFonts w:ascii="Arial" w:hAnsi="Arial" w:cs="Arial"/>
                <w:noProof/>
                <w:szCs w:val="24"/>
              </w:rPr>
              <w:t>Calculating the Required Ratios</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_Toc118660420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7</w:t>
            </w:r>
            <w:r w:rsidR="00332D2D" w:rsidRPr="008F6E12">
              <w:rPr>
                <w:rFonts w:ascii="Arial" w:hAnsi="Arial" w:cs="Arial"/>
                <w:noProof/>
                <w:webHidden/>
                <w:szCs w:val="24"/>
              </w:rPr>
              <w:fldChar w:fldCharType="end"/>
            </w:r>
          </w:hyperlink>
        </w:p>
        <w:p w14:paraId="1990E263" w14:textId="273A70EF" w:rsidR="00332D2D" w:rsidRPr="008F6E12" w:rsidRDefault="00266061" w:rsidP="00332D2D">
          <w:pPr>
            <w:pStyle w:val="TOC2"/>
            <w:tabs>
              <w:tab w:val="right" w:leader="dot" w:pos="9350"/>
            </w:tabs>
            <w:rPr>
              <w:rFonts w:ascii="Arial" w:eastAsiaTheme="minorEastAsia" w:hAnsi="Arial" w:cs="Arial"/>
              <w:noProof/>
              <w:szCs w:val="24"/>
              <w:lang w:val="en-US"/>
            </w:rPr>
          </w:pPr>
          <w:hyperlink w:anchor="_Toc118660421" w:history="1">
            <w:r w:rsidR="00332D2D" w:rsidRPr="008F6E12">
              <w:rPr>
                <w:rStyle w:val="Hyperlink"/>
                <w:rFonts w:ascii="Arial" w:hAnsi="Arial" w:cs="Arial"/>
                <w:noProof/>
                <w:szCs w:val="24"/>
              </w:rPr>
              <w:t>Analysing the Financial Performance and Position of Sweets Plc</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_Toc118660421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9</w:t>
            </w:r>
            <w:r w:rsidR="00332D2D" w:rsidRPr="008F6E12">
              <w:rPr>
                <w:rFonts w:ascii="Arial" w:hAnsi="Arial" w:cs="Arial"/>
                <w:noProof/>
                <w:webHidden/>
                <w:szCs w:val="24"/>
              </w:rPr>
              <w:fldChar w:fldCharType="end"/>
            </w:r>
          </w:hyperlink>
        </w:p>
        <w:p w14:paraId="6649B007" w14:textId="7DDB947F" w:rsidR="00332D2D" w:rsidRPr="008F6E12" w:rsidRDefault="00266061" w:rsidP="00332D2D">
          <w:pPr>
            <w:pStyle w:val="TOC1"/>
            <w:tabs>
              <w:tab w:val="right" w:leader="dot" w:pos="9350"/>
            </w:tabs>
            <w:rPr>
              <w:rFonts w:ascii="Arial" w:eastAsiaTheme="minorEastAsia" w:hAnsi="Arial" w:cs="Arial"/>
              <w:noProof/>
              <w:szCs w:val="24"/>
              <w:lang w:val="en-US"/>
            </w:rPr>
          </w:pPr>
          <w:hyperlink w:anchor="_Toc118660422" w:history="1">
            <w:r w:rsidR="00332D2D" w:rsidRPr="008F6E12">
              <w:rPr>
                <w:rStyle w:val="Hyperlink"/>
                <w:rFonts w:ascii="Arial" w:hAnsi="Arial" w:cs="Arial"/>
                <w:noProof/>
                <w:szCs w:val="24"/>
              </w:rPr>
              <w:t>Conclusion</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_Toc118660422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11</w:t>
            </w:r>
            <w:r w:rsidR="00332D2D" w:rsidRPr="008F6E12">
              <w:rPr>
                <w:rFonts w:ascii="Arial" w:hAnsi="Arial" w:cs="Arial"/>
                <w:noProof/>
                <w:webHidden/>
                <w:szCs w:val="24"/>
              </w:rPr>
              <w:fldChar w:fldCharType="end"/>
            </w:r>
          </w:hyperlink>
        </w:p>
        <w:p w14:paraId="33F2E1FF" w14:textId="7DB619BB" w:rsidR="00332D2D" w:rsidRPr="008F6E12" w:rsidRDefault="00266061" w:rsidP="00332D2D">
          <w:pPr>
            <w:pStyle w:val="TOC1"/>
            <w:tabs>
              <w:tab w:val="right" w:leader="dot" w:pos="9350"/>
            </w:tabs>
            <w:rPr>
              <w:rFonts w:ascii="Arial" w:eastAsiaTheme="minorEastAsia" w:hAnsi="Arial" w:cs="Arial"/>
              <w:noProof/>
              <w:szCs w:val="24"/>
              <w:lang w:val="en-US"/>
            </w:rPr>
          </w:pPr>
          <w:hyperlink w:anchor="_Toc118660423" w:history="1">
            <w:r w:rsidR="00332D2D" w:rsidRPr="008F6E12">
              <w:rPr>
                <w:rStyle w:val="Hyperlink"/>
                <w:rFonts w:ascii="Arial" w:hAnsi="Arial" w:cs="Arial"/>
                <w:noProof/>
                <w:szCs w:val="24"/>
              </w:rPr>
              <w:t>References</w:t>
            </w:r>
            <w:r w:rsidR="00332D2D" w:rsidRPr="008F6E12">
              <w:rPr>
                <w:rFonts w:ascii="Arial" w:hAnsi="Arial" w:cs="Arial"/>
                <w:noProof/>
                <w:webHidden/>
                <w:szCs w:val="24"/>
              </w:rPr>
              <w:tab/>
            </w:r>
            <w:r w:rsidR="00332D2D" w:rsidRPr="008F6E12">
              <w:rPr>
                <w:rFonts w:ascii="Arial" w:hAnsi="Arial" w:cs="Arial"/>
                <w:noProof/>
                <w:webHidden/>
                <w:szCs w:val="24"/>
              </w:rPr>
              <w:fldChar w:fldCharType="begin"/>
            </w:r>
            <w:r w:rsidR="00332D2D" w:rsidRPr="008F6E12">
              <w:rPr>
                <w:rFonts w:ascii="Arial" w:hAnsi="Arial" w:cs="Arial"/>
                <w:noProof/>
                <w:webHidden/>
                <w:szCs w:val="24"/>
              </w:rPr>
              <w:instrText xml:space="preserve"> PAGEREF _Toc118660423 \h </w:instrText>
            </w:r>
            <w:r w:rsidR="00332D2D" w:rsidRPr="008F6E12">
              <w:rPr>
                <w:rFonts w:ascii="Arial" w:hAnsi="Arial" w:cs="Arial"/>
                <w:noProof/>
                <w:webHidden/>
                <w:szCs w:val="24"/>
              </w:rPr>
            </w:r>
            <w:r w:rsidR="00332D2D" w:rsidRPr="008F6E12">
              <w:rPr>
                <w:rFonts w:ascii="Arial" w:hAnsi="Arial" w:cs="Arial"/>
                <w:noProof/>
                <w:webHidden/>
                <w:szCs w:val="24"/>
              </w:rPr>
              <w:fldChar w:fldCharType="separate"/>
            </w:r>
            <w:r w:rsidR="00C47A20">
              <w:rPr>
                <w:rFonts w:ascii="Arial" w:hAnsi="Arial" w:cs="Arial"/>
                <w:noProof/>
                <w:webHidden/>
                <w:szCs w:val="24"/>
              </w:rPr>
              <w:t>12</w:t>
            </w:r>
            <w:r w:rsidR="00332D2D" w:rsidRPr="008F6E12">
              <w:rPr>
                <w:rFonts w:ascii="Arial" w:hAnsi="Arial" w:cs="Arial"/>
                <w:noProof/>
                <w:webHidden/>
                <w:szCs w:val="24"/>
              </w:rPr>
              <w:fldChar w:fldCharType="end"/>
            </w:r>
          </w:hyperlink>
        </w:p>
        <w:p w14:paraId="07D4CB3B" w14:textId="77777777" w:rsidR="00332D2D" w:rsidRPr="008F6E12" w:rsidRDefault="00332D2D" w:rsidP="00332D2D">
          <w:pPr>
            <w:rPr>
              <w:rFonts w:ascii="Arial" w:hAnsi="Arial" w:cs="Arial"/>
              <w:szCs w:val="24"/>
            </w:rPr>
          </w:pPr>
          <w:r w:rsidRPr="008F6E12">
            <w:rPr>
              <w:rFonts w:ascii="Arial" w:hAnsi="Arial" w:cs="Arial"/>
              <w:b/>
              <w:bCs/>
              <w:noProof/>
              <w:szCs w:val="24"/>
            </w:rPr>
            <w:fldChar w:fldCharType="end"/>
          </w:r>
        </w:p>
      </w:sdtContent>
    </w:sdt>
    <w:p w14:paraId="098556E0" w14:textId="77777777" w:rsidR="00332D2D" w:rsidRPr="008F6E12" w:rsidRDefault="00332D2D" w:rsidP="00332D2D">
      <w:pPr>
        <w:rPr>
          <w:rFonts w:ascii="Arial" w:hAnsi="Arial" w:cs="Arial"/>
          <w:szCs w:val="24"/>
        </w:rPr>
      </w:pPr>
    </w:p>
    <w:p w14:paraId="5B628AF1" w14:textId="77777777" w:rsidR="00332D2D" w:rsidRPr="008F6E12" w:rsidRDefault="00332D2D" w:rsidP="00332D2D">
      <w:pPr>
        <w:spacing w:line="259" w:lineRule="auto"/>
        <w:jc w:val="left"/>
        <w:rPr>
          <w:rFonts w:ascii="Arial" w:hAnsi="Arial" w:cs="Arial"/>
          <w:szCs w:val="24"/>
        </w:rPr>
      </w:pPr>
      <w:r w:rsidRPr="008F6E12">
        <w:rPr>
          <w:rFonts w:ascii="Arial" w:hAnsi="Arial" w:cs="Arial"/>
          <w:szCs w:val="24"/>
        </w:rPr>
        <w:br w:type="page"/>
      </w:r>
    </w:p>
    <w:p w14:paraId="6E7928E6" w14:textId="77777777" w:rsidR="00332D2D" w:rsidRPr="008F6E12" w:rsidRDefault="00332D2D" w:rsidP="00332D2D">
      <w:pPr>
        <w:pStyle w:val="Heading1"/>
        <w:rPr>
          <w:rFonts w:ascii="Arial" w:hAnsi="Arial" w:cs="Arial"/>
          <w:sz w:val="28"/>
          <w:szCs w:val="28"/>
        </w:rPr>
      </w:pPr>
      <w:bookmarkStart w:id="0" w:name="_Toc118660414"/>
      <w:r w:rsidRPr="008F6E12">
        <w:rPr>
          <w:rFonts w:ascii="Arial" w:hAnsi="Arial" w:cs="Arial"/>
          <w:sz w:val="28"/>
          <w:szCs w:val="28"/>
        </w:rPr>
        <w:lastRenderedPageBreak/>
        <w:t>Introduction</w:t>
      </w:r>
      <w:bookmarkEnd w:id="0"/>
    </w:p>
    <w:p w14:paraId="3922E83B" w14:textId="77777777" w:rsidR="00332D2D" w:rsidRPr="008F6E12" w:rsidRDefault="00332D2D" w:rsidP="00332D2D">
      <w:pPr>
        <w:rPr>
          <w:rFonts w:ascii="Arial" w:hAnsi="Arial" w:cs="Arial"/>
          <w:szCs w:val="24"/>
        </w:rPr>
      </w:pPr>
      <w:r w:rsidRPr="008F6E12">
        <w:rPr>
          <w:rFonts w:ascii="Arial" w:hAnsi="Arial" w:cs="Arial"/>
          <w:szCs w:val="24"/>
        </w:rPr>
        <w:t>Businesses employ accounting to keep track of their financial dealings throughout a given time frame (</w:t>
      </w:r>
      <w:proofErr w:type="spellStart"/>
      <w:r w:rsidRPr="008F6E12">
        <w:rPr>
          <w:rFonts w:ascii="Arial" w:hAnsi="Arial" w:cs="Arial"/>
          <w:szCs w:val="24"/>
        </w:rPr>
        <w:t>Kolitz</w:t>
      </w:r>
      <w:proofErr w:type="spellEnd"/>
      <w:r w:rsidRPr="008F6E12">
        <w:rPr>
          <w:rFonts w:ascii="Arial" w:hAnsi="Arial" w:cs="Arial"/>
          <w:szCs w:val="24"/>
        </w:rPr>
        <w:t xml:space="preserve">, 2017). The companies- Wales Plc and Sweet Plc’s necessary accounting and financial computations have been performed for the illustration of the purpose of this report. Financial statements and an income statement for Wales Plc have been prepared based on the data provided. The Sweet Plc data set has been used in a number required of analyses to determine various ratios. The financial condition and performance of Sweet Plc throughout the years have been analysed to identify and evaluate the true financial standing of the company and to make comparisons with previous years' performance. </w:t>
      </w:r>
    </w:p>
    <w:p w14:paraId="0B33EFD6" w14:textId="77777777" w:rsidR="00332D2D" w:rsidRPr="008F6E12" w:rsidRDefault="00332D2D" w:rsidP="00332D2D">
      <w:pPr>
        <w:rPr>
          <w:rFonts w:ascii="Arial" w:hAnsi="Arial" w:cs="Arial"/>
          <w:szCs w:val="24"/>
        </w:rPr>
      </w:pPr>
    </w:p>
    <w:p w14:paraId="62849465" w14:textId="77777777" w:rsidR="00332D2D" w:rsidRPr="008F6E12" w:rsidRDefault="00332D2D" w:rsidP="00332D2D">
      <w:pPr>
        <w:rPr>
          <w:rFonts w:ascii="Arial" w:hAnsi="Arial" w:cs="Arial"/>
          <w:szCs w:val="24"/>
        </w:rPr>
      </w:pPr>
    </w:p>
    <w:p w14:paraId="133DD49D" w14:textId="77777777" w:rsidR="00332D2D" w:rsidRPr="008F6E12" w:rsidRDefault="00332D2D" w:rsidP="00332D2D">
      <w:pPr>
        <w:spacing w:line="259" w:lineRule="auto"/>
        <w:jc w:val="left"/>
        <w:rPr>
          <w:rFonts w:ascii="Arial" w:hAnsi="Arial" w:cs="Arial"/>
          <w:szCs w:val="24"/>
        </w:rPr>
      </w:pPr>
      <w:r w:rsidRPr="008F6E12">
        <w:rPr>
          <w:rFonts w:ascii="Arial" w:hAnsi="Arial" w:cs="Arial"/>
          <w:szCs w:val="24"/>
        </w:rPr>
        <w:br w:type="page"/>
      </w:r>
    </w:p>
    <w:p w14:paraId="4612506B" w14:textId="77777777" w:rsidR="00332D2D" w:rsidRPr="008F6E12" w:rsidRDefault="00332D2D" w:rsidP="00332D2D">
      <w:pPr>
        <w:pStyle w:val="Heading1"/>
        <w:rPr>
          <w:rFonts w:ascii="Arial" w:hAnsi="Arial" w:cs="Arial"/>
          <w:sz w:val="24"/>
          <w:szCs w:val="24"/>
        </w:rPr>
      </w:pPr>
      <w:bookmarkStart w:id="1" w:name="_Toc118660415"/>
      <w:r w:rsidRPr="008F6E12">
        <w:rPr>
          <w:rFonts w:ascii="Arial" w:hAnsi="Arial" w:cs="Arial"/>
          <w:sz w:val="24"/>
          <w:szCs w:val="24"/>
        </w:rPr>
        <w:lastRenderedPageBreak/>
        <w:t>Question 01</w:t>
      </w:r>
      <w:bookmarkEnd w:id="1"/>
    </w:p>
    <w:p w14:paraId="47A3FA5A" w14:textId="77777777" w:rsidR="00332D2D" w:rsidRPr="008F6E12" w:rsidRDefault="00332D2D" w:rsidP="00332D2D">
      <w:pPr>
        <w:pStyle w:val="Heading2"/>
        <w:rPr>
          <w:rFonts w:ascii="Arial" w:hAnsi="Arial" w:cs="Arial"/>
          <w:sz w:val="24"/>
          <w:szCs w:val="24"/>
        </w:rPr>
      </w:pPr>
      <w:bookmarkStart w:id="2" w:name="_Toc118660416"/>
      <w:r w:rsidRPr="008F6E12">
        <w:rPr>
          <w:rFonts w:ascii="Arial" w:hAnsi="Arial" w:cs="Arial"/>
          <w:sz w:val="24"/>
          <w:szCs w:val="24"/>
        </w:rPr>
        <w:t>Preparing Income Statement</w:t>
      </w:r>
      <w:bookmarkEnd w:id="2"/>
      <w:r w:rsidRPr="008F6E12">
        <w:rPr>
          <w:rFonts w:ascii="Arial" w:hAnsi="Arial" w:cs="Arial"/>
          <w:sz w:val="24"/>
          <w:szCs w:val="24"/>
        </w:rPr>
        <w:t xml:space="preserve"> </w:t>
      </w:r>
    </w:p>
    <w:tbl>
      <w:tblPr>
        <w:tblW w:w="7825" w:type="dxa"/>
        <w:tblInd w:w="853" w:type="dxa"/>
        <w:tblLook w:val="04A0" w:firstRow="1" w:lastRow="0" w:firstColumn="1" w:lastColumn="0" w:noHBand="0" w:noVBand="1"/>
      </w:tblPr>
      <w:tblGrid>
        <w:gridCol w:w="5339"/>
        <w:gridCol w:w="1242"/>
        <w:gridCol w:w="1244"/>
      </w:tblGrid>
      <w:tr w:rsidR="00332D2D" w:rsidRPr="008F6E12" w14:paraId="3396AC9F" w14:textId="77777777" w:rsidTr="0073271B">
        <w:trPr>
          <w:trHeight w:val="414"/>
        </w:trPr>
        <w:tc>
          <w:tcPr>
            <w:tcW w:w="7825" w:type="dxa"/>
            <w:gridSpan w:val="3"/>
            <w:tcBorders>
              <w:top w:val="single" w:sz="4" w:space="0" w:color="auto"/>
              <w:left w:val="single" w:sz="4" w:space="0" w:color="auto"/>
              <w:bottom w:val="nil"/>
              <w:right w:val="single" w:sz="4" w:space="0" w:color="000000"/>
            </w:tcBorders>
            <w:shd w:val="clear" w:color="auto" w:fill="D9E2F3" w:themeFill="accent1" w:themeFillTint="33"/>
            <w:noWrap/>
            <w:vAlign w:val="bottom"/>
            <w:hideMark/>
          </w:tcPr>
          <w:p w14:paraId="78C83498" w14:textId="77777777" w:rsidR="00332D2D" w:rsidRPr="008F6E12" w:rsidRDefault="00332D2D" w:rsidP="0073271B">
            <w:pPr>
              <w:spacing w:after="0" w:line="240" w:lineRule="auto"/>
              <w:jc w:val="center"/>
              <w:rPr>
                <w:rFonts w:ascii="Arial" w:eastAsia="Times New Roman" w:hAnsi="Arial" w:cs="Arial"/>
                <w:b/>
                <w:bCs/>
                <w:color w:val="000000"/>
                <w:szCs w:val="24"/>
              </w:rPr>
            </w:pPr>
            <w:r w:rsidRPr="008F6E12">
              <w:rPr>
                <w:rFonts w:ascii="Arial" w:eastAsia="Times New Roman" w:hAnsi="Arial" w:cs="Arial"/>
                <w:b/>
                <w:bCs/>
                <w:color w:val="000000"/>
                <w:szCs w:val="24"/>
              </w:rPr>
              <w:t>Wales Plc</w:t>
            </w:r>
          </w:p>
        </w:tc>
      </w:tr>
      <w:tr w:rsidR="00332D2D" w:rsidRPr="008F6E12" w14:paraId="79AD5ECA" w14:textId="77777777" w:rsidTr="0073271B">
        <w:trPr>
          <w:trHeight w:val="414"/>
        </w:trPr>
        <w:tc>
          <w:tcPr>
            <w:tcW w:w="7825" w:type="dxa"/>
            <w:gridSpan w:val="3"/>
            <w:tcBorders>
              <w:top w:val="nil"/>
              <w:left w:val="single" w:sz="4" w:space="0" w:color="auto"/>
              <w:bottom w:val="nil"/>
              <w:right w:val="single" w:sz="4" w:space="0" w:color="000000"/>
            </w:tcBorders>
            <w:shd w:val="clear" w:color="auto" w:fill="D9E2F3" w:themeFill="accent1" w:themeFillTint="33"/>
            <w:noWrap/>
            <w:vAlign w:val="bottom"/>
            <w:hideMark/>
          </w:tcPr>
          <w:p w14:paraId="36691DEA" w14:textId="77777777" w:rsidR="00332D2D" w:rsidRPr="008F6E12" w:rsidRDefault="00332D2D" w:rsidP="0073271B">
            <w:pPr>
              <w:spacing w:after="0" w:line="240" w:lineRule="auto"/>
              <w:jc w:val="center"/>
              <w:rPr>
                <w:rFonts w:ascii="Arial" w:eastAsia="Times New Roman" w:hAnsi="Arial" w:cs="Arial"/>
                <w:b/>
                <w:bCs/>
                <w:color w:val="000000"/>
                <w:szCs w:val="24"/>
              </w:rPr>
            </w:pPr>
            <w:r w:rsidRPr="008F6E12">
              <w:rPr>
                <w:rFonts w:ascii="Arial" w:eastAsia="Times New Roman" w:hAnsi="Arial" w:cs="Arial"/>
                <w:b/>
                <w:bCs/>
                <w:color w:val="000000"/>
                <w:szCs w:val="24"/>
              </w:rPr>
              <w:t>Income Statement</w:t>
            </w:r>
          </w:p>
        </w:tc>
      </w:tr>
      <w:tr w:rsidR="00332D2D" w:rsidRPr="008F6E12" w14:paraId="0E287C0E" w14:textId="77777777" w:rsidTr="0073271B">
        <w:trPr>
          <w:trHeight w:val="414"/>
        </w:trPr>
        <w:tc>
          <w:tcPr>
            <w:tcW w:w="7825" w:type="dxa"/>
            <w:gridSpan w:val="3"/>
            <w:tcBorders>
              <w:top w:val="nil"/>
              <w:left w:val="single" w:sz="4" w:space="0" w:color="auto"/>
              <w:bottom w:val="single" w:sz="4" w:space="0" w:color="auto"/>
              <w:right w:val="single" w:sz="4" w:space="0" w:color="000000"/>
            </w:tcBorders>
            <w:shd w:val="clear" w:color="auto" w:fill="D9E2F3" w:themeFill="accent1" w:themeFillTint="33"/>
            <w:noWrap/>
            <w:vAlign w:val="bottom"/>
            <w:hideMark/>
          </w:tcPr>
          <w:p w14:paraId="0B1A61D9" w14:textId="77777777" w:rsidR="00332D2D" w:rsidRPr="008F6E12" w:rsidRDefault="00332D2D" w:rsidP="0073271B">
            <w:pPr>
              <w:spacing w:after="0" w:line="240" w:lineRule="auto"/>
              <w:jc w:val="center"/>
              <w:rPr>
                <w:rFonts w:ascii="Arial" w:eastAsia="Times New Roman" w:hAnsi="Arial" w:cs="Arial"/>
                <w:color w:val="000000"/>
                <w:szCs w:val="24"/>
              </w:rPr>
            </w:pPr>
            <w:r w:rsidRPr="008F6E12">
              <w:rPr>
                <w:rFonts w:ascii="Arial" w:eastAsia="Times New Roman" w:hAnsi="Arial" w:cs="Arial"/>
                <w:color w:val="000000"/>
                <w:szCs w:val="24"/>
              </w:rPr>
              <w:t>For the year ended 31st December 2021</w:t>
            </w:r>
          </w:p>
        </w:tc>
      </w:tr>
      <w:tr w:rsidR="00332D2D" w:rsidRPr="008F6E12" w14:paraId="047A9468"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422BDDBB" w14:textId="77777777" w:rsidR="00332D2D" w:rsidRPr="008F6E12" w:rsidRDefault="00332D2D" w:rsidP="0073271B">
            <w:pPr>
              <w:spacing w:after="0" w:line="240" w:lineRule="auto"/>
              <w:jc w:val="left"/>
              <w:rPr>
                <w:rFonts w:ascii="Arial" w:eastAsia="Times New Roman" w:hAnsi="Arial" w:cs="Arial"/>
                <w:b/>
                <w:bCs/>
                <w:color w:val="000000"/>
                <w:szCs w:val="24"/>
              </w:rPr>
            </w:pPr>
            <w:r w:rsidRPr="008F6E12">
              <w:rPr>
                <w:rFonts w:ascii="Arial" w:eastAsia="Times New Roman" w:hAnsi="Arial" w:cs="Arial"/>
                <w:b/>
                <w:bCs/>
                <w:color w:val="000000"/>
                <w:szCs w:val="24"/>
              </w:rPr>
              <w:t>Particulars</w:t>
            </w:r>
          </w:p>
        </w:tc>
        <w:tc>
          <w:tcPr>
            <w:tcW w:w="1242" w:type="dxa"/>
            <w:tcBorders>
              <w:top w:val="nil"/>
              <w:left w:val="nil"/>
              <w:bottom w:val="single" w:sz="4" w:space="0" w:color="auto"/>
              <w:right w:val="single" w:sz="4" w:space="0" w:color="auto"/>
            </w:tcBorders>
            <w:shd w:val="clear" w:color="auto" w:fill="auto"/>
            <w:noWrap/>
            <w:vAlign w:val="bottom"/>
            <w:hideMark/>
          </w:tcPr>
          <w:p w14:paraId="27E63510" w14:textId="77777777" w:rsidR="00332D2D" w:rsidRPr="008F6E12" w:rsidRDefault="00332D2D" w:rsidP="0073271B">
            <w:pPr>
              <w:spacing w:after="0" w:line="240" w:lineRule="auto"/>
              <w:jc w:val="center"/>
              <w:rPr>
                <w:rFonts w:ascii="Arial" w:eastAsia="Times New Roman" w:hAnsi="Arial" w:cs="Arial"/>
                <w:b/>
                <w:bCs/>
                <w:color w:val="000000"/>
                <w:szCs w:val="24"/>
              </w:rPr>
            </w:pPr>
            <w:r w:rsidRPr="008F6E12">
              <w:rPr>
                <w:rFonts w:ascii="Arial" w:eastAsia="Times New Roman" w:hAnsi="Arial" w:cs="Arial"/>
                <w:b/>
                <w:bCs/>
                <w:color w:val="000000"/>
                <w:szCs w:val="24"/>
              </w:rPr>
              <w:t>£</w:t>
            </w:r>
          </w:p>
        </w:tc>
        <w:tc>
          <w:tcPr>
            <w:tcW w:w="1244" w:type="dxa"/>
            <w:tcBorders>
              <w:top w:val="nil"/>
              <w:left w:val="nil"/>
              <w:bottom w:val="single" w:sz="4" w:space="0" w:color="auto"/>
              <w:right w:val="single" w:sz="4" w:space="0" w:color="auto"/>
            </w:tcBorders>
            <w:shd w:val="clear" w:color="auto" w:fill="auto"/>
            <w:noWrap/>
            <w:vAlign w:val="bottom"/>
            <w:hideMark/>
          </w:tcPr>
          <w:p w14:paraId="458E7064" w14:textId="77777777" w:rsidR="00332D2D" w:rsidRPr="008F6E12" w:rsidRDefault="00332D2D" w:rsidP="0073271B">
            <w:pPr>
              <w:spacing w:after="0" w:line="240" w:lineRule="auto"/>
              <w:jc w:val="center"/>
              <w:rPr>
                <w:rFonts w:ascii="Arial" w:eastAsia="Times New Roman" w:hAnsi="Arial" w:cs="Arial"/>
                <w:b/>
                <w:bCs/>
                <w:color w:val="000000"/>
                <w:szCs w:val="24"/>
              </w:rPr>
            </w:pPr>
            <w:r w:rsidRPr="008F6E12">
              <w:rPr>
                <w:rFonts w:ascii="Arial" w:eastAsia="Times New Roman" w:hAnsi="Arial" w:cs="Arial"/>
                <w:b/>
                <w:bCs/>
                <w:color w:val="000000"/>
                <w:szCs w:val="24"/>
              </w:rPr>
              <w:t>£</w:t>
            </w:r>
          </w:p>
        </w:tc>
      </w:tr>
      <w:tr w:rsidR="00332D2D" w:rsidRPr="008F6E12" w14:paraId="6299DCC8"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6D9C18B8"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Sales </w:t>
            </w:r>
          </w:p>
        </w:tc>
        <w:tc>
          <w:tcPr>
            <w:tcW w:w="1242" w:type="dxa"/>
            <w:tcBorders>
              <w:top w:val="nil"/>
              <w:left w:val="nil"/>
              <w:bottom w:val="single" w:sz="4" w:space="0" w:color="auto"/>
              <w:right w:val="single" w:sz="4" w:space="0" w:color="auto"/>
            </w:tcBorders>
            <w:shd w:val="clear" w:color="auto" w:fill="auto"/>
            <w:noWrap/>
            <w:vAlign w:val="bottom"/>
            <w:hideMark/>
          </w:tcPr>
          <w:p w14:paraId="186D3ADD"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800,000</w:t>
            </w:r>
          </w:p>
        </w:tc>
        <w:tc>
          <w:tcPr>
            <w:tcW w:w="1244" w:type="dxa"/>
            <w:tcBorders>
              <w:top w:val="nil"/>
              <w:left w:val="nil"/>
              <w:bottom w:val="single" w:sz="4" w:space="0" w:color="auto"/>
              <w:right w:val="single" w:sz="4" w:space="0" w:color="auto"/>
            </w:tcBorders>
            <w:shd w:val="clear" w:color="auto" w:fill="auto"/>
            <w:noWrap/>
            <w:vAlign w:val="bottom"/>
            <w:hideMark/>
          </w:tcPr>
          <w:p w14:paraId="3177F90B"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57993E09"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43B7D0ED"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Goods Sold on Credit</w:t>
            </w:r>
          </w:p>
        </w:tc>
        <w:tc>
          <w:tcPr>
            <w:tcW w:w="1242" w:type="dxa"/>
            <w:tcBorders>
              <w:top w:val="nil"/>
              <w:left w:val="nil"/>
              <w:bottom w:val="single" w:sz="4" w:space="0" w:color="auto"/>
              <w:right w:val="single" w:sz="4" w:space="0" w:color="auto"/>
            </w:tcBorders>
            <w:shd w:val="clear" w:color="auto" w:fill="auto"/>
            <w:noWrap/>
            <w:vAlign w:val="bottom"/>
            <w:hideMark/>
          </w:tcPr>
          <w:p w14:paraId="7DD6FFFE"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980</w:t>
            </w:r>
          </w:p>
        </w:tc>
        <w:tc>
          <w:tcPr>
            <w:tcW w:w="1244" w:type="dxa"/>
            <w:tcBorders>
              <w:top w:val="nil"/>
              <w:left w:val="nil"/>
              <w:bottom w:val="single" w:sz="4" w:space="0" w:color="auto"/>
              <w:right w:val="single" w:sz="4" w:space="0" w:color="auto"/>
            </w:tcBorders>
            <w:shd w:val="clear" w:color="auto" w:fill="auto"/>
            <w:noWrap/>
            <w:vAlign w:val="bottom"/>
            <w:hideMark/>
          </w:tcPr>
          <w:p w14:paraId="3C27A2B1"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800,980</w:t>
            </w:r>
          </w:p>
        </w:tc>
      </w:tr>
      <w:tr w:rsidR="00332D2D" w:rsidRPr="008F6E12" w14:paraId="59FD0146"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2CEDC207"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Cost of sales </w:t>
            </w:r>
          </w:p>
        </w:tc>
        <w:tc>
          <w:tcPr>
            <w:tcW w:w="1242" w:type="dxa"/>
            <w:tcBorders>
              <w:top w:val="nil"/>
              <w:left w:val="nil"/>
              <w:bottom w:val="single" w:sz="4" w:space="0" w:color="auto"/>
              <w:right w:val="single" w:sz="4" w:space="0" w:color="auto"/>
            </w:tcBorders>
            <w:shd w:val="clear" w:color="auto" w:fill="auto"/>
            <w:noWrap/>
            <w:vAlign w:val="bottom"/>
            <w:hideMark/>
          </w:tcPr>
          <w:p w14:paraId="38394974"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244" w:type="dxa"/>
            <w:tcBorders>
              <w:top w:val="nil"/>
              <w:left w:val="nil"/>
              <w:bottom w:val="single" w:sz="4" w:space="0" w:color="auto"/>
              <w:right w:val="single" w:sz="4" w:space="0" w:color="auto"/>
            </w:tcBorders>
            <w:shd w:val="clear" w:color="auto" w:fill="auto"/>
            <w:noWrap/>
            <w:vAlign w:val="bottom"/>
            <w:hideMark/>
          </w:tcPr>
          <w:p w14:paraId="08C3C8DA"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578,650</w:t>
            </w:r>
          </w:p>
        </w:tc>
      </w:tr>
      <w:tr w:rsidR="00332D2D" w:rsidRPr="008F6E12" w14:paraId="53D9628D"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5A26CF77" w14:textId="77777777" w:rsidR="00332D2D" w:rsidRPr="008F6E12" w:rsidRDefault="00332D2D" w:rsidP="0073271B">
            <w:pPr>
              <w:spacing w:after="0" w:line="240" w:lineRule="auto"/>
              <w:jc w:val="right"/>
              <w:rPr>
                <w:rFonts w:ascii="Arial" w:eastAsia="Times New Roman" w:hAnsi="Arial" w:cs="Arial"/>
                <w:i/>
                <w:iCs/>
                <w:color w:val="000000"/>
                <w:szCs w:val="24"/>
              </w:rPr>
            </w:pPr>
            <w:r w:rsidRPr="008F6E12">
              <w:rPr>
                <w:rFonts w:ascii="Arial" w:eastAsia="Times New Roman" w:hAnsi="Arial" w:cs="Arial"/>
                <w:i/>
                <w:iCs/>
                <w:color w:val="000000"/>
                <w:szCs w:val="24"/>
              </w:rPr>
              <w:t>Gross Profit</w:t>
            </w:r>
          </w:p>
        </w:tc>
        <w:tc>
          <w:tcPr>
            <w:tcW w:w="1242" w:type="dxa"/>
            <w:tcBorders>
              <w:top w:val="nil"/>
              <w:left w:val="nil"/>
              <w:bottom w:val="single" w:sz="4" w:space="0" w:color="auto"/>
              <w:right w:val="single" w:sz="4" w:space="0" w:color="auto"/>
            </w:tcBorders>
            <w:shd w:val="clear" w:color="auto" w:fill="auto"/>
            <w:noWrap/>
            <w:vAlign w:val="bottom"/>
            <w:hideMark/>
          </w:tcPr>
          <w:p w14:paraId="1DF1FDCC"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244" w:type="dxa"/>
            <w:tcBorders>
              <w:top w:val="nil"/>
              <w:left w:val="nil"/>
              <w:bottom w:val="single" w:sz="4" w:space="0" w:color="auto"/>
              <w:right w:val="single" w:sz="4" w:space="0" w:color="auto"/>
            </w:tcBorders>
            <w:shd w:val="clear" w:color="auto" w:fill="auto"/>
            <w:noWrap/>
            <w:vAlign w:val="bottom"/>
            <w:hideMark/>
          </w:tcPr>
          <w:p w14:paraId="67A22E5C"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222,330</w:t>
            </w:r>
          </w:p>
        </w:tc>
      </w:tr>
      <w:tr w:rsidR="00332D2D" w:rsidRPr="008F6E12" w14:paraId="4F787527"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55A6A0F9" w14:textId="77777777" w:rsidR="00332D2D" w:rsidRPr="008F6E12" w:rsidRDefault="00332D2D" w:rsidP="0073271B">
            <w:pPr>
              <w:spacing w:after="0" w:line="240" w:lineRule="auto"/>
              <w:jc w:val="left"/>
              <w:rPr>
                <w:rFonts w:ascii="Arial" w:eastAsia="Times New Roman" w:hAnsi="Arial" w:cs="Arial"/>
                <w:color w:val="000000"/>
                <w:szCs w:val="24"/>
                <w:u w:val="single"/>
              </w:rPr>
            </w:pPr>
            <w:r w:rsidRPr="008F6E12">
              <w:rPr>
                <w:rFonts w:ascii="Arial" w:eastAsia="Times New Roman" w:hAnsi="Arial" w:cs="Arial"/>
                <w:color w:val="000000"/>
                <w:szCs w:val="24"/>
                <w:u w:val="single"/>
              </w:rPr>
              <w:t>(-) Selling, General &amp; Administrative Expenses.</w:t>
            </w:r>
          </w:p>
        </w:tc>
        <w:tc>
          <w:tcPr>
            <w:tcW w:w="1242" w:type="dxa"/>
            <w:tcBorders>
              <w:top w:val="nil"/>
              <w:left w:val="nil"/>
              <w:bottom w:val="single" w:sz="4" w:space="0" w:color="auto"/>
              <w:right w:val="single" w:sz="4" w:space="0" w:color="auto"/>
            </w:tcBorders>
            <w:shd w:val="clear" w:color="auto" w:fill="auto"/>
            <w:noWrap/>
            <w:vAlign w:val="bottom"/>
            <w:hideMark/>
          </w:tcPr>
          <w:p w14:paraId="747A63EB"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244" w:type="dxa"/>
            <w:tcBorders>
              <w:top w:val="nil"/>
              <w:left w:val="nil"/>
              <w:bottom w:val="single" w:sz="4" w:space="0" w:color="auto"/>
              <w:right w:val="single" w:sz="4" w:space="0" w:color="auto"/>
            </w:tcBorders>
            <w:shd w:val="clear" w:color="auto" w:fill="auto"/>
            <w:noWrap/>
            <w:vAlign w:val="bottom"/>
            <w:hideMark/>
          </w:tcPr>
          <w:p w14:paraId="16582B0E"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7F56BE7D"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5B33346E"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Administrative expenses </w:t>
            </w:r>
          </w:p>
        </w:tc>
        <w:tc>
          <w:tcPr>
            <w:tcW w:w="1242" w:type="dxa"/>
            <w:tcBorders>
              <w:top w:val="nil"/>
              <w:left w:val="nil"/>
              <w:bottom w:val="single" w:sz="4" w:space="0" w:color="auto"/>
              <w:right w:val="single" w:sz="4" w:space="0" w:color="auto"/>
            </w:tcBorders>
            <w:shd w:val="clear" w:color="auto" w:fill="auto"/>
            <w:noWrap/>
            <w:vAlign w:val="bottom"/>
            <w:hideMark/>
          </w:tcPr>
          <w:p w14:paraId="566F42F1"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30,000</w:t>
            </w:r>
          </w:p>
        </w:tc>
        <w:tc>
          <w:tcPr>
            <w:tcW w:w="1244" w:type="dxa"/>
            <w:tcBorders>
              <w:top w:val="nil"/>
              <w:left w:val="nil"/>
              <w:bottom w:val="single" w:sz="4" w:space="0" w:color="auto"/>
              <w:right w:val="single" w:sz="4" w:space="0" w:color="auto"/>
            </w:tcBorders>
            <w:shd w:val="clear" w:color="auto" w:fill="auto"/>
            <w:noWrap/>
            <w:vAlign w:val="bottom"/>
            <w:hideMark/>
          </w:tcPr>
          <w:p w14:paraId="0567EF5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6397A40A"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3DD6BD58"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Directors’ Remuneration </w:t>
            </w:r>
          </w:p>
        </w:tc>
        <w:tc>
          <w:tcPr>
            <w:tcW w:w="1242" w:type="dxa"/>
            <w:tcBorders>
              <w:top w:val="nil"/>
              <w:left w:val="nil"/>
              <w:bottom w:val="single" w:sz="4" w:space="0" w:color="auto"/>
              <w:right w:val="single" w:sz="4" w:space="0" w:color="auto"/>
            </w:tcBorders>
            <w:shd w:val="clear" w:color="auto" w:fill="auto"/>
            <w:noWrap/>
            <w:vAlign w:val="bottom"/>
            <w:hideMark/>
          </w:tcPr>
          <w:p w14:paraId="722A9D3A"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5,000</w:t>
            </w:r>
          </w:p>
        </w:tc>
        <w:tc>
          <w:tcPr>
            <w:tcW w:w="1244" w:type="dxa"/>
            <w:tcBorders>
              <w:top w:val="nil"/>
              <w:left w:val="nil"/>
              <w:bottom w:val="single" w:sz="4" w:space="0" w:color="auto"/>
              <w:right w:val="single" w:sz="4" w:space="0" w:color="auto"/>
            </w:tcBorders>
            <w:shd w:val="clear" w:color="auto" w:fill="auto"/>
            <w:noWrap/>
            <w:vAlign w:val="bottom"/>
            <w:hideMark/>
          </w:tcPr>
          <w:p w14:paraId="67DEA61D"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72BB30B6"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4B7CF6FD"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Distribution Costs </w:t>
            </w:r>
          </w:p>
        </w:tc>
        <w:tc>
          <w:tcPr>
            <w:tcW w:w="1242" w:type="dxa"/>
            <w:tcBorders>
              <w:top w:val="nil"/>
              <w:left w:val="nil"/>
              <w:bottom w:val="single" w:sz="4" w:space="0" w:color="auto"/>
              <w:right w:val="single" w:sz="4" w:space="0" w:color="auto"/>
            </w:tcBorders>
            <w:shd w:val="clear" w:color="auto" w:fill="auto"/>
            <w:noWrap/>
            <w:vAlign w:val="bottom"/>
            <w:hideMark/>
          </w:tcPr>
          <w:p w14:paraId="141C1C35"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28,000</w:t>
            </w:r>
          </w:p>
        </w:tc>
        <w:tc>
          <w:tcPr>
            <w:tcW w:w="1244" w:type="dxa"/>
            <w:tcBorders>
              <w:top w:val="nil"/>
              <w:left w:val="nil"/>
              <w:bottom w:val="single" w:sz="4" w:space="0" w:color="auto"/>
              <w:right w:val="single" w:sz="4" w:space="0" w:color="auto"/>
            </w:tcBorders>
            <w:shd w:val="clear" w:color="auto" w:fill="auto"/>
            <w:noWrap/>
            <w:vAlign w:val="bottom"/>
            <w:hideMark/>
          </w:tcPr>
          <w:p w14:paraId="1572DDF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4F4B9C59"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1248B559"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Sales Commission</w:t>
            </w:r>
          </w:p>
        </w:tc>
        <w:tc>
          <w:tcPr>
            <w:tcW w:w="1242" w:type="dxa"/>
            <w:tcBorders>
              <w:top w:val="nil"/>
              <w:left w:val="nil"/>
              <w:bottom w:val="single" w:sz="4" w:space="0" w:color="auto"/>
              <w:right w:val="single" w:sz="4" w:space="0" w:color="auto"/>
            </w:tcBorders>
            <w:shd w:val="clear" w:color="auto" w:fill="auto"/>
            <w:noWrap/>
            <w:vAlign w:val="bottom"/>
            <w:hideMark/>
          </w:tcPr>
          <w:p w14:paraId="0A61DB4C"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3,000</w:t>
            </w:r>
          </w:p>
        </w:tc>
        <w:tc>
          <w:tcPr>
            <w:tcW w:w="1244" w:type="dxa"/>
            <w:tcBorders>
              <w:top w:val="nil"/>
              <w:left w:val="nil"/>
              <w:bottom w:val="single" w:sz="4" w:space="0" w:color="auto"/>
              <w:right w:val="single" w:sz="4" w:space="0" w:color="auto"/>
            </w:tcBorders>
            <w:shd w:val="clear" w:color="auto" w:fill="auto"/>
            <w:noWrap/>
            <w:vAlign w:val="bottom"/>
            <w:hideMark/>
          </w:tcPr>
          <w:p w14:paraId="67269C6B"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66,000</w:t>
            </w:r>
          </w:p>
        </w:tc>
      </w:tr>
      <w:tr w:rsidR="00332D2D" w:rsidRPr="008F6E12" w14:paraId="3B882871"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22B9D641" w14:textId="77777777" w:rsidR="00332D2D" w:rsidRPr="008F6E12" w:rsidRDefault="00332D2D" w:rsidP="0073271B">
            <w:pPr>
              <w:spacing w:after="0" w:line="240" w:lineRule="auto"/>
              <w:jc w:val="right"/>
              <w:rPr>
                <w:rFonts w:ascii="Arial" w:eastAsia="Times New Roman" w:hAnsi="Arial" w:cs="Arial"/>
                <w:i/>
                <w:iCs/>
                <w:color w:val="000000"/>
                <w:szCs w:val="24"/>
              </w:rPr>
            </w:pPr>
            <w:r w:rsidRPr="008F6E12">
              <w:rPr>
                <w:rFonts w:ascii="Arial" w:eastAsia="Times New Roman" w:hAnsi="Arial" w:cs="Arial"/>
                <w:i/>
                <w:iCs/>
                <w:color w:val="000000"/>
                <w:szCs w:val="24"/>
              </w:rPr>
              <w:t>Operating Profit</w:t>
            </w:r>
          </w:p>
        </w:tc>
        <w:tc>
          <w:tcPr>
            <w:tcW w:w="1242" w:type="dxa"/>
            <w:tcBorders>
              <w:top w:val="nil"/>
              <w:left w:val="nil"/>
              <w:bottom w:val="single" w:sz="4" w:space="0" w:color="auto"/>
              <w:right w:val="single" w:sz="4" w:space="0" w:color="auto"/>
            </w:tcBorders>
            <w:shd w:val="clear" w:color="auto" w:fill="auto"/>
            <w:noWrap/>
            <w:vAlign w:val="bottom"/>
            <w:hideMark/>
          </w:tcPr>
          <w:p w14:paraId="4E5D3FD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244" w:type="dxa"/>
            <w:tcBorders>
              <w:top w:val="nil"/>
              <w:left w:val="nil"/>
              <w:bottom w:val="single" w:sz="4" w:space="0" w:color="auto"/>
              <w:right w:val="single" w:sz="4" w:space="0" w:color="auto"/>
            </w:tcBorders>
            <w:shd w:val="clear" w:color="auto" w:fill="auto"/>
            <w:noWrap/>
            <w:vAlign w:val="bottom"/>
            <w:hideMark/>
          </w:tcPr>
          <w:p w14:paraId="6A683A0E"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156,330</w:t>
            </w:r>
          </w:p>
        </w:tc>
      </w:tr>
      <w:tr w:rsidR="00332D2D" w:rsidRPr="008F6E12" w14:paraId="064D540A"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71844C77"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 Interest paid </w:t>
            </w:r>
          </w:p>
        </w:tc>
        <w:tc>
          <w:tcPr>
            <w:tcW w:w="1242" w:type="dxa"/>
            <w:tcBorders>
              <w:top w:val="nil"/>
              <w:left w:val="nil"/>
              <w:bottom w:val="single" w:sz="4" w:space="0" w:color="auto"/>
              <w:right w:val="single" w:sz="4" w:space="0" w:color="auto"/>
            </w:tcBorders>
            <w:shd w:val="clear" w:color="auto" w:fill="auto"/>
            <w:noWrap/>
            <w:vAlign w:val="bottom"/>
            <w:hideMark/>
          </w:tcPr>
          <w:p w14:paraId="7B767420"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244" w:type="dxa"/>
            <w:tcBorders>
              <w:top w:val="nil"/>
              <w:left w:val="nil"/>
              <w:bottom w:val="single" w:sz="4" w:space="0" w:color="auto"/>
              <w:right w:val="single" w:sz="4" w:space="0" w:color="auto"/>
            </w:tcBorders>
            <w:shd w:val="clear" w:color="auto" w:fill="auto"/>
            <w:noWrap/>
            <w:vAlign w:val="bottom"/>
            <w:hideMark/>
          </w:tcPr>
          <w:p w14:paraId="0A51FC6B"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2,000</w:t>
            </w:r>
          </w:p>
        </w:tc>
      </w:tr>
      <w:tr w:rsidR="00332D2D" w:rsidRPr="008F6E12" w14:paraId="772B6BEB"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5F9DBBD4" w14:textId="77777777" w:rsidR="00332D2D" w:rsidRPr="008F6E12" w:rsidRDefault="00332D2D" w:rsidP="0073271B">
            <w:pPr>
              <w:spacing w:after="0" w:line="240" w:lineRule="auto"/>
              <w:jc w:val="right"/>
              <w:rPr>
                <w:rFonts w:ascii="Arial" w:eastAsia="Times New Roman" w:hAnsi="Arial" w:cs="Arial"/>
                <w:i/>
                <w:iCs/>
                <w:color w:val="000000"/>
                <w:szCs w:val="24"/>
              </w:rPr>
            </w:pPr>
            <w:r w:rsidRPr="008F6E12">
              <w:rPr>
                <w:rFonts w:ascii="Arial" w:eastAsia="Times New Roman" w:hAnsi="Arial" w:cs="Arial"/>
                <w:i/>
                <w:iCs/>
                <w:color w:val="000000"/>
                <w:szCs w:val="24"/>
              </w:rPr>
              <w:t>Income Before Taxes</w:t>
            </w:r>
          </w:p>
        </w:tc>
        <w:tc>
          <w:tcPr>
            <w:tcW w:w="1242" w:type="dxa"/>
            <w:tcBorders>
              <w:top w:val="nil"/>
              <w:left w:val="nil"/>
              <w:bottom w:val="single" w:sz="4" w:space="0" w:color="auto"/>
              <w:right w:val="single" w:sz="4" w:space="0" w:color="auto"/>
            </w:tcBorders>
            <w:shd w:val="clear" w:color="auto" w:fill="auto"/>
            <w:noWrap/>
            <w:vAlign w:val="bottom"/>
            <w:hideMark/>
          </w:tcPr>
          <w:p w14:paraId="413B96B2"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244" w:type="dxa"/>
            <w:tcBorders>
              <w:top w:val="nil"/>
              <w:left w:val="nil"/>
              <w:bottom w:val="single" w:sz="4" w:space="0" w:color="auto"/>
              <w:right w:val="single" w:sz="4" w:space="0" w:color="auto"/>
            </w:tcBorders>
            <w:shd w:val="clear" w:color="auto" w:fill="auto"/>
            <w:noWrap/>
            <w:vAlign w:val="bottom"/>
            <w:hideMark/>
          </w:tcPr>
          <w:p w14:paraId="26110CF9"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154,330</w:t>
            </w:r>
          </w:p>
        </w:tc>
      </w:tr>
      <w:tr w:rsidR="00332D2D" w:rsidRPr="008F6E12" w14:paraId="3CCA38A4"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57D810CE"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Corporation Tax</w:t>
            </w:r>
          </w:p>
        </w:tc>
        <w:tc>
          <w:tcPr>
            <w:tcW w:w="1242" w:type="dxa"/>
            <w:tcBorders>
              <w:top w:val="nil"/>
              <w:left w:val="nil"/>
              <w:bottom w:val="single" w:sz="4" w:space="0" w:color="auto"/>
              <w:right w:val="single" w:sz="4" w:space="0" w:color="auto"/>
            </w:tcBorders>
            <w:shd w:val="clear" w:color="auto" w:fill="auto"/>
            <w:noWrap/>
            <w:vAlign w:val="bottom"/>
            <w:hideMark/>
          </w:tcPr>
          <w:p w14:paraId="1709812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244" w:type="dxa"/>
            <w:tcBorders>
              <w:top w:val="nil"/>
              <w:left w:val="nil"/>
              <w:bottom w:val="single" w:sz="4" w:space="0" w:color="auto"/>
              <w:right w:val="single" w:sz="4" w:space="0" w:color="auto"/>
            </w:tcBorders>
            <w:shd w:val="clear" w:color="auto" w:fill="auto"/>
            <w:noWrap/>
            <w:vAlign w:val="bottom"/>
            <w:hideMark/>
          </w:tcPr>
          <w:p w14:paraId="62ADB373"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100,000</w:t>
            </w:r>
          </w:p>
        </w:tc>
      </w:tr>
      <w:tr w:rsidR="00332D2D" w:rsidRPr="008F6E12" w14:paraId="7493E1B1" w14:textId="77777777" w:rsidTr="0073271B">
        <w:trPr>
          <w:trHeight w:val="414"/>
        </w:trPr>
        <w:tc>
          <w:tcPr>
            <w:tcW w:w="5339" w:type="dxa"/>
            <w:tcBorders>
              <w:top w:val="nil"/>
              <w:left w:val="single" w:sz="4" w:space="0" w:color="auto"/>
              <w:bottom w:val="single" w:sz="4" w:space="0" w:color="auto"/>
              <w:right w:val="single" w:sz="4" w:space="0" w:color="auto"/>
            </w:tcBorders>
            <w:shd w:val="clear" w:color="auto" w:fill="auto"/>
            <w:noWrap/>
            <w:vAlign w:val="bottom"/>
            <w:hideMark/>
          </w:tcPr>
          <w:p w14:paraId="34EBBAB4"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Net Income</w:t>
            </w:r>
          </w:p>
        </w:tc>
        <w:tc>
          <w:tcPr>
            <w:tcW w:w="1242" w:type="dxa"/>
            <w:tcBorders>
              <w:top w:val="nil"/>
              <w:left w:val="nil"/>
              <w:bottom w:val="single" w:sz="4" w:space="0" w:color="auto"/>
              <w:right w:val="single" w:sz="4" w:space="0" w:color="auto"/>
            </w:tcBorders>
            <w:shd w:val="clear" w:color="auto" w:fill="auto"/>
            <w:noWrap/>
            <w:vAlign w:val="bottom"/>
            <w:hideMark/>
          </w:tcPr>
          <w:p w14:paraId="52665E09"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244" w:type="dxa"/>
            <w:tcBorders>
              <w:top w:val="nil"/>
              <w:left w:val="nil"/>
              <w:bottom w:val="single" w:sz="4" w:space="0" w:color="auto"/>
              <w:right w:val="single" w:sz="4" w:space="0" w:color="auto"/>
            </w:tcBorders>
            <w:shd w:val="clear" w:color="auto" w:fill="auto"/>
            <w:noWrap/>
            <w:vAlign w:val="bottom"/>
            <w:hideMark/>
          </w:tcPr>
          <w:p w14:paraId="3C326685" w14:textId="77777777" w:rsidR="00332D2D" w:rsidRPr="008F6E12" w:rsidRDefault="00332D2D" w:rsidP="0073271B">
            <w:pPr>
              <w:spacing w:after="0" w:line="240" w:lineRule="auto"/>
              <w:jc w:val="right"/>
              <w:rPr>
                <w:rFonts w:ascii="Arial" w:eastAsia="Times New Roman" w:hAnsi="Arial" w:cs="Arial"/>
                <w:b/>
                <w:bCs/>
                <w:color w:val="000000"/>
                <w:szCs w:val="24"/>
                <w:u w:val="double"/>
              </w:rPr>
            </w:pPr>
            <w:r w:rsidRPr="008F6E12">
              <w:rPr>
                <w:rFonts w:ascii="Arial" w:eastAsia="Times New Roman" w:hAnsi="Arial" w:cs="Arial"/>
                <w:b/>
                <w:bCs/>
                <w:color w:val="000000"/>
                <w:szCs w:val="24"/>
                <w:u w:val="double"/>
              </w:rPr>
              <w:t>54,330</w:t>
            </w:r>
          </w:p>
        </w:tc>
      </w:tr>
    </w:tbl>
    <w:p w14:paraId="68463A49" w14:textId="77777777" w:rsidR="00332D2D" w:rsidRPr="008F6E12" w:rsidRDefault="00332D2D" w:rsidP="00332D2D">
      <w:pPr>
        <w:rPr>
          <w:rFonts w:ascii="Arial" w:hAnsi="Arial" w:cs="Arial"/>
          <w:szCs w:val="24"/>
        </w:rPr>
      </w:pPr>
    </w:p>
    <w:p w14:paraId="6936ED71" w14:textId="77777777" w:rsidR="00332D2D" w:rsidRPr="008F6E12" w:rsidRDefault="00332D2D" w:rsidP="00332D2D">
      <w:pPr>
        <w:rPr>
          <w:rFonts w:ascii="Arial" w:hAnsi="Arial" w:cs="Arial"/>
          <w:szCs w:val="24"/>
        </w:rPr>
      </w:pPr>
    </w:p>
    <w:p w14:paraId="7B3FE99B" w14:textId="77777777" w:rsidR="00332D2D" w:rsidRPr="008F6E12" w:rsidRDefault="00332D2D" w:rsidP="00332D2D">
      <w:pPr>
        <w:rPr>
          <w:rFonts w:ascii="Arial" w:hAnsi="Arial" w:cs="Arial"/>
          <w:szCs w:val="24"/>
        </w:rPr>
      </w:pPr>
    </w:p>
    <w:p w14:paraId="5DF1CC2E" w14:textId="77777777" w:rsidR="00332D2D" w:rsidRPr="008F6E12" w:rsidRDefault="00332D2D" w:rsidP="00332D2D">
      <w:pPr>
        <w:spacing w:line="259" w:lineRule="auto"/>
        <w:jc w:val="left"/>
        <w:rPr>
          <w:rFonts w:ascii="Arial" w:hAnsi="Arial" w:cs="Arial"/>
          <w:szCs w:val="24"/>
        </w:rPr>
      </w:pPr>
      <w:r w:rsidRPr="008F6E12">
        <w:rPr>
          <w:rFonts w:ascii="Arial" w:hAnsi="Arial" w:cs="Arial"/>
          <w:szCs w:val="24"/>
        </w:rPr>
        <w:br w:type="page"/>
      </w:r>
    </w:p>
    <w:p w14:paraId="2032D7B4" w14:textId="77777777" w:rsidR="00332D2D" w:rsidRPr="008F6E12" w:rsidRDefault="00332D2D" w:rsidP="00332D2D">
      <w:pPr>
        <w:pStyle w:val="Heading2"/>
        <w:rPr>
          <w:rFonts w:ascii="Arial" w:hAnsi="Arial" w:cs="Arial"/>
          <w:sz w:val="24"/>
          <w:szCs w:val="24"/>
        </w:rPr>
      </w:pPr>
      <w:bookmarkStart w:id="3" w:name="_Toc118660417"/>
      <w:r w:rsidRPr="008F6E12">
        <w:rPr>
          <w:rFonts w:ascii="Arial" w:hAnsi="Arial" w:cs="Arial"/>
          <w:sz w:val="24"/>
          <w:szCs w:val="24"/>
        </w:rPr>
        <w:lastRenderedPageBreak/>
        <w:t>Preparing Statement for Financial Position</w:t>
      </w:r>
      <w:bookmarkEnd w:id="3"/>
    </w:p>
    <w:tbl>
      <w:tblPr>
        <w:tblW w:w="7946" w:type="dxa"/>
        <w:tblInd w:w="706" w:type="dxa"/>
        <w:tblLook w:val="04A0" w:firstRow="1" w:lastRow="0" w:firstColumn="1" w:lastColumn="0" w:noHBand="0" w:noVBand="1"/>
      </w:tblPr>
      <w:tblGrid>
        <w:gridCol w:w="5485"/>
        <w:gridCol w:w="1105"/>
        <w:gridCol w:w="1356"/>
      </w:tblGrid>
      <w:tr w:rsidR="00332D2D" w:rsidRPr="008F6E12" w14:paraId="1ADB86BD" w14:textId="77777777" w:rsidTr="0073271B">
        <w:trPr>
          <w:trHeight w:val="337"/>
        </w:trPr>
        <w:tc>
          <w:tcPr>
            <w:tcW w:w="7946" w:type="dxa"/>
            <w:gridSpan w:val="3"/>
            <w:tcBorders>
              <w:top w:val="single" w:sz="4" w:space="0" w:color="auto"/>
              <w:left w:val="single" w:sz="4" w:space="0" w:color="auto"/>
              <w:bottom w:val="nil"/>
              <w:right w:val="single" w:sz="4" w:space="0" w:color="000000"/>
            </w:tcBorders>
            <w:shd w:val="clear" w:color="auto" w:fill="D9E2F3" w:themeFill="accent1" w:themeFillTint="33"/>
            <w:noWrap/>
            <w:vAlign w:val="bottom"/>
            <w:hideMark/>
          </w:tcPr>
          <w:p w14:paraId="5989E9CF" w14:textId="77777777" w:rsidR="00332D2D" w:rsidRPr="008F6E12" w:rsidRDefault="00332D2D" w:rsidP="0073271B">
            <w:pPr>
              <w:spacing w:after="0" w:line="240" w:lineRule="auto"/>
              <w:jc w:val="center"/>
              <w:rPr>
                <w:rFonts w:ascii="Arial" w:eastAsia="Times New Roman" w:hAnsi="Arial" w:cs="Arial"/>
                <w:b/>
                <w:bCs/>
                <w:color w:val="000000"/>
                <w:szCs w:val="24"/>
              </w:rPr>
            </w:pPr>
            <w:r w:rsidRPr="008F6E12">
              <w:rPr>
                <w:rFonts w:ascii="Arial" w:eastAsia="Times New Roman" w:hAnsi="Arial" w:cs="Arial"/>
                <w:b/>
                <w:bCs/>
                <w:color w:val="000000"/>
                <w:szCs w:val="24"/>
              </w:rPr>
              <w:t>Wales Plc</w:t>
            </w:r>
          </w:p>
        </w:tc>
      </w:tr>
      <w:tr w:rsidR="00332D2D" w:rsidRPr="008F6E12" w14:paraId="34077ECA" w14:textId="77777777" w:rsidTr="0073271B">
        <w:trPr>
          <w:trHeight w:val="337"/>
        </w:trPr>
        <w:tc>
          <w:tcPr>
            <w:tcW w:w="7946" w:type="dxa"/>
            <w:gridSpan w:val="3"/>
            <w:tcBorders>
              <w:top w:val="nil"/>
              <w:left w:val="single" w:sz="4" w:space="0" w:color="auto"/>
              <w:bottom w:val="nil"/>
              <w:right w:val="single" w:sz="4" w:space="0" w:color="000000"/>
            </w:tcBorders>
            <w:shd w:val="clear" w:color="auto" w:fill="D9E2F3" w:themeFill="accent1" w:themeFillTint="33"/>
            <w:noWrap/>
            <w:vAlign w:val="bottom"/>
            <w:hideMark/>
          </w:tcPr>
          <w:p w14:paraId="72CCC0A5" w14:textId="77777777" w:rsidR="00332D2D" w:rsidRPr="008F6E12" w:rsidRDefault="00332D2D" w:rsidP="0073271B">
            <w:pPr>
              <w:spacing w:after="0" w:line="240" w:lineRule="auto"/>
              <w:jc w:val="center"/>
              <w:rPr>
                <w:rFonts w:ascii="Arial" w:eastAsia="Times New Roman" w:hAnsi="Arial" w:cs="Arial"/>
                <w:b/>
                <w:bCs/>
                <w:color w:val="000000"/>
                <w:szCs w:val="24"/>
              </w:rPr>
            </w:pPr>
            <w:r w:rsidRPr="008F6E12">
              <w:rPr>
                <w:rFonts w:ascii="Arial" w:eastAsia="Times New Roman" w:hAnsi="Arial" w:cs="Arial"/>
                <w:b/>
                <w:bCs/>
                <w:color w:val="000000"/>
                <w:szCs w:val="24"/>
              </w:rPr>
              <w:t>Financial Position Statement</w:t>
            </w:r>
          </w:p>
        </w:tc>
      </w:tr>
      <w:tr w:rsidR="00332D2D" w:rsidRPr="008F6E12" w14:paraId="448C4A04" w14:textId="77777777" w:rsidTr="0073271B">
        <w:trPr>
          <w:trHeight w:val="337"/>
        </w:trPr>
        <w:tc>
          <w:tcPr>
            <w:tcW w:w="7946" w:type="dxa"/>
            <w:gridSpan w:val="3"/>
            <w:tcBorders>
              <w:top w:val="nil"/>
              <w:left w:val="single" w:sz="4" w:space="0" w:color="auto"/>
              <w:bottom w:val="single" w:sz="4" w:space="0" w:color="auto"/>
              <w:right w:val="single" w:sz="4" w:space="0" w:color="000000"/>
            </w:tcBorders>
            <w:shd w:val="clear" w:color="auto" w:fill="D9E2F3" w:themeFill="accent1" w:themeFillTint="33"/>
            <w:noWrap/>
            <w:vAlign w:val="bottom"/>
            <w:hideMark/>
          </w:tcPr>
          <w:p w14:paraId="1E97E72C" w14:textId="77777777" w:rsidR="00332D2D" w:rsidRPr="008F6E12" w:rsidRDefault="00332D2D" w:rsidP="0073271B">
            <w:pPr>
              <w:spacing w:after="0" w:line="240" w:lineRule="auto"/>
              <w:jc w:val="center"/>
              <w:rPr>
                <w:rFonts w:ascii="Arial" w:eastAsia="Times New Roman" w:hAnsi="Arial" w:cs="Arial"/>
                <w:color w:val="000000"/>
                <w:szCs w:val="24"/>
              </w:rPr>
            </w:pPr>
            <w:r w:rsidRPr="008F6E12">
              <w:rPr>
                <w:rFonts w:ascii="Arial" w:eastAsia="Times New Roman" w:hAnsi="Arial" w:cs="Arial"/>
                <w:color w:val="000000"/>
                <w:szCs w:val="24"/>
              </w:rPr>
              <w:t>For the year ended 31st December 2021</w:t>
            </w:r>
          </w:p>
        </w:tc>
      </w:tr>
      <w:tr w:rsidR="00332D2D" w:rsidRPr="008F6E12" w14:paraId="5C71D257"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55005CC9" w14:textId="77777777" w:rsidR="00332D2D" w:rsidRPr="008F6E12" w:rsidRDefault="00332D2D" w:rsidP="0073271B">
            <w:pPr>
              <w:spacing w:after="0" w:line="240" w:lineRule="auto"/>
              <w:jc w:val="center"/>
              <w:rPr>
                <w:rFonts w:ascii="Arial" w:eastAsia="Times New Roman" w:hAnsi="Arial" w:cs="Arial"/>
                <w:b/>
                <w:bCs/>
                <w:color w:val="000000"/>
                <w:szCs w:val="24"/>
                <w:u w:val="single"/>
              </w:rPr>
            </w:pPr>
            <w:r w:rsidRPr="008F6E12">
              <w:rPr>
                <w:rFonts w:ascii="Arial" w:eastAsia="Times New Roman" w:hAnsi="Arial" w:cs="Arial"/>
                <w:b/>
                <w:bCs/>
                <w:color w:val="000000"/>
                <w:szCs w:val="24"/>
                <w:u w:val="single"/>
              </w:rPr>
              <w:t>Assets</w:t>
            </w:r>
          </w:p>
        </w:tc>
        <w:tc>
          <w:tcPr>
            <w:tcW w:w="1105" w:type="dxa"/>
            <w:tcBorders>
              <w:top w:val="nil"/>
              <w:left w:val="nil"/>
              <w:bottom w:val="single" w:sz="4" w:space="0" w:color="auto"/>
              <w:right w:val="single" w:sz="4" w:space="0" w:color="auto"/>
            </w:tcBorders>
            <w:shd w:val="clear" w:color="auto" w:fill="auto"/>
            <w:noWrap/>
            <w:vAlign w:val="bottom"/>
            <w:hideMark/>
          </w:tcPr>
          <w:p w14:paraId="09F462FD" w14:textId="77777777" w:rsidR="00332D2D" w:rsidRPr="008F6E12" w:rsidRDefault="00332D2D" w:rsidP="0073271B">
            <w:pPr>
              <w:spacing w:after="0" w:line="240" w:lineRule="auto"/>
              <w:jc w:val="center"/>
              <w:rPr>
                <w:rFonts w:ascii="Arial" w:eastAsia="Times New Roman" w:hAnsi="Arial" w:cs="Arial"/>
                <w:b/>
                <w:bCs/>
                <w:color w:val="000000"/>
                <w:szCs w:val="24"/>
              </w:rPr>
            </w:pPr>
            <w:r w:rsidRPr="008F6E12">
              <w:rPr>
                <w:rFonts w:ascii="Arial" w:eastAsia="Times New Roman" w:hAnsi="Arial" w:cs="Arial"/>
                <w:b/>
                <w:bCs/>
                <w:color w:val="000000"/>
                <w:szCs w:val="24"/>
              </w:rPr>
              <w:t>£</w:t>
            </w:r>
          </w:p>
        </w:tc>
        <w:tc>
          <w:tcPr>
            <w:tcW w:w="1356" w:type="dxa"/>
            <w:tcBorders>
              <w:top w:val="nil"/>
              <w:left w:val="nil"/>
              <w:bottom w:val="single" w:sz="4" w:space="0" w:color="auto"/>
              <w:right w:val="single" w:sz="4" w:space="0" w:color="auto"/>
            </w:tcBorders>
            <w:shd w:val="clear" w:color="auto" w:fill="auto"/>
            <w:noWrap/>
            <w:vAlign w:val="bottom"/>
            <w:hideMark/>
          </w:tcPr>
          <w:p w14:paraId="7F8640D3" w14:textId="77777777" w:rsidR="00332D2D" w:rsidRPr="008F6E12" w:rsidRDefault="00332D2D" w:rsidP="0073271B">
            <w:pPr>
              <w:spacing w:after="0" w:line="240" w:lineRule="auto"/>
              <w:jc w:val="center"/>
              <w:rPr>
                <w:rFonts w:ascii="Arial" w:eastAsia="Times New Roman" w:hAnsi="Arial" w:cs="Arial"/>
                <w:b/>
                <w:bCs/>
                <w:color w:val="000000"/>
                <w:szCs w:val="24"/>
              </w:rPr>
            </w:pPr>
            <w:r w:rsidRPr="008F6E12">
              <w:rPr>
                <w:rFonts w:ascii="Arial" w:eastAsia="Times New Roman" w:hAnsi="Arial" w:cs="Arial"/>
                <w:b/>
                <w:bCs/>
                <w:color w:val="000000"/>
                <w:szCs w:val="24"/>
              </w:rPr>
              <w:t>£</w:t>
            </w:r>
          </w:p>
        </w:tc>
      </w:tr>
      <w:tr w:rsidR="00332D2D" w:rsidRPr="008F6E12" w14:paraId="67E8DDDE"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159F3ED5" w14:textId="77777777" w:rsidR="00332D2D" w:rsidRPr="008F6E12" w:rsidRDefault="00332D2D" w:rsidP="0073271B">
            <w:pPr>
              <w:spacing w:after="0" w:line="240" w:lineRule="auto"/>
              <w:jc w:val="left"/>
              <w:rPr>
                <w:rFonts w:ascii="Arial" w:eastAsia="Times New Roman" w:hAnsi="Arial" w:cs="Arial"/>
                <w:b/>
                <w:bCs/>
                <w:color w:val="000000"/>
                <w:szCs w:val="24"/>
                <w:u w:val="single"/>
              </w:rPr>
            </w:pPr>
            <w:r w:rsidRPr="008F6E12">
              <w:rPr>
                <w:rFonts w:ascii="Arial" w:eastAsia="Times New Roman" w:hAnsi="Arial" w:cs="Arial"/>
                <w:b/>
                <w:bCs/>
                <w:color w:val="000000"/>
                <w:szCs w:val="24"/>
                <w:u w:val="single"/>
              </w:rPr>
              <w:t>Current Assets</w:t>
            </w:r>
          </w:p>
        </w:tc>
        <w:tc>
          <w:tcPr>
            <w:tcW w:w="1105" w:type="dxa"/>
            <w:tcBorders>
              <w:top w:val="nil"/>
              <w:left w:val="nil"/>
              <w:bottom w:val="single" w:sz="4" w:space="0" w:color="auto"/>
              <w:right w:val="single" w:sz="4" w:space="0" w:color="auto"/>
            </w:tcBorders>
            <w:shd w:val="clear" w:color="auto" w:fill="auto"/>
            <w:noWrap/>
            <w:vAlign w:val="bottom"/>
            <w:hideMark/>
          </w:tcPr>
          <w:p w14:paraId="193A2216" w14:textId="77777777" w:rsidR="00332D2D" w:rsidRPr="008F6E12" w:rsidRDefault="00332D2D" w:rsidP="0073271B">
            <w:pPr>
              <w:spacing w:after="0" w:line="240" w:lineRule="auto"/>
              <w:jc w:val="left"/>
              <w:rPr>
                <w:rFonts w:ascii="Arial" w:eastAsia="Times New Roman" w:hAnsi="Arial" w:cs="Arial"/>
                <w:b/>
                <w:bCs/>
                <w:color w:val="000000"/>
                <w:szCs w:val="24"/>
                <w:u w:val="single"/>
              </w:rPr>
            </w:pPr>
          </w:p>
        </w:tc>
        <w:tc>
          <w:tcPr>
            <w:tcW w:w="1356" w:type="dxa"/>
            <w:tcBorders>
              <w:top w:val="nil"/>
              <w:left w:val="nil"/>
              <w:bottom w:val="single" w:sz="4" w:space="0" w:color="auto"/>
              <w:right w:val="single" w:sz="4" w:space="0" w:color="auto"/>
            </w:tcBorders>
            <w:shd w:val="clear" w:color="auto" w:fill="auto"/>
            <w:noWrap/>
            <w:vAlign w:val="bottom"/>
            <w:hideMark/>
          </w:tcPr>
          <w:p w14:paraId="663A5C03"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403F8BA9"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6B94745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Cash and bank </w:t>
            </w:r>
          </w:p>
        </w:tc>
        <w:tc>
          <w:tcPr>
            <w:tcW w:w="1105" w:type="dxa"/>
            <w:tcBorders>
              <w:top w:val="nil"/>
              <w:left w:val="nil"/>
              <w:bottom w:val="single" w:sz="4" w:space="0" w:color="auto"/>
              <w:right w:val="single" w:sz="4" w:space="0" w:color="auto"/>
            </w:tcBorders>
            <w:shd w:val="clear" w:color="auto" w:fill="auto"/>
            <w:noWrap/>
            <w:vAlign w:val="bottom"/>
            <w:hideMark/>
          </w:tcPr>
          <w:p w14:paraId="394161D7"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1C533C5D"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176,250</w:t>
            </w:r>
          </w:p>
        </w:tc>
      </w:tr>
      <w:tr w:rsidR="00332D2D" w:rsidRPr="008F6E12" w14:paraId="3BE0F23F"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60DD9DF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Trade receivable </w:t>
            </w:r>
          </w:p>
        </w:tc>
        <w:tc>
          <w:tcPr>
            <w:tcW w:w="1105" w:type="dxa"/>
            <w:tcBorders>
              <w:top w:val="nil"/>
              <w:left w:val="nil"/>
              <w:bottom w:val="single" w:sz="4" w:space="0" w:color="auto"/>
              <w:right w:val="single" w:sz="4" w:space="0" w:color="auto"/>
            </w:tcBorders>
            <w:shd w:val="clear" w:color="auto" w:fill="auto"/>
            <w:noWrap/>
            <w:vAlign w:val="bottom"/>
            <w:hideMark/>
          </w:tcPr>
          <w:p w14:paraId="3103240B"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170,125</w:t>
            </w:r>
          </w:p>
        </w:tc>
        <w:tc>
          <w:tcPr>
            <w:tcW w:w="1356" w:type="dxa"/>
            <w:tcBorders>
              <w:top w:val="nil"/>
              <w:left w:val="nil"/>
              <w:bottom w:val="nil"/>
              <w:right w:val="single" w:sz="4" w:space="0" w:color="auto"/>
            </w:tcBorders>
            <w:shd w:val="clear" w:color="auto" w:fill="auto"/>
            <w:noWrap/>
            <w:vAlign w:val="bottom"/>
            <w:hideMark/>
          </w:tcPr>
          <w:p w14:paraId="608A7CC1"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38A37AF0"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3FBA3793"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Goods Sold on Credit</w:t>
            </w:r>
          </w:p>
        </w:tc>
        <w:tc>
          <w:tcPr>
            <w:tcW w:w="1105" w:type="dxa"/>
            <w:tcBorders>
              <w:top w:val="nil"/>
              <w:left w:val="nil"/>
              <w:bottom w:val="single" w:sz="4" w:space="0" w:color="auto"/>
              <w:right w:val="single" w:sz="4" w:space="0" w:color="auto"/>
            </w:tcBorders>
            <w:shd w:val="clear" w:color="auto" w:fill="auto"/>
            <w:noWrap/>
            <w:vAlign w:val="bottom"/>
            <w:hideMark/>
          </w:tcPr>
          <w:p w14:paraId="65F2D053"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980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14:paraId="2F2EFCC2"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171,105</w:t>
            </w:r>
          </w:p>
        </w:tc>
      </w:tr>
      <w:tr w:rsidR="00332D2D" w:rsidRPr="008F6E12" w14:paraId="55CF91D1"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72B02892"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Stock on 31st December 2021 </w:t>
            </w:r>
          </w:p>
        </w:tc>
        <w:tc>
          <w:tcPr>
            <w:tcW w:w="1105" w:type="dxa"/>
            <w:tcBorders>
              <w:top w:val="nil"/>
              <w:left w:val="nil"/>
              <w:bottom w:val="single" w:sz="4" w:space="0" w:color="auto"/>
              <w:right w:val="single" w:sz="4" w:space="0" w:color="auto"/>
            </w:tcBorders>
            <w:shd w:val="clear" w:color="auto" w:fill="auto"/>
            <w:noWrap/>
            <w:vAlign w:val="bottom"/>
            <w:hideMark/>
          </w:tcPr>
          <w:p w14:paraId="6B114BA4"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118FD448"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430600</w:t>
            </w:r>
          </w:p>
        </w:tc>
      </w:tr>
      <w:tr w:rsidR="00332D2D" w:rsidRPr="008F6E12" w14:paraId="78DB09A8"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1719D998" w14:textId="77777777" w:rsidR="00332D2D" w:rsidRPr="008F6E12" w:rsidRDefault="00332D2D" w:rsidP="0073271B">
            <w:pPr>
              <w:spacing w:after="0" w:line="240" w:lineRule="auto"/>
              <w:jc w:val="center"/>
              <w:rPr>
                <w:rFonts w:ascii="Arial" w:eastAsia="Times New Roman" w:hAnsi="Arial" w:cs="Arial"/>
                <w:i/>
                <w:iCs/>
                <w:color w:val="000000"/>
                <w:szCs w:val="24"/>
              </w:rPr>
            </w:pPr>
            <w:r w:rsidRPr="008F6E12">
              <w:rPr>
                <w:rFonts w:ascii="Arial" w:eastAsia="Times New Roman" w:hAnsi="Arial" w:cs="Arial"/>
                <w:i/>
                <w:iCs/>
                <w:color w:val="000000"/>
                <w:szCs w:val="24"/>
              </w:rPr>
              <w:t>Total Current Assets</w:t>
            </w:r>
          </w:p>
        </w:tc>
        <w:tc>
          <w:tcPr>
            <w:tcW w:w="1105" w:type="dxa"/>
            <w:tcBorders>
              <w:top w:val="nil"/>
              <w:left w:val="nil"/>
              <w:bottom w:val="single" w:sz="4" w:space="0" w:color="auto"/>
              <w:right w:val="single" w:sz="4" w:space="0" w:color="auto"/>
            </w:tcBorders>
            <w:shd w:val="clear" w:color="auto" w:fill="auto"/>
            <w:noWrap/>
            <w:vAlign w:val="bottom"/>
            <w:hideMark/>
          </w:tcPr>
          <w:p w14:paraId="55BD4774"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596AFF8F"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777,955</w:t>
            </w:r>
          </w:p>
        </w:tc>
      </w:tr>
      <w:tr w:rsidR="00332D2D" w:rsidRPr="008F6E12" w14:paraId="152CB392"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060E63C7" w14:textId="77777777" w:rsidR="00332D2D" w:rsidRPr="008F6E12" w:rsidRDefault="00332D2D" w:rsidP="0073271B">
            <w:pPr>
              <w:spacing w:after="0" w:line="240" w:lineRule="auto"/>
              <w:jc w:val="left"/>
              <w:rPr>
                <w:rFonts w:ascii="Arial" w:eastAsia="Times New Roman" w:hAnsi="Arial" w:cs="Arial"/>
                <w:b/>
                <w:bCs/>
                <w:color w:val="000000"/>
                <w:szCs w:val="24"/>
                <w:u w:val="single"/>
              </w:rPr>
            </w:pPr>
            <w:r w:rsidRPr="008F6E12">
              <w:rPr>
                <w:rFonts w:ascii="Arial" w:eastAsia="Times New Roman" w:hAnsi="Arial" w:cs="Arial"/>
                <w:b/>
                <w:bCs/>
                <w:color w:val="000000"/>
                <w:szCs w:val="24"/>
                <w:u w:val="single"/>
              </w:rPr>
              <w:t>Lon-Term Assets</w:t>
            </w:r>
          </w:p>
        </w:tc>
        <w:tc>
          <w:tcPr>
            <w:tcW w:w="1105" w:type="dxa"/>
            <w:tcBorders>
              <w:top w:val="nil"/>
              <w:left w:val="nil"/>
              <w:bottom w:val="single" w:sz="4" w:space="0" w:color="auto"/>
              <w:right w:val="single" w:sz="4" w:space="0" w:color="auto"/>
            </w:tcBorders>
            <w:shd w:val="clear" w:color="auto" w:fill="auto"/>
            <w:noWrap/>
            <w:vAlign w:val="bottom"/>
            <w:hideMark/>
          </w:tcPr>
          <w:p w14:paraId="71167293"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053674D5"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74FCC115"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6EF1B79C"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Plant and equipment </w:t>
            </w:r>
          </w:p>
        </w:tc>
        <w:tc>
          <w:tcPr>
            <w:tcW w:w="1105" w:type="dxa"/>
            <w:tcBorders>
              <w:top w:val="nil"/>
              <w:left w:val="nil"/>
              <w:bottom w:val="single" w:sz="4" w:space="0" w:color="auto"/>
              <w:right w:val="single" w:sz="4" w:space="0" w:color="auto"/>
            </w:tcBorders>
            <w:shd w:val="clear" w:color="auto" w:fill="auto"/>
            <w:noWrap/>
            <w:vAlign w:val="bottom"/>
            <w:hideMark/>
          </w:tcPr>
          <w:p w14:paraId="4A1DD821"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75F93896"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1250000</w:t>
            </w:r>
          </w:p>
        </w:tc>
      </w:tr>
      <w:tr w:rsidR="00332D2D" w:rsidRPr="008F6E12" w14:paraId="1362A633"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1F8846BB" w14:textId="77777777" w:rsidR="00332D2D" w:rsidRPr="008F6E12" w:rsidRDefault="00332D2D" w:rsidP="0073271B">
            <w:pPr>
              <w:spacing w:after="0" w:line="240" w:lineRule="auto"/>
              <w:jc w:val="center"/>
              <w:rPr>
                <w:rFonts w:ascii="Arial" w:eastAsia="Times New Roman" w:hAnsi="Arial" w:cs="Arial"/>
                <w:i/>
                <w:iCs/>
                <w:color w:val="000000"/>
                <w:szCs w:val="24"/>
              </w:rPr>
            </w:pPr>
            <w:r w:rsidRPr="008F6E12">
              <w:rPr>
                <w:rFonts w:ascii="Arial" w:eastAsia="Times New Roman" w:hAnsi="Arial" w:cs="Arial"/>
                <w:i/>
                <w:iCs/>
                <w:color w:val="000000"/>
                <w:szCs w:val="24"/>
              </w:rPr>
              <w:t>Total Long-Term Assets</w:t>
            </w:r>
          </w:p>
        </w:tc>
        <w:tc>
          <w:tcPr>
            <w:tcW w:w="1105" w:type="dxa"/>
            <w:tcBorders>
              <w:top w:val="nil"/>
              <w:left w:val="nil"/>
              <w:bottom w:val="single" w:sz="4" w:space="0" w:color="auto"/>
              <w:right w:val="single" w:sz="4" w:space="0" w:color="auto"/>
            </w:tcBorders>
            <w:shd w:val="clear" w:color="auto" w:fill="auto"/>
            <w:noWrap/>
            <w:vAlign w:val="bottom"/>
            <w:hideMark/>
          </w:tcPr>
          <w:p w14:paraId="4A0E3067"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1D63A94D"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1250000</w:t>
            </w:r>
          </w:p>
        </w:tc>
      </w:tr>
      <w:tr w:rsidR="00332D2D" w:rsidRPr="008F6E12" w14:paraId="3E814409"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4A8EA0FC"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Total Assets</w:t>
            </w:r>
          </w:p>
        </w:tc>
        <w:tc>
          <w:tcPr>
            <w:tcW w:w="1105" w:type="dxa"/>
            <w:tcBorders>
              <w:top w:val="nil"/>
              <w:left w:val="nil"/>
              <w:bottom w:val="single" w:sz="4" w:space="0" w:color="auto"/>
              <w:right w:val="single" w:sz="4" w:space="0" w:color="auto"/>
            </w:tcBorders>
            <w:shd w:val="clear" w:color="auto" w:fill="auto"/>
            <w:noWrap/>
            <w:vAlign w:val="bottom"/>
            <w:hideMark/>
          </w:tcPr>
          <w:p w14:paraId="5CC2AEB3"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000000" w:fill="FFFF00"/>
            <w:noWrap/>
            <w:vAlign w:val="bottom"/>
            <w:hideMark/>
          </w:tcPr>
          <w:p w14:paraId="33B4E9FC" w14:textId="77777777" w:rsidR="00332D2D" w:rsidRPr="008F6E12" w:rsidRDefault="00332D2D" w:rsidP="0073271B">
            <w:pPr>
              <w:spacing w:after="0" w:line="240" w:lineRule="auto"/>
              <w:jc w:val="right"/>
              <w:rPr>
                <w:rFonts w:ascii="Arial" w:eastAsia="Times New Roman" w:hAnsi="Arial" w:cs="Arial"/>
                <w:b/>
                <w:bCs/>
                <w:color w:val="000000"/>
                <w:szCs w:val="24"/>
                <w:u w:val="double"/>
              </w:rPr>
            </w:pPr>
            <w:r w:rsidRPr="008F6E12">
              <w:rPr>
                <w:rFonts w:ascii="Arial" w:eastAsia="Times New Roman" w:hAnsi="Arial" w:cs="Arial"/>
                <w:b/>
                <w:bCs/>
                <w:color w:val="000000"/>
                <w:szCs w:val="24"/>
                <w:u w:val="double"/>
              </w:rPr>
              <w:t>2,027,955</w:t>
            </w:r>
          </w:p>
        </w:tc>
      </w:tr>
      <w:tr w:rsidR="00332D2D" w:rsidRPr="008F6E12" w14:paraId="0143E708"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001BDECC"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105" w:type="dxa"/>
            <w:tcBorders>
              <w:top w:val="nil"/>
              <w:left w:val="nil"/>
              <w:bottom w:val="single" w:sz="4" w:space="0" w:color="auto"/>
              <w:right w:val="single" w:sz="4" w:space="0" w:color="auto"/>
            </w:tcBorders>
            <w:shd w:val="clear" w:color="auto" w:fill="auto"/>
            <w:noWrap/>
            <w:vAlign w:val="bottom"/>
            <w:hideMark/>
          </w:tcPr>
          <w:p w14:paraId="483EDD33"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2EB8C3F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711A8F45"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2502C5C5" w14:textId="77777777" w:rsidR="00332D2D" w:rsidRPr="008F6E12" w:rsidRDefault="00332D2D" w:rsidP="0073271B">
            <w:pPr>
              <w:spacing w:after="0" w:line="240" w:lineRule="auto"/>
              <w:jc w:val="center"/>
              <w:rPr>
                <w:rFonts w:ascii="Arial" w:eastAsia="Times New Roman" w:hAnsi="Arial" w:cs="Arial"/>
                <w:b/>
                <w:bCs/>
                <w:color w:val="000000"/>
                <w:szCs w:val="24"/>
                <w:u w:val="single"/>
              </w:rPr>
            </w:pPr>
            <w:r w:rsidRPr="008F6E12">
              <w:rPr>
                <w:rFonts w:ascii="Arial" w:eastAsia="Times New Roman" w:hAnsi="Arial" w:cs="Arial"/>
                <w:b/>
                <w:bCs/>
                <w:color w:val="000000"/>
                <w:szCs w:val="24"/>
                <w:u w:val="single"/>
              </w:rPr>
              <w:t>Liabilities and Shareholder's Equity</w:t>
            </w:r>
          </w:p>
        </w:tc>
        <w:tc>
          <w:tcPr>
            <w:tcW w:w="1105" w:type="dxa"/>
            <w:tcBorders>
              <w:top w:val="nil"/>
              <w:left w:val="nil"/>
              <w:bottom w:val="single" w:sz="4" w:space="0" w:color="auto"/>
              <w:right w:val="single" w:sz="4" w:space="0" w:color="auto"/>
            </w:tcBorders>
            <w:shd w:val="clear" w:color="auto" w:fill="auto"/>
            <w:noWrap/>
            <w:vAlign w:val="bottom"/>
            <w:hideMark/>
          </w:tcPr>
          <w:p w14:paraId="7669E251"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571C3B44"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1EEC6F31"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22F735AA" w14:textId="77777777" w:rsidR="00332D2D" w:rsidRPr="008F6E12" w:rsidRDefault="00332D2D" w:rsidP="0073271B">
            <w:pPr>
              <w:spacing w:after="0" w:line="240" w:lineRule="auto"/>
              <w:jc w:val="left"/>
              <w:rPr>
                <w:rFonts w:ascii="Arial" w:eastAsia="Times New Roman" w:hAnsi="Arial" w:cs="Arial"/>
                <w:b/>
                <w:bCs/>
                <w:color w:val="000000"/>
                <w:szCs w:val="24"/>
                <w:u w:val="single"/>
              </w:rPr>
            </w:pPr>
            <w:r w:rsidRPr="008F6E12">
              <w:rPr>
                <w:rFonts w:ascii="Arial" w:eastAsia="Times New Roman" w:hAnsi="Arial" w:cs="Arial"/>
                <w:b/>
                <w:bCs/>
                <w:color w:val="000000"/>
                <w:szCs w:val="24"/>
                <w:u w:val="single"/>
              </w:rPr>
              <w:t>Current Liability</w:t>
            </w:r>
          </w:p>
        </w:tc>
        <w:tc>
          <w:tcPr>
            <w:tcW w:w="1105" w:type="dxa"/>
            <w:tcBorders>
              <w:top w:val="nil"/>
              <w:left w:val="nil"/>
              <w:bottom w:val="single" w:sz="4" w:space="0" w:color="auto"/>
              <w:right w:val="single" w:sz="4" w:space="0" w:color="auto"/>
            </w:tcBorders>
            <w:shd w:val="clear" w:color="auto" w:fill="auto"/>
            <w:noWrap/>
            <w:vAlign w:val="bottom"/>
            <w:hideMark/>
          </w:tcPr>
          <w:p w14:paraId="00D28E4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28AA0E1E"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50143524"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6F72650E"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Trade payable </w:t>
            </w:r>
          </w:p>
        </w:tc>
        <w:tc>
          <w:tcPr>
            <w:tcW w:w="1105" w:type="dxa"/>
            <w:tcBorders>
              <w:top w:val="nil"/>
              <w:left w:val="nil"/>
              <w:bottom w:val="single" w:sz="4" w:space="0" w:color="auto"/>
              <w:right w:val="single" w:sz="4" w:space="0" w:color="auto"/>
            </w:tcBorders>
            <w:shd w:val="clear" w:color="auto" w:fill="auto"/>
            <w:noWrap/>
            <w:vAlign w:val="bottom"/>
            <w:hideMark/>
          </w:tcPr>
          <w:p w14:paraId="129BBFC4"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7C186CD6"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188625</w:t>
            </w:r>
          </w:p>
        </w:tc>
      </w:tr>
      <w:tr w:rsidR="00332D2D" w:rsidRPr="008F6E12" w14:paraId="018DD836"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32479965"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Salesman Commission</w:t>
            </w:r>
          </w:p>
        </w:tc>
        <w:tc>
          <w:tcPr>
            <w:tcW w:w="1105" w:type="dxa"/>
            <w:tcBorders>
              <w:top w:val="nil"/>
              <w:left w:val="nil"/>
              <w:bottom w:val="single" w:sz="4" w:space="0" w:color="auto"/>
              <w:right w:val="single" w:sz="4" w:space="0" w:color="auto"/>
            </w:tcBorders>
            <w:shd w:val="clear" w:color="auto" w:fill="auto"/>
            <w:noWrap/>
            <w:vAlign w:val="bottom"/>
            <w:hideMark/>
          </w:tcPr>
          <w:p w14:paraId="7FD48012"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16421E37"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3000</w:t>
            </w:r>
          </w:p>
        </w:tc>
      </w:tr>
      <w:tr w:rsidR="00332D2D" w:rsidRPr="008F6E12" w14:paraId="5BF17E1E"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39AC33E2"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Corporate Tax Payable</w:t>
            </w:r>
          </w:p>
        </w:tc>
        <w:tc>
          <w:tcPr>
            <w:tcW w:w="1105" w:type="dxa"/>
            <w:tcBorders>
              <w:top w:val="nil"/>
              <w:left w:val="nil"/>
              <w:bottom w:val="single" w:sz="4" w:space="0" w:color="auto"/>
              <w:right w:val="single" w:sz="4" w:space="0" w:color="auto"/>
            </w:tcBorders>
            <w:shd w:val="clear" w:color="auto" w:fill="auto"/>
            <w:noWrap/>
            <w:vAlign w:val="bottom"/>
            <w:hideMark/>
          </w:tcPr>
          <w:p w14:paraId="1E4F3BA6"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60B00660"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100000</w:t>
            </w:r>
          </w:p>
        </w:tc>
      </w:tr>
      <w:tr w:rsidR="00332D2D" w:rsidRPr="008F6E12" w14:paraId="6175F3AB"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5A803EA8" w14:textId="77777777" w:rsidR="00332D2D" w:rsidRPr="008F6E12" w:rsidRDefault="00332D2D" w:rsidP="0073271B">
            <w:pPr>
              <w:spacing w:after="0" w:line="240" w:lineRule="auto"/>
              <w:jc w:val="center"/>
              <w:rPr>
                <w:rFonts w:ascii="Arial" w:eastAsia="Times New Roman" w:hAnsi="Arial" w:cs="Arial"/>
                <w:i/>
                <w:iCs/>
                <w:color w:val="000000"/>
                <w:szCs w:val="24"/>
              </w:rPr>
            </w:pPr>
            <w:r w:rsidRPr="008F6E12">
              <w:rPr>
                <w:rFonts w:ascii="Arial" w:eastAsia="Times New Roman" w:hAnsi="Arial" w:cs="Arial"/>
                <w:i/>
                <w:iCs/>
                <w:color w:val="000000"/>
                <w:szCs w:val="24"/>
              </w:rPr>
              <w:t>Total Current Liability</w:t>
            </w:r>
          </w:p>
        </w:tc>
        <w:tc>
          <w:tcPr>
            <w:tcW w:w="1105" w:type="dxa"/>
            <w:tcBorders>
              <w:top w:val="nil"/>
              <w:left w:val="nil"/>
              <w:bottom w:val="single" w:sz="4" w:space="0" w:color="auto"/>
              <w:right w:val="single" w:sz="4" w:space="0" w:color="auto"/>
            </w:tcBorders>
            <w:shd w:val="clear" w:color="auto" w:fill="auto"/>
            <w:noWrap/>
            <w:vAlign w:val="bottom"/>
            <w:hideMark/>
          </w:tcPr>
          <w:p w14:paraId="04F0933E"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1C4D6DB2"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291625</w:t>
            </w:r>
          </w:p>
        </w:tc>
      </w:tr>
      <w:tr w:rsidR="00332D2D" w:rsidRPr="008F6E12" w14:paraId="5B84C727"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0511D532" w14:textId="77777777" w:rsidR="00332D2D" w:rsidRPr="008F6E12" w:rsidRDefault="00332D2D" w:rsidP="0073271B">
            <w:pPr>
              <w:spacing w:after="0" w:line="240" w:lineRule="auto"/>
              <w:jc w:val="left"/>
              <w:rPr>
                <w:rFonts w:ascii="Arial" w:eastAsia="Times New Roman" w:hAnsi="Arial" w:cs="Arial"/>
                <w:b/>
                <w:bCs/>
                <w:color w:val="000000"/>
                <w:szCs w:val="24"/>
                <w:u w:val="single"/>
              </w:rPr>
            </w:pPr>
            <w:r w:rsidRPr="008F6E12">
              <w:rPr>
                <w:rFonts w:ascii="Arial" w:eastAsia="Times New Roman" w:hAnsi="Arial" w:cs="Arial"/>
                <w:b/>
                <w:bCs/>
                <w:color w:val="000000"/>
                <w:szCs w:val="24"/>
                <w:u w:val="single"/>
              </w:rPr>
              <w:t>Long-Term Liability</w:t>
            </w:r>
          </w:p>
        </w:tc>
        <w:tc>
          <w:tcPr>
            <w:tcW w:w="1105" w:type="dxa"/>
            <w:tcBorders>
              <w:top w:val="nil"/>
              <w:left w:val="nil"/>
              <w:bottom w:val="single" w:sz="4" w:space="0" w:color="auto"/>
              <w:right w:val="single" w:sz="4" w:space="0" w:color="auto"/>
            </w:tcBorders>
            <w:shd w:val="clear" w:color="auto" w:fill="auto"/>
            <w:noWrap/>
            <w:vAlign w:val="bottom"/>
            <w:hideMark/>
          </w:tcPr>
          <w:p w14:paraId="182C8C20"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00085A81"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308894ED"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0FD8F72B"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4% Debentures </w:t>
            </w:r>
          </w:p>
        </w:tc>
        <w:tc>
          <w:tcPr>
            <w:tcW w:w="1105" w:type="dxa"/>
            <w:tcBorders>
              <w:top w:val="nil"/>
              <w:left w:val="nil"/>
              <w:bottom w:val="single" w:sz="4" w:space="0" w:color="auto"/>
              <w:right w:val="single" w:sz="4" w:space="0" w:color="auto"/>
            </w:tcBorders>
            <w:shd w:val="clear" w:color="auto" w:fill="auto"/>
            <w:noWrap/>
            <w:vAlign w:val="bottom"/>
            <w:hideMark/>
          </w:tcPr>
          <w:p w14:paraId="118EDF20"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31129270"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200000</w:t>
            </w:r>
          </w:p>
        </w:tc>
      </w:tr>
      <w:tr w:rsidR="00332D2D" w:rsidRPr="008F6E12" w14:paraId="11CA8FAD"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02C61175" w14:textId="77777777" w:rsidR="00332D2D" w:rsidRPr="008F6E12" w:rsidRDefault="00332D2D" w:rsidP="0073271B">
            <w:pPr>
              <w:spacing w:after="0" w:line="240" w:lineRule="auto"/>
              <w:jc w:val="center"/>
              <w:rPr>
                <w:rFonts w:ascii="Arial" w:eastAsia="Times New Roman" w:hAnsi="Arial" w:cs="Arial"/>
                <w:i/>
                <w:iCs/>
                <w:color w:val="000000"/>
                <w:szCs w:val="24"/>
              </w:rPr>
            </w:pPr>
            <w:r w:rsidRPr="008F6E12">
              <w:rPr>
                <w:rFonts w:ascii="Arial" w:eastAsia="Times New Roman" w:hAnsi="Arial" w:cs="Arial"/>
                <w:i/>
                <w:iCs/>
                <w:color w:val="000000"/>
                <w:szCs w:val="24"/>
              </w:rPr>
              <w:t>Total Long-Term Liability</w:t>
            </w:r>
          </w:p>
        </w:tc>
        <w:tc>
          <w:tcPr>
            <w:tcW w:w="1105" w:type="dxa"/>
            <w:tcBorders>
              <w:top w:val="nil"/>
              <w:left w:val="nil"/>
              <w:bottom w:val="single" w:sz="4" w:space="0" w:color="auto"/>
              <w:right w:val="single" w:sz="4" w:space="0" w:color="auto"/>
            </w:tcBorders>
            <w:shd w:val="clear" w:color="auto" w:fill="auto"/>
            <w:noWrap/>
            <w:vAlign w:val="bottom"/>
            <w:hideMark/>
          </w:tcPr>
          <w:p w14:paraId="03986251"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0800625F"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200000</w:t>
            </w:r>
          </w:p>
        </w:tc>
      </w:tr>
      <w:tr w:rsidR="00332D2D" w:rsidRPr="008F6E12" w14:paraId="3F08639C"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22F69AC6"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Total Liability</w:t>
            </w:r>
          </w:p>
        </w:tc>
        <w:tc>
          <w:tcPr>
            <w:tcW w:w="1105" w:type="dxa"/>
            <w:tcBorders>
              <w:top w:val="nil"/>
              <w:left w:val="nil"/>
              <w:bottom w:val="single" w:sz="4" w:space="0" w:color="auto"/>
              <w:right w:val="single" w:sz="4" w:space="0" w:color="auto"/>
            </w:tcBorders>
            <w:shd w:val="clear" w:color="auto" w:fill="auto"/>
            <w:noWrap/>
            <w:vAlign w:val="bottom"/>
            <w:hideMark/>
          </w:tcPr>
          <w:p w14:paraId="699C4FFB"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2CB536E9"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491625</w:t>
            </w:r>
          </w:p>
        </w:tc>
      </w:tr>
      <w:tr w:rsidR="00332D2D" w:rsidRPr="008F6E12" w14:paraId="06B93879"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3FE21EC7" w14:textId="77777777" w:rsidR="00332D2D" w:rsidRPr="008F6E12" w:rsidRDefault="00332D2D" w:rsidP="0073271B">
            <w:pPr>
              <w:spacing w:after="0" w:line="240" w:lineRule="auto"/>
              <w:jc w:val="left"/>
              <w:rPr>
                <w:rFonts w:ascii="Arial" w:eastAsia="Times New Roman" w:hAnsi="Arial" w:cs="Arial"/>
                <w:b/>
                <w:bCs/>
                <w:color w:val="000000"/>
                <w:szCs w:val="24"/>
                <w:u w:val="single"/>
              </w:rPr>
            </w:pPr>
            <w:r w:rsidRPr="008F6E12">
              <w:rPr>
                <w:rFonts w:ascii="Arial" w:eastAsia="Times New Roman" w:hAnsi="Arial" w:cs="Arial"/>
                <w:b/>
                <w:bCs/>
                <w:color w:val="000000"/>
                <w:szCs w:val="24"/>
                <w:u w:val="single"/>
              </w:rPr>
              <w:t>Shareholder’s Equity</w:t>
            </w:r>
          </w:p>
        </w:tc>
        <w:tc>
          <w:tcPr>
            <w:tcW w:w="1105" w:type="dxa"/>
            <w:tcBorders>
              <w:top w:val="nil"/>
              <w:left w:val="nil"/>
              <w:bottom w:val="single" w:sz="4" w:space="0" w:color="auto"/>
              <w:right w:val="single" w:sz="4" w:space="0" w:color="auto"/>
            </w:tcBorders>
            <w:shd w:val="clear" w:color="auto" w:fill="auto"/>
            <w:noWrap/>
            <w:vAlign w:val="bottom"/>
            <w:hideMark/>
          </w:tcPr>
          <w:p w14:paraId="60C3A097"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4BF4BB10"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53F6CB60"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0AB81D67"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£1 ordinary shares </w:t>
            </w:r>
          </w:p>
        </w:tc>
        <w:tc>
          <w:tcPr>
            <w:tcW w:w="1105" w:type="dxa"/>
            <w:tcBorders>
              <w:top w:val="nil"/>
              <w:left w:val="nil"/>
              <w:bottom w:val="single" w:sz="4" w:space="0" w:color="auto"/>
              <w:right w:val="single" w:sz="4" w:space="0" w:color="auto"/>
            </w:tcBorders>
            <w:shd w:val="clear" w:color="auto" w:fill="auto"/>
            <w:noWrap/>
            <w:vAlign w:val="bottom"/>
            <w:hideMark/>
          </w:tcPr>
          <w:p w14:paraId="544CA8AC"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1BEFA76D"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1,000,000</w:t>
            </w:r>
          </w:p>
        </w:tc>
      </w:tr>
      <w:tr w:rsidR="00332D2D" w:rsidRPr="008F6E12" w14:paraId="50769AF7"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3DE5065B"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10% £1 preference shares </w:t>
            </w:r>
          </w:p>
        </w:tc>
        <w:tc>
          <w:tcPr>
            <w:tcW w:w="1105" w:type="dxa"/>
            <w:tcBorders>
              <w:top w:val="nil"/>
              <w:left w:val="nil"/>
              <w:bottom w:val="single" w:sz="4" w:space="0" w:color="auto"/>
              <w:right w:val="single" w:sz="4" w:space="0" w:color="auto"/>
            </w:tcBorders>
            <w:shd w:val="clear" w:color="auto" w:fill="auto"/>
            <w:noWrap/>
            <w:vAlign w:val="bottom"/>
            <w:hideMark/>
          </w:tcPr>
          <w:p w14:paraId="16319ACA"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080C0709"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400,000</w:t>
            </w:r>
          </w:p>
        </w:tc>
      </w:tr>
      <w:tr w:rsidR="00332D2D" w:rsidRPr="008F6E12" w14:paraId="6498377F"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7123E67F"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Retained profits on 1st January 2021 </w:t>
            </w:r>
          </w:p>
        </w:tc>
        <w:tc>
          <w:tcPr>
            <w:tcW w:w="1105" w:type="dxa"/>
            <w:tcBorders>
              <w:top w:val="nil"/>
              <w:left w:val="nil"/>
              <w:bottom w:val="single" w:sz="4" w:space="0" w:color="auto"/>
              <w:right w:val="single" w:sz="4" w:space="0" w:color="auto"/>
            </w:tcBorders>
            <w:shd w:val="clear" w:color="auto" w:fill="auto"/>
            <w:noWrap/>
            <w:vAlign w:val="bottom"/>
            <w:hideMark/>
          </w:tcPr>
          <w:p w14:paraId="094E7E24"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132,000</w:t>
            </w:r>
          </w:p>
        </w:tc>
        <w:tc>
          <w:tcPr>
            <w:tcW w:w="1356" w:type="dxa"/>
            <w:tcBorders>
              <w:top w:val="nil"/>
              <w:left w:val="nil"/>
              <w:bottom w:val="single" w:sz="4" w:space="0" w:color="auto"/>
              <w:right w:val="single" w:sz="4" w:space="0" w:color="auto"/>
            </w:tcBorders>
            <w:shd w:val="clear" w:color="auto" w:fill="auto"/>
            <w:noWrap/>
            <w:vAlign w:val="bottom"/>
            <w:hideMark/>
          </w:tcPr>
          <w:p w14:paraId="2349E30D"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12AAF4DB"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3E95F1CE"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 Ordinary Dividend </w:t>
            </w:r>
          </w:p>
        </w:tc>
        <w:tc>
          <w:tcPr>
            <w:tcW w:w="1105" w:type="dxa"/>
            <w:tcBorders>
              <w:top w:val="nil"/>
              <w:left w:val="nil"/>
              <w:bottom w:val="single" w:sz="4" w:space="0" w:color="auto"/>
              <w:right w:val="single" w:sz="4" w:space="0" w:color="auto"/>
            </w:tcBorders>
            <w:shd w:val="clear" w:color="auto" w:fill="auto"/>
            <w:noWrap/>
            <w:vAlign w:val="bottom"/>
            <w:hideMark/>
          </w:tcPr>
          <w:p w14:paraId="196A508B"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30000</w:t>
            </w:r>
          </w:p>
        </w:tc>
        <w:tc>
          <w:tcPr>
            <w:tcW w:w="1356" w:type="dxa"/>
            <w:tcBorders>
              <w:top w:val="nil"/>
              <w:left w:val="nil"/>
              <w:bottom w:val="single" w:sz="4" w:space="0" w:color="auto"/>
              <w:right w:val="single" w:sz="4" w:space="0" w:color="auto"/>
            </w:tcBorders>
            <w:shd w:val="clear" w:color="auto" w:fill="auto"/>
            <w:noWrap/>
            <w:vAlign w:val="bottom"/>
            <w:hideMark/>
          </w:tcPr>
          <w:p w14:paraId="1EA09CC5"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45723C89"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43802D61"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xml:space="preserve">(-) Preferred Dividend </w:t>
            </w:r>
          </w:p>
        </w:tc>
        <w:tc>
          <w:tcPr>
            <w:tcW w:w="1105" w:type="dxa"/>
            <w:tcBorders>
              <w:top w:val="nil"/>
              <w:left w:val="nil"/>
              <w:bottom w:val="single" w:sz="4" w:space="0" w:color="auto"/>
              <w:right w:val="single" w:sz="4" w:space="0" w:color="auto"/>
            </w:tcBorders>
            <w:shd w:val="clear" w:color="auto" w:fill="auto"/>
            <w:noWrap/>
            <w:vAlign w:val="bottom"/>
            <w:hideMark/>
          </w:tcPr>
          <w:p w14:paraId="2759C871"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20000</w:t>
            </w:r>
          </w:p>
        </w:tc>
        <w:tc>
          <w:tcPr>
            <w:tcW w:w="1356" w:type="dxa"/>
            <w:tcBorders>
              <w:top w:val="nil"/>
              <w:left w:val="nil"/>
              <w:bottom w:val="single" w:sz="4" w:space="0" w:color="auto"/>
              <w:right w:val="single" w:sz="4" w:space="0" w:color="auto"/>
            </w:tcBorders>
            <w:shd w:val="clear" w:color="auto" w:fill="auto"/>
            <w:noWrap/>
            <w:vAlign w:val="bottom"/>
            <w:hideMark/>
          </w:tcPr>
          <w:p w14:paraId="3A6B6799"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r>
      <w:tr w:rsidR="00332D2D" w:rsidRPr="008F6E12" w14:paraId="672A7FAF"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4A893972"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Retained Earnings on 31st December 2021</w:t>
            </w:r>
          </w:p>
        </w:tc>
        <w:tc>
          <w:tcPr>
            <w:tcW w:w="1105" w:type="dxa"/>
            <w:tcBorders>
              <w:top w:val="nil"/>
              <w:left w:val="nil"/>
              <w:bottom w:val="single" w:sz="4" w:space="0" w:color="auto"/>
              <w:right w:val="single" w:sz="4" w:space="0" w:color="auto"/>
            </w:tcBorders>
            <w:shd w:val="clear" w:color="auto" w:fill="auto"/>
            <w:noWrap/>
            <w:vAlign w:val="bottom"/>
            <w:hideMark/>
          </w:tcPr>
          <w:p w14:paraId="0D6DB6EA" w14:textId="77777777" w:rsidR="00332D2D" w:rsidRPr="008F6E12" w:rsidRDefault="00332D2D" w:rsidP="0073271B">
            <w:pPr>
              <w:spacing w:after="0" w:line="240" w:lineRule="auto"/>
              <w:jc w:val="left"/>
              <w:rPr>
                <w:rFonts w:ascii="Arial" w:eastAsia="Times New Roman" w:hAnsi="Arial" w:cs="Arial"/>
                <w:color w:val="000000"/>
                <w:szCs w:val="24"/>
                <w:u w:val="single"/>
              </w:rPr>
            </w:pPr>
            <w:r w:rsidRPr="008F6E12">
              <w:rPr>
                <w:rFonts w:ascii="Arial" w:eastAsia="Times New Roman" w:hAnsi="Arial" w:cs="Arial"/>
                <w:color w:val="000000"/>
                <w:szCs w:val="24"/>
                <w:u w:val="single"/>
              </w:rPr>
              <w:t> </w:t>
            </w:r>
          </w:p>
        </w:tc>
        <w:tc>
          <w:tcPr>
            <w:tcW w:w="1356" w:type="dxa"/>
            <w:tcBorders>
              <w:top w:val="nil"/>
              <w:left w:val="nil"/>
              <w:bottom w:val="single" w:sz="4" w:space="0" w:color="auto"/>
              <w:right w:val="single" w:sz="4" w:space="0" w:color="auto"/>
            </w:tcBorders>
            <w:shd w:val="clear" w:color="auto" w:fill="auto"/>
            <w:noWrap/>
            <w:vAlign w:val="bottom"/>
            <w:hideMark/>
          </w:tcPr>
          <w:p w14:paraId="450EE315" w14:textId="77777777" w:rsidR="00332D2D" w:rsidRPr="008F6E12" w:rsidRDefault="00332D2D" w:rsidP="0073271B">
            <w:pPr>
              <w:spacing w:after="0" w:line="240" w:lineRule="auto"/>
              <w:jc w:val="right"/>
              <w:rPr>
                <w:rFonts w:ascii="Arial" w:eastAsia="Times New Roman" w:hAnsi="Arial" w:cs="Arial"/>
                <w:color w:val="000000"/>
                <w:szCs w:val="24"/>
              </w:rPr>
            </w:pPr>
            <w:r w:rsidRPr="008F6E12">
              <w:rPr>
                <w:rFonts w:ascii="Arial" w:eastAsia="Times New Roman" w:hAnsi="Arial" w:cs="Arial"/>
                <w:color w:val="000000"/>
                <w:szCs w:val="24"/>
              </w:rPr>
              <w:t>82,000</w:t>
            </w:r>
          </w:p>
        </w:tc>
      </w:tr>
      <w:tr w:rsidR="00332D2D" w:rsidRPr="008F6E12" w14:paraId="69F0C90D"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64713B5B"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Net Profit</w:t>
            </w:r>
          </w:p>
        </w:tc>
        <w:tc>
          <w:tcPr>
            <w:tcW w:w="1105" w:type="dxa"/>
            <w:tcBorders>
              <w:top w:val="nil"/>
              <w:left w:val="nil"/>
              <w:bottom w:val="single" w:sz="4" w:space="0" w:color="auto"/>
              <w:right w:val="single" w:sz="4" w:space="0" w:color="auto"/>
            </w:tcBorders>
            <w:shd w:val="clear" w:color="auto" w:fill="auto"/>
            <w:noWrap/>
            <w:vAlign w:val="bottom"/>
            <w:hideMark/>
          </w:tcPr>
          <w:p w14:paraId="66FF09A4"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6121D4E2" w14:textId="77777777" w:rsidR="00332D2D" w:rsidRPr="008F6E12" w:rsidRDefault="00332D2D" w:rsidP="0073271B">
            <w:pPr>
              <w:spacing w:after="0" w:line="240" w:lineRule="auto"/>
              <w:jc w:val="right"/>
              <w:rPr>
                <w:rFonts w:ascii="Arial" w:eastAsia="Times New Roman" w:hAnsi="Arial" w:cs="Arial"/>
                <w:color w:val="000000"/>
                <w:szCs w:val="24"/>
                <w:u w:val="single"/>
              </w:rPr>
            </w:pPr>
            <w:r w:rsidRPr="008F6E12">
              <w:rPr>
                <w:rFonts w:ascii="Arial" w:eastAsia="Times New Roman" w:hAnsi="Arial" w:cs="Arial"/>
                <w:color w:val="000000"/>
                <w:szCs w:val="24"/>
                <w:u w:val="single"/>
              </w:rPr>
              <w:t>54,330</w:t>
            </w:r>
          </w:p>
        </w:tc>
      </w:tr>
      <w:tr w:rsidR="00332D2D" w:rsidRPr="008F6E12" w14:paraId="100EEF07"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555DE797"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Total Shareholders’ Equity</w:t>
            </w:r>
          </w:p>
        </w:tc>
        <w:tc>
          <w:tcPr>
            <w:tcW w:w="1105" w:type="dxa"/>
            <w:tcBorders>
              <w:top w:val="nil"/>
              <w:left w:val="nil"/>
              <w:bottom w:val="single" w:sz="4" w:space="0" w:color="auto"/>
              <w:right w:val="single" w:sz="4" w:space="0" w:color="auto"/>
            </w:tcBorders>
            <w:shd w:val="clear" w:color="auto" w:fill="auto"/>
            <w:noWrap/>
            <w:vAlign w:val="bottom"/>
            <w:hideMark/>
          </w:tcPr>
          <w:p w14:paraId="0E8A6CF7"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auto" w:fill="auto"/>
            <w:noWrap/>
            <w:vAlign w:val="bottom"/>
            <w:hideMark/>
          </w:tcPr>
          <w:p w14:paraId="6F8302CA" w14:textId="77777777" w:rsidR="00332D2D" w:rsidRPr="008F6E12" w:rsidRDefault="00332D2D" w:rsidP="0073271B">
            <w:pPr>
              <w:spacing w:after="0" w:line="240" w:lineRule="auto"/>
              <w:jc w:val="right"/>
              <w:rPr>
                <w:rFonts w:ascii="Arial" w:eastAsia="Times New Roman" w:hAnsi="Arial" w:cs="Arial"/>
                <w:b/>
                <w:bCs/>
                <w:color w:val="000000"/>
                <w:szCs w:val="24"/>
                <w:u w:val="single"/>
              </w:rPr>
            </w:pPr>
            <w:r w:rsidRPr="008F6E12">
              <w:rPr>
                <w:rFonts w:ascii="Arial" w:eastAsia="Times New Roman" w:hAnsi="Arial" w:cs="Arial"/>
                <w:b/>
                <w:bCs/>
                <w:color w:val="000000"/>
                <w:szCs w:val="24"/>
                <w:u w:val="single"/>
              </w:rPr>
              <w:t>1,536,330</w:t>
            </w:r>
          </w:p>
        </w:tc>
      </w:tr>
      <w:tr w:rsidR="00332D2D" w:rsidRPr="008F6E12" w14:paraId="60E70617" w14:textId="77777777" w:rsidTr="0073271B">
        <w:trPr>
          <w:trHeight w:val="337"/>
        </w:trPr>
        <w:tc>
          <w:tcPr>
            <w:tcW w:w="5485" w:type="dxa"/>
            <w:tcBorders>
              <w:top w:val="nil"/>
              <w:left w:val="single" w:sz="4" w:space="0" w:color="auto"/>
              <w:bottom w:val="single" w:sz="4" w:space="0" w:color="auto"/>
              <w:right w:val="single" w:sz="4" w:space="0" w:color="auto"/>
            </w:tcBorders>
            <w:shd w:val="clear" w:color="auto" w:fill="auto"/>
            <w:noWrap/>
            <w:vAlign w:val="bottom"/>
            <w:hideMark/>
          </w:tcPr>
          <w:p w14:paraId="27F4ABE6" w14:textId="77777777" w:rsidR="00332D2D" w:rsidRPr="008F6E12" w:rsidRDefault="00332D2D" w:rsidP="0073271B">
            <w:pPr>
              <w:spacing w:after="0" w:line="240" w:lineRule="auto"/>
              <w:jc w:val="right"/>
              <w:rPr>
                <w:rFonts w:ascii="Arial" w:eastAsia="Times New Roman" w:hAnsi="Arial" w:cs="Arial"/>
                <w:b/>
                <w:bCs/>
                <w:color w:val="000000"/>
                <w:szCs w:val="24"/>
              </w:rPr>
            </w:pPr>
            <w:r w:rsidRPr="008F6E12">
              <w:rPr>
                <w:rFonts w:ascii="Arial" w:eastAsia="Times New Roman" w:hAnsi="Arial" w:cs="Arial"/>
                <w:b/>
                <w:bCs/>
                <w:color w:val="000000"/>
                <w:szCs w:val="24"/>
              </w:rPr>
              <w:t>Total Liabilities and Shareholder's Equity</w:t>
            </w:r>
          </w:p>
        </w:tc>
        <w:tc>
          <w:tcPr>
            <w:tcW w:w="1105" w:type="dxa"/>
            <w:tcBorders>
              <w:top w:val="nil"/>
              <w:left w:val="nil"/>
              <w:bottom w:val="single" w:sz="4" w:space="0" w:color="auto"/>
              <w:right w:val="single" w:sz="4" w:space="0" w:color="auto"/>
            </w:tcBorders>
            <w:shd w:val="clear" w:color="auto" w:fill="auto"/>
            <w:noWrap/>
            <w:vAlign w:val="bottom"/>
            <w:hideMark/>
          </w:tcPr>
          <w:p w14:paraId="70734D8D" w14:textId="77777777" w:rsidR="00332D2D" w:rsidRPr="008F6E12" w:rsidRDefault="00332D2D" w:rsidP="0073271B">
            <w:pPr>
              <w:spacing w:after="0" w:line="240" w:lineRule="auto"/>
              <w:jc w:val="left"/>
              <w:rPr>
                <w:rFonts w:ascii="Arial" w:eastAsia="Times New Roman" w:hAnsi="Arial" w:cs="Arial"/>
                <w:color w:val="000000"/>
                <w:szCs w:val="24"/>
              </w:rPr>
            </w:pPr>
            <w:r w:rsidRPr="008F6E12">
              <w:rPr>
                <w:rFonts w:ascii="Arial" w:eastAsia="Times New Roman" w:hAnsi="Arial" w:cs="Arial"/>
                <w:color w:val="000000"/>
                <w:szCs w:val="24"/>
              </w:rPr>
              <w:t> </w:t>
            </w:r>
          </w:p>
        </w:tc>
        <w:tc>
          <w:tcPr>
            <w:tcW w:w="1356" w:type="dxa"/>
            <w:tcBorders>
              <w:top w:val="nil"/>
              <w:left w:val="nil"/>
              <w:bottom w:val="single" w:sz="4" w:space="0" w:color="auto"/>
              <w:right w:val="single" w:sz="4" w:space="0" w:color="auto"/>
            </w:tcBorders>
            <w:shd w:val="clear" w:color="000000" w:fill="FFFF00"/>
            <w:noWrap/>
            <w:vAlign w:val="bottom"/>
            <w:hideMark/>
          </w:tcPr>
          <w:p w14:paraId="12730081" w14:textId="77777777" w:rsidR="00332D2D" w:rsidRPr="008F6E12" w:rsidRDefault="00332D2D" w:rsidP="0073271B">
            <w:pPr>
              <w:spacing w:after="0" w:line="240" w:lineRule="auto"/>
              <w:jc w:val="right"/>
              <w:rPr>
                <w:rFonts w:ascii="Arial" w:eastAsia="Times New Roman" w:hAnsi="Arial" w:cs="Arial"/>
                <w:b/>
                <w:bCs/>
                <w:color w:val="000000"/>
                <w:szCs w:val="24"/>
                <w:u w:val="double"/>
              </w:rPr>
            </w:pPr>
            <w:r w:rsidRPr="008F6E12">
              <w:rPr>
                <w:rFonts w:ascii="Arial" w:eastAsia="Times New Roman" w:hAnsi="Arial" w:cs="Arial"/>
                <w:b/>
                <w:bCs/>
                <w:color w:val="000000"/>
                <w:szCs w:val="24"/>
                <w:u w:val="double"/>
              </w:rPr>
              <w:t>2,027,955</w:t>
            </w:r>
          </w:p>
        </w:tc>
      </w:tr>
    </w:tbl>
    <w:p w14:paraId="19E18729" w14:textId="77777777" w:rsidR="00332D2D" w:rsidRPr="008F6E12" w:rsidRDefault="00332D2D" w:rsidP="00332D2D">
      <w:pPr>
        <w:rPr>
          <w:rFonts w:ascii="Arial" w:hAnsi="Arial" w:cs="Arial"/>
          <w:szCs w:val="24"/>
        </w:rPr>
      </w:pPr>
    </w:p>
    <w:p w14:paraId="7C0AEB76" w14:textId="77777777" w:rsidR="00332D2D" w:rsidRPr="008F6E12" w:rsidRDefault="00332D2D" w:rsidP="00332D2D">
      <w:pPr>
        <w:pStyle w:val="Heading2"/>
        <w:rPr>
          <w:rFonts w:ascii="Arial" w:hAnsi="Arial" w:cs="Arial"/>
          <w:szCs w:val="28"/>
        </w:rPr>
      </w:pPr>
      <w:bookmarkStart w:id="4" w:name="_Toc118660418"/>
      <w:r w:rsidRPr="008F6E12">
        <w:rPr>
          <w:rFonts w:ascii="Arial" w:hAnsi="Arial" w:cs="Arial"/>
          <w:szCs w:val="28"/>
        </w:rPr>
        <w:lastRenderedPageBreak/>
        <w:t>The Rationale Behind the Balance of Financial Position Statement</w:t>
      </w:r>
      <w:bookmarkEnd w:id="4"/>
    </w:p>
    <w:p w14:paraId="49F7F737" w14:textId="77777777" w:rsidR="00332D2D" w:rsidRPr="008F6E12" w:rsidRDefault="00332D2D" w:rsidP="00332D2D">
      <w:pPr>
        <w:rPr>
          <w:rFonts w:ascii="Arial" w:hAnsi="Arial" w:cs="Arial"/>
          <w:szCs w:val="24"/>
        </w:rPr>
      </w:pPr>
      <w:r w:rsidRPr="008F6E12">
        <w:rPr>
          <w:rFonts w:ascii="Arial" w:hAnsi="Arial" w:cs="Arial"/>
          <w:szCs w:val="24"/>
        </w:rPr>
        <w:t>In accounting- the dual entry recording system, i.e., balances on the debit and credit side, or asset and liability side, must be equal provided that all accounts are entered correctly in the books and are duly presented in the subsequent statements (</w:t>
      </w:r>
      <w:proofErr w:type="spellStart"/>
      <w:r w:rsidRPr="008F6E12">
        <w:rPr>
          <w:rFonts w:ascii="Arial" w:hAnsi="Arial" w:cs="Arial"/>
          <w:szCs w:val="24"/>
        </w:rPr>
        <w:t>Kolitz</w:t>
      </w:r>
      <w:proofErr w:type="spellEnd"/>
      <w:r w:rsidRPr="008F6E12">
        <w:rPr>
          <w:rFonts w:ascii="Arial" w:hAnsi="Arial" w:cs="Arial"/>
          <w:szCs w:val="24"/>
        </w:rPr>
        <w:t>, 2017). Keeping accurate financial records is the main focus of accounting. Creating financial statements for a given period is accounting's primary purpose. The public can now see the company's financial health. Shareholders, creditors, and the government use financial statements as a formal mode of communication.</w:t>
      </w:r>
    </w:p>
    <w:p w14:paraId="48D3E1CE" w14:textId="77777777" w:rsidR="00332D2D" w:rsidRPr="008F6E12" w:rsidRDefault="00332D2D" w:rsidP="00332D2D">
      <w:pPr>
        <w:rPr>
          <w:rFonts w:ascii="Arial" w:hAnsi="Arial" w:cs="Arial"/>
          <w:szCs w:val="24"/>
        </w:rPr>
      </w:pPr>
      <w:r w:rsidRPr="008F6E12">
        <w:rPr>
          <w:rFonts w:ascii="Arial" w:hAnsi="Arial" w:cs="Arial"/>
          <w:szCs w:val="24"/>
        </w:rPr>
        <w:t>The documents known as "financial statements" show a company's financial success and activity, called the financial position on the mentioned date. The balance sheet, or statement of financial status, presents an organization's assets, liabilities, and equity to its stakeholders (</w:t>
      </w:r>
      <w:proofErr w:type="spellStart"/>
      <w:r w:rsidRPr="008F6E12">
        <w:rPr>
          <w:rFonts w:ascii="Arial" w:hAnsi="Arial" w:cs="Arial"/>
          <w:szCs w:val="24"/>
        </w:rPr>
        <w:t>Lessambo</w:t>
      </w:r>
      <w:proofErr w:type="spellEnd"/>
      <w:r w:rsidRPr="008F6E12">
        <w:rPr>
          <w:rFonts w:ascii="Arial" w:hAnsi="Arial" w:cs="Arial"/>
          <w:szCs w:val="24"/>
        </w:rPr>
        <w:t xml:space="preserve">, 2018). In a double-entry bookkeeping system, asset value is offset by debt and financed by shareholder capital. This equation, which appears on the balance sheet, is the most important one in accounting. Providing reliable details about a company's assets, liabilities, and equity is the primary purpose of a financial status statement. Assets, liabilities, and equity are the three main sections of a financial statement. The assets of a firm are broken down into some categories like fixed, current, and others. In the liability and equity sections, the company's current and long-term debts, as well as its capital, retained earnings, reserves, etc. might be seen. </w:t>
      </w:r>
    </w:p>
    <w:p w14:paraId="038A7A1A" w14:textId="77777777" w:rsidR="00332D2D" w:rsidRPr="008F6E12" w:rsidRDefault="00332D2D" w:rsidP="00332D2D">
      <w:pPr>
        <w:rPr>
          <w:rFonts w:ascii="Arial" w:hAnsi="Arial" w:cs="Arial"/>
          <w:szCs w:val="24"/>
        </w:rPr>
      </w:pPr>
      <w:r w:rsidRPr="008F6E12">
        <w:rPr>
          <w:rFonts w:ascii="Arial" w:hAnsi="Arial" w:cs="Arial"/>
          <w:szCs w:val="24"/>
        </w:rPr>
        <w:t xml:space="preserve">The double-entry method, the cornerstone of accounting, ensures that financial statements always end up in a state of equilibrium. Each transaction in double-entry accounting is documented in at least two separate accounts (Sangster, 2015). It also serves as a consistency check to guarantee that all data is correct. When using the double-entry method, the accounting equation is guaranteed to be in equilibrium at all times. Because of this, the left-hand side of the equation will always be equal to the right-hand side. In addition, GAAP, or generally accepted accounting principles, are followed by the vast majority of companies when preparing their financial statements. Cost, revenue, matching, and disclosure are the four most important concepts in accounting under GAAP (Haller, 2013). The total amount shown on a financial statement must comply with these standards as well. The financial statement of Wales Plc is in a state of </w:t>
      </w:r>
      <w:r w:rsidRPr="008F6E12">
        <w:rPr>
          <w:rFonts w:ascii="Arial" w:hAnsi="Arial" w:cs="Arial"/>
          <w:szCs w:val="24"/>
        </w:rPr>
        <w:lastRenderedPageBreak/>
        <w:t xml:space="preserve">equilibrium due to the factors mentioned. So, this accounting practice helps in identifying the financial position of Wales and both asset and liability sides are equalled at £2,027,955. </w:t>
      </w:r>
    </w:p>
    <w:p w14:paraId="727AD7E3" w14:textId="77777777" w:rsidR="00332D2D" w:rsidRPr="008F6E12" w:rsidRDefault="00332D2D" w:rsidP="00332D2D">
      <w:pPr>
        <w:spacing w:line="259" w:lineRule="auto"/>
        <w:jc w:val="left"/>
        <w:rPr>
          <w:rFonts w:ascii="Arial" w:hAnsi="Arial" w:cs="Arial"/>
          <w:szCs w:val="24"/>
        </w:rPr>
      </w:pPr>
    </w:p>
    <w:p w14:paraId="6DB91241" w14:textId="77777777" w:rsidR="00332D2D" w:rsidRPr="008F6E12" w:rsidRDefault="00332D2D" w:rsidP="00332D2D">
      <w:pPr>
        <w:pStyle w:val="Heading1"/>
        <w:rPr>
          <w:rFonts w:ascii="Arial" w:hAnsi="Arial" w:cs="Arial"/>
          <w:sz w:val="28"/>
          <w:szCs w:val="28"/>
        </w:rPr>
      </w:pPr>
      <w:bookmarkStart w:id="5" w:name="_Toc118660419"/>
      <w:r w:rsidRPr="008F6E12">
        <w:rPr>
          <w:rFonts w:ascii="Arial" w:hAnsi="Arial" w:cs="Arial"/>
          <w:sz w:val="28"/>
          <w:szCs w:val="28"/>
        </w:rPr>
        <w:t>Question 02</w:t>
      </w:r>
      <w:bookmarkEnd w:id="5"/>
    </w:p>
    <w:p w14:paraId="6FFE2BF1" w14:textId="77777777" w:rsidR="00332D2D" w:rsidRPr="008F6E12" w:rsidRDefault="00332D2D" w:rsidP="00332D2D">
      <w:pPr>
        <w:pStyle w:val="Heading2"/>
        <w:rPr>
          <w:rFonts w:ascii="Arial" w:hAnsi="Arial" w:cs="Arial"/>
          <w:szCs w:val="28"/>
        </w:rPr>
      </w:pPr>
      <w:bookmarkStart w:id="6" w:name="_Toc118660420"/>
      <w:r w:rsidRPr="008F6E12">
        <w:rPr>
          <w:rFonts w:ascii="Arial" w:hAnsi="Arial" w:cs="Arial"/>
          <w:szCs w:val="28"/>
        </w:rPr>
        <w:t>Calculating the Required Ratios</w:t>
      </w:r>
      <w:bookmarkEnd w:id="6"/>
    </w:p>
    <w:p w14:paraId="04E89EC9" w14:textId="77777777" w:rsidR="00332D2D" w:rsidRPr="008F6E12" w:rsidRDefault="00332D2D" w:rsidP="00332D2D">
      <w:pPr>
        <w:rPr>
          <w:rFonts w:ascii="Arial" w:hAnsi="Arial" w:cs="Arial"/>
          <w:szCs w:val="24"/>
        </w:rPr>
      </w:pPr>
      <w:r w:rsidRPr="008F6E12">
        <w:rPr>
          <w:rFonts w:ascii="Arial" w:hAnsi="Arial" w:cs="Arial"/>
          <w:szCs w:val="24"/>
        </w:rPr>
        <w:t>Ratios quantify the relationship between numerous financial statement components. A particularly effective application is comparing results across multiple periods. This enables the internal management and investors to watch the success of the firm over time and identify early warning signals of problems (</w:t>
      </w:r>
      <w:proofErr w:type="spellStart"/>
      <w:r w:rsidRPr="008F6E12">
        <w:rPr>
          <w:rFonts w:ascii="Arial" w:hAnsi="Arial" w:cs="Arial"/>
          <w:szCs w:val="24"/>
        </w:rPr>
        <w:t>Gowthorpe</w:t>
      </w:r>
      <w:proofErr w:type="spellEnd"/>
      <w:r w:rsidRPr="008F6E12">
        <w:rPr>
          <w:rFonts w:ascii="Arial" w:hAnsi="Arial" w:cs="Arial"/>
          <w:szCs w:val="24"/>
        </w:rPr>
        <w:t>, 2020). In addition, it compares or analyses prior financial performance in order to assist shareholders in recognising patterns that can affect their future investment decisions. So, these reasons are justifying calculating and analysing the ratios of Sweets Plc according to the given information-</w:t>
      </w:r>
    </w:p>
    <w:p w14:paraId="6B203D97" w14:textId="77777777" w:rsidR="00332D2D" w:rsidRPr="008F6E12" w:rsidRDefault="00332D2D" w:rsidP="00332D2D">
      <w:pPr>
        <w:jc w:val="center"/>
        <w:rPr>
          <w:rFonts w:ascii="Arial" w:hAnsi="Arial" w:cs="Arial"/>
          <w:b/>
          <w:bCs/>
          <w:szCs w:val="24"/>
        </w:rPr>
      </w:pPr>
      <w:r w:rsidRPr="008F6E12">
        <w:rPr>
          <w:rFonts w:ascii="Arial" w:hAnsi="Arial" w:cs="Arial"/>
          <w:b/>
          <w:bCs/>
          <w:szCs w:val="24"/>
        </w:rPr>
        <w:t>Calculating Ratios for Sweets Plc</w:t>
      </w:r>
    </w:p>
    <w:tbl>
      <w:tblPr>
        <w:tblStyle w:val="GridTable1Light-Accent1"/>
        <w:tblW w:w="9755" w:type="dxa"/>
        <w:tblLayout w:type="fixed"/>
        <w:tblLook w:val="04A0" w:firstRow="1" w:lastRow="0" w:firstColumn="1" w:lastColumn="0" w:noHBand="0" w:noVBand="1"/>
      </w:tblPr>
      <w:tblGrid>
        <w:gridCol w:w="690"/>
        <w:gridCol w:w="1256"/>
        <w:gridCol w:w="2767"/>
        <w:gridCol w:w="2521"/>
        <w:gridCol w:w="2521"/>
      </w:tblGrid>
      <w:tr w:rsidR="00332D2D" w:rsidRPr="008F6E12" w14:paraId="1CA255C3" w14:textId="77777777" w:rsidTr="0073271B">
        <w:trPr>
          <w:cnfStyle w:val="100000000000" w:firstRow="1" w:lastRow="0" w:firstColumn="0" w:lastColumn="0" w:oddVBand="0" w:evenVBand="0" w:oddHBand="0"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690" w:type="dxa"/>
            <w:shd w:val="clear" w:color="auto" w:fill="D9E2F3" w:themeFill="accent1" w:themeFillTint="33"/>
            <w:vAlign w:val="center"/>
          </w:tcPr>
          <w:p w14:paraId="4EE7A904"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No.</w:t>
            </w:r>
          </w:p>
        </w:tc>
        <w:tc>
          <w:tcPr>
            <w:tcW w:w="1256" w:type="dxa"/>
            <w:shd w:val="clear" w:color="auto" w:fill="D9E2F3" w:themeFill="accent1" w:themeFillTint="33"/>
            <w:vAlign w:val="center"/>
          </w:tcPr>
          <w:p w14:paraId="284BCC4E" w14:textId="77777777" w:rsidR="00332D2D" w:rsidRPr="008F6E12" w:rsidRDefault="00332D2D" w:rsidP="0073271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Names</w:t>
            </w:r>
          </w:p>
        </w:tc>
        <w:tc>
          <w:tcPr>
            <w:tcW w:w="2767" w:type="dxa"/>
            <w:shd w:val="clear" w:color="auto" w:fill="D9E2F3" w:themeFill="accent1" w:themeFillTint="33"/>
            <w:vAlign w:val="center"/>
          </w:tcPr>
          <w:p w14:paraId="7EE99B9B" w14:textId="77777777" w:rsidR="00332D2D" w:rsidRPr="008F6E12" w:rsidRDefault="00332D2D" w:rsidP="0073271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Formula</w:t>
            </w:r>
          </w:p>
        </w:tc>
        <w:tc>
          <w:tcPr>
            <w:tcW w:w="2521" w:type="dxa"/>
            <w:shd w:val="clear" w:color="auto" w:fill="D9E2F3" w:themeFill="accent1" w:themeFillTint="33"/>
            <w:vAlign w:val="center"/>
          </w:tcPr>
          <w:p w14:paraId="63039041" w14:textId="77777777" w:rsidR="00332D2D" w:rsidRPr="008F6E12" w:rsidRDefault="00332D2D" w:rsidP="0073271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The year 2021 (£m)</w:t>
            </w:r>
          </w:p>
        </w:tc>
        <w:tc>
          <w:tcPr>
            <w:tcW w:w="2521" w:type="dxa"/>
            <w:shd w:val="clear" w:color="auto" w:fill="D9E2F3" w:themeFill="accent1" w:themeFillTint="33"/>
            <w:vAlign w:val="center"/>
          </w:tcPr>
          <w:p w14:paraId="1AC1ECB3" w14:textId="77777777" w:rsidR="00332D2D" w:rsidRPr="008F6E12" w:rsidRDefault="00332D2D" w:rsidP="0073271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The year 2020 (£m)</w:t>
            </w:r>
          </w:p>
        </w:tc>
      </w:tr>
      <w:tr w:rsidR="00332D2D" w:rsidRPr="008F6E12" w14:paraId="24D4A86E"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1AC0DF4D"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1</w:t>
            </w:r>
          </w:p>
        </w:tc>
        <w:tc>
          <w:tcPr>
            <w:tcW w:w="1256" w:type="dxa"/>
            <w:vAlign w:val="center"/>
          </w:tcPr>
          <w:p w14:paraId="74434F0E"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ROCE</w:t>
            </w:r>
          </w:p>
        </w:tc>
        <w:tc>
          <w:tcPr>
            <w:tcW w:w="2767" w:type="dxa"/>
            <w:vAlign w:val="center"/>
          </w:tcPr>
          <w:p w14:paraId="553CD43B"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Employed Capital</m:t>
                    </m:r>
                  </m:den>
                </m:f>
              </m:oMath>
            </m:oMathPara>
          </w:p>
        </w:tc>
        <w:tc>
          <w:tcPr>
            <w:tcW w:w="2521" w:type="dxa"/>
            <w:vAlign w:val="center"/>
          </w:tcPr>
          <w:p w14:paraId="19A6B6EC"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431</m:t>
                    </m:r>
                  </m:num>
                  <m:den>
                    <m:r>
                      <w:rPr>
                        <w:rFonts w:ascii="Cambria Math" w:hAnsi="Cambria Math" w:cs="Arial"/>
                        <w:sz w:val="24"/>
                        <w:szCs w:val="24"/>
                      </w:rPr>
                      <m:t>300</m:t>
                    </m:r>
                  </m:den>
                </m:f>
                <m:r>
                  <w:rPr>
                    <w:rFonts w:ascii="Cambria Math" w:hAnsi="Cambria Math" w:cs="Arial"/>
                    <w:sz w:val="24"/>
                    <w:szCs w:val="24"/>
                  </w:rPr>
                  <m:t>=</m:t>
                </m:r>
                <m:r>
                  <m:rPr>
                    <m:sty m:val="bi"/>
                  </m:rPr>
                  <w:rPr>
                    <w:rFonts w:ascii="Cambria Math" w:eastAsiaTheme="minorEastAsia" w:hAnsi="Cambria Math" w:cs="Arial"/>
                    <w:sz w:val="24"/>
                    <w:szCs w:val="24"/>
                  </w:rPr>
                  <m:t>1.44</m:t>
                </m:r>
              </m:oMath>
            </m:oMathPara>
          </w:p>
        </w:tc>
        <w:tc>
          <w:tcPr>
            <w:tcW w:w="2521" w:type="dxa"/>
            <w:vAlign w:val="center"/>
          </w:tcPr>
          <w:p w14:paraId="2BC44D42"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366</m:t>
                    </m:r>
                  </m:num>
                  <m:den>
                    <m:r>
                      <w:rPr>
                        <w:rFonts w:ascii="Cambria Math" w:hAnsi="Cambria Math" w:cs="Arial"/>
                        <w:sz w:val="24"/>
                        <w:szCs w:val="24"/>
                      </w:rPr>
                      <m:t>300</m:t>
                    </m:r>
                  </m:den>
                </m:f>
                <m:r>
                  <w:rPr>
                    <w:rFonts w:ascii="Cambria Math" w:hAnsi="Cambria Math" w:cs="Arial"/>
                    <w:sz w:val="24"/>
                    <w:szCs w:val="24"/>
                  </w:rPr>
                  <m:t>=</m:t>
                </m:r>
                <m:r>
                  <m:rPr>
                    <m:sty m:val="bi"/>
                  </m:rPr>
                  <w:rPr>
                    <w:rFonts w:ascii="Cambria Math" w:eastAsiaTheme="minorEastAsia" w:hAnsi="Cambria Math" w:cs="Arial"/>
                    <w:sz w:val="24"/>
                    <w:szCs w:val="24"/>
                  </w:rPr>
                  <m:t>1.22</m:t>
                </m:r>
              </m:oMath>
            </m:oMathPara>
          </w:p>
        </w:tc>
      </w:tr>
      <w:tr w:rsidR="00332D2D" w:rsidRPr="008F6E12" w14:paraId="50279500"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0D4E5A6E"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2</w:t>
            </w:r>
          </w:p>
        </w:tc>
        <w:tc>
          <w:tcPr>
            <w:tcW w:w="1256" w:type="dxa"/>
            <w:vAlign w:val="center"/>
          </w:tcPr>
          <w:p w14:paraId="11EFF8F8"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ROE</w:t>
            </w:r>
          </w:p>
        </w:tc>
        <w:tc>
          <w:tcPr>
            <w:tcW w:w="2767" w:type="dxa"/>
            <w:vAlign w:val="center"/>
          </w:tcPr>
          <w:p w14:paraId="3E2EEEC0"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Total Equity</m:t>
                    </m:r>
                  </m:den>
                </m:f>
              </m:oMath>
            </m:oMathPara>
          </w:p>
        </w:tc>
        <w:tc>
          <w:tcPr>
            <w:tcW w:w="2521" w:type="dxa"/>
            <w:vAlign w:val="center"/>
          </w:tcPr>
          <w:p w14:paraId="298A1F7B"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431</m:t>
                    </m:r>
                  </m:num>
                  <m:den>
                    <m:r>
                      <w:rPr>
                        <w:rFonts w:ascii="Cambria Math" w:hAnsi="Cambria Math" w:cs="Arial"/>
                        <w:sz w:val="24"/>
                        <w:szCs w:val="24"/>
                      </w:rPr>
                      <m:t>3088</m:t>
                    </m:r>
                  </m:den>
                </m:f>
                <m:r>
                  <w:rPr>
                    <w:rFonts w:ascii="Cambria Math" w:hAnsi="Cambria Math" w:cs="Arial"/>
                    <w:sz w:val="24"/>
                    <w:szCs w:val="24"/>
                  </w:rPr>
                  <m:t>=</m:t>
                </m:r>
                <m:r>
                  <m:rPr>
                    <m:sty m:val="bi"/>
                  </m:rPr>
                  <w:rPr>
                    <w:rFonts w:ascii="Cambria Math" w:hAnsi="Cambria Math" w:cs="Arial"/>
                    <w:sz w:val="24"/>
                    <w:szCs w:val="24"/>
                  </w:rPr>
                  <m:t>0</m:t>
                </m:r>
                <m:r>
                  <m:rPr>
                    <m:sty m:val="bi"/>
                  </m:rPr>
                  <w:rPr>
                    <w:rFonts w:ascii="Cambria Math" w:eastAsiaTheme="minorEastAsia" w:hAnsi="Cambria Math" w:cs="Arial"/>
                    <w:sz w:val="24"/>
                    <w:szCs w:val="24"/>
                  </w:rPr>
                  <m:t>.14</m:t>
                </m:r>
              </m:oMath>
            </m:oMathPara>
          </w:p>
        </w:tc>
        <w:tc>
          <w:tcPr>
            <w:tcW w:w="2521" w:type="dxa"/>
            <w:vAlign w:val="center"/>
          </w:tcPr>
          <w:p w14:paraId="32E68275"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366</m:t>
                    </m:r>
                  </m:num>
                  <m:den>
                    <m:r>
                      <w:rPr>
                        <w:rFonts w:ascii="Cambria Math" w:hAnsi="Cambria Math" w:cs="Arial"/>
                        <w:sz w:val="24"/>
                        <w:szCs w:val="24"/>
                      </w:rPr>
                      <m:t>2912</m:t>
                    </m:r>
                  </m:den>
                </m:f>
                <m:r>
                  <w:rPr>
                    <w:rFonts w:ascii="Cambria Math" w:hAnsi="Cambria Math" w:cs="Arial"/>
                    <w:sz w:val="24"/>
                    <w:szCs w:val="24"/>
                  </w:rPr>
                  <m:t>=</m:t>
                </m:r>
                <m:r>
                  <m:rPr>
                    <m:sty m:val="bi"/>
                  </m:rPr>
                  <w:rPr>
                    <w:rFonts w:ascii="Cambria Math" w:eastAsiaTheme="minorEastAsia" w:hAnsi="Cambria Math" w:cs="Arial"/>
                    <w:sz w:val="24"/>
                    <w:szCs w:val="24"/>
                  </w:rPr>
                  <m:t>0.13</m:t>
                </m:r>
              </m:oMath>
            </m:oMathPara>
          </w:p>
        </w:tc>
      </w:tr>
      <w:tr w:rsidR="00332D2D" w:rsidRPr="008F6E12" w14:paraId="6A7F3DB3"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198BFA51"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3</w:t>
            </w:r>
          </w:p>
        </w:tc>
        <w:tc>
          <w:tcPr>
            <w:tcW w:w="1256" w:type="dxa"/>
            <w:vAlign w:val="center"/>
          </w:tcPr>
          <w:p w14:paraId="2A0EBCAF"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EPS</w:t>
            </w:r>
          </w:p>
        </w:tc>
        <w:tc>
          <w:tcPr>
            <w:tcW w:w="2767" w:type="dxa"/>
            <w:vAlign w:val="center"/>
          </w:tcPr>
          <w:p w14:paraId="12695573"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Shares Outstanding</m:t>
                    </m:r>
                  </m:den>
                </m:f>
              </m:oMath>
            </m:oMathPara>
          </w:p>
        </w:tc>
        <w:tc>
          <w:tcPr>
            <w:tcW w:w="2521" w:type="dxa"/>
            <w:vAlign w:val="center"/>
          </w:tcPr>
          <w:p w14:paraId="6DFFE861"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431</m:t>
                    </m:r>
                  </m:num>
                  <m:den>
                    <m:r>
                      <w:rPr>
                        <w:rFonts w:ascii="Cambria Math" w:hAnsi="Cambria Math" w:cs="Arial"/>
                        <w:sz w:val="24"/>
                        <w:szCs w:val="24"/>
                      </w:rPr>
                      <m:t>58.59</m:t>
                    </m:r>
                  </m:den>
                </m:f>
                <m:r>
                  <w:rPr>
                    <w:rFonts w:ascii="Cambria Math" w:hAnsi="Cambria Math" w:cs="Arial"/>
                    <w:sz w:val="24"/>
                    <w:szCs w:val="24"/>
                  </w:rPr>
                  <m:t>=</m:t>
                </m:r>
                <m:r>
                  <m:rPr>
                    <m:sty m:val="bi"/>
                  </m:rPr>
                  <w:rPr>
                    <w:rFonts w:ascii="Cambria Math" w:hAnsi="Cambria Math" w:cs="Arial"/>
                    <w:sz w:val="24"/>
                    <w:szCs w:val="24"/>
                  </w:rPr>
                  <m:t>7.36</m:t>
                </m:r>
              </m:oMath>
            </m:oMathPara>
          </w:p>
        </w:tc>
        <w:tc>
          <w:tcPr>
            <w:tcW w:w="2521" w:type="dxa"/>
            <w:vAlign w:val="center"/>
          </w:tcPr>
          <w:p w14:paraId="0D82B5A5"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366</m:t>
                    </m:r>
                  </m:num>
                  <m:den>
                    <m:r>
                      <w:rPr>
                        <w:rFonts w:ascii="Cambria Math" w:hAnsi="Cambria Math" w:cs="Arial"/>
                        <w:sz w:val="24"/>
                        <w:szCs w:val="24"/>
                      </w:rPr>
                      <m:t>75</m:t>
                    </m:r>
                  </m:den>
                </m:f>
                <m:r>
                  <w:rPr>
                    <w:rFonts w:ascii="Cambria Math" w:hAnsi="Cambria Math" w:cs="Arial"/>
                    <w:sz w:val="24"/>
                    <w:szCs w:val="24"/>
                  </w:rPr>
                  <m:t>=</m:t>
                </m:r>
                <m:r>
                  <m:rPr>
                    <m:sty m:val="bi"/>
                  </m:rPr>
                  <w:rPr>
                    <w:rFonts w:ascii="Cambria Math" w:hAnsi="Cambria Math" w:cs="Arial"/>
                    <w:sz w:val="24"/>
                    <w:szCs w:val="24"/>
                  </w:rPr>
                  <m:t>4.88</m:t>
                </m:r>
              </m:oMath>
            </m:oMathPara>
          </w:p>
        </w:tc>
      </w:tr>
      <w:tr w:rsidR="00332D2D" w:rsidRPr="008F6E12" w14:paraId="5E15A034"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2E6EF629"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4</w:t>
            </w:r>
          </w:p>
        </w:tc>
        <w:tc>
          <w:tcPr>
            <w:tcW w:w="1256" w:type="dxa"/>
            <w:vAlign w:val="center"/>
          </w:tcPr>
          <w:p w14:paraId="71E65F94"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NPM</w:t>
            </w:r>
          </w:p>
        </w:tc>
        <w:tc>
          <w:tcPr>
            <w:tcW w:w="2767" w:type="dxa"/>
            <w:vAlign w:val="center"/>
          </w:tcPr>
          <w:p w14:paraId="2DEDA50E"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Revenue</m:t>
                    </m:r>
                  </m:den>
                </m:f>
                <m:r>
                  <w:rPr>
                    <w:rFonts w:ascii="Cambria Math" w:hAnsi="Cambria Math" w:cs="Arial"/>
                    <w:sz w:val="24"/>
                    <w:szCs w:val="24"/>
                  </w:rPr>
                  <m:t>×100</m:t>
                </m:r>
              </m:oMath>
            </m:oMathPara>
          </w:p>
        </w:tc>
        <w:tc>
          <w:tcPr>
            <w:tcW w:w="2521" w:type="dxa"/>
            <w:vAlign w:val="center"/>
          </w:tcPr>
          <w:p w14:paraId="10E1E055"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431</m:t>
                    </m:r>
                  </m:num>
                  <m:den>
                    <m:r>
                      <w:rPr>
                        <w:rFonts w:ascii="Cambria Math" w:hAnsi="Cambria Math" w:cs="Arial"/>
                        <w:sz w:val="24"/>
                        <w:szCs w:val="24"/>
                      </w:rPr>
                      <m:t>6738</m:t>
                    </m:r>
                  </m:den>
                </m:f>
                <m:r>
                  <w:rPr>
                    <w:rFonts w:ascii="Cambria Math" w:hAnsi="Cambria Math" w:cs="Arial"/>
                    <w:sz w:val="24"/>
                    <w:szCs w:val="24"/>
                  </w:rPr>
                  <m:t>×100=</m:t>
                </m:r>
                <m:r>
                  <m:rPr>
                    <m:sty m:val="bi"/>
                  </m:rPr>
                  <w:rPr>
                    <w:rFonts w:ascii="Cambria Math" w:hAnsi="Cambria Math" w:cs="Arial"/>
                    <w:sz w:val="24"/>
                    <w:szCs w:val="24"/>
                  </w:rPr>
                  <m:t>6.40</m:t>
                </m:r>
              </m:oMath>
            </m:oMathPara>
          </w:p>
        </w:tc>
        <w:tc>
          <w:tcPr>
            <w:tcW w:w="2521" w:type="dxa"/>
            <w:vAlign w:val="center"/>
          </w:tcPr>
          <w:p w14:paraId="4467D2FA"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366</m:t>
                    </m:r>
                  </m:num>
                  <m:den>
                    <m:r>
                      <w:rPr>
                        <w:rFonts w:ascii="Cambria Math" w:hAnsi="Cambria Math" w:cs="Arial"/>
                        <w:sz w:val="24"/>
                        <w:szCs w:val="24"/>
                      </w:rPr>
                      <m:t>6441</m:t>
                    </m:r>
                  </m:den>
                </m:f>
                <m:r>
                  <w:rPr>
                    <w:rFonts w:ascii="Cambria Math" w:hAnsi="Cambria Math" w:cs="Arial"/>
                    <w:sz w:val="24"/>
                    <w:szCs w:val="24"/>
                  </w:rPr>
                  <m:t>×100=</m:t>
                </m:r>
                <m:r>
                  <m:rPr>
                    <m:sty m:val="bi"/>
                  </m:rPr>
                  <w:rPr>
                    <w:rFonts w:ascii="Cambria Math" w:hAnsi="Cambria Math" w:cs="Arial"/>
                    <w:sz w:val="24"/>
                    <w:szCs w:val="24"/>
                  </w:rPr>
                  <m:t>5.68</m:t>
                </m:r>
              </m:oMath>
            </m:oMathPara>
          </w:p>
        </w:tc>
      </w:tr>
      <w:tr w:rsidR="00332D2D" w:rsidRPr="008F6E12" w14:paraId="06B14E63"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7EAFCD7E"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lastRenderedPageBreak/>
              <w:t>5</w:t>
            </w:r>
          </w:p>
        </w:tc>
        <w:tc>
          <w:tcPr>
            <w:tcW w:w="1256" w:type="dxa"/>
            <w:vAlign w:val="center"/>
          </w:tcPr>
          <w:p w14:paraId="396B5C7A"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Asset Turnover</w:t>
            </w:r>
          </w:p>
        </w:tc>
        <w:tc>
          <w:tcPr>
            <w:tcW w:w="2767" w:type="dxa"/>
            <w:vAlign w:val="center"/>
          </w:tcPr>
          <w:p w14:paraId="66C777FB"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Net Sales</m:t>
                    </m:r>
                  </m:num>
                  <m:den>
                    <m:r>
                      <w:rPr>
                        <w:rFonts w:ascii="Cambria Math" w:hAnsi="Cambria Math" w:cs="Arial"/>
                        <w:sz w:val="24"/>
                        <w:szCs w:val="24"/>
                      </w:rPr>
                      <m:t>Total Asset</m:t>
                    </m:r>
                  </m:den>
                </m:f>
              </m:oMath>
            </m:oMathPara>
          </w:p>
        </w:tc>
        <w:tc>
          <w:tcPr>
            <w:tcW w:w="2521" w:type="dxa"/>
            <w:vAlign w:val="center"/>
          </w:tcPr>
          <w:p w14:paraId="0D52B2DA"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6738</m:t>
                    </m:r>
                  </m:num>
                  <m:den>
                    <m:r>
                      <w:rPr>
                        <w:rFonts w:ascii="Cambria Math" w:hAnsi="Cambria Math" w:cs="Arial"/>
                        <w:sz w:val="24"/>
                        <w:szCs w:val="24"/>
                      </w:rPr>
                      <m:t>9736</m:t>
                    </m:r>
                  </m:den>
                </m:f>
                <m:r>
                  <w:rPr>
                    <w:rFonts w:ascii="Cambria Math" w:hAnsi="Cambria Math" w:cs="Arial"/>
                    <w:sz w:val="24"/>
                    <w:szCs w:val="24"/>
                  </w:rPr>
                  <m:t>=</m:t>
                </m:r>
                <m:r>
                  <m:rPr>
                    <m:sty m:val="bi"/>
                  </m:rPr>
                  <w:rPr>
                    <w:rFonts w:ascii="Cambria Math" w:hAnsi="Cambria Math" w:cs="Arial"/>
                    <w:sz w:val="24"/>
                    <w:szCs w:val="24"/>
                  </w:rPr>
                  <m:t>0.69</m:t>
                </m:r>
              </m:oMath>
            </m:oMathPara>
          </w:p>
        </w:tc>
        <w:tc>
          <w:tcPr>
            <w:tcW w:w="2521" w:type="dxa"/>
            <w:vAlign w:val="center"/>
          </w:tcPr>
          <w:p w14:paraId="38A4006E"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6441</m:t>
                    </m:r>
                  </m:num>
                  <m:den>
                    <m:r>
                      <w:rPr>
                        <w:rFonts w:ascii="Cambria Math" w:hAnsi="Cambria Math" w:cs="Arial"/>
                        <w:sz w:val="24"/>
                        <w:szCs w:val="24"/>
                      </w:rPr>
                      <m:t>10087</m:t>
                    </m:r>
                  </m:den>
                </m:f>
                <m:r>
                  <w:rPr>
                    <w:rFonts w:ascii="Cambria Math" w:hAnsi="Cambria Math" w:cs="Arial"/>
                    <w:sz w:val="24"/>
                    <w:szCs w:val="24"/>
                  </w:rPr>
                  <m:t>=</m:t>
                </m:r>
                <m:r>
                  <m:rPr>
                    <m:sty m:val="bi"/>
                  </m:rPr>
                  <w:rPr>
                    <w:rFonts w:ascii="Cambria Math" w:eastAsiaTheme="minorEastAsia" w:hAnsi="Cambria Math" w:cs="Arial"/>
                    <w:sz w:val="24"/>
                    <w:szCs w:val="24"/>
                  </w:rPr>
                  <m:t>0.64</m:t>
                </m:r>
              </m:oMath>
            </m:oMathPara>
          </w:p>
        </w:tc>
      </w:tr>
      <w:tr w:rsidR="00332D2D" w:rsidRPr="008F6E12" w14:paraId="3F55A9F9"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5B18D7F2"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6</w:t>
            </w:r>
          </w:p>
        </w:tc>
        <w:tc>
          <w:tcPr>
            <w:tcW w:w="1256" w:type="dxa"/>
            <w:vAlign w:val="center"/>
          </w:tcPr>
          <w:p w14:paraId="632150A7"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Stock Holding Days</w:t>
            </w:r>
          </w:p>
        </w:tc>
        <w:tc>
          <w:tcPr>
            <w:tcW w:w="2767" w:type="dxa"/>
            <w:vAlign w:val="center"/>
          </w:tcPr>
          <w:p w14:paraId="10200C89"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Inventory</m:t>
                    </m:r>
                  </m:num>
                  <m:den>
                    <m:r>
                      <w:rPr>
                        <w:rFonts w:ascii="Cambria Math" w:hAnsi="Cambria Math" w:cs="Arial"/>
                        <w:sz w:val="24"/>
                        <w:szCs w:val="24"/>
                      </w:rPr>
                      <m:t>Cogs</m:t>
                    </m:r>
                  </m:den>
                </m:f>
                <m:r>
                  <w:rPr>
                    <w:rFonts w:ascii="Cambria Math" w:hAnsi="Cambria Math" w:cs="Arial"/>
                    <w:sz w:val="24"/>
                    <w:szCs w:val="24"/>
                  </w:rPr>
                  <m:t>×360</m:t>
                </m:r>
              </m:oMath>
            </m:oMathPara>
          </w:p>
        </w:tc>
        <w:tc>
          <w:tcPr>
            <w:tcW w:w="2521" w:type="dxa"/>
            <w:vAlign w:val="center"/>
          </w:tcPr>
          <w:p w14:paraId="388D8C88"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708</m:t>
                    </m:r>
                  </m:num>
                  <m:den>
                    <m:r>
                      <w:rPr>
                        <w:rFonts w:ascii="Cambria Math" w:hAnsi="Cambria Math" w:cs="Arial"/>
                        <w:sz w:val="24"/>
                        <w:szCs w:val="24"/>
                      </w:rPr>
                      <m:t>3235</m:t>
                    </m:r>
                  </m:den>
                </m:f>
                <m:r>
                  <w:rPr>
                    <w:rFonts w:ascii="Cambria Math" w:hAnsi="Cambria Math" w:cs="Arial"/>
                    <w:sz w:val="24"/>
                    <w:szCs w:val="24"/>
                  </w:rPr>
                  <m:t>×360=</m:t>
                </m:r>
                <m:r>
                  <m:rPr>
                    <m:sty m:val="bi"/>
                  </m:rPr>
                  <w:rPr>
                    <w:rFonts w:ascii="Cambria Math" w:hAnsi="Cambria Math" w:cs="Arial"/>
                    <w:sz w:val="24"/>
                    <w:szCs w:val="24"/>
                  </w:rPr>
                  <m:t>78.79</m:t>
                </m:r>
              </m:oMath>
            </m:oMathPara>
          </w:p>
        </w:tc>
        <w:tc>
          <w:tcPr>
            <w:tcW w:w="2521" w:type="dxa"/>
            <w:vAlign w:val="center"/>
          </w:tcPr>
          <w:p w14:paraId="2955100E"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659</m:t>
                    </m:r>
                  </m:num>
                  <m:den>
                    <m:r>
                      <w:rPr>
                        <w:rFonts w:ascii="Cambria Math" w:hAnsi="Cambria Math" w:cs="Arial"/>
                        <w:sz w:val="24"/>
                        <w:szCs w:val="24"/>
                      </w:rPr>
                      <m:t>3096</m:t>
                    </m:r>
                  </m:den>
                </m:f>
                <m:r>
                  <w:rPr>
                    <w:rFonts w:ascii="Cambria Math" w:hAnsi="Cambria Math" w:cs="Arial"/>
                    <w:sz w:val="24"/>
                    <w:szCs w:val="24"/>
                  </w:rPr>
                  <m:t>×360=</m:t>
                </m:r>
                <m:r>
                  <m:rPr>
                    <m:sty m:val="bi"/>
                  </m:rPr>
                  <w:rPr>
                    <w:rFonts w:ascii="Cambria Math" w:eastAsiaTheme="minorEastAsia" w:hAnsi="Cambria Math" w:cs="Arial"/>
                    <w:sz w:val="24"/>
                    <w:szCs w:val="24"/>
                  </w:rPr>
                  <m:t>76.63</m:t>
                </m:r>
              </m:oMath>
            </m:oMathPara>
          </w:p>
        </w:tc>
      </w:tr>
      <w:tr w:rsidR="00332D2D" w:rsidRPr="008F6E12" w14:paraId="7EFD17D8"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54669AD6"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7</w:t>
            </w:r>
          </w:p>
        </w:tc>
        <w:tc>
          <w:tcPr>
            <w:tcW w:w="1256" w:type="dxa"/>
            <w:vAlign w:val="center"/>
          </w:tcPr>
          <w:p w14:paraId="7F4ED45D"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Debtors Collection Days</w:t>
            </w:r>
          </w:p>
        </w:tc>
        <w:tc>
          <w:tcPr>
            <w:tcW w:w="2767" w:type="dxa"/>
            <w:vAlign w:val="center"/>
          </w:tcPr>
          <w:p w14:paraId="0E35DEB6"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Debtors</m:t>
                    </m:r>
                  </m:num>
                  <m:den>
                    <m:r>
                      <w:rPr>
                        <w:rFonts w:ascii="Cambria Math" w:hAnsi="Cambria Math" w:cs="Arial"/>
                        <w:sz w:val="24"/>
                        <w:szCs w:val="24"/>
                      </w:rPr>
                      <m:t>Sales</m:t>
                    </m:r>
                  </m:den>
                </m:f>
                <m:r>
                  <w:rPr>
                    <w:rFonts w:ascii="Cambria Math" w:hAnsi="Cambria Math" w:cs="Arial"/>
                    <w:sz w:val="24"/>
                    <w:szCs w:val="24"/>
                  </w:rPr>
                  <m:t>×360</m:t>
                </m:r>
              </m:oMath>
            </m:oMathPara>
          </w:p>
        </w:tc>
        <w:tc>
          <w:tcPr>
            <w:tcW w:w="2521" w:type="dxa"/>
            <w:vAlign w:val="center"/>
          </w:tcPr>
          <w:p w14:paraId="43ADA763"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1249</m:t>
                    </m:r>
                  </m:num>
                  <m:den>
                    <m:r>
                      <w:rPr>
                        <w:rFonts w:ascii="Cambria Math" w:hAnsi="Cambria Math" w:cs="Arial"/>
                        <w:sz w:val="24"/>
                        <w:szCs w:val="24"/>
                      </w:rPr>
                      <m:t>6738</m:t>
                    </m:r>
                  </m:den>
                </m:f>
                <m:r>
                  <w:rPr>
                    <w:rFonts w:ascii="Cambria Math" w:hAnsi="Cambria Math" w:cs="Arial"/>
                    <w:sz w:val="24"/>
                    <w:szCs w:val="24"/>
                  </w:rPr>
                  <m:t>×360=</m:t>
                </m:r>
                <m:r>
                  <m:rPr>
                    <m:sty m:val="bi"/>
                  </m:rPr>
                  <w:rPr>
                    <w:rFonts w:ascii="Cambria Math" w:hAnsi="Cambria Math" w:cs="Arial"/>
                    <w:sz w:val="24"/>
                    <w:szCs w:val="24"/>
                  </w:rPr>
                  <m:t>66.73</m:t>
                </m:r>
              </m:oMath>
            </m:oMathPara>
          </w:p>
        </w:tc>
        <w:tc>
          <w:tcPr>
            <w:tcW w:w="2521" w:type="dxa"/>
            <w:vAlign w:val="center"/>
          </w:tcPr>
          <w:p w14:paraId="77FB4E70"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1287</m:t>
                    </m:r>
                  </m:num>
                  <m:den>
                    <m:r>
                      <w:rPr>
                        <w:rFonts w:ascii="Cambria Math" w:hAnsi="Cambria Math" w:cs="Arial"/>
                        <w:sz w:val="24"/>
                        <w:szCs w:val="24"/>
                      </w:rPr>
                      <m:t>6441</m:t>
                    </m:r>
                  </m:den>
                </m:f>
                <m:r>
                  <w:rPr>
                    <w:rFonts w:ascii="Cambria Math" w:hAnsi="Cambria Math" w:cs="Arial"/>
                    <w:sz w:val="24"/>
                    <w:szCs w:val="24"/>
                  </w:rPr>
                  <m:t>×360=</m:t>
                </m:r>
                <m:r>
                  <m:rPr>
                    <m:sty m:val="bi"/>
                  </m:rPr>
                  <w:rPr>
                    <w:rFonts w:ascii="Cambria Math" w:eastAsiaTheme="minorEastAsia" w:hAnsi="Cambria Math" w:cs="Arial"/>
                    <w:sz w:val="24"/>
                    <w:szCs w:val="24"/>
                  </w:rPr>
                  <m:t>71.93</m:t>
                </m:r>
              </m:oMath>
            </m:oMathPara>
          </w:p>
        </w:tc>
      </w:tr>
      <w:tr w:rsidR="00332D2D" w:rsidRPr="008F6E12" w14:paraId="1583B824" w14:textId="77777777" w:rsidTr="0073271B">
        <w:trPr>
          <w:cantSplit/>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4E88AEBB"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8</w:t>
            </w:r>
          </w:p>
        </w:tc>
        <w:tc>
          <w:tcPr>
            <w:tcW w:w="1256" w:type="dxa"/>
            <w:vAlign w:val="center"/>
          </w:tcPr>
          <w:p w14:paraId="6CA4201C"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Current Ratio</w:t>
            </w:r>
          </w:p>
        </w:tc>
        <w:tc>
          <w:tcPr>
            <w:tcW w:w="2767" w:type="dxa"/>
            <w:vAlign w:val="center"/>
          </w:tcPr>
          <w:p w14:paraId="6F70CCC1"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Current Asset</m:t>
                    </m:r>
                  </m:num>
                  <m:den>
                    <m:r>
                      <w:rPr>
                        <w:rFonts w:ascii="Cambria Math" w:hAnsi="Cambria Math" w:cs="Arial"/>
                        <w:sz w:val="24"/>
                        <w:szCs w:val="24"/>
                      </w:rPr>
                      <m:t>Current Liability</m:t>
                    </m:r>
                  </m:den>
                </m:f>
              </m:oMath>
            </m:oMathPara>
          </w:p>
        </w:tc>
        <w:tc>
          <w:tcPr>
            <w:tcW w:w="2521" w:type="dxa"/>
            <w:vAlign w:val="center"/>
          </w:tcPr>
          <w:p w14:paraId="556BE83F"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2303</m:t>
                    </m:r>
                  </m:num>
                  <m:den>
                    <m:r>
                      <w:rPr>
                        <w:rFonts w:ascii="Cambria Math" w:hAnsi="Cambria Math" w:cs="Arial"/>
                        <w:sz w:val="24"/>
                        <w:szCs w:val="24"/>
                      </w:rPr>
                      <m:t>2511</m:t>
                    </m:r>
                  </m:den>
                </m:f>
                <m:r>
                  <w:rPr>
                    <w:rFonts w:ascii="Cambria Math" w:hAnsi="Cambria Math" w:cs="Arial"/>
                    <w:sz w:val="24"/>
                    <w:szCs w:val="24"/>
                  </w:rPr>
                  <m:t>=</m:t>
                </m:r>
                <m:r>
                  <m:rPr>
                    <m:sty m:val="bi"/>
                  </m:rPr>
                  <w:rPr>
                    <w:rFonts w:ascii="Cambria Math" w:hAnsi="Cambria Math" w:cs="Arial"/>
                    <w:sz w:val="24"/>
                    <w:szCs w:val="24"/>
                  </w:rPr>
                  <m:t>0.92</m:t>
                </m:r>
              </m:oMath>
            </m:oMathPara>
          </w:p>
        </w:tc>
        <w:tc>
          <w:tcPr>
            <w:tcW w:w="2521" w:type="dxa"/>
            <w:vAlign w:val="center"/>
          </w:tcPr>
          <w:p w14:paraId="27B99487"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2355</m:t>
                    </m:r>
                  </m:num>
                  <m:den>
                    <m:r>
                      <w:rPr>
                        <w:rFonts w:ascii="Cambria Math" w:hAnsi="Cambria Math" w:cs="Arial"/>
                        <w:sz w:val="24"/>
                        <w:szCs w:val="24"/>
                      </w:rPr>
                      <m:t>3046</m:t>
                    </m:r>
                  </m:den>
                </m:f>
                <m:r>
                  <w:rPr>
                    <w:rFonts w:ascii="Cambria Math" w:hAnsi="Cambria Math" w:cs="Arial"/>
                    <w:sz w:val="24"/>
                    <w:szCs w:val="24"/>
                  </w:rPr>
                  <m:t>=</m:t>
                </m:r>
                <m:r>
                  <m:rPr>
                    <m:sty m:val="bi"/>
                  </m:rPr>
                  <w:rPr>
                    <w:rFonts w:ascii="Cambria Math" w:eastAsiaTheme="minorEastAsia" w:hAnsi="Cambria Math" w:cs="Arial"/>
                    <w:sz w:val="24"/>
                    <w:szCs w:val="24"/>
                  </w:rPr>
                  <m:t>0.77</m:t>
                </m:r>
              </m:oMath>
            </m:oMathPara>
          </w:p>
        </w:tc>
      </w:tr>
      <w:tr w:rsidR="00332D2D" w:rsidRPr="008F6E12" w14:paraId="10EE9290"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793C0049"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9</w:t>
            </w:r>
          </w:p>
        </w:tc>
        <w:tc>
          <w:tcPr>
            <w:tcW w:w="1256" w:type="dxa"/>
            <w:vAlign w:val="center"/>
          </w:tcPr>
          <w:p w14:paraId="0DE3EE1A"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Gearing Ratio</w:t>
            </w:r>
          </w:p>
        </w:tc>
        <w:tc>
          <w:tcPr>
            <w:tcW w:w="2767" w:type="dxa"/>
            <w:vAlign w:val="center"/>
          </w:tcPr>
          <w:p w14:paraId="7C321F67"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Long Term Debt</m:t>
                    </m:r>
                  </m:num>
                  <m:den>
                    <m:r>
                      <w:rPr>
                        <w:rFonts w:ascii="Cambria Math" w:hAnsi="Cambria Math" w:cs="Arial"/>
                        <w:sz w:val="24"/>
                        <w:szCs w:val="24"/>
                      </w:rPr>
                      <m:t>Total Equity</m:t>
                    </m:r>
                  </m:den>
                </m:f>
              </m:oMath>
            </m:oMathPara>
          </w:p>
        </w:tc>
        <w:tc>
          <w:tcPr>
            <w:tcW w:w="2521" w:type="dxa"/>
            <w:vAlign w:val="center"/>
          </w:tcPr>
          <w:p w14:paraId="29EBA8F5"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4137</m:t>
                    </m:r>
                  </m:num>
                  <m:den>
                    <m:r>
                      <w:rPr>
                        <w:rFonts w:ascii="Cambria Math" w:hAnsi="Cambria Math" w:cs="Arial"/>
                        <w:sz w:val="24"/>
                        <w:szCs w:val="24"/>
                      </w:rPr>
                      <m:t>3088</m:t>
                    </m:r>
                  </m:den>
                </m:f>
                <m:r>
                  <w:rPr>
                    <w:rFonts w:ascii="Cambria Math" w:hAnsi="Cambria Math" w:cs="Arial"/>
                    <w:sz w:val="24"/>
                    <w:szCs w:val="24"/>
                  </w:rPr>
                  <m:t>=</m:t>
                </m:r>
                <m:r>
                  <m:rPr>
                    <m:sty m:val="bi"/>
                  </m:rPr>
                  <w:rPr>
                    <w:rFonts w:ascii="Cambria Math" w:hAnsi="Cambria Math" w:cs="Arial"/>
                    <w:sz w:val="24"/>
                    <w:szCs w:val="24"/>
                  </w:rPr>
                  <m:t>1.34</m:t>
                </m:r>
              </m:oMath>
            </m:oMathPara>
          </w:p>
        </w:tc>
        <w:tc>
          <w:tcPr>
            <w:tcW w:w="2521" w:type="dxa"/>
            <w:vAlign w:val="center"/>
          </w:tcPr>
          <w:p w14:paraId="50BD8044"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4129</m:t>
                    </m:r>
                  </m:num>
                  <m:den>
                    <m:r>
                      <w:rPr>
                        <w:rFonts w:ascii="Cambria Math" w:hAnsi="Cambria Math" w:cs="Arial"/>
                        <w:sz w:val="24"/>
                        <w:szCs w:val="24"/>
                      </w:rPr>
                      <m:t>2912</m:t>
                    </m:r>
                  </m:den>
                </m:f>
                <m:r>
                  <w:rPr>
                    <w:rFonts w:ascii="Cambria Math" w:hAnsi="Cambria Math" w:cs="Arial"/>
                    <w:sz w:val="24"/>
                    <w:szCs w:val="24"/>
                  </w:rPr>
                  <m:t>=</m:t>
                </m:r>
                <m:r>
                  <m:rPr>
                    <m:sty m:val="bi"/>
                  </m:rPr>
                  <w:rPr>
                    <w:rFonts w:ascii="Cambria Math" w:eastAsiaTheme="minorEastAsia" w:hAnsi="Cambria Math" w:cs="Arial"/>
                    <w:sz w:val="24"/>
                    <w:szCs w:val="24"/>
                  </w:rPr>
                  <m:t>1.42</m:t>
                </m:r>
              </m:oMath>
            </m:oMathPara>
          </w:p>
        </w:tc>
      </w:tr>
      <w:tr w:rsidR="00332D2D" w:rsidRPr="008F6E12" w14:paraId="5392D059" w14:textId="77777777" w:rsidTr="0073271B">
        <w:trPr>
          <w:trHeight w:val="1176"/>
        </w:trPr>
        <w:tc>
          <w:tcPr>
            <w:cnfStyle w:val="001000000000" w:firstRow="0" w:lastRow="0" w:firstColumn="1" w:lastColumn="0" w:oddVBand="0" w:evenVBand="0" w:oddHBand="0" w:evenHBand="0" w:firstRowFirstColumn="0" w:firstRowLastColumn="0" w:lastRowFirstColumn="0" w:lastRowLastColumn="0"/>
            <w:tcW w:w="690" w:type="dxa"/>
            <w:vAlign w:val="center"/>
          </w:tcPr>
          <w:p w14:paraId="2B795A55" w14:textId="77777777" w:rsidR="00332D2D" w:rsidRPr="008F6E12" w:rsidRDefault="00332D2D" w:rsidP="0073271B">
            <w:pPr>
              <w:jc w:val="center"/>
              <w:rPr>
                <w:rFonts w:ascii="Arial" w:hAnsi="Arial" w:cs="Arial"/>
                <w:sz w:val="24"/>
                <w:szCs w:val="24"/>
              </w:rPr>
            </w:pPr>
            <w:r w:rsidRPr="008F6E12">
              <w:rPr>
                <w:rFonts w:ascii="Arial" w:hAnsi="Arial" w:cs="Arial"/>
                <w:sz w:val="24"/>
                <w:szCs w:val="24"/>
              </w:rPr>
              <w:t>10</w:t>
            </w:r>
          </w:p>
        </w:tc>
        <w:tc>
          <w:tcPr>
            <w:tcW w:w="1256" w:type="dxa"/>
            <w:vAlign w:val="center"/>
          </w:tcPr>
          <w:p w14:paraId="698B354F"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F6E12">
              <w:rPr>
                <w:rFonts w:ascii="Arial" w:hAnsi="Arial" w:cs="Arial"/>
                <w:sz w:val="24"/>
                <w:szCs w:val="24"/>
              </w:rPr>
              <w:t>Interest Cover</w:t>
            </w:r>
          </w:p>
        </w:tc>
        <w:tc>
          <w:tcPr>
            <w:tcW w:w="2767" w:type="dxa"/>
            <w:vAlign w:val="center"/>
          </w:tcPr>
          <w:p w14:paraId="1C890E03" w14:textId="77777777" w:rsidR="00332D2D" w:rsidRPr="008F6E12" w:rsidRDefault="00332D2D"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vertAlign w:val="superscript"/>
              </w:rPr>
            </w:pPr>
            <m:oMathPara>
              <m:oMathParaPr>
                <m:jc m:val="left"/>
              </m:oMathParaPr>
              <m:oMath>
                <m:r>
                  <w:rPr>
                    <w:rFonts w:ascii="Cambria Math" w:hAnsi="Cambria Math" w:cs="Arial"/>
                    <w:sz w:val="24"/>
                    <w:szCs w:val="24"/>
                  </w:rPr>
                  <m:t>=</m:t>
                </m:r>
                <m:f>
                  <m:fPr>
                    <m:ctrlPr>
                      <w:rPr>
                        <w:rFonts w:ascii="Cambria Math" w:hAnsi="Cambria Math" w:cs="Arial"/>
                        <w:i/>
                        <w:sz w:val="24"/>
                        <w:szCs w:val="24"/>
                      </w:rPr>
                    </m:ctrlPr>
                  </m:fPr>
                  <m:num>
                    <m:eqArr>
                      <m:eqArrPr>
                        <m:ctrlPr>
                          <w:rPr>
                            <w:rFonts w:ascii="Cambria Math" w:hAnsi="Cambria Math" w:cs="Arial"/>
                            <w:i/>
                            <w:sz w:val="24"/>
                            <w:szCs w:val="24"/>
                          </w:rPr>
                        </m:ctrlPr>
                      </m:eqArrPr>
                      <m:e>
                        <m:r>
                          <w:rPr>
                            <w:rFonts w:ascii="Cambria Math" w:hAnsi="Cambria Math" w:cs="Arial"/>
                            <w:sz w:val="24"/>
                            <w:szCs w:val="24"/>
                          </w:rPr>
                          <m:t>Profit Before Tax+</m:t>
                        </m:r>
                      </m:e>
                      <m:e>
                        <m:r>
                          <w:rPr>
                            <w:rFonts w:ascii="Cambria Math" w:hAnsi="Cambria Math" w:cs="Arial"/>
                            <w:sz w:val="24"/>
                            <w:szCs w:val="24"/>
                          </w:rPr>
                          <m:t>Interest Expense</m:t>
                        </m:r>
                      </m:e>
                    </m:eqArr>
                  </m:num>
                  <m:den>
                    <m:r>
                      <w:rPr>
                        <w:rFonts w:ascii="Cambria Math" w:hAnsi="Cambria Math" w:cs="Arial"/>
                        <w:sz w:val="24"/>
                        <w:szCs w:val="24"/>
                      </w:rPr>
                      <m:t>Interest Expense</m:t>
                    </m:r>
                  </m:den>
                </m:f>
              </m:oMath>
            </m:oMathPara>
          </w:p>
        </w:tc>
        <w:tc>
          <w:tcPr>
            <w:tcW w:w="2521" w:type="dxa"/>
            <w:vAlign w:val="center"/>
          </w:tcPr>
          <w:p w14:paraId="50EB5BA9"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620+226</m:t>
                    </m:r>
                  </m:num>
                  <m:den>
                    <m:r>
                      <w:rPr>
                        <w:rFonts w:ascii="Cambria Math" w:hAnsi="Cambria Math" w:cs="Arial"/>
                        <w:sz w:val="24"/>
                        <w:szCs w:val="24"/>
                      </w:rPr>
                      <m:t>226</m:t>
                    </m:r>
                  </m:den>
                </m:f>
                <m:r>
                  <w:rPr>
                    <w:rFonts w:ascii="Cambria Math" w:hAnsi="Cambria Math" w:cs="Arial"/>
                    <w:sz w:val="24"/>
                    <w:szCs w:val="24"/>
                  </w:rPr>
                  <m:t>=</m:t>
                </m:r>
                <m:r>
                  <m:rPr>
                    <m:sty m:val="bi"/>
                  </m:rPr>
                  <w:rPr>
                    <w:rFonts w:ascii="Cambria Math" w:hAnsi="Cambria Math" w:cs="Arial"/>
                    <w:sz w:val="24"/>
                    <w:szCs w:val="24"/>
                  </w:rPr>
                  <m:t>3.74</m:t>
                </m:r>
              </m:oMath>
            </m:oMathPara>
          </w:p>
        </w:tc>
        <w:tc>
          <w:tcPr>
            <w:tcW w:w="2521" w:type="dxa"/>
            <w:vAlign w:val="center"/>
          </w:tcPr>
          <w:p w14:paraId="702842AD" w14:textId="77777777" w:rsidR="00332D2D" w:rsidRPr="008F6E12" w:rsidRDefault="00266061" w:rsidP="0073271B">
            <w:pPr>
              <w:jc w:val="left"/>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539+181</m:t>
                    </m:r>
                  </m:num>
                  <m:den>
                    <m:r>
                      <w:rPr>
                        <w:rFonts w:ascii="Cambria Math" w:hAnsi="Cambria Math" w:cs="Arial"/>
                        <w:sz w:val="24"/>
                        <w:szCs w:val="24"/>
                      </w:rPr>
                      <m:t>181</m:t>
                    </m:r>
                  </m:den>
                </m:f>
                <m:r>
                  <w:rPr>
                    <w:rFonts w:ascii="Cambria Math" w:hAnsi="Cambria Math" w:cs="Arial"/>
                    <w:sz w:val="24"/>
                    <w:szCs w:val="24"/>
                  </w:rPr>
                  <m:t>=</m:t>
                </m:r>
                <m:r>
                  <m:rPr>
                    <m:sty m:val="bi"/>
                  </m:rPr>
                  <w:rPr>
                    <w:rFonts w:ascii="Cambria Math" w:eastAsiaTheme="minorEastAsia" w:hAnsi="Cambria Math" w:cs="Arial"/>
                    <w:sz w:val="24"/>
                    <w:szCs w:val="24"/>
                  </w:rPr>
                  <m:t>3.98</m:t>
                </m:r>
              </m:oMath>
            </m:oMathPara>
          </w:p>
        </w:tc>
      </w:tr>
    </w:tbl>
    <w:p w14:paraId="424FB695" w14:textId="77777777" w:rsidR="00332D2D" w:rsidRPr="008F6E12" w:rsidRDefault="00332D2D" w:rsidP="00332D2D">
      <w:pPr>
        <w:jc w:val="right"/>
        <w:rPr>
          <w:rFonts w:ascii="Arial" w:hAnsi="Arial" w:cs="Arial"/>
          <w:i/>
          <w:iCs/>
          <w:szCs w:val="24"/>
        </w:rPr>
      </w:pPr>
      <w:r w:rsidRPr="008F6E12">
        <w:rPr>
          <w:rFonts w:ascii="Arial" w:hAnsi="Arial" w:cs="Arial"/>
          <w:b/>
          <w:bCs/>
          <w:i/>
          <w:iCs/>
          <w:szCs w:val="24"/>
        </w:rPr>
        <w:t>Note:</w:t>
      </w:r>
      <w:r w:rsidRPr="008F6E12">
        <w:rPr>
          <w:rFonts w:ascii="Arial" w:hAnsi="Arial" w:cs="Arial"/>
          <w:szCs w:val="24"/>
        </w:rPr>
        <w:t xml:space="preserve"> </w:t>
      </w:r>
      <w:r w:rsidRPr="008F6E12">
        <w:rPr>
          <w:rFonts w:ascii="Arial" w:hAnsi="Arial" w:cs="Arial"/>
          <w:i/>
          <w:iCs/>
          <w:szCs w:val="24"/>
        </w:rPr>
        <w:t>Years are assumed on 360 Days.</w:t>
      </w:r>
    </w:p>
    <w:p w14:paraId="071C3A37" w14:textId="77777777" w:rsidR="00332D2D" w:rsidRPr="008F6E12" w:rsidRDefault="00332D2D" w:rsidP="00332D2D">
      <w:pPr>
        <w:rPr>
          <w:rFonts w:ascii="Arial" w:hAnsi="Arial" w:cs="Arial"/>
          <w:szCs w:val="24"/>
        </w:rPr>
      </w:pPr>
    </w:p>
    <w:p w14:paraId="60F1F96A" w14:textId="77777777" w:rsidR="00332D2D" w:rsidRPr="008F6E12" w:rsidRDefault="00332D2D" w:rsidP="00332D2D">
      <w:pPr>
        <w:rPr>
          <w:rFonts w:ascii="Arial" w:hAnsi="Arial" w:cs="Arial"/>
          <w:szCs w:val="24"/>
        </w:rPr>
      </w:pPr>
    </w:p>
    <w:p w14:paraId="3DFA4282" w14:textId="77777777" w:rsidR="00332D2D" w:rsidRPr="008F6E12" w:rsidRDefault="00332D2D" w:rsidP="00332D2D">
      <w:pPr>
        <w:spacing w:line="259" w:lineRule="auto"/>
        <w:jc w:val="left"/>
        <w:rPr>
          <w:rFonts w:ascii="Arial" w:hAnsi="Arial" w:cs="Arial"/>
          <w:szCs w:val="24"/>
        </w:rPr>
      </w:pPr>
      <w:r w:rsidRPr="008F6E12">
        <w:rPr>
          <w:rFonts w:ascii="Arial" w:hAnsi="Arial" w:cs="Arial"/>
          <w:szCs w:val="24"/>
        </w:rPr>
        <w:br w:type="page"/>
      </w:r>
    </w:p>
    <w:p w14:paraId="44D63763" w14:textId="77777777" w:rsidR="00332D2D" w:rsidRPr="008F6E12" w:rsidRDefault="00332D2D" w:rsidP="00332D2D">
      <w:pPr>
        <w:pStyle w:val="Heading2"/>
        <w:rPr>
          <w:rFonts w:ascii="Arial" w:hAnsi="Arial" w:cs="Arial"/>
          <w:szCs w:val="28"/>
        </w:rPr>
      </w:pPr>
      <w:bookmarkStart w:id="7" w:name="_Toc118660421"/>
      <w:r w:rsidRPr="008F6E12">
        <w:rPr>
          <w:rFonts w:ascii="Arial" w:hAnsi="Arial" w:cs="Arial"/>
          <w:szCs w:val="28"/>
        </w:rPr>
        <w:lastRenderedPageBreak/>
        <w:t>Analysing the Financial Performance and Position of Sweets Plc</w:t>
      </w:r>
      <w:bookmarkEnd w:id="7"/>
    </w:p>
    <w:p w14:paraId="6917B9B6" w14:textId="77777777" w:rsidR="00332D2D" w:rsidRPr="008F6E12" w:rsidRDefault="00332D2D" w:rsidP="00332D2D">
      <w:pPr>
        <w:rPr>
          <w:rFonts w:ascii="Arial" w:hAnsi="Arial" w:cs="Arial"/>
          <w:szCs w:val="24"/>
        </w:rPr>
      </w:pPr>
      <w:r w:rsidRPr="008F6E12">
        <w:rPr>
          <w:rFonts w:ascii="Arial" w:hAnsi="Arial" w:cs="Arial"/>
          <w:szCs w:val="24"/>
        </w:rPr>
        <w:t>As mentioned earlier, ratio analysis is the process of analysing the financial data from a company's financial statement to make conclusions about its liquidity, profitability, operational efficiency, and solvency (HORHOTĂ, 2015). It is a great tool for analysing the growth of an organisation over a certain period. The primary purpose of ratio analysis is to simplify complex accounting information and compare it with the peer companies’ positions. Several ratios have been computed for Sweet Plc, as required, using the available data. Based on ratio analysis, the following calculations of Sweet Plc's financial performance have been produced:</w:t>
      </w:r>
    </w:p>
    <w:p w14:paraId="4E3C78C5"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An organization's ability to maximise earnings from its use of capital is quantified by its return on capital employed (Ali, 2017). Rates of return on capital employed are 1.22 per cent in 2020, and 1.44 per cent in 2021. An improvement in 2021 productivity can be attributed to the rate hike in 2020.</w:t>
      </w:r>
    </w:p>
    <w:p w14:paraId="00F20EDD"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Stockholders' equity increases are factored into the return on earnings calculation (Ali, 2017). In 2020 and 2021, the company is expected to have a return on earnings of 0.13 and 0.14. There will be a greater percentage of profits given to common shareholders in 2021.</w:t>
      </w:r>
    </w:p>
    <w:p w14:paraId="6130D9F9"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When calculating earnings per share, the total net profit of a company is divided by the number of outstanding shares (Afrin, 2019). Per-share earnings are expected to rise from $4.88 in 2020 to $7.36 in 2021 for this business. Profits per share for the company's common stockholders increased by 2.49 per cent in 2021.</w:t>
      </w:r>
    </w:p>
    <w:p w14:paraId="2A270D4F"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 xml:space="preserve">Calculating a company's net profit as a proportion of its revenue is known as the net profit margin, mentioned as NPM (Jansen, 2012). Traditional wisdom holds that a margin of 5% is poor, 10% is adequate, and 20% is very healthy. Estimates for the company's net profit margins in 2020 and 2021 are 5.68 and 6.40 per cent, respectively. As a result of the improved efficiency, Sweets Plc's net margin has grown. </w:t>
      </w:r>
    </w:p>
    <w:p w14:paraId="37366B90"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Investors can get a sense of how efficiently businesses use their assets to create sales by looking at asset turnover- which is just the ratio of total revenue and sales to average assets (</w:t>
      </w:r>
      <w:proofErr w:type="spellStart"/>
      <w:r w:rsidRPr="008F6E12">
        <w:rPr>
          <w:rFonts w:ascii="Arial" w:hAnsi="Arial" w:cs="Arial"/>
          <w:szCs w:val="24"/>
        </w:rPr>
        <w:t>Pervan</w:t>
      </w:r>
      <w:proofErr w:type="spellEnd"/>
      <w:r w:rsidRPr="008F6E12">
        <w:rPr>
          <w:rFonts w:ascii="Arial" w:hAnsi="Arial" w:cs="Arial"/>
          <w:szCs w:val="24"/>
        </w:rPr>
        <w:t xml:space="preserve">, 2012). Maintaining a turnover rate of 0.25 to 0.5 is ideal for assets. The company expects its asset turnover to be 0.64 in 2020, and 0.68 in 2021. </w:t>
      </w:r>
      <w:r w:rsidRPr="008F6E12">
        <w:rPr>
          <w:rFonts w:ascii="Arial" w:hAnsi="Arial" w:cs="Arial"/>
          <w:szCs w:val="24"/>
        </w:rPr>
        <w:lastRenderedPageBreak/>
        <w:t>The advice states that the company has large asset turnovers, which have grown as the company has become more efficient.</w:t>
      </w:r>
    </w:p>
    <w:p w14:paraId="3DC94150"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 xml:space="preserve">An organization's inventory or stock turns over an average of once every number of days. There are an estimated 76 and 78 days of holding Sweet Plc stock in 2020 and 2021, respectively. The inventory turnover has increased that need to be addressed, and Sweet might need to change its credit terms to reduce its turnover. </w:t>
      </w:r>
    </w:p>
    <w:p w14:paraId="6CDB7745"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The debtor collection period is the typical length of time it takes to get paid for business debts (Bragg, 2012). Compared to 2019, the company's debt collection time will be 7.93 days shorter in 2020 and 2021, at 66.73 days. The durations taken to recover debts by the company are adequate for their current needs.</w:t>
      </w:r>
    </w:p>
    <w:p w14:paraId="3A7B90C5"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A company's ability to pay the short-term financial obligations can be measured by the current ratio, which is also known as the liquidity ratio (Tin, 2017). The current ratio needs to move closer to 2:1 in order to achieve optimal results. Both 2020 and 2021 see current ratios of 0.77 for the company. While it is possible to draw a positive conclusion from the company's current ratios, it would be prudent for the company to strengthen its short-term asset management policies.</w:t>
      </w:r>
    </w:p>
    <w:p w14:paraId="316DB567"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The ratio of owner equity to total debt, which can include loans, is known as the "gearing ratio." The company's gearing ratio is 1.42 in 2020, and 1.34 in 2021. The decline in the firm's gearing ratio indicates that it is using less long-term debt compared to the last year and in proportion to equity.</w:t>
      </w:r>
    </w:p>
    <w:p w14:paraId="58D4F01B" w14:textId="77777777" w:rsidR="00332D2D" w:rsidRPr="008F6E12" w:rsidRDefault="00332D2D" w:rsidP="00332D2D">
      <w:pPr>
        <w:pStyle w:val="ListParagraph"/>
        <w:numPr>
          <w:ilvl w:val="0"/>
          <w:numId w:val="1"/>
        </w:numPr>
        <w:rPr>
          <w:rFonts w:ascii="Arial" w:hAnsi="Arial" w:cs="Arial"/>
          <w:szCs w:val="24"/>
        </w:rPr>
      </w:pPr>
      <w:r w:rsidRPr="008F6E12">
        <w:rPr>
          <w:rFonts w:ascii="Arial" w:hAnsi="Arial" w:cs="Arial"/>
          <w:szCs w:val="24"/>
        </w:rPr>
        <w:t>The interest coverage ratio is a metric of debt and profitability that indicates the company's capacity to meet its interest payments on its total debt (Greenwald, 2019). When calculating this ratio, all of the company's debt is taken into account. In general, a ratio of interest expense to interest income of at least 2 is required for a company to be solvent. The interest coverage ratio for the corporation is 3.98 in 2020, and 3.74 in 2021. But now that it has been dropped to a certain point, Sweet Plc needs to evaluate it to determine whether any changes are necessary regarding their business’s current operational activities.</w:t>
      </w:r>
    </w:p>
    <w:p w14:paraId="7C0C24C8" w14:textId="77777777" w:rsidR="00332D2D" w:rsidRPr="008F6E12" w:rsidRDefault="00332D2D" w:rsidP="00332D2D">
      <w:pPr>
        <w:rPr>
          <w:rFonts w:ascii="Arial" w:hAnsi="Arial" w:cs="Arial"/>
          <w:szCs w:val="24"/>
        </w:rPr>
      </w:pPr>
    </w:p>
    <w:p w14:paraId="78EBF8D9" w14:textId="77777777" w:rsidR="00332D2D" w:rsidRPr="008F6E12" w:rsidRDefault="00332D2D" w:rsidP="00332D2D">
      <w:pPr>
        <w:rPr>
          <w:rFonts w:ascii="Arial" w:hAnsi="Arial" w:cs="Arial"/>
          <w:szCs w:val="24"/>
        </w:rPr>
      </w:pPr>
    </w:p>
    <w:p w14:paraId="6D5CA0E0" w14:textId="06DBB42B" w:rsidR="00332D2D" w:rsidRPr="008F6E12" w:rsidRDefault="00332D2D" w:rsidP="008F6E12">
      <w:pPr>
        <w:spacing w:line="259" w:lineRule="auto"/>
        <w:jc w:val="left"/>
        <w:rPr>
          <w:rFonts w:ascii="Arial" w:hAnsi="Arial" w:cs="Arial"/>
          <w:b/>
          <w:bCs/>
          <w:sz w:val="28"/>
          <w:szCs w:val="28"/>
        </w:rPr>
      </w:pPr>
      <w:r w:rsidRPr="008F6E12">
        <w:rPr>
          <w:rFonts w:ascii="Arial" w:hAnsi="Arial" w:cs="Arial"/>
          <w:szCs w:val="24"/>
        </w:rPr>
        <w:br w:type="page"/>
      </w:r>
      <w:bookmarkStart w:id="8" w:name="_Toc118660422"/>
      <w:r w:rsidRPr="008F6E12">
        <w:rPr>
          <w:rFonts w:ascii="Arial" w:hAnsi="Arial" w:cs="Arial"/>
          <w:b/>
          <w:bCs/>
          <w:sz w:val="28"/>
          <w:szCs w:val="28"/>
        </w:rPr>
        <w:lastRenderedPageBreak/>
        <w:t>Conclusion</w:t>
      </w:r>
      <w:bookmarkEnd w:id="8"/>
    </w:p>
    <w:p w14:paraId="159495A2" w14:textId="77777777" w:rsidR="00332D2D" w:rsidRPr="008F6E12" w:rsidRDefault="00332D2D" w:rsidP="00332D2D">
      <w:pPr>
        <w:rPr>
          <w:rFonts w:ascii="Arial" w:hAnsi="Arial" w:cs="Arial"/>
          <w:szCs w:val="24"/>
        </w:rPr>
      </w:pPr>
      <w:r w:rsidRPr="008F6E12">
        <w:rPr>
          <w:rFonts w:ascii="Arial" w:hAnsi="Arial" w:cs="Arial"/>
          <w:szCs w:val="24"/>
        </w:rPr>
        <w:t xml:space="preserve">This report uses an illustration to show that Wales has a net income of £54,330 and a financial position of £2,027,955. The stability of the balance sheet is attested to by the application of the double entry principle. Several ratios have been computed based on the information provided for Sweet Plc. Most projections show that Sweet Plc's finances and performance improved in 2021 compared to 2020. The company needs to sustain itself in the market with a superior competitive edge, but to do so it must enhance its performance and analyse the ratios regularly. </w:t>
      </w:r>
    </w:p>
    <w:p w14:paraId="003D1CD5" w14:textId="77777777" w:rsidR="00332D2D" w:rsidRPr="008F6E12" w:rsidRDefault="00332D2D" w:rsidP="00332D2D">
      <w:pPr>
        <w:rPr>
          <w:rFonts w:ascii="Arial" w:hAnsi="Arial" w:cs="Arial"/>
          <w:szCs w:val="24"/>
        </w:rPr>
      </w:pPr>
    </w:p>
    <w:p w14:paraId="4387B49A" w14:textId="77777777" w:rsidR="00332D2D" w:rsidRPr="008F6E12" w:rsidRDefault="00332D2D" w:rsidP="00332D2D">
      <w:pPr>
        <w:rPr>
          <w:rFonts w:ascii="Arial" w:hAnsi="Arial" w:cs="Arial"/>
          <w:szCs w:val="24"/>
        </w:rPr>
      </w:pPr>
    </w:p>
    <w:p w14:paraId="48284BA4" w14:textId="77777777" w:rsidR="00332D2D" w:rsidRPr="008F6E12" w:rsidRDefault="00332D2D" w:rsidP="00332D2D">
      <w:pPr>
        <w:spacing w:line="259" w:lineRule="auto"/>
        <w:jc w:val="left"/>
        <w:rPr>
          <w:rFonts w:ascii="Arial" w:hAnsi="Arial" w:cs="Arial"/>
          <w:szCs w:val="24"/>
        </w:rPr>
      </w:pPr>
      <w:r w:rsidRPr="008F6E12">
        <w:rPr>
          <w:rFonts w:ascii="Arial" w:hAnsi="Arial" w:cs="Arial"/>
          <w:szCs w:val="24"/>
        </w:rPr>
        <w:br w:type="page"/>
      </w:r>
    </w:p>
    <w:p w14:paraId="4CEAB6AF" w14:textId="77777777" w:rsidR="00332D2D" w:rsidRPr="008F6E12" w:rsidRDefault="00332D2D" w:rsidP="00332D2D">
      <w:pPr>
        <w:pStyle w:val="Heading1"/>
        <w:rPr>
          <w:rFonts w:ascii="Arial" w:hAnsi="Arial" w:cs="Arial"/>
          <w:sz w:val="24"/>
          <w:szCs w:val="24"/>
        </w:rPr>
      </w:pPr>
      <w:bookmarkStart w:id="9" w:name="_Toc118660423"/>
      <w:r w:rsidRPr="008F6E12">
        <w:rPr>
          <w:rFonts w:ascii="Arial" w:hAnsi="Arial" w:cs="Arial"/>
          <w:sz w:val="24"/>
          <w:szCs w:val="24"/>
        </w:rPr>
        <w:lastRenderedPageBreak/>
        <w:t>References</w:t>
      </w:r>
      <w:bookmarkEnd w:id="9"/>
    </w:p>
    <w:p w14:paraId="636F24D3"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r w:rsidRPr="008F6E12">
        <w:rPr>
          <w:rFonts w:ascii="Arial" w:hAnsi="Arial" w:cs="Arial"/>
          <w:szCs w:val="24"/>
        </w:rPr>
        <w:t>Afrin, K. and Islam, M., 2019. Earnings per share: do we get relevant information. </w:t>
      </w:r>
      <w:r w:rsidRPr="008F6E12">
        <w:rPr>
          <w:rFonts w:ascii="Arial" w:hAnsi="Arial" w:cs="Arial"/>
          <w:i/>
          <w:iCs/>
          <w:szCs w:val="24"/>
        </w:rPr>
        <w:t>Chinese business review</w:t>
      </w:r>
      <w:r w:rsidRPr="008F6E12">
        <w:rPr>
          <w:rFonts w:ascii="Arial" w:hAnsi="Arial" w:cs="Arial"/>
          <w:szCs w:val="24"/>
        </w:rPr>
        <w:t>, </w:t>
      </w:r>
      <w:r w:rsidRPr="008F6E12">
        <w:rPr>
          <w:rFonts w:ascii="Arial" w:hAnsi="Arial" w:cs="Arial"/>
          <w:i/>
          <w:iCs/>
          <w:szCs w:val="24"/>
        </w:rPr>
        <w:t>18</w:t>
      </w:r>
      <w:r w:rsidRPr="008F6E12">
        <w:rPr>
          <w:rFonts w:ascii="Arial" w:hAnsi="Arial" w:cs="Arial"/>
          <w:szCs w:val="24"/>
        </w:rPr>
        <w:t>(2), pp.22-29.</w:t>
      </w:r>
    </w:p>
    <w:p w14:paraId="39E496E8"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r w:rsidRPr="008F6E12">
        <w:rPr>
          <w:rFonts w:ascii="Arial" w:hAnsi="Arial" w:cs="Arial"/>
          <w:szCs w:val="24"/>
        </w:rPr>
        <w:t xml:space="preserve">Ali, M.A., </w:t>
      </w:r>
      <w:proofErr w:type="spellStart"/>
      <w:r w:rsidRPr="008F6E12">
        <w:rPr>
          <w:rFonts w:ascii="Arial" w:hAnsi="Arial" w:cs="Arial"/>
          <w:szCs w:val="24"/>
        </w:rPr>
        <w:t>Kalim</w:t>
      </w:r>
      <w:proofErr w:type="spellEnd"/>
      <w:r w:rsidRPr="008F6E12">
        <w:rPr>
          <w:rFonts w:ascii="Arial" w:hAnsi="Arial" w:cs="Arial"/>
          <w:szCs w:val="24"/>
        </w:rPr>
        <w:t>, U., Raza, H., Ali, H.A., Rehman, M. and Ullah, M.I., 2017. The Relationship Between ROA, ROE, ROCE and EPS Ratios with Break-up Values of Shares of Karachi-Pakistan Fuel and Energy Listed Companies. </w:t>
      </w:r>
      <w:r w:rsidRPr="008F6E12">
        <w:rPr>
          <w:rFonts w:ascii="Arial" w:hAnsi="Arial" w:cs="Arial"/>
          <w:i/>
          <w:iCs/>
          <w:szCs w:val="24"/>
        </w:rPr>
        <w:t>Journal of Finance and Accounting</w:t>
      </w:r>
      <w:r w:rsidRPr="008F6E12">
        <w:rPr>
          <w:rFonts w:ascii="Arial" w:hAnsi="Arial" w:cs="Arial"/>
          <w:szCs w:val="24"/>
        </w:rPr>
        <w:t>, </w:t>
      </w:r>
      <w:r w:rsidRPr="008F6E12">
        <w:rPr>
          <w:rFonts w:ascii="Arial" w:hAnsi="Arial" w:cs="Arial"/>
          <w:i/>
          <w:iCs/>
          <w:szCs w:val="24"/>
        </w:rPr>
        <w:t>5</w:t>
      </w:r>
      <w:r w:rsidRPr="008F6E12">
        <w:rPr>
          <w:rFonts w:ascii="Arial" w:hAnsi="Arial" w:cs="Arial"/>
          <w:szCs w:val="24"/>
        </w:rPr>
        <w:t>(3), pp.115-122.</w:t>
      </w:r>
    </w:p>
    <w:p w14:paraId="117E1D79"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r w:rsidRPr="008F6E12">
        <w:rPr>
          <w:rFonts w:ascii="Arial" w:hAnsi="Arial" w:cs="Arial"/>
          <w:szCs w:val="24"/>
        </w:rPr>
        <w:t>Bragg, S.M., 2012. </w:t>
      </w:r>
      <w:r w:rsidRPr="008F6E12">
        <w:rPr>
          <w:rFonts w:ascii="Arial" w:hAnsi="Arial" w:cs="Arial"/>
          <w:i/>
          <w:iCs/>
          <w:szCs w:val="24"/>
        </w:rPr>
        <w:t>Business ratios and formulas: a comprehensive guide</w:t>
      </w:r>
      <w:r w:rsidRPr="008F6E12">
        <w:rPr>
          <w:rFonts w:ascii="Arial" w:hAnsi="Arial" w:cs="Arial"/>
          <w:szCs w:val="24"/>
        </w:rPr>
        <w:t> (Vol. 577). John Wiley &amp; Sons.</w:t>
      </w:r>
    </w:p>
    <w:p w14:paraId="2E3D609B" w14:textId="77777777" w:rsidR="00332D2D" w:rsidRPr="008F6E12" w:rsidRDefault="00332D2D" w:rsidP="00332D2D">
      <w:pPr>
        <w:spacing w:after="180"/>
        <w:ind w:left="450" w:hanging="450"/>
        <w:rPr>
          <w:rFonts w:ascii="Arial" w:hAnsi="Arial" w:cs="Arial"/>
          <w:szCs w:val="24"/>
        </w:rPr>
      </w:pPr>
      <w:proofErr w:type="spellStart"/>
      <w:r w:rsidRPr="008F6E12">
        <w:rPr>
          <w:rFonts w:ascii="Arial" w:eastAsia="Calibri" w:hAnsi="Arial" w:cs="Arial"/>
          <w:color w:val="222222"/>
          <w:szCs w:val="24"/>
          <w:shd w:val="clear" w:color="auto" w:fill="FFFFFF"/>
          <w:lang w:val="en-US"/>
        </w:rPr>
        <w:t>Gowthorpe</w:t>
      </w:r>
      <w:proofErr w:type="spellEnd"/>
      <w:r w:rsidRPr="008F6E12">
        <w:rPr>
          <w:rFonts w:ascii="Arial" w:eastAsia="Calibri" w:hAnsi="Arial" w:cs="Arial"/>
          <w:color w:val="222222"/>
          <w:szCs w:val="24"/>
          <w:shd w:val="clear" w:color="auto" w:fill="FFFFFF"/>
          <w:lang w:val="en-US"/>
        </w:rPr>
        <w:t xml:space="preserve">, C. (2020). </w:t>
      </w:r>
      <w:r w:rsidRPr="008F6E12">
        <w:rPr>
          <w:rFonts w:ascii="Arial" w:eastAsia="Calibri" w:hAnsi="Arial" w:cs="Arial"/>
          <w:i/>
          <w:iCs/>
          <w:color w:val="222222"/>
          <w:szCs w:val="24"/>
          <w:shd w:val="clear" w:color="auto" w:fill="FFFFFF"/>
          <w:lang w:val="en-US"/>
        </w:rPr>
        <w:t>Business accounting and finance</w:t>
      </w:r>
      <w:r w:rsidRPr="008F6E12">
        <w:rPr>
          <w:rFonts w:ascii="Arial" w:eastAsia="Calibri" w:hAnsi="Arial" w:cs="Arial"/>
          <w:color w:val="222222"/>
          <w:szCs w:val="24"/>
          <w:shd w:val="clear" w:color="auto" w:fill="FFFFFF"/>
          <w:lang w:val="en-US"/>
        </w:rPr>
        <w:t>. Andover: Cengage Learning.</w:t>
      </w:r>
    </w:p>
    <w:p w14:paraId="03AFF640" w14:textId="77777777" w:rsidR="00332D2D" w:rsidRPr="008F6E12" w:rsidRDefault="00332D2D" w:rsidP="00332D2D">
      <w:pPr>
        <w:spacing w:after="180"/>
        <w:ind w:left="450" w:hanging="450"/>
        <w:rPr>
          <w:rFonts w:ascii="Arial" w:hAnsi="Arial" w:cs="Arial"/>
          <w:szCs w:val="24"/>
        </w:rPr>
      </w:pPr>
      <w:r w:rsidRPr="008F6E12">
        <w:rPr>
          <w:rFonts w:ascii="Arial" w:hAnsi="Arial" w:cs="Arial"/>
          <w:szCs w:val="24"/>
        </w:rPr>
        <w:t>Greenwald, D., 2019. </w:t>
      </w:r>
      <w:r w:rsidRPr="008F6E12">
        <w:rPr>
          <w:rFonts w:ascii="Arial" w:hAnsi="Arial" w:cs="Arial"/>
          <w:i/>
          <w:iCs/>
          <w:szCs w:val="24"/>
        </w:rPr>
        <w:t>Firm debt covenants and the macroeconomy: The interest coverage channel</w:t>
      </w:r>
      <w:r w:rsidRPr="008F6E12">
        <w:rPr>
          <w:rFonts w:ascii="Arial" w:hAnsi="Arial" w:cs="Arial"/>
          <w:szCs w:val="24"/>
        </w:rPr>
        <w:t> (Vol. 1). MIT Sloan School of Management.</w:t>
      </w:r>
    </w:p>
    <w:p w14:paraId="1086A3DC" w14:textId="77777777" w:rsidR="00332D2D" w:rsidRPr="008F6E12" w:rsidRDefault="00332D2D" w:rsidP="00332D2D">
      <w:pPr>
        <w:spacing w:after="180"/>
        <w:ind w:left="450" w:hanging="450"/>
        <w:rPr>
          <w:rFonts w:ascii="Arial" w:eastAsia="Calibri" w:hAnsi="Arial" w:cs="Arial"/>
          <w:color w:val="222222"/>
          <w:szCs w:val="24"/>
          <w:shd w:val="clear" w:color="auto" w:fill="FFFFFF"/>
          <w:lang w:val="en-US"/>
        </w:rPr>
      </w:pPr>
      <w:r w:rsidRPr="008F6E12">
        <w:rPr>
          <w:rFonts w:ascii="Arial" w:eastAsia="Calibri" w:hAnsi="Arial" w:cs="Arial"/>
          <w:color w:val="222222"/>
          <w:szCs w:val="24"/>
          <w:shd w:val="clear" w:color="auto" w:fill="FFFFFF"/>
          <w:lang w:val="en-US"/>
        </w:rPr>
        <w:t xml:space="preserve">Haller, A. and </w:t>
      </w:r>
      <w:proofErr w:type="spellStart"/>
      <w:r w:rsidRPr="008F6E12">
        <w:rPr>
          <w:rFonts w:ascii="Arial" w:eastAsia="Calibri" w:hAnsi="Arial" w:cs="Arial"/>
          <w:color w:val="222222"/>
          <w:szCs w:val="24"/>
          <w:shd w:val="clear" w:color="auto" w:fill="FFFFFF"/>
          <w:lang w:val="en-US"/>
        </w:rPr>
        <w:t>Wehrfritz</w:t>
      </w:r>
      <w:proofErr w:type="spellEnd"/>
      <w:r w:rsidRPr="008F6E12">
        <w:rPr>
          <w:rFonts w:ascii="Arial" w:eastAsia="Calibri" w:hAnsi="Arial" w:cs="Arial"/>
          <w:color w:val="222222"/>
          <w:szCs w:val="24"/>
          <w:shd w:val="clear" w:color="auto" w:fill="FFFFFF"/>
          <w:lang w:val="en-US"/>
        </w:rPr>
        <w:t xml:space="preserve">, M. (2013). The impact of national GAAP and accounting traditions on IFRS policy selection: Evidence from Germany and the UK. </w:t>
      </w:r>
      <w:r w:rsidRPr="008F6E12">
        <w:rPr>
          <w:rFonts w:ascii="Arial" w:eastAsia="Calibri" w:hAnsi="Arial" w:cs="Arial"/>
          <w:i/>
          <w:iCs/>
          <w:color w:val="222222"/>
          <w:szCs w:val="24"/>
          <w:shd w:val="clear" w:color="auto" w:fill="FFFFFF"/>
          <w:lang w:val="en-US"/>
        </w:rPr>
        <w:t>Journal of International Accounting, Auditing and Taxation</w:t>
      </w:r>
      <w:r w:rsidRPr="008F6E12">
        <w:rPr>
          <w:rFonts w:ascii="Arial" w:eastAsia="Calibri" w:hAnsi="Arial" w:cs="Arial"/>
          <w:color w:val="222222"/>
          <w:szCs w:val="24"/>
          <w:shd w:val="clear" w:color="auto" w:fill="FFFFFF"/>
          <w:lang w:val="en-US"/>
        </w:rPr>
        <w:t xml:space="preserve">, 22(1), pp.39–56. </w:t>
      </w:r>
      <w:proofErr w:type="gramStart"/>
      <w:r w:rsidRPr="008F6E12">
        <w:rPr>
          <w:rFonts w:ascii="Arial" w:eastAsia="Calibri" w:hAnsi="Arial" w:cs="Arial"/>
          <w:color w:val="222222"/>
          <w:szCs w:val="24"/>
          <w:shd w:val="clear" w:color="auto" w:fill="FFFFFF"/>
          <w:lang w:val="en-US"/>
        </w:rPr>
        <w:t>doi:10.1016/j.intaccaudtax</w:t>
      </w:r>
      <w:proofErr w:type="gramEnd"/>
      <w:r w:rsidRPr="008F6E12">
        <w:rPr>
          <w:rFonts w:ascii="Arial" w:eastAsia="Calibri" w:hAnsi="Arial" w:cs="Arial"/>
          <w:color w:val="222222"/>
          <w:szCs w:val="24"/>
          <w:shd w:val="clear" w:color="auto" w:fill="FFFFFF"/>
          <w:lang w:val="en-US"/>
        </w:rPr>
        <w:t>.2013.02.003.</w:t>
      </w:r>
    </w:p>
    <w:p w14:paraId="1848E1A7"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r w:rsidRPr="008F6E12">
        <w:rPr>
          <w:rFonts w:ascii="Arial" w:hAnsi="Arial" w:cs="Arial"/>
          <w:szCs w:val="24"/>
        </w:rPr>
        <w:t xml:space="preserve">HORHOTĂ, L., 2015. </w:t>
      </w:r>
      <w:proofErr w:type="spellStart"/>
      <w:r w:rsidRPr="008F6E12">
        <w:rPr>
          <w:rFonts w:ascii="Arial" w:hAnsi="Arial" w:cs="Arial"/>
          <w:szCs w:val="24"/>
        </w:rPr>
        <w:t>Bussines</w:t>
      </w:r>
      <w:proofErr w:type="spellEnd"/>
      <w:r w:rsidRPr="008F6E12">
        <w:rPr>
          <w:rFonts w:ascii="Arial" w:hAnsi="Arial" w:cs="Arial"/>
          <w:szCs w:val="24"/>
        </w:rPr>
        <w:t xml:space="preserve"> valuation using financial analysis techniques. </w:t>
      </w:r>
      <w:r w:rsidRPr="008F6E12">
        <w:rPr>
          <w:rFonts w:ascii="Arial" w:hAnsi="Arial" w:cs="Arial"/>
          <w:i/>
          <w:iCs/>
          <w:szCs w:val="24"/>
        </w:rPr>
        <w:t>BUSINESS ADMINISTRATION</w:t>
      </w:r>
      <w:r w:rsidRPr="008F6E12">
        <w:rPr>
          <w:rFonts w:ascii="Arial" w:hAnsi="Arial" w:cs="Arial"/>
          <w:szCs w:val="24"/>
        </w:rPr>
        <w:t>, p.72.</w:t>
      </w:r>
    </w:p>
    <w:p w14:paraId="3F057605"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r w:rsidRPr="008F6E12">
        <w:rPr>
          <w:rFonts w:ascii="Arial" w:hAnsi="Arial" w:cs="Arial"/>
          <w:szCs w:val="24"/>
        </w:rPr>
        <w:t xml:space="preserve">Jansen, I.P., Ramnath, S. and </w:t>
      </w:r>
      <w:proofErr w:type="spellStart"/>
      <w:r w:rsidRPr="008F6E12">
        <w:rPr>
          <w:rFonts w:ascii="Arial" w:hAnsi="Arial" w:cs="Arial"/>
          <w:szCs w:val="24"/>
        </w:rPr>
        <w:t>Yohn</w:t>
      </w:r>
      <w:proofErr w:type="spellEnd"/>
      <w:r w:rsidRPr="008F6E12">
        <w:rPr>
          <w:rFonts w:ascii="Arial" w:hAnsi="Arial" w:cs="Arial"/>
          <w:szCs w:val="24"/>
        </w:rPr>
        <w:t>, T.L., 2012. A diagnostic for earnings management using changes in asset turnover and profit margin. </w:t>
      </w:r>
      <w:r w:rsidRPr="008F6E12">
        <w:rPr>
          <w:rFonts w:ascii="Arial" w:hAnsi="Arial" w:cs="Arial"/>
          <w:i/>
          <w:iCs/>
          <w:szCs w:val="24"/>
        </w:rPr>
        <w:t>Contemporary Accounting Research</w:t>
      </w:r>
      <w:r w:rsidRPr="008F6E12">
        <w:rPr>
          <w:rFonts w:ascii="Arial" w:hAnsi="Arial" w:cs="Arial"/>
          <w:szCs w:val="24"/>
        </w:rPr>
        <w:t>, </w:t>
      </w:r>
      <w:r w:rsidRPr="008F6E12">
        <w:rPr>
          <w:rFonts w:ascii="Arial" w:hAnsi="Arial" w:cs="Arial"/>
          <w:i/>
          <w:iCs/>
          <w:szCs w:val="24"/>
        </w:rPr>
        <w:t>29</w:t>
      </w:r>
      <w:r w:rsidRPr="008F6E12">
        <w:rPr>
          <w:rFonts w:ascii="Arial" w:hAnsi="Arial" w:cs="Arial"/>
          <w:szCs w:val="24"/>
        </w:rPr>
        <w:t>(1), pp.221-251.</w:t>
      </w:r>
    </w:p>
    <w:p w14:paraId="4F8D7A0D" w14:textId="4A1BACA2" w:rsidR="00332D2D" w:rsidRPr="008F6E12" w:rsidRDefault="00332D2D" w:rsidP="00332D2D">
      <w:pPr>
        <w:spacing w:after="180"/>
        <w:ind w:left="450" w:hanging="450"/>
        <w:rPr>
          <w:rFonts w:ascii="Arial" w:eastAsia="Calibri" w:hAnsi="Arial" w:cs="Arial"/>
          <w:color w:val="222222"/>
          <w:szCs w:val="24"/>
          <w:shd w:val="clear" w:color="auto" w:fill="FFFFFF"/>
          <w:lang w:val="en-US"/>
        </w:rPr>
      </w:pPr>
      <w:proofErr w:type="spellStart"/>
      <w:r w:rsidRPr="008F6E12">
        <w:rPr>
          <w:rFonts w:ascii="Arial" w:eastAsia="Calibri" w:hAnsi="Arial" w:cs="Arial"/>
          <w:color w:val="222222"/>
          <w:szCs w:val="24"/>
          <w:shd w:val="clear" w:color="auto" w:fill="FFFFFF"/>
          <w:lang w:val="en-US"/>
        </w:rPr>
        <w:t>Kolitz</w:t>
      </w:r>
      <w:proofErr w:type="spellEnd"/>
      <w:r w:rsidRPr="008F6E12">
        <w:rPr>
          <w:rFonts w:ascii="Arial" w:eastAsia="Calibri" w:hAnsi="Arial" w:cs="Arial"/>
          <w:color w:val="222222"/>
          <w:szCs w:val="24"/>
          <w:shd w:val="clear" w:color="auto" w:fill="FFFFFF"/>
          <w:lang w:val="en-US"/>
        </w:rPr>
        <w:t xml:space="preserve">, D.L. (2017). </w:t>
      </w:r>
      <w:r w:rsidRPr="008F6E12">
        <w:rPr>
          <w:rFonts w:ascii="Arial" w:eastAsia="Calibri" w:hAnsi="Arial" w:cs="Arial"/>
          <w:i/>
          <w:iCs/>
          <w:color w:val="222222"/>
          <w:szCs w:val="24"/>
          <w:shd w:val="clear" w:color="auto" w:fill="FFFFFF"/>
          <w:lang w:val="en-US"/>
        </w:rPr>
        <w:t xml:space="preserve">Financial </w:t>
      </w:r>
      <w:r w:rsidR="008F6E12" w:rsidRPr="008F6E12">
        <w:rPr>
          <w:rFonts w:ascii="Arial" w:eastAsia="Calibri" w:hAnsi="Arial" w:cs="Arial"/>
          <w:i/>
          <w:iCs/>
          <w:color w:val="222222"/>
          <w:szCs w:val="24"/>
          <w:shd w:val="clear" w:color="auto" w:fill="FFFFFF"/>
          <w:lang w:val="en-US"/>
        </w:rPr>
        <w:t>accounting:</w:t>
      </w:r>
      <w:r w:rsidRPr="008F6E12">
        <w:rPr>
          <w:rFonts w:ascii="Arial" w:eastAsia="Calibri" w:hAnsi="Arial" w:cs="Arial"/>
          <w:i/>
          <w:iCs/>
          <w:color w:val="222222"/>
          <w:szCs w:val="24"/>
          <w:shd w:val="clear" w:color="auto" w:fill="FFFFFF"/>
          <w:lang w:val="en-US"/>
        </w:rPr>
        <w:t xml:space="preserve"> a concepts-based introduction</w:t>
      </w:r>
      <w:r w:rsidRPr="008F6E12">
        <w:rPr>
          <w:rFonts w:ascii="Arial" w:eastAsia="Calibri" w:hAnsi="Arial" w:cs="Arial"/>
          <w:color w:val="222222"/>
          <w:szCs w:val="24"/>
          <w:shd w:val="clear" w:color="auto" w:fill="FFFFFF"/>
          <w:lang w:val="en-US"/>
        </w:rPr>
        <w:t xml:space="preserve">. </w:t>
      </w:r>
      <w:r w:rsidR="008F6E12" w:rsidRPr="008F6E12">
        <w:rPr>
          <w:rFonts w:ascii="Arial" w:eastAsia="Calibri" w:hAnsi="Arial" w:cs="Arial"/>
          <w:color w:val="222222"/>
          <w:szCs w:val="24"/>
          <w:shd w:val="clear" w:color="auto" w:fill="FFFFFF"/>
          <w:lang w:val="en-US"/>
        </w:rPr>
        <w:t>London;</w:t>
      </w:r>
      <w:r w:rsidRPr="008F6E12">
        <w:rPr>
          <w:rFonts w:ascii="Arial" w:eastAsia="Calibri" w:hAnsi="Arial" w:cs="Arial"/>
          <w:color w:val="222222"/>
          <w:szCs w:val="24"/>
          <w:shd w:val="clear" w:color="auto" w:fill="FFFFFF"/>
          <w:lang w:val="en-US"/>
        </w:rPr>
        <w:t xml:space="preserve"> New York: Routledge.</w:t>
      </w:r>
    </w:p>
    <w:p w14:paraId="01903592"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proofErr w:type="spellStart"/>
      <w:r w:rsidRPr="008F6E12">
        <w:rPr>
          <w:rFonts w:ascii="Arial" w:hAnsi="Arial" w:cs="Arial"/>
          <w:szCs w:val="24"/>
        </w:rPr>
        <w:t>Lessambo</w:t>
      </w:r>
      <w:proofErr w:type="spellEnd"/>
      <w:r w:rsidRPr="008F6E12">
        <w:rPr>
          <w:rFonts w:ascii="Arial" w:hAnsi="Arial" w:cs="Arial"/>
          <w:szCs w:val="24"/>
        </w:rPr>
        <w:t>, F.I., 2018. Financial Statements. </w:t>
      </w:r>
      <w:r w:rsidRPr="008F6E12">
        <w:rPr>
          <w:rFonts w:ascii="Arial" w:hAnsi="Arial" w:cs="Arial"/>
          <w:i/>
          <w:iCs/>
          <w:szCs w:val="24"/>
        </w:rPr>
        <w:t>Analysis and Reporting</w:t>
      </w:r>
      <w:r w:rsidRPr="008F6E12">
        <w:rPr>
          <w:rFonts w:ascii="Arial" w:hAnsi="Arial" w:cs="Arial"/>
          <w:szCs w:val="24"/>
        </w:rPr>
        <w:t>.</w:t>
      </w:r>
    </w:p>
    <w:p w14:paraId="1463C449"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proofErr w:type="spellStart"/>
      <w:r w:rsidRPr="008F6E12">
        <w:rPr>
          <w:rFonts w:ascii="Arial" w:hAnsi="Arial" w:cs="Arial"/>
          <w:szCs w:val="24"/>
        </w:rPr>
        <w:t>Pervan</w:t>
      </w:r>
      <w:proofErr w:type="spellEnd"/>
      <w:r w:rsidRPr="008F6E12">
        <w:rPr>
          <w:rFonts w:ascii="Arial" w:hAnsi="Arial" w:cs="Arial"/>
          <w:szCs w:val="24"/>
        </w:rPr>
        <w:t xml:space="preserve">, M. and </w:t>
      </w:r>
      <w:proofErr w:type="spellStart"/>
      <w:r w:rsidRPr="008F6E12">
        <w:rPr>
          <w:rFonts w:ascii="Arial" w:hAnsi="Arial" w:cs="Arial"/>
          <w:szCs w:val="24"/>
        </w:rPr>
        <w:t>Višić</w:t>
      </w:r>
      <w:proofErr w:type="spellEnd"/>
      <w:r w:rsidRPr="008F6E12">
        <w:rPr>
          <w:rFonts w:ascii="Arial" w:hAnsi="Arial" w:cs="Arial"/>
          <w:szCs w:val="24"/>
        </w:rPr>
        <w:t>, J., 2012. Influence of firm size on its business success. </w:t>
      </w:r>
      <w:r w:rsidRPr="008F6E12">
        <w:rPr>
          <w:rFonts w:ascii="Arial" w:hAnsi="Arial" w:cs="Arial"/>
          <w:i/>
          <w:iCs/>
          <w:szCs w:val="24"/>
        </w:rPr>
        <w:t>Croatian Operational Research Review</w:t>
      </w:r>
      <w:r w:rsidRPr="008F6E12">
        <w:rPr>
          <w:rFonts w:ascii="Arial" w:hAnsi="Arial" w:cs="Arial"/>
          <w:szCs w:val="24"/>
        </w:rPr>
        <w:t>, </w:t>
      </w:r>
      <w:r w:rsidRPr="008F6E12">
        <w:rPr>
          <w:rFonts w:ascii="Arial" w:hAnsi="Arial" w:cs="Arial"/>
          <w:i/>
          <w:iCs/>
          <w:szCs w:val="24"/>
        </w:rPr>
        <w:t>3</w:t>
      </w:r>
      <w:r w:rsidRPr="008F6E12">
        <w:rPr>
          <w:rFonts w:ascii="Arial" w:hAnsi="Arial" w:cs="Arial"/>
          <w:szCs w:val="24"/>
        </w:rPr>
        <w:t>(1), pp.213-223.</w:t>
      </w:r>
    </w:p>
    <w:p w14:paraId="526DD85F" w14:textId="77777777" w:rsidR="00332D2D" w:rsidRPr="008F6E12" w:rsidRDefault="00332D2D" w:rsidP="00332D2D">
      <w:pPr>
        <w:spacing w:after="180"/>
        <w:ind w:left="450" w:hanging="450"/>
        <w:rPr>
          <w:rFonts w:ascii="Arial" w:eastAsia="Calibri" w:hAnsi="Arial" w:cs="Arial"/>
          <w:color w:val="222222"/>
          <w:szCs w:val="24"/>
          <w:shd w:val="clear" w:color="auto" w:fill="FFFFFF"/>
          <w:lang w:val="en-US"/>
        </w:rPr>
      </w:pPr>
      <w:r w:rsidRPr="008F6E12">
        <w:rPr>
          <w:rFonts w:ascii="Arial" w:eastAsia="Calibri" w:hAnsi="Arial" w:cs="Arial"/>
          <w:color w:val="222222"/>
          <w:szCs w:val="24"/>
          <w:shd w:val="clear" w:color="auto" w:fill="FFFFFF"/>
          <w:lang w:val="en-US"/>
        </w:rPr>
        <w:lastRenderedPageBreak/>
        <w:t xml:space="preserve">Sangster, A. (2015). The Genesis of Double Entry Bookkeeping. </w:t>
      </w:r>
      <w:r w:rsidRPr="008F6E12">
        <w:rPr>
          <w:rFonts w:ascii="Arial" w:eastAsia="Calibri" w:hAnsi="Arial" w:cs="Arial"/>
          <w:i/>
          <w:iCs/>
          <w:color w:val="222222"/>
          <w:szCs w:val="24"/>
          <w:shd w:val="clear" w:color="auto" w:fill="FFFFFF"/>
          <w:lang w:val="en-US"/>
        </w:rPr>
        <w:t>The Accounting Review</w:t>
      </w:r>
      <w:r w:rsidRPr="008F6E12">
        <w:rPr>
          <w:rFonts w:ascii="Arial" w:eastAsia="Calibri" w:hAnsi="Arial" w:cs="Arial"/>
          <w:color w:val="222222"/>
          <w:szCs w:val="24"/>
          <w:shd w:val="clear" w:color="auto" w:fill="FFFFFF"/>
          <w:lang w:val="en-US"/>
        </w:rPr>
        <w:t>, 91(1), pp.299–315. doi:10.2308/accr-51115.</w:t>
      </w:r>
    </w:p>
    <w:p w14:paraId="5B128E29"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r w:rsidRPr="008F6E12">
        <w:rPr>
          <w:rFonts w:ascii="Arial" w:hAnsi="Arial" w:cs="Arial"/>
          <w:szCs w:val="24"/>
        </w:rPr>
        <w:t xml:space="preserve">Tin, P.Q., Nga, T.T. and </w:t>
      </w:r>
      <w:proofErr w:type="spellStart"/>
      <w:r w:rsidRPr="008F6E12">
        <w:rPr>
          <w:rFonts w:ascii="Arial" w:hAnsi="Arial" w:cs="Arial"/>
          <w:szCs w:val="24"/>
        </w:rPr>
        <w:t>Lanh</w:t>
      </w:r>
      <w:proofErr w:type="spellEnd"/>
      <w:r w:rsidRPr="008F6E12">
        <w:rPr>
          <w:rFonts w:ascii="Arial" w:hAnsi="Arial" w:cs="Arial"/>
          <w:szCs w:val="24"/>
        </w:rPr>
        <w:t>, P.T.K., 2017. Liquidity analysis of Vietnamese listed firms using traditional ratios and cash flow ratios. </w:t>
      </w:r>
      <w:r w:rsidRPr="008F6E12">
        <w:rPr>
          <w:rFonts w:ascii="Arial" w:hAnsi="Arial" w:cs="Arial"/>
          <w:i/>
          <w:iCs/>
          <w:szCs w:val="24"/>
        </w:rPr>
        <w:t>International Journal of Business, Economics and Law</w:t>
      </w:r>
      <w:r w:rsidRPr="008F6E12">
        <w:rPr>
          <w:rFonts w:ascii="Arial" w:hAnsi="Arial" w:cs="Arial"/>
          <w:szCs w:val="24"/>
        </w:rPr>
        <w:t>, </w:t>
      </w:r>
      <w:r w:rsidRPr="008F6E12">
        <w:rPr>
          <w:rFonts w:ascii="Arial" w:hAnsi="Arial" w:cs="Arial"/>
          <w:i/>
          <w:iCs/>
          <w:szCs w:val="24"/>
        </w:rPr>
        <w:t>12</w:t>
      </w:r>
      <w:r w:rsidRPr="008F6E12">
        <w:rPr>
          <w:rFonts w:ascii="Arial" w:hAnsi="Arial" w:cs="Arial"/>
          <w:szCs w:val="24"/>
        </w:rPr>
        <w:t>(1), pp.13-23.</w:t>
      </w:r>
    </w:p>
    <w:p w14:paraId="71E4B4BA" w14:textId="77777777" w:rsidR="00332D2D" w:rsidRPr="008F6E12" w:rsidRDefault="00332D2D" w:rsidP="00332D2D">
      <w:pPr>
        <w:spacing w:after="180"/>
        <w:ind w:left="450" w:hanging="450"/>
        <w:rPr>
          <w:rFonts w:ascii="Arial" w:eastAsia="Calibri" w:hAnsi="Arial" w:cs="Arial"/>
          <w:color w:val="222222"/>
          <w:szCs w:val="24"/>
          <w:shd w:val="clear" w:color="auto" w:fill="FFFFFF"/>
          <w:lang w:val="en-US"/>
        </w:rPr>
      </w:pPr>
    </w:p>
    <w:p w14:paraId="6DF62ABE" w14:textId="77777777" w:rsidR="00332D2D" w:rsidRPr="008F6E12" w:rsidRDefault="00332D2D" w:rsidP="00332D2D">
      <w:pPr>
        <w:spacing w:after="180"/>
        <w:ind w:left="450" w:hanging="450"/>
        <w:rPr>
          <w:rFonts w:ascii="Arial" w:eastAsia="Calibri" w:hAnsi="Arial" w:cs="Arial"/>
          <w:color w:val="222222"/>
          <w:szCs w:val="24"/>
          <w:shd w:val="clear" w:color="auto" w:fill="FFFFFF"/>
        </w:rPr>
      </w:pPr>
    </w:p>
    <w:p w14:paraId="17D2BFE0" w14:textId="77777777" w:rsidR="00332D2D" w:rsidRPr="008F6E12" w:rsidRDefault="00332D2D" w:rsidP="00332D2D">
      <w:pPr>
        <w:rPr>
          <w:rFonts w:ascii="Arial" w:hAnsi="Arial" w:cs="Arial"/>
          <w:szCs w:val="24"/>
        </w:rPr>
      </w:pPr>
    </w:p>
    <w:p w14:paraId="0B17A9CD" w14:textId="77777777" w:rsidR="00332D2D" w:rsidRPr="008F6E12" w:rsidRDefault="00332D2D" w:rsidP="00332D2D">
      <w:pPr>
        <w:rPr>
          <w:rFonts w:ascii="Arial" w:hAnsi="Arial" w:cs="Arial"/>
          <w:szCs w:val="24"/>
        </w:rPr>
      </w:pPr>
    </w:p>
    <w:p w14:paraId="25D9E482" w14:textId="77777777" w:rsidR="00332D2D" w:rsidRPr="008F6E12" w:rsidRDefault="00332D2D" w:rsidP="00332D2D">
      <w:pPr>
        <w:rPr>
          <w:rFonts w:ascii="Arial" w:hAnsi="Arial" w:cs="Arial"/>
          <w:szCs w:val="24"/>
        </w:rPr>
      </w:pPr>
    </w:p>
    <w:p w14:paraId="54AEBD92" w14:textId="77777777" w:rsidR="00A10E55" w:rsidRPr="008F6E12" w:rsidRDefault="00A10E55">
      <w:pPr>
        <w:rPr>
          <w:rFonts w:ascii="Arial" w:hAnsi="Arial" w:cs="Arial"/>
          <w:szCs w:val="24"/>
        </w:rPr>
      </w:pPr>
    </w:p>
    <w:sectPr w:rsidR="00A10E55" w:rsidRPr="008F6E1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A7A0F" w14:textId="77777777" w:rsidR="00266061" w:rsidRDefault="00266061">
      <w:pPr>
        <w:spacing w:after="0" w:line="240" w:lineRule="auto"/>
      </w:pPr>
      <w:r>
        <w:separator/>
      </w:r>
    </w:p>
  </w:endnote>
  <w:endnote w:type="continuationSeparator" w:id="0">
    <w:p w14:paraId="06BAF9AE" w14:textId="77777777" w:rsidR="00266061" w:rsidRDefault="00266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861203"/>
      <w:docPartObj>
        <w:docPartGallery w:val="Page Numbers (Bottom of Page)"/>
        <w:docPartUnique/>
      </w:docPartObj>
    </w:sdtPr>
    <w:sdtEndPr>
      <w:rPr>
        <w:noProof/>
      </w:rPr>
    </w:sdtEndPr>
    <w:sdtContent>
      <w:p w14:paraId="33200A32" w14:textId="77777777" w:rsidR="00A62E7A" w:rsidRDefault="00332D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33F821" w14:textId="77777777" w:rsidR="00A62E7A" w:rsidRDefault="00266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6972E" w14:textId="77777777" w:rsidR="00266061" w:rsidRDefault="00266061">
      <w:pPr>
        <w:spacing w:after="0" w:line="240" w:lineRule="auto"/>
      </w:pPr>
      <w:r>
        <w:separator/>
      </w:r>
    </w:p>
  </w:footnote>
  <w:footnote w:type="continuationSeparator" w:id="0">
    <w:p w14:paraId="44AB7969" w14:textId="77777777" w:rsidR="00266061" w:rsidRDefault="002660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B10B30"/>
    <w:multiLevelType w:val="hybridMultilevel"/>
    <w:tmpl w:val="C450E22C"/>
    <w:lvl w:ilvl="0" w:tplc="2F788CF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6405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D2D"/>
    <w:rsid w:val="00266061"/>
    <w:rsid w:val="00332D2D"/>
    <w:rsid w:val="003D3F63"/>
    <w:rsid w:val="008F6E12"/>
    <w:rsid w:val="009257D5"/>
    <w:rsid w:val="00A10E55"/>
    <w:rsid w:val="00B4307E"/>
    <w:rsid w:val="00B92EFD"/>
    <w:rsid w:val="00C4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596FEA"/>
  <w15:chartTrackingRefBased/>
  <w15:docId w15:val="{D5712CA5-598B-A846-818E-4E42EF1F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D2D"/>
    <w:pPr>
      <w:spacing w:after="160" w:line="360" w:lineRule="auto"/>
      <w:jc w:val="both"/>
    </w:pPr>
    <w:rPr>
      <w:rFonts w:ascii="Times New Roman" w:hAnsi="Times New Roman"/>
      <w:szCs w:val="22"/>
    </w:rPr>
  </w:style>
  <w:style w:type="paragraph" w:styleId="Heading1">
    <w:name w:val="heading 1"/>
    <w:basedOn w:val="Normal"/>
    <w:next w:val="Normal"/>
    <w:link w:val="Heading1Char"/>
    <w:autoRedefine/>
    <w:uiPriority w:val="9"/>
    <w:qFormat/>
    <w:rsid w:val="00332D2D"/>
    <w:pPr>
      <w:keepNext/>
      <w:keepLines/>
      <w:pBdr>
        <w:bottom w:val="single" w:sz="4" w:space="1" w:color="000000"/>
      </w:pBdr>
      <w:spacing w:before="600" w:after="120" w:line="240" w:lineRule="auto"/>
      <w:outlineLvl w:val="0"/>
    </w:pPr>
    <w:rPr>
      <w:rFonts w:eastAsia="Times New Roman" w:cs="Times New Roman"/>
      <w:b/>
      <w:sz w:val="32"/>
      <w:szCs w:val="32"/>
    </w:rPr>
  </w:style>
  <w:style w:type="paragraph" w:styleId="Heading2">
    <w:name w:val="heading 2"/>
    <w:basedOn w:val="Normal"/>
    <w:next w:val="Normal"/>
    <w:link w:val="Heading2Char"/>
    <w:autoRedefine/>
    <w:uiPriority w:val="9"/>
    <w:unhideWhenUsed/>
    <w:qFormat/>
    <w:rsid w:val="00332D2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D2D"/>
    <w:rPr>
      <w:rFonts w:ascii="Times New Roman" w:eastAsia="Times New Roman" w:hAnsi="Times New Roman" w:cs="Times New Roman"/>
      <w:b/>
      <w:sz w:val="32"/>
      <w:szCs w:val="32"/>
    </w:rPr>
  </w:style>
  <w:style w:type="character" w:customStyle="1" w:styleId="Heading2Char">
    <w:name w:val="Heading 2 Char"/>
    <w:basedOn w:val="DefaultParagraphFont"/>
    <w:link w:val="Heading2"/>
    <w:uiPriority w:val="9"/>
    <w:rsid w:val="00332D2D"/>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332D2D"/>
    <w:pPr>
      <w:pBdr>
        <w:bottom w:val="none" w:sz="0" w:space="0" w:color="auto"/>
      </w:pBdr>
      <w:spacing w:before="240" w:after="0" w:line="259" w:lineRule="auto"/>
      <w:jc w:val="left"/>
      <w:outlineLvl w:val="9"/>
    </w:pPr>
    <w:rPr>
      <w:rFonts w:asciiTheme="majorHAnsi" w:eastAsiaTheme="majorEastAsia" w:hAnsiTheme="majorHAnsi" w:cstheme="majorBidi"/>
      <w:b w:val="0"/>
      <w:color w:val="2F5496" w:themeColor="accent1" w:themeShade="BF"/>
      <w:lang w:val="en-US"/>
    </w:rPr>
  </w:style>
  <w:style w:type="paragraph" w:styleId="TOC1">
    <w:name w:val="toc 1"/>
    <w:basedOn w:val="Normal"/>
    <w:next w:val="Normal"/>
    <w:autoRedefine/>
    <w:uiPriority w:val="39"/>
    <w:unhideWhenUsed/>
    <w:rsid w:val="00332D2D"/>
    <w:pPr>
      <w:spacing w:after="100"/>
    </w:pPr>
  </w:style>
  <w:style w:type="paragraph" w:styleId="TOC2">
    <w:name w:val="toc 2"/>
    <w:basedOn w:val="Normal"/>
    <w:next w:val="Normal"/>
    <w:autoRedefine/>
    <w:uiPriority w:val="39"/>
    <w:unhideWhenUsed/>
    <w:rsid w:val="00332D2D"/>
    <w:pPr>
      <w:spacing w:after="100"/>
      <w:ind w:left="240"/>
    </w:pPr>
  </w:style>
  <w:style w:type="character" w:styleId="Hyperlink">
    <w:name w:val="Hyperlink"/>
    <w:basedOn w:val="DefaultParagraphFont"/>
    <w:uiPriority w:val="99"/>
    <w:unhideWhenUsed/>
    <w:rsid w:val="00332D2D"/>
    <w:rPr>
      <w:color w:val="0563C1" w:themeColor="hyperlink"/>
      <w:u w:val="single"/>
    </w:rPr>
  </w:style>
  <w:style w:type="paragraph" w:styleId="Footer">
    <w:name w:val="footer"/>
    <w:basedOn w:val="Normal"/>
    <w:link w:val="FooterChar"/>
    <w:uiPriority w:val="99"/>
    <w:unhideWhenUsed/>
    <w:rsid w:val="00332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D2D"/>
    <w:rPr>
      <w:rFonts w:ascii="Times New Roman" w:hAnsi="Times New Roman"/>
      <w:szCs w:val="22"/>
    </w:rPr>
  </w:style>
  <w:style w:type="paragraph" w:styleId="ListParagraph">
    <w:name w:val="List Paragraph"/>
    <w:basedOn w:val="Normal"/>
    <w:uiPriority w:val="34"/>
    <w:qFormat/>
    <w:rsid w:val="00332D2D"/>
    <w:pPr>
      <w:ind w:left="720"/>
      <w:contextualSpacing/>
    </w:pPr>
  </w:style>
  <w:style w:type="table" w:styleId="GridTable1Light-Accent1">
    <w:name w:val="Grid Table 1 Light Accent 1"/>
    <w:basedOn w:val="TableNormal"/>
    <w:uiPriority w:val="46"/>
    <w:rsid w:val="00332D2D"/>
    <w:rPr>
      <w:sz w:val="22"/>
      <w:szCs w:val="22"/>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59"/>
    <w:rsid w:val="00B4307E"/>
    <w:rPr>
      <w:sz w:val="22"/>
      <w:szCs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2132</Words>
  <Characters>11878</Characters>
  <Application>Microsoft Office Word</Application>
  <DocSecurity>0</DocSecurity>
  <Lines>425</Lines>
  <Paragraphs>215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13918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8</cp:revision>
  <dcterms:created xsi:type="dcterms:W3CDTF">2022-11-29T18:27:00Z</dcterms:created>
  <dcterms:modified xsi:type="dcterms:W3CDTF">2022-11-29T18:57:00Z</dcterms:modified>
  <cp:category/>
</cp:coreProperties>
</file>