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E16A35" w14:textId="07437983" w:rsidR="00131CED" w:rsidRPr="00963259" w:rsidRDefault="000739AF" w:rsidP="00963259">
      <w:pPr>
        <w:spacing w:line="360" w:lineRule="auto"/>
        <w:jc w:val="both"/>
        <w:rPr>
          <w:rFonts w:ascii="Times New Roman" w:hAnsi="Times New Roman" w:cs="Times New Roman"/>
          <w:b/>
          <w:bCs/>
          <w:sz w:val="24"/>
          <w:szCs w:val="24"/>
        </w:rPr>
      </w:pPr>
      <w:r w:rsidRPr="00963259">
        <w:rPr>
          <w:rFonts w:ascii="Times New Roman" w:hAnsi="Times New Roman" w:cs="Times New Roman"/>
          <w:b/>
          <w:bCs/>
          <w:sz w:val="24"/>
          <w:szCs w:val="24"/>
        </w:rPr>
        <w:t>Proposed Research:</w:t>
      </w:r>
    </w:p>
    <w:p w14:paraId="0FC753EB" w14:textId="27EECBC0" w:rsidR="00831E30" w:rsidRPr="00963259" w:rsidRDefault="000739AF" w:rsidP="00963259">
      <w:pPr>
        <w:spacing w:line="360" w:lineRule="auto"/>
        <w:jc w:val="both"/>
        <w:rPr>
          <w:rFonts w:ascii="Times New Roman" w:hAnsi="Times New Roman" w:cs="Times New Roman"/>
          <w:sz w:val="24"/>
          <w:szCs w:val="24"/>
        </w:rPr>
      </w:pPr>
      <w:r w:rsidRPr="00963259">
        <w:rPr>
          <w:rFonts w:ascii="Times New Roman" w:hAnsi="Times New Roman" w:cs="Times New Roman"/>
          <w:b/>
          <w:bCs/>
          <w:sz w:val="24"/>
          <w:szCs w:val="24"/>
        </w:rPr>
        <w:t>Title:</w:t>
      </w:r>
      <w:r w:rsidRPr="00963259">
        <w:rPr>
          <w:rFonts w:ascii="Times New Roman" w:hAnsi="Times New Roman" w:cs="Times New Roman"/>
          <w:sz w:val="24"/>
          <w:szCs w:val="24"/>
        </w:rPr>
        <w:t xml:space="preserve"> </w:t>
      </w:r>
      <w:r w:rsidR="00831E30" w:rsidRPr="00963259">
        <w:rPr>
          <w:rFonts w:ascii="Times New Roman" w:hAnsi="Times New Roman" w:cs="Times New Roman"/>
          <w:sz w:val="24"/>
          <w:szCs w:val="24"/>
        </w:rPr>
        <w:t xml:space="preserve">Enacting the Zone of Proximal Development: Scaffolding and Inclusive Participation in Classroom Interaction </w:t>
      </w:r>
      <w:r w:rsidR="00220ECF" w:rsidRPr="00963259">
        <w:rPr>
          <w:rFonts w:ascii="Times New Roman" w:hAnsi="Times New Roman" w:cs="Times New Roman"/>
          <w:sz w:val="24"/>
          <w:szCs w:val="24"/>
        </w:rPr>
        <w:t>-</w:t>
      </w:r>
      <w:r w:rsidR="00831E30" w:rsidRPr="00963259">
        <w:rPr>
          <w:rFonts w:ascii="Times New Roman" w:hAnsi="Times New Roman" w:cs="Times New Roman"/>
          <w:sz w:val="24"/>
          <w:szCs w:val="24"/>
        </w:rPr>
        <w:t xml:space="preserve"> A Sociocultural Practitioner Research Study</w:t>
      </w:r>
    </w:p>
    <w:p w14:paraId="4CEEF962" w14:textId="77777777" w:rsidR="00F05F99" w:rsidRPr="00963259" w:rsidRDefault="00F05F99" w:rsidP="00963259">
      <w:pPr>
        <w:spacing w:line="360" w:lineRule="auto"/>
        <w:jc w:val="both"/>
        <w:rPr>
          <w:rFonts w:ascii="Times New Roman" w:hAnsi="Times New Roman" w:cs="Times New Roman"/>
          <w:b/>
          <w:bCs/>
          <w:sz w:val="24"/>
          <w:szCs w:val="24"/>
        </w:rPr>
      </w:pPr>
      <w:r w:rsidRPr="00963259">
        <w:rPr>
          <w:rFonts w:ascii="Times New Roman" w:hAnsi="Times New Roman" w:cs="Times New Roman"/>
          <w:b/>
          <w:bCs/>
          <w:sz w:val="24"/>
          <w:szCs w:val="24"/>
        </w:rPr>
        <w:t xml:space="preserve">Name: </w:t>
      </w:r>
      <w:r w:rsidRPr="00963259">
        <w:rPr>
          <w:rFonts w:ascii="Times New Roman" w:hAnsi="Times New Roman" w:cs="Times New Roman"/>
          <w:sz w:val="24"/>
          <w:szCs w:val="24"/>
        </w:rPr>
        <w:t>Arthur Emmanuel Nkalubo</w:t>
      </w:r>
    </w:p>
    <w:p w14:paraId="06E20B2F" w14:textId="77777777" w:rsidR="00F05F99" w:rsidRPr="00963259" w:rsidRDefault="00F05F99" w:rsidP="00963259">
      <w:pPr>
        <w:spacing w:line="360" w:lineRule="auto"/>
        <w:jc w:val="both"/>
        <w:rPr>
          <w:rFonts w:ascii="Times New Roman" w:hAnsi="Times New Roman" w:cs="Times New Roman"/>
          <w:b/>
          <w:bCs/>
          <w:sz w:val="24"/>
          <w:szCs w:val="24"/>
        </w:rPr>
      </w:pPr>
      <w:r w:rsidRPr="00963259">
        <w:rPr>
          <w:rFonts w:ascii="Times New Roman" w:hAnsi="Times New Roman" w:cs="Times New Roman"/>
          <w:b/>
          <w:bCs/>
          <w:sz w:val="24"/>
          <w:szCs w:val="24"/>
        </w:rPr>
        <w:t xml:space="preserve">Student number: </w:t>
      </w:r>
      <w:r w:rsidRPr="00963259">
        <w:rPr>
          <w:rFonts w:ascii="Times New Roman" w:hAnsi="Times New Roman" w:cs="Times New Roman"/>
          <w:sz w:val="24"/>
          <w:szCs w:val="24"/>
        </w:rPr>
        <w:t>2211172</w:t>
      </w:r>
    </w:p>
    <w:p w14:paraId="28D3B0BD" w14:textId="25269E73" w:rsidR="00F05F99" w:rsidRPr="00963259" w:rsidRDefault="00F05F99" w:rsidP="00963259">
      <w:pPr>
        <w:spacing w:line="360" w:lineRule="auto"/>
        <w:jc w:val="both"/>
        <w:rPr>
          <w:rFonts w:ascii="Times New Roman" w:hAnsi="Times New Roman" w:cs="Times New Roman"/>
          <w:b/>
          <w:bCs/>
          <w:sz w:val="24"/>
          <w:szCs w:val="24"/>
        </w:rPr>
      </w:pPr>
      <w:r w:rsidRPr="00963259">
        <w:rPr>
          <w:rFonts w:ascii="Times New Roman" w:hAnsi="Times New Roman" w:cs="Times New Roman"/>
          <w:b/>
          <w:bCs/>
          <w:sz w:val="24"/>
          <w:szCs w:val="24"/>
        </w:rPr>
        <w:t xml:space="preserve">Course: </w:t>
      </w:r>
      <w:r w:rsidR="00A92185" w:rsidRPr="00963259">
        <w:rPr>
          <w:rFonts w:ascii="Times New Roman" w:hAnsi="Times New Roman" w:cs="Times New Roman"/>
          <w:sz w:val="24"/>
          <w:szCs w:val="24"/>
        </w:rPr>
        <w:t xml:space="preserve">Practitioner Research </w:t>
      </w:r>
      <w:r w:rsidR="005C3E53" w:rsidRPr="00963259">
        <w:rPr>
          <w:rFonts w:ascii="Times New Roman" w:hAnsi="Times New Roman" w:cs="Times New Roman"/>
          <w:sz w:val="24"/>
          <w:szCs w:val="24"/>
        </w:rPr>
        <w:t>P</w:t>
      </w:r>
      <w:r w:rsidR="00A92185" w:rsidRPr="00963259">
        <w:rPr>
          <w:rFonts w:ascii="Times New Roman" w:hAnsi="Times New Roman" w:cs="Times New Roman"/>
          <w:sz w:val="24"/>
          <w:szCs w:val="24"/>
        </w:rPr>
        <w:t>roposal</w:t>
      </w:r>
      <w:r w:rsidRPr="00963259">
        <w:rPr>
          <w:rFonts w:ascii="Times New Roman" w:hAnsi="Times New Roman" w:cs="Times New Roman"/>
          <w:sz w:val="24"/>
          <w:szCs w:val="24"/>
        </w:rPr>
        <w:t xml:space="preserve"> (BMDP700</w:t>
      </w:r>
      <w:r w:rsidR="00516A6B" w:rsidRPr="00963259">
        <w:rPr>
          <w:rFonts w:ascii="Times New Roman" w:hAnsi="Times New Roman" w:cs="Times New Roman"/>
          <w:sz w:val="24"/>
          <w:szCs w:val="24"/>
        </w:rPr>
        <w:t>3</w:t>
      </w:r>
      <w:r w:rsidRPr="00963259">
        <w:rPr>
          <w:rFonts w:ascii="Times New Roman" w:hAnsi="Times New Roman" w:cs="Times New Roman"/>
          <w:sz w:val="24"/>
          <w:szCs w:val="24"/>
        </w:rPr>
        <w:t>)</w:t>
      </w:r>
    </w:p>
    <w:p w14:paraId="5C301202" w14:textId="69B351E2" w:rsidR="00F05F99" w:rsidRPr="00963259" w:rsidRDefault="00F05F99" w:rsidP="00963259">
      <w:pPr>
        <w:spacing w:line="360" w:lineRule="auto"/>
        <w:jc w:val="both"/>
        <w:rPr>
          <w:rFonts w:ascii="Times New Roman" w:hAnsi="Times New Roman" w:cs="Times New Roman"/>
          <w:sz w:val="24"/>
          <w:szCs w:val="24"/>
        </w:rPr>
      </w:pPr>
      <w:r w:rsidRPr="00963259">
        <w:rPr>
          <w:rFonts w:ascii="Times New Roman" w:hAnsi="Times New Roman" w:cs="Times New Roman"/>
          <w:b/>
          <w:bCs/>
          <w:sz w:val="24"/>
          <w:szCs w:val="24"/>
        </w:rPr>
        <w:t>Word cou</w:t>
      </w:r>
      <w:r w:rsidRPr="00357F8B">
        <w:rPr>
          <w:rFonts w:ascii="Times New Roman" w:hAnsi="Times New Roman" w:cs="Times New Roman"/>
          <w:b/>
          <w:bCs/>
          <w:sz w:val="24"/>
          <w:szCs w:val="24"/>
        </w:rPr>
        <w:t>n</w:t>
      </w:r>
      <w:r w:rsidRPr="00963259">
        <w:rPr>
          <w:rFonts w:ascii="Times New Roman" w:hAnsi="Times New Roman" w:cs="Times New Roman"/>
          <w:b/>
          <w:bCs/>
          <w:sz w:val="24"/>
          <w:szCs w:val="24"/>
        </w:rPr>
        <w:t>t:</w:t>
      </w:r>
      <w:r w:rsidRPr="000551CF">
        <w:rPr>
          <w:rFonts w:ascii="Times New Roman" w:hAnsi="Times New Roman" w:cs="Times New Roman"/>
          <w:sz w:val="24"/>
          <w:szCs w:val="24"/>
        </w:rPr>
        <w:t xml:space="preserve"> </w:t>
      </w:r>
      <w:r w:rsidR="000551CF" w:rsidRPr="000551CF">
        <w:rPr>
          <w:rFonts w:ascii="Times New Roman" w:hAnsi="Times New Roman" w:cs="Times New Roman"/>
          <w:sz w:val="24"/>
          <w:szCs w:val="24"/>
        </w:rPr>
        <w:t>41</w:t>
      </w:r>
      <w:r w:rsidR="00EA5AD5">
        <w:rPr>
          <w:rFonts w:ascii="Times New Roman" w:hAnsi="Times New Roman" w:cs="Times New Roman"/>
          <w:sz w:val="24"/>
          <w:szCs w:val="24"/>
        </w:rPr>
        <w:t>46</w:t>
      </w:r>
    </w:p>
    <w:p w14:paraId="0EEB9495" w14:textId="77777777" w:rsidR="00F05F99" w:rsidRDefault="00F05F99" w:rsidP="00963259">
      <w:pPr>
        <w:spacing w:line="360" w:lineRule="auto"/>
        <w:jc w:val="both"/>
        <w:rPr>
          <w:rFonts w:ascii="Times New Roman" w:hAnsi="Times New Roman" w:cs="Times New Roman"/>
          <w:sz w:val="24"/>
          <w:szCs w:val="24"/>
        </w:rPr>
      </w:pPr>
    </w:p>
    <w:p w14:paraId="0A860FC4" w14:textId="42714CCA" w:rsidR="009775F3" w:rsidRPr="009775F3" w:rsidRDefault="009775F3" w:rsidP="00963259">
      <w:pPr>
        <w:spacing w:line="360" w:lineRule="auto"/>
        <w:jc w:val="both"/>
        <w:rPr>
          <w:rFonts w:ascii="Times New Roman" w:hAnsi="Times New Roman" w:cs="Times New Roman"/>
          <w:b/>
          <w:bCs/>
          <w:sz w:val="24"/>
          <w:szCs w:val="24"/>
        </w:rPr>
      </w:pPr>
      <w:r w:rsidRPr="009775F3">
        <w:rPr>
          <w:rFonts w:ascii="Times New Roman" w:hAnsi="Times New Roman" w:cs="Times New Roman"/>
          <w:b/>
          <w:bCs/>
          <w:sz w:val="24"/>
          <w:szCs w:val="24"/>
        </w:rPr>
        <w:t>Abstract</w:t>
      </w:r>
    </w:p>
    <w:p w14:paraId="372DADCD" w14:textId="71F59969" w:rsidR="00856004" w:rsidRDefault="00856004" w:rsidP="00963259">
      <w:pPr>
        <w:pStyle w:val="Normalwebb"/>
        <w:spacing w:line="360" w:lineRule="auto"/>
        <w:jc w:val="both"/>
        <w:rPr>
          <w:b/>
          <w:bCs/>
        </w:rPr>
      </w:pPr>
      <w:r>
        <w:t xml:space="preserve">This study </w:t>
      </w:r>
      <w:r w:rsidR="004E19F3">
        <w:t xml:space="preserve">seeks to </w:t>
      </w:r>
      <w:r>
        <w:t xml:space="preserve">examine how scaffolding and guided learning </w:t>
      </w:r>
      <w:proofErr w:type="gramStart"/>
      <w:r>
        <w:t>are enacted</w:t>
      </w:r>
      <w:proofErr w:type="gramEnd"/>
      <w:r>
        <w:t xml:space="preserve"> in teacher</w:t>
      </w:r>
      <w:r w:rsidR="004E19F3">
        <w:t>-</w:t>
      </w:r>
      <w:r>
        <w:t>student interactions and how they shape inclusive participation within the Z</w:t>
      </w:r>
      <w:r w:rsidR="004B3BB1">
        <w:t xml:space="preserve">one of </w:t>
      </w:r>
      <w:r>
        <w:t>P</w:t>
      </w:r>
      <w:r w:rsidR="004B3BB1">
        <w:t xml:space="preserve">roximal </w:t>
      </w:r>
      <w:r>
        <w:t>D</w:t>
      </w:r>
      <w:r w:rsidR="004B3BB1">
        <w:t>evelopmen</w:t>
      </w:r>
      <w:r w:rsidR="00DB384C">
        <w:t>t</w:t>
      </w:r>
      <w:r>
        <w:t xml:space="preserve">. Grounded in sociocultural theory, scaffolding </w:t>
      </w:r>
      <w:proofErr w:type="gramStart"/>
      <w:r>
        <w:t>is viewed</w:t>
      </w:r>
      <w:proofErr w:type="gramEnd"/>
      <w:r>
        <w:t xml:space="preserve"> as a dynamic, interactional process. Using qualitative practitioner research in Swedish lower secondary classrooms, the study analyses how verbal and embodied support co-construct understanding, highlighting how scaffolding can both enable and constrain inclusion. It aims to refine sociocultural theory and inform more inclusive, responsive classroom practices.</w:t>
      </w:r>
    </w:p>
    <w:p w14:paraId="072E8400" w14:textId="2FB3ABA2" w:rsidR="00CB440A" w:rsidRPr="00963259" w:rsidRDefault="00B0332C" w:rsidP="00963259">
      <w:pPr>
        <w:pStyle w:val="Normalwebb"/>
        <w:spacing w:line="360" w:lineRule="auto"/>
        <w:jc w:val="both"/>
      </w:pPr>
      <w:r w:rsidRPr="00963259">
        <w:rPr>
          <w:b/>
          <w:bCs/>
        </w:rPr>
        <w:t>Keywords:</w:t>
      </w:r>
      <w:r w:rsidRPr="00963259">
        <w:t xml:space="preserve"> </w:t>
      </w:r>
      <w:r w:rsidR="00CB440A" w:rsidRPr="00963259">
        <w:t>Scaffolding; Zone of Proximal Development; Classroom Interaction; Sociocultural Theory; Inclusive Participation; Teacher</w:t>
      </w:r>
      <w:r w:rsidR="009E5C83" w:rsidRPr="00963259">
        <w:t>-</w:t>
      </w:r>
      <w:r w:rsidR="00CB440A" w:rsidRPr="00963259">
        <w:t>Student Interaction; Diverse Learners</w:t>
      </w:r>
    </w:p>
    <w:p w14:paraId="5CD236AA" w14:textId="38E30EC8" w:rsidR="009D3F42" w:rsidRPr="00366A5C" w:rsidRDefault="000C51AE" w:rsidP="000F6CB4">
      <w:pPr>
        <w:spacing w:before="100" w:beforeAutospacing="1" w:after="100" w:afterAutospacing="1" w:line="360" w:lineRule="auto"/>
        <w:jc w:val="both"/>
        <w:rPr>
          <w:rFonts w:ascii="Times New Roman" w:eastAsia="Times New Roman" w:hAnsi="Times New Roman" w:cs="Times New Roman"/>
          <w:b/>
          <w:bCs/>
          <w:sz w:val="24"/>
          <w:szCs w:val="24"/>
          <w:lang w:eastAsia="sv-SE"/>
        </w:rPr>
      </w:pPr>
      <w:r w:rsidRPr="00963259">
        <w:rPr>
          <w:rFonts w:ascii="Times New Roman" w:eastAsia="Times New Roman" w:hAnsi="Times New Roman" w:cs="Times New Roman"/>
          <w:b/>
          <w:bCs/>
          <w:sz w:val="24"/>
          <w:szCs w:val="24"/>
          <w:lang w:eastAsia="sv-SE"/>
        </w:rPr>
        <w:t>Introduction</w:t>
      </w:r>
    </w:p>
    <w:p w14:paraId="603C2D91" w14:textId="58AAD329" w:rsidR="00495B03" w:rsidRPr="00FA6783" w:rsidRDefault="00495B03" w:rsidP="000F6CB4">
      <w:pPr>
        <w:pStyle w:val="Normalwebb"/>
        <w:spacing w:line="360" w:lineRule="auto"/>
        <w:jc w:val="both"/>
      </w:pPr>
      <w:r w:rsidRPr="00FA6783">
        <w:t xml:space="preserve">Inclusivity in education is a central goal of the Swedish compulsory school curriculum, reinforced by national policies emphasizing equity, participation, and democratic values. The Swedish Education Act states that education must </w:t>
      </w:r>
      <w:proofErr w:type="gramStart"/>
      <w:r w:rsidRPr="00FA6783">
        <w:t>be conducted</w:t>
      </w:r>
      <w:proofErr w:type="gramEnd"/>
      <w:r w:rsidRPr="00FA6783">
        <w:t xml:space="preserve"> according to democratic principles and the equal worth of all individuals, establishing a foundation for equal participation (Skollag, 2010:800, ch.</w:t>
      </w:r>
      <w:proofErr w:type="gramStart"/>
      <w:r w:rsidRPr="00FA6783">
        <w:t>1</w:t>
      </w:r>
      <w:proofErr w:type="gramEnd"/>
      <w:r w:rsidRPr="00FA6783">
        <w:t xml:space="preserve">, s.5). </w:t>
      </w:r>
      <w:r w:rsidR="00A47FB7" w:rsidRPr="00FA6783">
        <w:t>Accordingly, l</w:t>
      </w:r>
      <w:r w:rsidRPr="00FA6783">
        <w:t xml:space="preserve">ower secondary classrooms in Sweden are increasingly characterised by linguistic, cultural, and cognitive diversity (Skolverket.se, 2025). This diversity reflects globalisation and inclusive education systems, where students vary in culture, ethnicity, language, worldviews, and abilities (Matuk et al., 2021). Consequently, teachers </w:t>
      </w:r>
      <w:proofErr w:type="gramStart"/>
      <w:r w:rsidRPr="00FA6783">
        <w:t>are expected</w:t>
      </w:r>
      <w:proofErr w:type="gramEnd"/>
      <w:r w:rsidRPr="00FA6783">
        <w:t xml:space="preserve"> to create learning environments </w:t>
      </w:r>
      <w:r w:rsidR="0038334C">
        <w:t>which</w:t>
      </w:r>
      <w:r w:rsidRPr="00FA6783">
        <w:t xml:space="preserve"> enable </w:t>
      </w:r>
      <w:r w:rsidRPr="00FA6783">
        <w:lastRenderedPageBreak/>
        <w:t xml:space="preserve">meaningful participation for all students, considering their distinct needs and circumstances (Skolverket.se, 2025). Despite these strong policy frameworks, how inclusive participation </w:t>
      </w:r>
      <w:proofErr w:type="gramStart"/>
      <w:r w:rsidRPr="00FA6783">
        <w:t>is realised</w:t>
      </w:r>
      <w:proofErr w:type="gramEnd"/>
      <w:r w:rsidRPr="00FA6783">
        <w:t xml:space="preserve"> in everyday classroom interactions remains underexplored.</w:t>
      </w:r>
    </w:p>
    <w:p w14:paraId="33FC6CDF" w14:textId="031ABB70" w:rsidR="00795312" w:rsidRPr="000F6CB4" w:rsidRDefault="001D7C3D" w:rsidP="000F6CB4">
      <w:pPr>
        <w:pStyle w:val="Normalwebb"/>
        <w:spacing w:line="360" w:lineRule="auto"/>
        <w:jc w:val="both"/>
      </w:pPr>
      <w:r w:rsidRPr="006C0462">
        <w:t>Since t</w:t>
      </w:r>
      <w:r w:rsidR="00495B03" w:rsidRPr="006C0462">
        <w:t xml:space="preserve">eaching cannot </w:t>
      </w:r>
      <w:proofErr w:type="gramStart"/>
      <w:r w:rsidR="00495B03" w:rsidRPr="006C0462">
        <w:t>be uniformly designed</w:t>
      </w:r>
      <w:proofErr w:type="gramEnd"/>
      <w:r w:rsidR="00495B03" w:rsidRPr="006C0462">
        <w:t xml:space="preserve"> for all learners; differentiation is essential to support both academic development and equity (Skolverket.se, 2025). This aligns with the United Nations’ Sustainable Development Goal 4, which emphasises inclusive, equitable, and quality education for all learners (Wang et al., 2021). In practice, teachers often employ scaffolding to support students in accomplishing tasks beyond their independent capabilities. Although scaffolding frequently occurs through task clarification, structured questioning, and modelling, opportunities for deeper dialogic engagement are often unevenly distributed (De Silva et al., 2018). Multilingual learners and students from varying academic backgrounds may be particularly affected, as insufficient cognitive support can limit their participation within the Zone of Proximal Development (ZPD) (Özturan &amp; Uysal Gürdal, 2022).</w:t>
      </w:r>
    </w:p>
    <w:p w14:paraId="28D8AA5A" w14:textId="0F8DBF0A" w:rsidR="00495B03" w:rsidRPr="00737905" w:rsidRDefault="00495B03" w:rsidP="000F6CB4">
      <w:pPr>
        <w:pStyle w:val="Normalwebb"/>
        <w:spacing w:line="360" w:lineRule="auto"/>
        <w:jc w:val="both"/>
      </w:pPr>
      <w:r w:rsidRPr="00737905">
        <w:t xml:space="preserve">The </w:t>
      </w:r>
      <w:r w:rsidR="007932B9" w:rsidRPr="00737905">
        <w:t>Zone of Proximal Development</w:t>
      </w:r>
      <w:r w:rsidR="00192663" w:rsidRPr="00737905">
        <w:t xml:space="preserve"> hereinafter referred to as the </w:t>
      </w:r>
      <w:r w:rsidRPr="00737905">
        <w:t>ZPD, a core concept in sociocultural theory, emphasises that learning is socially mediated and emerges through interaction (Utami &amp; Yus, 2025). While widely recognised, the ZPD remains ambiguously defined and variably interpreted in educational research (Eun, 2019; Utami &amp; Yus, 2025), highlighting a gap between theoretical understanding and empirical classroom practice. Existing research often conceptualises scaffolding as an instructional strategy rather than a dynamic, interactional process unfolding in teacher-student interactions (Poehner &amp; Leontjev, 2023). Similarly, limited qualitative studies have explored how scaffolding can either enable or constrain inclusive participation in diverse classrooms (Utami &amp; Yus, 2025).</w:t>
      </w:r>
    </w:p>
    <w:p w14:paraId="4E094851" w14:textId="0B315132" w:rsidR="00737905" w:rsidRPr="000F6CB4" w:rsidRDefault="00495B03" w:rsidP="000F6CB4">
      <w:pPr>
        <w:pStyle w:val="Normalwebb"/>
        <w:spacing w:line="360" w:lineRule="auto"/>
        <w:jc w:val="both"/>
      </w:pPr>
      <w:r w:rsidRPr="001657BC">
        <w:t>In student-centred classrooms, scaffolding plays a pivotal role in extending learners’ thinking and promoting engagement (De Silva et al., 2018). However, diversity can also pose challenges if teachers are inadequately prepared to address students’ varied needs, potentially exacerbating inequities (Matuk et al., 2021). Teachers are thus under pressure to ensure students’ success by providing support that stimulates learners’ desire to acquire knowledge while also promoting personal development (De Silva et al., 2018). The Swedish curriculum emphasises that teaching should be adapted to students’ diverse needs while fostering learning and personal growth (Skolverket.se, 2025). A student-centred pedagogy that addresses diversity can connect learning to students’ social and everyday contexts, fostering participation and development (De Silva et al., 2018).</w:t>
      </w:r>
    </w:p>
    <w:p w14:paraId="425D9F27" w14:textId="51844B2A" w:rsidR="001657BC" w:rsidRPr="000F6CB4" w:rsidRDefault="00495B03" w:rsidP="000F6CB4">
      <w:pPr>
        <w:pStyle w:val="Normalwebb"/>
        <w:spacing w:line="360" w:lineRule="auto"/>
        <w:jc w:val="both"/>
      </w:pPr>
      <w:r w:rsidRPr="00F0511A">
        <w:lastRenderedPageBreak/>
        <w:t xml:space="preserve">Understanding how guided learning interactions unfold in practice can yield actionable insights into aligning instructional support with learners’ competencies. </w:t>
      </w:r>
      <w:r w:rsidR="002C22A2" w:rsidRPr="00F0511A">
        <w:t>Crucially, a</w:t>
      </w:r>
      <w:r w:rsidRPr="00F0511A">
        <w:t>nalysing scaffolding through a sociocultural lens informs ongoing debates on educational equity. Within this perspective, the ZPD underscores the role of educator-learner interaction in mediating development (Infante &amp; Poehner, 2019). However, if access to participation within the ZPD is uneven, inclusive education risks remaining rhetorical rather than realised in practice.</w:t>
      </w:r>
    </w:p>
    <w:p w14:paraId="265EAC1A" w14:textId="77777777" w:rsidR="002E3905" w:rsidRPr="00716682" w:rsidRDefault="002E3905" w:rsidP="000F6CB4">
      <w:pPr>
        <w:pStyle w:val="Normalwebb"/>
        <w:spacing w:line="360" w:lineRule="auto"/>
        <w:jc w:val="both"/>
        <w:rPr>
          <w:b/>
          <w:bCs/>
        </w:rPr>
      </w:pPr>
      <w:r w:rsidRPr="00716682">
        <w:rPr>
          <w:b/>
          <w:bCs/>
        </w:rPr>
        <w:t>Aims</w:t>
      </w:r>
    </w:p>
    <w:p w14:paraId="4754FEDC" w14:textId="34AB3009" w:rsidR="00495B03" w:rsidRDefault="00495B03" w:rsidP="000F6CB4">
      <w:pPr>
        <w:pStyle w:val="Normalwebb"/>
        <w:spacing w:line="360" w:lineRule="auto"/>
        <w:jc w:val="both"/>
      </w:pPr>
      <w:r w:rsidRPr="000F6CB4">
        <w:t xml:space="preserve">This study aims </w:t>
      </w:r>
      <w:r w:rsidR="00C80B20" w:rsidRPr="000F6CB4">
        <w:t>at</w:t>
      </w:r>
      <w:r w:rsidRPr="000F6CB4">
        <w:t xml:space="preserve"> explor</w:t>
      </w:r>
      <w:r w:rsidR="00C80B20" w:rsidRPr="000F6CB4">
        <w:t>ing</w:t>
      </w:r>
      <w:r w:rsidRPr="000F6CB4">
        <w:t xml:space="preserve"> how scaffolding and guided learning are interactionally constructed in Swedish lower secondary classrooms and how these practices shape inclusive participation within students’ ZPDs. Adopting a qualitative sociocultural approach, </w:t>
      </w:r>
      <w:r w:rsidR="00894173" w:rsidRPr="000F6CB4">
        <w:t>th</w:t>
      </w:r>
      <w:r w:rsidR="006869EC" w:rsidRPr="000F6CB4">
        <w:t>is study</w:t>
      </w:r>
      <w:r w:rsidRPr="000F6CB4">
        <w:t xml:space="preserve"> will analyse teacher-student interactions to understand how support </w:t>
      </w:r>
      <w:proofErr w:type="gramStart"/>
      <w:r w:rsidRPr="000F6CB4">
        <w:t>is provided</w:t>
      </w:r>
      <w:proofErr w:type="gramEnd"/>
      <w:r w:rsidRPr="000F6CB4">
        <w:t>, negotiated, and experienced. By examining the micro-level dynamics of guided participation, the research seeks to contribute to theoretical understandings of sociocultural learning and to inform more inclusive pedagogical practices in Swedish compulsory education.</w:t>
      </w:r>
    </w:p>
    <w:p w14:paraId="7F455B90" w14:textId="1C54F2D8" w:rsidR="0065580C" w:rsidRPr="00963259" w:rsidRDefault="0065580C" w:rsidP="00A8512A">
      <w:pPr>
        <w:spacing w:before="100" w:beforeAutospacing="1" w:after="100" w:afterAutospacing="1" w:line="360" w:lineRule="auto"/>
        <w:jc w:val="both"/>
        <w:rPr>
          <w:rFonts w:ascii="Times New Roman" w:eastAsia="Times New Roman" w:hAnsi="Times New Roman" w:cs="Times New Roman"/>
          <w:b/>
          <w:bCs/>
          <w:sz w:val="24"/>
          <w:szCs w:val="24"/>
          <w:lang w:eastAsia="sv-SE"/>
        </w:rPr>
      </w:pPr>
      <w:r w:rsidRPr="00963259">
        <w:rPr>
          <w:rFonts w:ascii="Times New Roman" w:eastAsia="Times New Roman" w:hAnsi="Times New Roman" w:cs="Times New Roman"/>
          <w:b/>
          <w:bCs/>
          <w:sz w:val="24"/>
          <w:szCs w:val="24"/>
          <w:lang w:eastAsia="sv-SE"/>
        </w:rPr>
        <w:t>Rational and Significance</w:t>
      </w:r>
    </w:p>
    <w:p w14:paraId="08147A3F" w14:textId="410C0459" w:rsidR="00870918" w:rsidRDefault="00870918" w:rsidP="00A8512A">
      <w:pPr>
        <w:pStyle w:val="Normalwebb"/>
        <w:spacing w:line="360" w:lineRule="auto"/>
        <w:jc w:val="both"/>
      </w:pPr>
      <w:r w:rsidRPr="007F5DC6">
        <w:t xml:space="preserve">Inclusive education is a central principle of Swedish educational policy, promoting equity, democratic participation, and equal access to learning. The national curriculum stresses the importance of adapting teaching to students’ diverse needs to ensure meaningful participation (Skolverket, 2025). However, the implementation of these ideals in classroom practice remains uneven. Increasing linguistic, cultural, and academic diversity in Swedish lower secondary classrooms places significant demands on teachers, who often lack sufficient practical experience to effectively address this diversity (OECD, 2019). </w:t>
      </w:r>
      <w:r w:rsidR="008241DD" w:rsidRPr="00E1345F">
        <w:t>In this context</w:t>
      </w:r>
      <w:r w:rsidRPr="007F5DC6">
        <w:t>, how teachers organise instructional support and mediate learning interactions becomes crucial for ensuring equitable participation.</w:t>
      </w:r>
    </w:p>
    <w:p w14:paraId="7F21C1E0" w14:textId="7A0F2E77" w:rsidR="00456FA9" w:rsidRDefault="00456FA9" w:rsidP="00A8512A">
      <w:pPr>
        <w:pStyle w:val="Normalwebb"/>
        <w:spacing w:line="360" w:lineRule="auto"/>
        <w:jc w:val="both"/>
      </w:pPr>
      <w:r w:rsidRPr="007F5DC6">
        <w:t xml:space="preserve">Scaffolding, grounded in Vygotskian sociocultural theory, is key to addressing these challenges. </w:t>
      </w:r>
      <w:r w:rsidR="00DA1E3A" w:rsidRPr="00C47CD6">
        <w:t>As a tradition, scaffolding</w:t>
      </w:r>
      <w:r w:rsidRPr="007F5DC6">
        <w:t xml:space="preserve"> is </w:t>
      </w:r>
      <w:proofErr w:type="gramStart"/>
      <w:r w:rsidRPr="007F5DC6">
        <w:t>closely linked</w:t>
      </w:r>
      <w:proofErr w:type="gramEnd"/>
      <w:r w:rsidRPr="007F5DC6">
        <w:t xml:space="preserve"> to the Z</w:t>
      </w:r>
      <w:r w:rsidR="00222FFB" w:rsidRPr="00C47CD6">
        <w:t>PD</w:t>
      </w:r>
      <w:r w:rsidRPr="007F5DC6">
        <w:t xml:space="preserve">, which conceptualises learning as socially mediated through interaction with more knowledgeable others (Utami </w:t>
      </w:r>
      <w:r w:rsidR="00485BEE">
        <w:t>&amp;</w:t>
      </w:r>
      <w:r w:rsidRPr="007F5DC6">
        <w:t xml:space="preserve"> Yus, 2025). The ZPD represents the gap between what learners can achieve independently and what they can accomplish with guidance (Shvarts and Bakker, 2019), providing a space where development is </w:t>
      </w:r>
      <w:proofErr w:type="gramStart"/>
      <w:r w:rsidRPr="007F5DC6">
        <w:t>most likely through</w:t>
      </w:r>
      <w:proofErr w:type="gramEnd"/>
      <w:r w:rsidRPr="007F5DC6">
        <w:t xml:space="preserve"> interaction and shared problem-solving (Puntambekar, </w:t>
      </w:r>
      <w:r w:rsidRPr="007F5DC6">
        <w:lastRenderedPageBreak/>
        <w:t xml:space="preserve">2022). However, scaffolding </w:t>
      </w:r>
      <w:proofErr w:type="gramStart"/>
      <w:r w:rsidRPr="007F5DC6">
        <w:t>is often reduced</w:t>
      </w:r>
      <w:proofErr w:type="gramEnd"/>
      <w:r w:rsidRPr="007F5DC6">
        <w:t xml:space="preserve"> to a set of discrete techniques, rather than understood as a contingent, dialogic process. Persistent conceptual ambiguity surrounding the ZPD further widens the gap between theory and classroom practice (Eun, 2019).</w:t>
      </w:r>
    </w:p>
    <w:p w14:paraId="72B4DE73" w14:textId="60EB1D87" w:rsidR="00E1345F" w:rsidRPr="007F5DC6" w:rsidRDefault="00E1345F" w:rsidP="00A8512A">
      <w:pPr>
        <w:spacing w:before="100" w:beforeAutospacing="1" w:after="100" w:afterAutospacing="1" w:line="360" w:lineRule="auto"/>
        <w:jc w:val="both"/>
        <w:rPr>
          <w:rFonts w:ascii="Times New Roman" w:eastAsia="Times New Roman" w:hAnsi="Times New Roman" w:cs="Times New Roman"/>
          <w:sz w:val="24"/>
          <w:szCs w:val="24"/>
          <w:lang w:eastAsia="sv-SE"/>
        </w:rPr>
      </w:pPr>
      <w:r w:rsidRPr="007F5DC6">
        <w:rPr>
          <w:rFonts w:ascii="Times New Roman" w:eastAsia="Times New Roman" w:hAnsi="Times New Roman" w:cs="Times New Roman"/>
          <w:sz w:val="24"/>
          <w:szCs w:val="24"/>
          <w:lang w:eastAsia="sv-SE"/>
        </w:rPr>
        <w:t>Empirical research on scaffolding in Swedish lower secondary education remains limited, particularly qualitative studies that capture the complexity of classroom interaction. Existing research often prioritises instructional design or learning outcomes over the interactional processes through which teacher</w:t>
      </w:r>
      <w:r w:rsidR="00BD6669" w:rsidRPr="00746F9E">
        <w:rPr>
          <w:rFonts w:ascii="Times New Roman" w:eastAsia="Times New Roman" w:hAnsi="Times New Roman" w:cs="Times New Roman"/>
          <w:sz w:val="24"/>
          <w:szCs w:val="24"/>
          <w:lang w:eastAsia="sv-SE"/>
        </w:rPr>
        <w:t>-</w:t>
      </w:r>
      <w:r w:rsidRPr="007F5DC6">
        <w:rPr>
          <w:rFonts w:ascii="Times New Roman" w:eastAsia="Times New Roman" w:hAnsi="Times New Roman" w:cs="Times New Roman"/>
          <w:sz w:val="24"/>
          <w:szCs w:val="24"/>
          <w:lang w:eastAsia="sv-SE"/>
        </w:rPr>
        <w:t xml:space="preserve">student support </w:t>
      </w:r>
      <w:proofErr w:type="gramStart"/>
      <w:r w:rsidRPr="007F5DC6">
        <w:rPr>
          <w:rFonts w:ascii="Times New Roman" w:eastAsia="Times New Roman" w:hAnsi="Times New Roman" w:cs="Times New Roman"/>
          <w:sz w:val="24"/>
          <w:szCs w:val="24"/>
          <w:lang w:eastAsia="sv-SE"/>
        </w:rPr>
        <w:t>is negotiated</w:t>
      </w:r>
      <w:proofErr w:type="gramEnd"/>
      <w:r w:rsidRPr="007F5DC6">
        <w:rPr>
          <w:rFonts w:ascii="Times New Roman" w:eastAsia="Times New Roman" w:hAnsi="Times New Roman" w:cs="Times New Roman"/>
          <w:sz w:val="24"/>
          <w:szCs w:val="24"/>
          <w:lang w:eastAsia="sv-SE"/>
        </w:rPr>
        <w:t xml:space="preserve"> (Agneta Gulz and Haake, 2024). As a result, micro-level interactional dynamics remain underexplored, along with how scaffolding enables or constrains inclusive participation and whether access to the ZPD is equitably distributed.</w:t>
      </w:r>
    </w:p>
    <w:p w14:paraId="0763F68B" w14:textId="5DA922C1" w:rsidR="007F5DC6" w:rsidRPr="007F5DC6" w:rsidRDefault="008177BB" w:rsidP="00126FCB">
      <w:pPr>
        <w:pStyle w:val="Normalwebb"/>
        <w:spacing w:line="360" w:lineRule="auto"/>
        <w:jc w:val="both"/>
      </w:pPr>
      <w:r w:rsidRPr="007F5DC6">
        <w:t xml:space="preserve">Practitioner research offers a valuable methodological approach to addressing this gap by enabling systematic inquiry into authentic classroom practices. </w:t>
      </w:r>
      <w:r w:rsidR="00DB5AFF">
        <w:t>Further, p</w:t>
      </w:r>
      <w:r w:rsidR="00B87B6C" w:rsidRPr="00A8512A">
        <w:t>ractitioner research</w:t>
      </w:r>
      <w:r w:rsidR="0008493E" w:rsidRPr="00A8512A">
        <w:t xml:space="preserve"> </w:t>
      </w:r>
      <w:r w:rsidR="006A4515" w:rsidRPr="00A8512A">
        <w:t>in examining</w:t>
      </w:r>
      <w:r w:rsidRPr="007F5DC6">
        <w:t xml:space="preserve"> real-time interactions, provides a nuanced understanding of scaffolding as a dynamic, relational process shaped by professional judgement, classroom norms, and student contributions (Da Silva, 2018). This study</w:t>
      </w:r>
      <w:r w:rsidR="00E948F0" w:rsidRPr="00A8512A">
        <w:t>’s significance lies</w:t>
      </w:r>
      <w:r w:rsidR="005A5D25" w:rsidRPr="00A8512A">
        <w:t xml:space="preserve"> in advancing</w:t>
      </w:r>
      <w:r w:rsidRPr="007F5DC6">
        <w:t xml:space="preserve"> understanding </w:t>
      </w:r>
      <w:r w:rsidR="005A5D25" w:rsidRPr="00A8512A">
        <w:t xml:space="preserve">of </w:t>
      </w:r>
      <w:r w:rsidRPr="007F5DC6">
        <w:t>how guided learning supports inclusion and informs both pedagogical practice and theoretical discussions on scaffolding and equity.</w:t>
      </w:r>
    </w:p>
    <w:p w14:paraId="0A4E19F9" w14:textId="77777777" w:rsidR="007F5DC6" w:rsidRPr="007F5DC6" w:rsidRDefault="007F5DC6" w:rsidP="007B5FB7">
      <w:pPr>
        <w:pBdr>
          <w:bottom w:val="single" w:sz="6" w:space="1" w:color="auto"/>
        </w:pBdr>
        <w:spacing w:after="0" w:line="240" w:lineRule="auto"/>
        <w:rPr>
          <w:rFonts w:ascii="Arial" w:eastAsia="Times New Roman" w:hAnsi="Arial" w:cs="Arial"/>
          <w:vanish/>
          <w:sz w:val="16"/>
          <w:szCs w:val="16"/>
          <w:lang w:eastAsia="sv-SE"/>
        </w:rPr>
      </w:pPr>
      <w:r w:rsidRPr="007F5DC6">
        <w:rPr>
          <w:rFonts w:ascii="Arial" w:eastAsia="Times New Roman" w:hAnsi="Arial" w:cs="Arial"/>
          <w:vanish/>
          <w:sz w:val="16"/>
          <w:szCs w:val="16"/>
          <w:highlight w:val="green"/>
          <w:lang w:eastAsia="sv-SE"/>
        </w:rPr>
        <w:t>Formulärets överkant</w:t>
      </w:r>
    </w:p>
    <w:p w14:paraId="4DA310DE" w14:textId="77777777" w:rsidR="007F5DC6" w:rsidRPr="007F5DC6" w:rsidRDefault="007F5DC6" w:rsidP="006A4515">
      <w:pPr>
        <w:pBdr>
          <w:top w:val="single" w:sz="6" w:space="1" w:color="auto"/>
        </w:pBdr>
        <w:spacing w:after="0" w:line="240" w:lineRule="auto"/>
        <w:rPr>
          <w:rFonts w:ascii="Arial" w:eastAsia="Times New Roman" w:hAnsi="Arial" w:cs="Arial"/>
          <w:vanish/>
          <w:sz w:val="16"/>
          <w:szCs w:val="16"/>
          <w:lang w:eastAsia="sv-SE"/>
        </w:rPr>
      </w:pPr>
      <w:r w:rsidRPr="007F5DC6">
        <w:rPr>
          <w:rFonts w:ascii="Arial" w:eastAsia="Times New Roman" w:hAnsi="Arial" w:cs="Arial"/>
          <w:vanish/>
          <w:sz w:val="16"/>
          <w:szCs w:val="16"/>
          <w:lang w:eastAsia="sv-SE"/>
        </w:rPr>
        <w:t>Formulärets nederkant</w:t>
      </w:r>
    </w:p>
    <w:p w14:paraId="556A62F4" w14:textId="77777777" w:rsidR="007F5DC6" w:rsidRPr="00963259" w:rsidRDefault="007F5DC6" w:rsidP="00963259">
      <w:pPr>
        <w:pStyle w:val="Normalwebb"/>
        <w:spacing w:line="360" w:lineRule="auto"/>
        <w:jc w:val="both"/>
      </w:pPr>
    </w:p>
    <w:p w14:paraId="7A65FD49" w14:textId="115066AE" w:rsidR="0089041D" w:rsidRPr="00963259" w:rsidRDefault="0089041D" w:rsidP="00963259">
      <w:pPr>
        <w:pStyle w:val="Normalwebb"/>
        <w:spacing w:line="360" w:lineRule="auto"/>
        <w:jc w:val="both"/>
        <w:rPr>
          <w:b/>
          <w:bCs/>
        </w:rPr>
      </w:pPr>
      <w:r w:rsidRPr="00963259">
        <w:rPr>
          <w:b/>
          <w:bCs/>
        </w:rPr>
        <w:t>Literature Review</w:t>
      </w:r>
    </w:p>
    <w:p w14:paraId="3F1642B7" w14:textId="3E06CC31" w:rsidR="00EF6A6F" w:rsidRPr="00787B5D" w:rsidRDefault="00982928" w:rsidP="00963259">
      <w:pPr>
        <w:pStyle w:val="Normalwebb"/>
        <w:spacing w:line="360" w:lineRule="auto"/>
        <w:jc w:val="both"/>
        <w:rPr>
          <w:b/>
          <w:bCs/>
        </w:rPr>
      </w:pPr>
      <w:r w:rsidRPr="00963259">
        <w:rPr>
          <w:b/>
          <w:bCs/>
        </w:rPr>
        <w:t>Sociocultural Perspectives on Learning and Development</w:t>
      </w:r>
    </w:p>
    <w:p w14:paraId="030A7B73" w14:textId="6EFC5E31" w:rsidR="00C61F65" w:rsidRPr="00E30064" w:rsidRDefault="00C61F65" w:rsidP="00E30064">
      <w:pPr>
        <w:spacing w:before="100" w:beforeAutospacing="1" w:after="100" w:afterAutospacing="1" w:line="360" w:lineRule="auto"/>
        <w:jc w:val="both"/>
        <w:rPr>
          <w:rFonts w:ascii="Times New Roman" w:eastAsia="Times New Roman" w:hAnsi="Times New Roman" w:cs="Times New Roman"/>
          <w:sz w:val="24"/>
          <w:szCs w:val="24"/>
          <w:lang w:eastAsia="sv-SE"/>
        </w:rPr>
      </w:pPr>
      <w:r w:rsidRPr="00FF6F6C">
        <w:rPr>
          <w:rFonts w:ascii="Times New Roman" w:eastAsia="Times New Roman" w:hAnsi="Times New Roman" w:cs="Times New Roman"/>
          <w:sz w:val="24"/>
          <w:szCs w:val="24"/>
          <w:lang w:eastAsia="sv-SE"/>
        </w:rPr>
        <w:t xml:space="preserve">This study draws on sociocultural perspectives on learning, which position cognitive development as fundamentally shaped by social interaction and cultural mediation (Lantolf and Poehner, 2023). While widely accepted within educational research, </w:t>
      </w:r>
      <w:r w:rsidR="00B85E9A" w:rsidRPr="00E30064">
        <w:rPr>
          <w:rFonts w:ascii="Times New Roman" w:eastAsia="Times New Roman" w:hAnsi="Times New Roman" w:cs="Times New Roman"/>
          <w:sz w:val="24"/>
          <w:szCs w:val="24"/>
          <w:lang w:eastAsia="sv-SE"/>
        </w:rPr>
        <w:t xml:space="preserve">the </w:t>
      </w:r>
      <w:r w:rsidRPr="00FF6F6C">
        <w:rPr>
          <w:rFonts w:ascii="Times New Roman" w:eastAsia="Times New Roman" w:hAnsi="Times New Roman" w:cs="Times New Roman"/>
          <w:sz w:val="24"/>
          <w:szCs w:val="24"/>
          <w:lang w:eastAsia="sv-SE"/>
        </w:rPr>
        <w:t>sociocultural theory places particular emphasis on interaction</w:t>
      </w:r>
      <w:r w:rsidR="00662973" w:rsidRPr="00E30064">
        <w:rPr>
          <w:rFonts w:ascii="Times New Roman" w:eastAsia="Times New Roman" w:hAnsi="Times New Roman" w:cs="Times New Roman"/>
          <w:sz w:val="24"/>
          <w:szCs w:val="24"/>
          <w:lang w:eastAsia="sv-SE"/>
        </w:rPr>
        <w:t xml:space="preserve"> </w:t>
      </w:r>
      <w:r w:rsidRPr="00FF6F6C">
        <w:rPr>
          <w:rFonts w:ascii="Times New Roman" w:eastAsia="Times New Roman" w:hAnsi="Times New Roman" w:cs="Times New Roman"/>
          <w:sz w:val="24"/>
          <w:szCs w:val="24"/>
          <w:lang w:eastAsia="sv-SE"/>
        </w:rPr>
        <w:t>especially teacher</w:t>
      </w:r>
      <w:r w:rsidR="00662973" w:rsidRPr="00E30064">
        <w:rPr>
          <w:rFonts w:ascii="Times New Roman" w:eastAsia="Times New Roman" w:hAnsi="Times New Roman" w:cs="Times New Roman"/>
          <w:sz w:val="24"/>
          <w:szCs w:val="24"/>
          <w:lang w:eastAsia="sv-SE"/>
        </w:rPr>
        <w:t>-</w:t>
      </w:r>
      <w:r w:rsidRPr="00FF6F6C">
        <w:rPr>
          <w:rFonts w:ascii="Times New Roman" w:eastAsia="Times New Roman" w:hAnsi="Times New Roman" w:cs="Times New Roman"/>
          <w:sz w:val="24"/>
          <w:szCs w:val="24"/>
          <w:lang w:eastAsia="sv-SE"/>
        </w:rPr>
        <w:t>learner relationships</w:t>
      </w:r>
      <w:r w:rsidR="00662973" w:rsidRPr="00E30064">
        <w:rPr>
          <w:rFonts w:ascii="Times New Roman" w:eastAsia="Times New Roman" w:hAnsi="Times New Roman" w:cs="Times New Roman"/>
          <w:sz w:val="24"/>
          <w:szCs w:val="24"/>
          <w:lang w:eastAsia="sv-SE"/>
        </w:rPr>
        <w:t xml:space="preserve"> </w:t>
      </w:r>
      <w:r w:rsidRPr="00FF6F6C">
        <w:rPr>
          <w:rFonts w:ascii="Times New Roman" w:eastAsia="Times New Roman" w:hAnsi="Times New Roman" w:cs="Times New Roman"/>
          <w:sz w:val="24"/>
          <w:szCs w:val="24"/>
          <w:lang w:eastAsia="sv-SE"/>
        </w:rPr>
        <w:t xml:space="preserve">as </w:t>
      </w:r>
      <w:r w:rsidR="00662973" w:rsidRPr="00E30064">
        <w:rPr>
          <w:rFonts w:ascii="Times New Roman" w:eastAsia="Times New Roman" w:hAnsi="Times New Roman" w:cs="Times New Roman"/>
          <w:sz w:val="24"/>
          <w:szCs w:val="24"/>
          <w:lang w:eastAsia="sv-SE"/>
        </w:rPr>
        <w:t xml:space="preserve">being </w:t>
      </w:r>
      <w:r w:rsidRPr="00FF6F6C">
        <w:rPr>
          <w:rFonts w:ascii="Times New Roman" w:eastAsia="Times New Roman" w:hAnsi="Times New Roman" w:cs="Times New Roman"/>
          <w:sz w:val="24"/>
          <w:szCs w:val="24"/>
          <w:lang w:eastAsia="sv-SE"/>
        </w:rPr>
        <w:t xml:space="preserve">central to supporting development and creating a mediating classroom environment (Poehner and Leontjev, 2023). Rooted in Vygotsky’s work, learning </w:t>
      </w:r>
      <w:proofErr w:type="gramStart"/>
      <w:r w:rsidRPr="00FF6F6C">
        <w:rPr>
          <w:rFonts w:ascii="Times New Roman" w:eastAsia="Times New Roman" w:hAnsi="Times New Roman" w:cs="Times New Roman"/>
          <w:sz w:val="24"/>
          <w:szCs w:val="24"/>
          <w:lang w:eastAsia="sv-SE"/>
        </w:rPr>
        <w:t>is understood</w:t>
      </w:r>
      <w:proofErr w:type="gramEnd"/>
      <w:r w:rsidRPr="00FF6F6C">
        <w:rPr>
          <w:rFonts w:ascii="Times New Roman" w:eastAsia="Times New Roman" w:hAnsi="Times New Roman" w:cs="Times New Roman"/>
          <w:sz w:val="24"/>
          <w:szCs w:val="24"/>
          <w:lang w:eastAsia="sv-SE"/>
        </w:rPr>
        <w:t xml:space="preserve"> as socially mediated rather than solely the result of individual cognitive processes, with social experience framed as dominant in human development (Marginson and Dang, 2016). Higher psychological functions are theorised to emerge first through interaction before being internalised by the learner (Utami and Yus, 2025). However, this progression has been criticised for presenting learning as overly </w:t>
      </w:r>
      <w:r w:rsidRPr="00FF6F6C">
        <w:rPr>
          <w:rFonts w:ascii="Times New Roman" w:eastAsia="Times New Roman" w:hAnsi="Times New Roman" w:cs="Times New Roman"/>
          <w:sz w:val="24"/>
          <w:szCs w:val="24"/>
          <w:lang w:eastAsia="sv-SE"/>
        </w:rPr>
        <w:lastRenderedPageBreak/>
        <w:t>linear, potentially overlooking the recursive, complex, and context-dependent nature of development.</w:t>
      </w:r>
    </w:p>
    <w:p w14:paraId="672E0308" w14:textId="4ECE951D" w:rsidR="005874DE" w:rsidRPr="00FF6F6C" w:rsidRDefault="00166BD9" w:rsidP="00E30064">
      <w:pPr>
        <w:spacing w:before="100" w:beforeAutospacing="1" w:after="100" w:afterAutospacing="1" w:line="360" w:lineRule="auto"/>
        <w:jc w:val="both"/>
        <w:rPr>
          <w:rFonts w:ascii="Times New Roman" w:eastAsia="Times New Roman" w:hAnsi="Times New Roman" w:cs="Times New Roman"/>
          <w:sz w:val="24"/>
          <w:szCs w:val="24"/>
          <w:lang w:eastAsia="sv-SE"/>
        </w:rPr>
      </w:pPr>
      <w:r w:rsidRPr="00E30064">
        <w:rPr>
          <w:rFonts w:ascii="Times New Roman" w:eastAsia="Times New Roman" w:hAnsi="Times New Roman" w:cs="Times New Roman"/>
          <w:sz w:val="24"/>
          <w:szCs w:val="24"/>
          <w:lang w:eastAsia="sv-SE"/>
        </w:rPr>
        <w:t xml:space="preserve">The </w:t>
      </w:r>
      <w:r w:rsidR="00EE62C5" w:rsidRPr="00E30064">
        <w:rPr>
          <w:rFonts w:ascii="Times New Roman" w:eastAsia="Times New Roman" w:hAnsi="Times New Roman" w:cs="Times New Roman"/>
          <w:sz w:val="24"/>
          <w:szCs w:val="24"/>
          <w:lang w:eastAsia="sv-SE"/>
        </w:rPr>
        <w:t xml:space="preserve">ZPD as a concept </w:t>
      </w:r>
      <w:r w:rsidR="005874DE" w:rsidRPr="00FF6F6C">
        <w:rPr>
          <w:rFonts w:ascii="Times New Roman" w:eastAsia="Times New Roman" w:hAnsi="Times New Roman" w:cs="Times New Roman"/>
          <w:sz w:val="24"/>
          <w:szCs w:val="24"/>
          <w:lang w:eastAsia="sv-SE"/>
        </w:rPr>
        <w:t>remains central, defined as the gap between independent performance and what learners can achieve with guidance from more knowledgeable others (Puntambekar, 2022; Eun, 2019). Although the ZPD highlights the importance of instructional support, its empirical basis</w:t>
      </w:r>
      <w:r w:rsidR="00806164" w:rsidRPr="00E30064">
        <w:rPr>
          <w:rFonts w:ascii="Times New Roman" w:eastAsia="Times New Roman" w:hAnsi="Times New Roman" w:cs="Times New Roman"/>
          <w:sz w:val="24"/>
          <w:szCs w:val="24"/>
          <w:lang w:eastAsia="sv-SE"/>
        </w:rPr>
        <w:t xml:space="preserve"> </w:t>
      </w:r>
      <w:proofErr w:type="gramStart"/>
      <w:r w:rsidR="00806164" w:rsidRPr="00E30064">
        <w:rPr>
          <w:rFonts w:ascii="Times New Roman" w:eastAsia="Times New Roman" w:hAnsi="Times New Roman" w:cs="Times New Roman"/>
          <w:sz w:val="24"/>
          <w:szCs w:val="24"/>
          <w:lang w:eastAsia="sv-SE"/>
        </w:rPr>
        <w:t xml:space="preserve">is </w:t>
      </w:r>
      <w:r w:rsidR="005874DE" w:rsidRPr="00FF6F6C">
        <w:rPr>
          <w:rFonts w:ascii="Times New Roman" w:eastAsia="Times New Roman" w:hAnsi="Times New Roman" w:cs="Times New Roman"/>
          <w:sz w:val="24"/>
          <w:szCs w:val="24"/>
          <w:lang w:eastAsia="sv-SE"/>
        </w:rPr>
        <w:t>originally derived</w:t>
      </w:r>
      <w:proofErr w:type="gramEnd"/>
      <w:r w:rsidR="005874DE" w:rsidRPr="00FF6F6C">
        <w:rPr>
          <w:rFonts w:ascii="Times New Roman" w:eastAsia="Times New Roman" w:hAnsi="Times New Roman" w:cs="Times New Roman"/>
          <w:sz w:val="24"/>
          <w:szCs w:val="24"/>
          <w:lang w:eastAsia="sv-SE"/>
        </w:rPr>
        <w:t xml:space="preserve"> from limited observational contexts</w:t>
      </w:r>
      <w:r w:rsidRPr="00E30064">
        <w:rPr>
          <w:rFonts w:ascii="Times New Roman" w:eastAsia="Times New Roman" w:hAnsi="Times New Roman" w:cs="Times New Roman"/>
          <w:sz w:val="24"/>
          <w:szCs w:val="24"/>
          <w:lang w:eastAsia="sv-SE"/>
        </w:rPr>
        <w:t xml:space="preserve"> which </w:t>
      </w:r>
      <w:r w:rsidR="005874DE" w:rsidRPr="00FF6F6C">
        <w:rPr>
          <w:rFonts w:ascii="Times New Roman" w:eastAsia="Times New Roman" w:hAnsi="Times New Roman" w:cs="Times New Roman"/>
          <w:sz w:val="24"/>
          <w:szCs w:val="24"/>
          <w:lang w:eastAsia="sv-SE"/>
        </w:rPr>
        <w:t>raises concerns regarding its broader applicability across diverse educational settings (Utami and Yus, 2025; Eun, 2019). Despite these limitations, the ZPD continues to reinforce the view of learning as a socially mediated process. At the same time, its conceptual ambiguity contributes to varied interpretations, complicating its translation into classroom practice.</w:t>
      </w:r>
    </w:p>
    <w:p w14:paraId="1CBA0693" w14:textId="142E3E21" w:rsidR="00166BD9" w:rsidRPr="00E30064" w:rsidRDefault="00166BD9" w:rsidP="00E30064">
      <w:pPr>
        <w:spacing w:before="100" w:beforeAutospacing="1" w:after="100" w:afterAutospacing="1" w:line="360" w:lineRule="auto"/>
        <w:jc w:val="both"/>
        <w:rPr>
          <w:rFonts w:ascii="Times New Roman" w:eastAsia="Times New Roman" w:hAnsi="Times New Roman" w:cs="Times New Roman"/>
          <w:sz w:val="24"/>
          <w:szCs w:val="24"/>
          <w:lang w:eastAsia="sv-SE"/>
        </w:rPr>
      </w:pPr>
      <w:r w:rsidRPr="00FF6F6C">
        <w:rPr>
          <w:rFonts w:ascii="Times New Roman" w:eastAsia="Times New Roman" w:hAnsi="Times New Roman" w:cs="Times New Roman"/>
          <w:sz w:val="24"/>
          <w:szCs w:val="24"/>
          <w:lang w:eastAsia="sv-SE"/>
        </w:rPr>
        <w:t>Subsequent sociocultural research expand</w:t>
      </w:r>
      <w:r w:rsidR="00C94223" w:rsidRPr="00E30064">
        <w:rPr>
          <w:rFonts w:ascii="Times New Roman" w:eastAsia="Times New Roman" w:hAnsi="Times New Roman" w:cs="Times New Roman"/>
          <w:sz w:val="24"/>
          <w:szCs w:val="24"/>
          <w:lang w:eastAsia="sv-SE"/>
        </w:rPr>
        <w:t>s</w:t>
      </w:r>
      <w:r w:rsidRPr="00FF6F6C">
        <w:rPr>
          <w:rFonts w:ascii="Times New Roman" w:eastAsia="Times New Roman" w:hAnsi="Times New Roman" w:cs="Times New Roman"/>
          <w:sz w:val="24"/>
          <w:szCs w:val="24"/>
          <w:lang w:eastAsia="sv-SE"/>
        </w:rPr>
        <w:t xml:space="preserve"> Vygotsky’s ideas by emphasising dialogue and collaboration as key mechanisms in learning (Piyumi et al., 2025; Vakili and Ebadi, 2019). However, assertions regarding the centrality of interaction often assume uniformly positive outcomes, overlooking the variability of classroom dynamics and the potential for interaction to be uneven or exclusionary. Teacher</w:t>
      </w:r>
      <w:r w:rsidR="00710C75" w:rsidRPr="00E30064">
        <w:rPr>
          <w:rFonts w:ascii="Times New Roman" w:eastAsia="Times New Roman" w:hAnsi="Times New Roman" w:cs="Times New Roman"/>
          <w:sz w:val="24"/>
          <w:szCs w:val="24"/>
          <w:lang w:eastAsia="sv-SE"/>
        </w:rPr>
        <w:t>-</w:t>
      </w:r>
      <w:r w:rsidRPr="00FF6F6C">
        <w:rPr>
          <w:rFonts w:ascii="Times New Roman" w:eastAsia="Times New Roman" w:hAnsi="Times New Roman" w:cs="Times New Roman"/>
          <w:sz w:val="24"/>
          <w:szCs w:val="24"/>
          <w:lang w:eastAsia="sv-SE"/>
        </w:rPr>
        <w:t xml:space="preserve">student interactions </w:t>
      </w:r>
      <w:proofErr w:type="gramStart"/>
      <w:r w:rsidRPr="00FF6F6C">
        <w:rPr>
          <w:rFonts w:ascii="Times New Roman" w:eastAsia="Times New Roman" w:hAnsi="Times New Roman" w:cs="Times New Roman"/>
          <w:sz w:val="24"/>
          <w:szCs w:val="24"/>
          <w:lang w:eastAsia="sv-SE"/>
        </w:rPr>
        <w:t>are commonly framed</w:t>
      </w:r>
      <w:proofErr w:type="gramEnd"/>
      <w:r w:rsidRPr="00FF6F6C">
        <w:rPr>
          <w:rFonts w:ascii="Times New Roman" w:eastAsia="Times New Roman" w:hAnsi="Times New Roman" w:cs="Times New Roman"/>
          <w:sz w:val="24"/>
          <w:szCs w:val="24"/>
          <w:lang w:eastAsia="sv-SE"/>
        </w:rPr>
        <w:t xml:space="preserve"> as critical sites where learning opportunities </w:t>
      </w:r>
      <w:proofErr w:type="gramStart"/>
      <w:r w:rsidRPr="00FF6F6C">
        <w:rPr>
          <w:rFonts w:ascii="Times New Roman" w:eastAsia="Times New Roman" w:hAnsi="Times New Roman" w:cs="Times New Roman"/>
          <w:sz w:val="24"/>
          <w:szCs w:val="24"/>
          <w:lang w:eastAsia="sv-SE"/>
        </w:rPr>
        <w:t>are c</w:t>
      </w:r>
      <w:r w:rsidR="00710C75" w:rsidRPr="00E30064">
        <w:rPr>
          <w:rFonts w:ascii="Times New Roman" w:eastAsia="Times New Roman" w:hAnsi="Times New Roman" w:cs="Times New Roman"/>
          <w:sz w:val="24"/>
          <w:szCs w:val="24"/>
          <w:lang w:eastAsia="sv-SE"/>
        </w:rPr>
        <w:t>rea</w:t>
      </w:r>
      <w:r w:rsidRPr="00FF6F6C">
        <w:rPr>
          <w:rFonts w:ascii="Times New Roman" w:eastAsia="Times New Roman" w:hAnsi="Times New Roman" w:cs="Times New Roman"/>
          <w:sz w:val="24"/>
          <w:szCs w:val="24"/>
          <w:lang w:eastAsia="sv-SE"/>
        </w:rPr>
        <w:t>ted</w:t>
      </w:r>
      <w:proofErr w:type="gramEnd"/>
      <w:r w:rsidRPr="00FF6F6C">
        <w:rPr>
          <w:rFonts w:ascii="Times New Roman" w:eastAsia="Times New Roman" w:hAnsi="Times New Roman" w:cs="Times New Roman"/>
          <w:sz w:val="24"/>
          <w:szCs w:val="24"/>
          <w:lang w:eastAsia="sv-SE"/>
        </w:rPr>
        <w:t>, with scaffolding and feedback shaping participation and cognitive development (Shalizar and Rezaei, 2023). Yet, the effectiveness of these interactions is highly contingent on context, teacher expertise, and the responsiveness to learners’ needs, suggesting that interaction alone does not guarantee meaningful learning.</w:t>
      </w:r>
    </w:p>
    <w:p w14:paraId="56A94781" w14:textId="0F6AE72F" w:rsidR="00016D45" w:rsidRPr="00963259" w:rsidRDefault="00982928" w:rsidP="00963259">
      <w:pPr>
        <w:pStyle w:val="Normalwebb"/>
        <w:spacing w:line="360" w:lineRule="auto"/>
        <w:jc w:val="both"/>
        <w:rPr>
          <w:b/>
          <w:bCs/>
        </w:rPr>
      </w:pPr>
      <w:r w:rsidRPr="00963259">
        <w:rPr>
          <w:b/>
          <w:bCs/>
        </w:rPr>
        <w:t>Scaffolding and Guided Learning</w:t>
      </w:r>
    </w:p>
    <w:p w14:paraId="7AB87826" w14:textId="29DF561C" w:rsidR="008A23F5" w:rsidRPr="00FF6F6C" w:rsidRDefault="008A23F5" w:rsidP="00F81EDE">
      <w:pPr>
        <w:spacing w:before="100" w:beforeAutospacing="1" w:after="100" w:afterAutospacing="1" w:line="360" w:lineRule="auto"/>
        <w:jc w:val="both"/>
        <w:rPr>
          <w:rFonts w:ascii="Times New Roman" w:eastAsia="Times New Roman" w:hAnsi="Times New Roman" w:cs="Times New Roman"/>
          <w:sz w:val="24"/>
          <w:szCs w:val="24"/>
          <w:lang w:eastAsia="sv-SE"/>
        </w:rPr>
      </w:pPr>
      <w:r w:rsidRPr="00FF6F6C">
        <w:rPr>
          <w:rFonts w:ascii="Times New Roman" w:eastAsia="Times New Roman" w:hAnsi="Times New Roman" w:cs="Times New Roman"/>
          <w:sz w:val="24"/>
          <w:szCs w:val="24"/>
          <w:lang w:eastAsia="sv-SE"/>
        </w:rPr>
        <w:t xml:space="preserve">Scaffolding, a concept </w:t>
      </w:r>
      <w:proofErr w:type="gramStart"/>
      <w:r w:rsidRPr="00FF6F6C">
        <w:rPr>
          <w:rFonts w:ascii="Times New Roman" w:eastAsia="Times New Roman" w:hAnsi="Times New Roman" w:cs="Times New Roman"/>
          <w:sz w:val="24"/>
          <w:szCs w:val="24"/>
          <w:lang w:eastAsia="sv-SE"/>
        </w:rPr>
        <w:t>closely associated</w:t>
      </w:r>
      <w:proofErr w:type="gramEnd"/>
      <w:r w:rsidRPr="00FF6F6C">
        <w:rPr>
          <w:rFonts w:ascii="Times New Roman" w:eastAsia="Times New Roman" w:hAnsi="Times New Roman" w:cs="Times New Roman"/>
          <w:sz w:val="24"/>
          <w:szCs w:val="24"/>
          <w:lang w:eastAsia="sv-SE"/>
        </w:rPr>
        <w:t xml:space="preserve"> with sociocultural approaches and introduced by Wood, Bruner, and Ross, describes how more knowledgeable others support learners in accomplishing tasks beyond their independent capabilities (Shvarts and Bakker, 2019). Typically, scaffolding involves structured guidance alongside the gradual withdrawal of support as learners gain competence (Puntambekar, 2022). Although widely adopted</w:t>
      </w:r>
      <w:r w:rsidR="00F91C6F" w:rsidRPr="00F81EDE">
        <w:rPr>
          <w:rFonts w:ascii="Times New Roman" w:eastAsia="Times New Roman" w:hAnsi="Times New Roman" w:cs="Times New Roman"/>
          <w:sz w:val="24"/>
          <w:szCs w:val="24"/>
          <w:lang w:eastAsia="sv-SE"/>
        </w:rPr>
        <w:t xml:space="preserve"> as a pedagogical </w:t>
      </w:r>
      <w:r w:rsidR="00BA50E9" w:rsidRPr="00F81EDE">
        <w:rPr>
          <w:rFonts w:ascii="Times New Roman" w:eastAsia="Times New Roman" w:hAnsi="Times New Roman" w:cs="Times New Roman"/>
          <w:sz w:val="24"/>
          <w:szCs w:val="24"/>
          <w:lang w:eastAsia="sv-SE"/>
        </w:rPr>
        <w:t>strategy</w:t>
      </w:r>
      <w:r w:rsidRPr="00FF6F6C">
        <w:rPr>
          <w:rFonts w:ascii="Times New Roman" w:eastAsia="Times New Roman" w:hAnsi="Times New Roman" w:cs="Times New Roman"/>
          <w:sz w:val="24"/>
          <w:szCs w:val="24"/>
          <w:lang w:eastAsia="sv-SE"/>
        </w:rPr>
        <w:t xml:space="preserve"> in practice, scaffolding </w:t>
      </w:r>
      <w:proofErr w:type="gramStart"/>
      <w:r w:rsidRPr="00FF6F6C">
        <w:rPr>
          <w:rFonts w:ascii="Times New Roman" w:eastAsia="Times New Roman" w:hAnsi="Times New Roman" w:cs="Times New Roman"/>
          <w:sz w:val="24"/>
          <w:szCs w:val="24"/>
          <w:lang w:eastAsia="sv-SE"/>
        </w:rPr>
        <w:t>is often treated</w:t>
      </w:r>
      <w:proofErr w:type="gramEnd"/>
      <w:r w:rsidRPr="00FF6F6C">
        <w:rPr>
          <w:rFonts w:ascii="Times New Roman" w:eastAsia="Times New Roman" w:hAnsi="Times New Roman" w:cs="Times New Roman"/>
          <w:sz w:val="24"/>
          <w:szCs w:val="24"/>
          <w:lang w:eastAsia="sv-SE"/>
        </w:rPr>
        <w:t xml:space="preserve"> as inherently effective, despite inconsistencies in how it </w:t>
      </w:r>
      <w:proofErr w:type="gramStart"/>
      <w:r w:rsidRPr="00FF6F6C">
        <w:rPr>
          <w:rFonts w:ascii="Times New Roman" w:eastAsia="Times New Roman" w:hAnsi="Times New Roman" w:cs="Times New Roman"/>
          <w:sz w:val="24"/>
          <w:szCs w:val="24"/>
          <w:lang w:eastAsia="sv-SE"/>
        </w:rPr>
        <w:t>is defined</w:t>
      </w:r>
      <w:proofErr w:type="gramEnd"/>
      <w:r w:rsidRPr="00FF6F6C">
        <w:rPr>
          <w:rFonts w:ascii="Times New Roman" w:eastAsia="Times New Roman" w:hAnsi="Times New Roman" w:cs="Times New Roman"/>
          <w:sz w:val="24"/>
          <w:szCs w:val="24"/>
          <w:lang w:eastAsia="sv-SE"/>
        </w:rPr>
        <w:t xml:space="preserve"> and operationalised across studies (Eun, 2019).</w:t>
      </w:r>
    </w:p>
    <w:p w14:paraId="6E4D68F2" w14:textId="77777777" w:rsidR="008A23F5" w:rsidRPr="00F81EDE" w:rsidRDefault="008A23F5" w:rsidP="00F81EDE">
      <w:pPr>
        <w:pStyle w:val="Normalwebb"/>
        <w:spacing w:line="360" w:lineRule="auto"/>
        <w:jc w:val="both"/>
      </w:pPr>
    </w:p>
    <w:p w14:paraId="0C7E8C55" w14:textId="5F03DB42" w:rsidR="00821935" w:rsidRPr="00FF6F6C" w:rsidRDefault="00821935" w:rsidP="00F81EDE">
      <w:pPr>
        <w:spacing w:before="100" w:beforeAutospacing="1" w:after="100" w:afterAutospacing="1" w:line="360" w:lineRule="auto"/>
        <w:jc w:val="both"/>
        <w:rPr>
          <w:rFonts w:ascii="Times New Roman" w:eastAsia="Times New Roman" w:hAnsi="Times New Roman" w:cs="Times New Roman"/>
          <w:sz w:val="24"/>
          <w:szCs w:val="24"/>
          <w:lang w:eastAsia="sv-SE"/>
        </w:rPr>
      </w:pPr>
      <w:r w:rsidRPr="00FF6F6C">
        <w:rPr>
          <w:rFonts w:ascii="Times New Roman" w:eastAsia="Times New Roman" w:hAnsi="Times New Roman" w:cs="Times New Roman"/>
          <w:sz w:val="24"/>
          <w:szCs w:val="24"/>
          <w:lang w:eastAsia="sv-SE"/>
        </w:rPr>
        <w:t xml:space="preserve">Educational research frequently conceptualises scaffolding as a pedagogical tool for structuring learning and enhancing understanding (van de Pol, </w:t>
      </w:r>
      <w:proofErr w:type="gramStart"/>
      <w:r w:rsidRPr="00FF6F6C">
        <w:rPr>
          <w:rFonts w:ascii="Times New Roman" w:eastAsia="Times New Roman" w:hAnsi="Times New Roman" w:cs="Times New Roman"/>
          <w:sz w:val="24"/>
          <w:szCs w:val="24"/>
          <w:lang w:eastAsia="sv-SE"/>
        </w:rPr>
        <w:t>Mercer</w:t>
      </w:r>
      <w:proofErr w:type="gramEnd"/>
      <w:r w:rsidRPr="00FF6F6C">
        <w:rPr>
          <w:rFonts w:ascii="Times New Roman" w:eastAsia="Times New Roman" w:hAnsi="Times New Roman" w:cs="Times New Roman"/>
          <w:sz w:val="24"/>
          <w:szCs w:val="24"/>
          <w:lang w:eastAsia="sv-SE"/>
        </w:rPr>
        <w:t xml:space="preserve"> and Volman, 2019). Effective </w:t>
      </w:r>
      <w:r w:rsidRPr="00FF6F6C">
        <w:rPr>
          <w:rFonts w:ascii="Times New Roman" w:eastAsia="Times New Roman" w:hAnsi="Times New Roman" w:cs="Times New Roman"/>
          <w:sz w:val="24"/>
          <w:szCs w:val="24"/>
          <w:lang w:eastAsia="sv-SE"/>
        </w:rPr>
        <w:lastRenderedPageBreak/>
        <w:t xml:space="preserve">scaffolding </w:t>
      </w:r>
      <w:proofErr w:type="gramStart"/>
      <w:r w:rsidRPr="00FF6F6C">
        <w:rPr>
          <w:rFonts w:ascii="Times New Roman" w:eastAsia="Times New Roman" w:hAnsi="Times New Roman" w:cs="Times New Roman"/>
          <w:sz w:val="24"/>
          <w:szCs w:val="24"/>
          <w:lang w:eastAsia="sv-SE"/>
        </w:rPr>
        <w:t>is said</w:t>
      </w:r>
      <w:proofErr w:type="gramEnd"/>
      <w:r w:rsidRPr="00FF6F6C">
        <w:rPr>
          <w:rFonts w:ascii="Times New Roman" w:eastAsia="Times New Roman" w:hAnsi="Times New Roman" w:cs="Times New Roman"/>
          <w:sz w:val="24"/>
          <w:szCs w:val="24"/>
          <w:lang w:eastAsia="sv-SE"/>
        </w:rPr>
        <w:t xml:space="preserve"> to require responsiveness to learners’ needs, as well as opportunities for students to articulate, </w:t>
      </w:r>
      <w:proofErr w:type="gramStart"/>
      <w:r w:rsidRPr="00FF6F6C">
        <w:rPr>
          <w:rFonts w:ascii="Times New Roman" w:eastAsia="Times New Roman" w:hAnsi="Times New Roman" w:cs="Times New Roman"/>
          <w:sz w:val="24"/>
          <w:szCs w:val="24"/>
          <w:lang w:eastAsia="sv-SE"/>
        </w:rPr>
        <w:t>test</w:t>
      </w:r>
      <w:proofErr w:type="gramEnd"/>
      <w:r w:rsidRPr="00FF6F6C">
        <w:rPr>
          <w:rFonts w:ascii="Times New Roman" w:eastAsia="Times New Roman" w:hAnsi="Times New Roman" w:cs="Times New Roman"/>
          <w:sz w:val="24"/>
          <w:szCs w:val="24"/>
          <w:lang w:eastAsia="sv-SE"/>
        </w:rPr>
        <w:t>, and refine their ideas (Seng and Tan, 2024). However, this idealised representation does not always align with classroom realities, where instructional support may be uneven or insufficiently responsive (Da Silva, 2018). Such discrepancies highlight the gap between theoretical models of scaffolding and their practical enactment.</w:t>
      </w:r>
    </w:p>
    <w:p w14:paraId="13D57B84" w14:textId="50644E89" w:rsidR="00983104" w:rsidRPr="00FF6F6C" w:rsidRDefault="00983104" w:rsidP="00F81EDE">
      <w:pPr>
        <w:spacing w:before="100" w:beforeAutospacing="1" w:after="100" w:afterAutospacing="1" w:line="360" w:lineRule="auto"/>
        <w:jc w:val="both"/>
        <w:rPr>
          <w:rFonts w:ascii="Times New Roman" w:eastAsia="Times New Roman" w:hAnsi="Times New Roman" w:cs="Times New Roman"/>
          <w:sz w:val="24"/>
          <w:szCs w:val="24"/>
          <w:lang w:eastAsia="sv-SE"/>
        </w:rPr>
      </w:pPr>
      <w:r w:rsidRPr="00F81EDE">
        <w:rPr>
          <w:rFonts w:ascii="Times New Roman" w:eastAsia="Times New Roman" w:hAnsi="Times New Roman" w:cs="Times New Roman"/>
          <w:sz w:val="24"/>
          <w:szCs w:val="24"/>
          <w:lang w:eastAsia="sv-SE"/>
        </w:rPr>
        <w:t>More</w:t>
      </w:r>
      <w:r w:rsidR="00DF1F65" w:rsidRPr="00F81EDE">
        <w:rPr>
          <w:rFonts w:ascii="Times New Roman" w:eastAsia="Times New Roman" w:hAnsi="Times New Roman" w:cs="Times New Roman"/>
          <w:sz w:val="24"/>
          <w:szCs w:val="24"/>
          <w:lang w:eastAsia="sv-SE"/>
        </w:rPr>
        <w:t xml:space="preserve"> so, a key</w:t>
      </w:r>
      <w:r w:rsidRPr="00FF6F6C">
        <w:rPr>
          <w:rFonts w:ascii="Times New Roman" w:eastAsia="Times New Roman" w:hAnsi="Times New Roman" w:cs="Times New Roman"/>
          <w:sz w:val="24"/>
          <w:szCs w:val="24"/>
          <w:lang w:eastAsia="sv-SE"/>
        </w:rPr>
        <w:t xml:space="preserve"> issue in the literature is the lack of conceptual clarity surrounding scaffolding. </w:t>
      </w:r>
      <w:proofErr w:type="gramStart"/>
      <w:r w:rsidRPr="00FF6F6C">
        <w:rPr>
          <w:rFonts w:ascii="Times New Roman" w:eastAsia="Times New Roman" w:hAnsi="Times New Roman" w:cs="Times New Roman"/>
          <w:sz w:val="24"/>
          <w:szCs w:val="24"/>
          <w:lang w:eastAsia="sv-SE"/>
        </w:rPr>
        <w:t>Some</w:t>
      </w:r>
      <w:proofErr w:type="gramEnd"/>
      <w:r w:rsidRPr="00FF6F6C">
        <w:rPr>
          <w:rFonts w:ascii="Times New Roman" w:eastAsia="Times New Roman" w:hAnsi="Times New Roman" w:cs="Times New Roman"/>
          <w:sz w:val="24"/>
          <w:szCs w:val="24"/>
          <w:lang w:eastAsia="sv-SE"/>
        </w:rPr>
        <w:t xml:space="preserve"> studies reduce it to a set of instructional techniques or strategies, while others emphasise its inherently dialogic and interactional nature, arguing that it should </w:t>
      </w:r>
      <w:proofErr w:type="gramStart"/>
      <w:r w:rsidRPr="00FF6F6C">
        <w:rPr>
          <w:rFonts w:ascii="Times New Roman" w:eastAsia="Times New Roman" w:hAnsi="Times New Roman" w:cs="Times New Roman"/>
          <w:sz w:val="24"/>
          <w:szCs w:val="24"/>
          <w:lang w:eastAsia="sv-SE"/>
        </w:rPr>
        <w:t>be understood</w:t>
      </w:r>
      <w:proofErr w:type="gramEnd"/>
      <w:r w:rsidRPr="00FF6F6C">
        <w:rPr>
          <w:rFonts w:ascii="Times New Roman" w:eastAsia="Times New Roman" w:hAnsi="Times New Roman" w:cs="Times New Roman"/>
          <w:sz w:val="24"/>
          <w:szCs w:val="24"/>
          <w:lang w:eastAsia="sv-SE"/>
        </w:rPr>
        <w:t xml:space="preserve"> as a dynamic process emerging from teacher</w:t>
      </w:r>
      <w:r w:rsidR="009749C6" w:rsidRPr="00F81EDE">
        <w:rPr>
          <w:rFonts w:ascii="Times New Roman" w:eastAsia="Times New Roman" w:hAnsi="Times New Roman" w:cs="Times New Roman"/>
          <w:sz w:val="24"/>
          <w:szCs w:val="24"/>
          <w:lang w:eastAsia="sv-SE"/>
        </w:rPr>
        <w:t>-</w:t>
      </w:r>
      <w:r w:rsidRPr="00FF6F6C">
        <w:rPr>
          <w:rFonts w:ascii="Times New Roman" w:eastAsia="Times New Roman" w:hAnsi="Times New Roman" w:cs="Times New Roman"/>
          <w:sz w:val="24"/>
          <w:szCs w:val="24"/>
          <w:lang w:eastAsia="sv-SE"/>
        </w:rPr>
        <w:t>student relationships (Piyumi et al., 2025). This inconsistency has led to ongoing debate regarding how scaffolding should be conceptualised and investigated within classroom contexts (Shalizar and Rezaei, 2023). Increasingly, scholars advocate for understanding scaffolding as a contingent, negotiated process embedded within real-time interactions rather than a fixed repertoire of practices (Poehner and Leontjev, 2023). This perspective challenges simplified applications of scaffolding and calls for closer attention to the complexity of classroom interaction.</w:t>
      </w:r>
    </w:p>
    <w:p w14:paraId="7F484277" w14:textId="7EC2E2EE" w:rsidR="00EA487F" w:rsidRPr="00DF3286" w:rsidRDefault="00982928" w:rsidP="00963259">
      <w:pPr>
        <w:pStyle w:val="Normalwebb"/>
        <w:spacing w:line="360" w:lineRule="auto"/>
        <w:jc w:val="both"/>
        <w:rPr>
          <w:b/>
          <w:bCs/>
        </w:rPr>
      </w:pPr>
      <w:r w:rsidRPr="00963259">
        <w:rPr>
          <w:b/>
          <w:bCs/>
        </w:rPr>
        <w:t>Classroom Interaction and Dialogic Learning</w:t>
      </w:r>
    </w:p>
    <w:p w14:paraId="0A469A25" w14:textId="1575B117" w:rsidR="000F2ED1" w:rsidRDefault="000F2ED1" w:rsidP="0097187B">
      <w:pPr>
        <w:spacing w:before="100" w:beforeAutospacing="1" w:after="100" w:afterAutospacing="1" w:line="360" w:lineRule="auto"/>
        <w:jc w:val="both"/>
        <w:rPr>
          <w:rFonts w:ascii="Times New Roman" w:eastAsia="Times New Roman" w:hAnsi="Times New Roman" w:cs="Times New Roman"/>
          <w:sz w:val="24"/>
          <w:szCs w:val="24"/>
          <w:lang w:eastAsia="sv-SE"/>
        </w:rPr>
      </w:pPr>
      <w:r w:rsidRPr="00FF6F6C">
        <w:rPr>
          <w:rFonts w:ascii="Times New Roman" w:eastAsia="Times New Roman" w:hAnsi="Times New Roman" w:cs="Times New Roman"/>
          <w:sz w:val="24"/>
          <w:szCs w:val="24"/>
          <w:lang w:eastAsia="sv-SE"/>
        </w:rPr>
        <w:t xml:space="preserve">Research consistently highlights dialogue as central to learning, with sociocultural scholars arguing that knowledge develops through participation in classroom discourse. In such environments, students </w:t>
      </w:r>
      <w:proofErr w:type="gramStart"/>
      <w:r w:rsidRPr="00FF6F6C">
        <w:rPr>
          <w:rFonts w:ascii="Times New Roman" w:eastAsia="Times New Roman" w:hAnsi="Times New Roman" w:cs="Times New Roman"/>
          <w:sz w:val="24"/>
          <w:szCs w:val="24"/>
          <w:lang w:eastAsia="sv-SE"/>
        </w:rPr>
        <w:t>are encouraged</w:t>
      </w:r>
      <w:proofErr w:type="gramEnd"/>
      <w:r w:rsidRPr="00FF6F6C">
        <w:rPr>
          <w:rFonts w:ascii="Times New Roman" w:eastAsia="Times New Roman" w:hAnsi="Times New Roman" w:cs="Times New Roman"/>
          <w:sz w:val="24"/>
          <w:szCs w:val="24"/>
          <w:lang w:eastAsia="sv-SE"/>
        </w:rPr>
        <w:t xml:space="preserve"> to explain their thinking, pose questions, and build on others’ contributions (Duffy, 2025; Agneta Gulz and Haake, 2024). While dialogic interaction is often associated with deeper learning, this assumption relies on consistent student engagement and effective facilitation by teachers</w:t>
      </w:r>
      <w:r w:rsidR="003875D9" w:rsidRPr="0097187B">
        <w:rPr>
          <w:rFonts w:ascii="Times New Roman" w:eastAsia="Times New Roman" w:hAnsi="Times New Roman" w:cs="Times New Roman"/>
          <w:sz w:val="24"/>
          <w:szCs w:val="24"/>
          <w:lang w:eastAsia="sv-SE"/>
        </w:rPr>
        <w:t xml:space="preserve"> </w:t>
      </w:r>
      <w:r w:rsidR="00212F19" w:rsidRPr="0097187B">
        <w:rPr>
          <w:rFonts w:ascii="Times New Roman" w:eastAsia="Times New Roman" w:hAnsi="Times New Roman" w:cs="Times New Roman"/>
          <w:sz w:val="24"/>
          <w:szCs w:val="24"/>
          <w:lang w:eastAsia="sv-SE"/>
        </w:rPr>
        <w:t xml:space="preserve">which </w:t>
      </w:r>
      <w:r w:rsidRPr="00FF6F6C">
        <w:rPr>
          <w:rFonts w:ascii="Times New Roman" w:eastAsia="Times New Roman" w:hAnsi="Times New Roman" w:cs="Times New Roman"/>
          <w:sz w:val="24"/>
          <w:szCs w:val="24"/>
          <w:lang w:eastAsia="sv-SE"/>
        </w:rPr>
        <w:t>conditions are not always present in practice (de Bruin, 2018).</w:t>
      </w:r>
    </w:p>
    <w:p w14:paraId="1539E35E" w14:textId="77777777" w:rsidR="00212F19" w:rsidRPr="00FF6F6C" w:rsidRDefault="00212F19" w:rsidP="0097187B">
      <w:pPr>
        <w:spacing w:before="100" w:beforeAutospacing="1" w:after="100" w:afterAutospacing="1" w:line="360" w:lineRule="auto"/>
        <w:jc w:val="both"/>
        <w:rPr>
          <w:rFonts w:ascii="Times New Roman" w:eastAsia="Times New Roman" w:hAnsi="Times New Roman" w:cs="Times New Roman"/>
          <w:sz w:val="24"/>
          <w:szCs w:val="24"/>
          <w:lang w:eastAsia="sv-SE"/>
        </w:rPr>
      </w:pPr>
      <w:r w:rsidRPr="00FF6F6C">
        <w:rPr>
          <w:rFonts w:ascii="Times New Roman" w:eastAsia="Times New Roman" w:hAnsi="Times New Roman" w:cs="Times New Roman"/>
          <w:sz w:val="24"/>
          <w:szCs w:val="24"/>
          <w:lang w:eastAsia="sv-SE"/>
        </w:rPr>
        <w:t xml:space="preserve">Classroom interaction patterns vary considerably. Teacher-led questioning, for instance, can limit students’ opportunities to elaborate on ideas, potentially reinforcing passive forms of participation (Granger and Chow, 2025). In contrast, dialogic approaches may foster collaborative meaning-making and critical thinking from a sociocultural perspective, although such approaches </w:t>
      </w:r>
      <w:proofErr w:type="gramStart"/>
      <w:r w:rsidRPr="00FF6F6C">
        <w:rPr>
          <w:rFonts w:ascii="Times New Roman" w:eastAsia="Times New Roman" w:hAnsi="Times New Roman" w:cs="Times New Roman"/>
          <w:sz w:val="24"/>
          <w:szCs w:val="24"/>
          <w:lang w:eastAsia="sv-SE"/>
        </w:rPr>
        <w:t>are unevenly implemented</w:t>
      </w:r>
      <w:proofErr w:type="gramEnd"/>
      <w:r w:rsidRPr="00FF6F6C">
        <w:rPr>
          <w:rFonts w:ascii="Times New Roman" w:eastAsia="Times New Roman" w:hAnsi="Times New Roman" w:cs="Times New Roman"/>
          <w:sz w:val="24"/>
          <w:szCs w:val="24"/>
          <w:lang w:eastAsia="sv-SE"/>
        </w:rPr>
        <w:t xml:space="preserve"> across classrooms (Infante and Poehner, 2019). These differences have significant implications for students’ access to higher-order thinking and their overall participation in learning processes.</w:t>
      </w:r>
    </w:p>
    <w:p w14:paraId="46A3D833" w14:textId="77777777" w:rsidR="00110BA5" w:rsidRPr="00FF6F6C" w:rsidRDefault="00110BA5" w:rsidP="0097187B">
      <w:pPr>
        <w:spacing w:before="100" w:beforeAutospacing="1" w:after="100" w:afterAutospacing="1" w:line="360" w:lineRule="auto"/>
        <w:jc w:val="both"/>
        <w:rPr>
          <w:rFonts w:ascii="Times New Roman" w:eastAsia="Times New Roman" w:hAnsi="Times New Roman" w:cs="Times New Roman"/>
          <w:sz w:val="24"/>
          <w:szCs w:val="24"/>
          <w:lang w:eastAsia="sv-SE"/>
        </w:rPr>
      </w:pPr>
      <w:r w:rsidRPr="00FF6F6C">
        <w:rPr>
          <w:rFonts w:ascii="Times New Roman" w:eastAsia="Times New Roman" w:hAnsi="Times New Roman" w:cs="Times New Roman"/>
          <w:sz w:val="24"/>
          <w:szCs w:val="24"/>
          <w:lang w:eastAsia="sv-SE"/>
        </w:rPr>
        <w:lastRenderedPageBreak/>
        <w:t xml:space="preserve">Understanding scaffolding within this context requires detailed analysis of how teachers structure dialogue and respond to student contributions (Poehner and Leontjev, 2023). Micro-level studies of classroom interaction are particularly valuable in revealing how support </w:t>
      </w:r>
      <w:proofErr w:type="gramStart"/>
      <w:r w:rsidRPr="00FF6F6C">
        <w:rPr>
          <w:rFonts w:ascii="Times New Roman" w:eastAsia="Times New Roman" w:hAnsi="Times New Roman" w:cs="Times New Roman"/>
          <w:sz w:val="24"/>
          <w:szCs w:val="24"/>
          <w:lang w:eastAsia="sv-SE"/>
        </w:rPr>
        <w:t>is enacted</w:t>
      </w:r>
      <w:proofErr w:type="gramEnd"/>
      <w:r w:rsidRPr="00FF6F6C">
        <w:rPr>
          <w:rFonts w:ascii="Times New Roman" w:eastAsia="Times New Roman" w:hAnsi="Times New Roman" w:cs="Times New Roman"/>
          <w:sz w:val="24"/>
          <w:szCs w:val="24"/>
          <w:lang w:eastAsia="sv-SE"/>
        </w:rPr>
        <w:t>, adjusted, and negotiated in practice. At the same time, such studies highlight that learning opportunities are contingent upon the quality, timing, and responsiveness of these interactions (Ajabshir and Panahifar, 2020). This reinforces the need to move beyond abstract models and examine the situated realities of classroom practice.</w:t>
      </w:r>
    </w:p>
    <w:p w14:paraId="65DCD314" w14:textId="259D3603" w:rsidR="00C726B3" w:rsidRPr="00DF3286" w:rsidRDefault="00982928" w:rsidP="00963259">
      <w:pPr>
        <w:pStyle w:val="Normalwebb"/>
        <w:spacing w:line="360" w:lineRule="auto"/>
        <w:jc w:val="both"/>
        <w:rPr>
          <w:b/>
          <w:bCs/>
        </w:rPr>
      </w:pPr>
      <w:r w:rsidRPr="00963259">
        <w:rPr>
          <w:b/>
          <w:bCs/>
        </w:rPr>
        <w:t>Inclusive Participation in Diverse Classrooms</w:t>
      </w:r>
    </w:p>
    <w:p w14:paraId="379B430A" w14:textId="5424D3DD" w:rsidR="003F28C7" w:rsidRPr="00FF6F6C" w:rsidRDefault="003F28C7" w:rsidP="00E81CB3">
      <w:pPr>
        <w:spacing w:before="100" w:beforeAutospacing="1" w:after="100" w:afterAutospacing="1" w:line="360" w:lineRule="auto"/>
        <w:jc w:val="both"/>
        <w:rPr>
          <w:rFonts w:ascii="Times New Roman" w:eastAsia="Times New Roman" w:hAnsi="Times New Roman" w:cs="Times New Roman"/>
          <w:sz w:val="24"/>
          <w:szCs w:val="24"/>
          <w:lang w:eastAsia="sv-SE"/>
        </w:rPr>
      </w:pPr>
      <w:r w:rsidRPr="00FF6F6C">
        <w:rPr>
          <w:rFonts w:ascii="Times New Roman" w:eastAsia="Times New Roman" w:hAnsi="Times New Roman" w:cs="Times New Roman"/>
          <w:sz w:val="24"/>
          <w:szCs w:val="24"/>
          <w:lang w:eastAsia="sv-SE"/>
        </w:rPr>
        <w:t>Inclusive education, prioritised in national policy contexts such as Sweden, emphasises equity, democratic participation, and equal access to learning opportunities (Skolverket, 2025). However, increasing classroom diversity</w:t>
      </w:r>
      <w:r w:rsidR="009D08B3" w:rsidRPr="00E81CB3">
        <w:rPr>
          <w:rFonts w:ascii="Times New Roman" w:eastAsia="Times New Roman" w:hAnsi="Times New Roman" w:cs="Times New Roman"/>
          <w:sz w:val="24"/>
          <w:szCs w:val="24"/>
          <w:lang w:eastAsia="sv-SE"/>
        </w:rPr>
        <w:t>-</w:t>
      </w:r>
      <w:r w:rsidRPr="00FF6F6C">
        <w:rPr>
          <w:rFonts w:ascii="Times New Roman" w:eastAsia="Times New Roman" w:hAnsi="Times New Roman" w:cs="Times New Roman"/>
          <w:sz w:val="24"/>
          <w:szCs w:val="24"/>
          <w:lang w:eastAsia="sv-SE"/>
        </w:rPr>
        <w:t>linguistic, cultural, and educational</w:t>
      </w:r>
      <w:r w:rsidR="002100BC" w:rsidRPr="00E81CB3">
        <w:rPr>
          <w:rFonts w:ascii="Times New Roman" w:eastAsia="Times New Roman" w:hAnsi="Times New Roman" w:cs="Times New Roman"/>
          <w:sz w:val="24"/>
          <w:szCs w:val="24"/>
          <w:lang w:eastAsia="sv-SE"/>
        </w:rPr>
        <w:t>,</w:t>
      </w:r>
      <w:r w:rsidR="009D08B3" w:rsidRPr="00E81CB3">
        <w:rPr>
          <w:rFonts w:ascii="Times New Roman" w:eastAsia="Times New Roman" w:hAnsi="Times New Roman" w:cs="Times New Roman"/>
          <w:sz w:val="24"/>
          <w:szCs w:val="24"/>
          <w:lang w:eastAsia="sv-SE"/>
        </w:rPr>
        <w:t xml:space="preserve"> </w:t>
      </w:r>
      <w:r w:rsidRPr="00FF6F6C">
        <w:rPr>
          <w:rFonts w:ascii="Times New Roman" w:eastAsia="Times New Roman" w:hAnsi="Times New Roman" w:cs="Times New Roman"/>
          <w:sz w:val="24"/>
          <w:szCs w:val="24"/>
          <w:lang w:eastAsia="sv-SE"/>
        </w:rPr>
        <w:t>complicates the implementation of inclusive pedagogies, requiring teachers to adapt instruction in ways that are not always straightforward (Munandar, 2025).</w:t>
      </w:r>
    </w:p>
    <w:p w14:paraId="4ED1936D" w14:textId="77777777" w:rsidR="002100BC" w:rsidRPr="00FF6F6C" w:rsidRDefault="002100BC" w:rsidP="00E81CB3">
      <w:pPr>
        <w:spacing w:before="100" w:beforeAutospacing="1" w:after="100" w:afterAutospacing="1" w:line="360" w:lineRule="auto"/>
        <w:jc w:val="both"/>
        <w:rPr>
          <w:rFonts w:ascii="Times New Roman" w:eastAsia="Times New Roman" w:hAnsi="Times New Roman" w:cs="Times New Roman"/>
          <w:sz w:val="24"/>
          <w:szCs w:val="24"/>
          <w:lang w:eastAsia="sv-SE"/>
        </w:rPr>
      </w:pPr>
      <w:r w:rsidRPr="00FF6F6C">
        <w:rPr>
          <w:rFonts w:ascii="Times New Roman" w:eastAsia="Times New Roman" w:hAnsi="Times New Roman" w:cs="Times New Roman"/>
          <w:sz w:val="24"/>
          <w:szCs w:val="24"/>
          <w:lang w:eastAsia="sv-SE"/>
        </w:rPr>
        <w:t xml:space="preserve">From a sociocultural perspective, inclusion </w:t>
      </w:r>
      <w:proofErr w:type="gramStart"/>
      <w:r w:rsidRPr="00FF6F6C">
        <w:rPr>
          <w:rFonts w:ascii="Times New Roman" w:eastAsia="Times New Roman" w:hAnsi="Times New Roman" w:cs="Times New Roman"/>
          <w:sz w:val="24"/>
          <w:szCs w:val="24"/>
          <w:lang w:eastAsia="sv-SE"/>
        </w:rPr>
        <w:t>is closely tied</w:t>
      </w:r>
      <w:proofErr w:type="gramEnd"/>
      <w:r w:rsidRPr="00FF6F6C">
        <w:rPr>
          <w:rFonts w:ascii="Times New Roman" w:eastAsia="Times New Roman" w:hAnsi="Times New Roman" w:cs="Times New Roman"/>
          <w:sz w:val="24"/>
          <w:szCs w:val="24"/>
          <w:lang w:eastAsia="sv-SE"/>
        </w:rPr>
        <w:t xml:space="preserve"> to participation in classroom activity. However, access to such participation is not evenly distributed and </w:t>
      </w:r>
      <w:proofErr w:type="gramStart"/>
      <w:r w:rsidRPr="00FF6F6C">
        <w:rPr>
          <w:rFonts w:ascii="Times New Roman" w:eastAsia="Times New Roman" w:hAnsi="Times New Roman" w:cs="Times New Roman"/>
          <w:sz w:val="24"/>
          <w:szCs w:val="24"/>
          <w:lang w:eastAsia="sv-SE"/>
        </w:rPr>
        <w:t>is shaped</w:t>
      </w:r>
      <w:proofErr w:type="gramEnd"/>
      <w:r w:rsidRPr="00FF6F6C">
        <w:rPr>
          <w:rFonts w:ascii="Times New Roman" w:eastAsia="Times New Roman" w:hAnsi="Times New Roman" w:cs="Times New Roman"/>
          <w:sz w:val="24"/>
          <w:szCs w:val="24"/>
          <w:lang w:eastAsia="sv-SE"/>
        </w:rPr>
        <w:t xml:space="preserve"> by interactional practices within the classroom (Samar and Parsaie, 2025). When instructional support </w:t>
      </w:r>
      <w:proofErr w:type="gramStart"/>
      <w:r w:rsidRPr="00FF6F6C">
        <w:rPr>
          <w:rFonts w:ascii="Times New Roman" w:eastAsia="Times New Roman" w:hAnsi="Times New Roman" w:cs="Times New Roman"/>
          <w:sz w:val="24"/>
          <w:szCs w:val="24"/>
          <w:lang w:eastAsia="sv-SE"/>
        </w:rPr>
        <w:t>is inconsistently provided</w:t>
      </w:r>
      <w:proofErr w:type="gramEnd"/>
      <w:r w:rsidRPr="00FF6F6C">
        <w:rPr>
          <w:rFonts w:ascii="Times New Roman" w:eastAsia="Times New Roman" w:hAnsi="Times New Roman" w:cs="Times New Roman"/>
          <w:sz w:val="24"/>
          <w:szCs w:val="24"/>
          <w:lang w:eastAsia="sv-SE"/>
        </w:rPr>
        <w:t>, certain students may become marginalised within learning processes, limiting their opportunities for engagement and development (Lantolf and Poehner, 2023). This challenges the assumption that inclusive policies automatically translate into inclusive practices.</w:t>
      </w:r>
    </w:p>
    <w:p w14:paraId="42D36360" w14:textId="3A376D9E" w:rsidR="00FF6F6C" w:rsidRPr="00FF6F6C" w:rsidRDefault="00C3165A" w:rsidP="00E81CB3">
      <w:pPr>
        <w:spacing w:before="100" w:beforeAutospacing="1" w:after="100" w:afterAutospacing="1" w:line="360" w:lineRule="auto"/>
        <w:jc w:val="both"/>
        <w:rPr>
          <w:rFonts w:ascii="Times New Roman" w:eastAsia="Times New Roman" w:hAnsi="Times New Roman" w:cs="Times New Roman"/>
          <w:sz w:val="24"/>
          <w:szCs w:val="24"/>
          <w:lang w:eastAsia="sv-SE"/>
        </w:rPr>
      </w:pPr>
      <w:r w:rsidRPr="00FF6F6C">
        <w:rPr>
          <w:rFonts w:ascii="Times New Roman" w:eastAsia="Times New Roman" w:hAnsi="Times New Roman" w:cs="Times New Roman"/>
          <w:sz w:val="24"/>
          <w:szCs w:val="24"/>
          <w:lang w:eastAsia="sv-SE"/>
        </w:rPr>
        <w:t xml:space="preserve">For multilingual and diverse learners, scaffolding and dialogic support play a particularly </w:t>
      </w:r>
      <w:proofErr w:type="gramStart"/>
      <w:r w:rsidRPr="00FF6F6C">
        <w:rPr>
          <w:rFonts w:ascii="Times New Roman" w:eastAsia="Times New Roman" w:hAnsi="Times New Roman" w:cs="Times New Roman"/>
          <w:sz w:val="24"/>
          <w:szCs w:val="24"/>
          <w:lang w:eastAsia="sv-SE"/>
        </w:rPr>
        <w:t>important role</w:t>
      </w:r>
      <w:proofErr w:type="gramEnd"/>
      <w:r w:rsidRPr="00FF6F6C">
        <w:rPr>
          <w:rFonts w:ascii="Times New Roman" w:eastAsia="Times New Roman" w:hAnsi="Times New Roman" w:cs="Times New Roman"/>
          <w:sz w:val="24"/>
          <w:szCs w:val="24"/>
          <w:lang w:eastAsia="sv-SE"/>
        </w:rPr>
        <w:t xml:space="preserve"> in bridging knowledge and language gaps (Ajabshir and Panahifar, 2020). Nevertheless, research indicates that these learners do not always benefit equally. Participation may </w:t>
      </w:r>
      <w:proofErr w:type="gramStart"/>
      <w:r w:rsidRPr="00FF6F6C">
        <w:rPr>
          <w:rFonts w:ascii="Times New Roman" w:eastAsia="Times New Roman" w:hAnsi="Times New Roman" w:cs="Times New Roman"/>
          <w:sz w:val="24"/>
          <w:szCs w:val="24"/>
          <w:lang w:eastAsia="sv-SE"/>
        </w:rPr>
        <w:t>be constrained</w:t>
      </w:r>
      <w:proofErr w:type="gramEnd"/>
      <w:r w:rsidRPr="00FF6F6C">
        <w:rPr>
          <w:rFonts w:ascii="Times New Roman" w:eastAsia="Times New Roman" w:hAnsi="Times New Roman" w:cs="Times New Roman"/>
          <w:sz w:val="24"/>
          <w:szCs w:val="24"/>
          <w:lang w:eastAsia="sv-SE"/>
        </w:rPr>
        <w:t xml:space="preserve"> by factors such as language proficiency, teacher expectations, and dominant patterns of classroom interaction (Nag, 2024; Granger and Chow, 2025). These findings suggest that inclusive education, while theoretically grounded in equity, </w:t>
      </w:r>
      <w:proofErr w:type="gramStart"/>
      <w:r w:rsidRPr="00FF6F6C">
        <w:rPr>
          <w:rFonts w:ascii="Times New Roman" w:eastAsia="Times New Roman" w:hAnsi="Times New Roman" w:cs="Times New Roman"/>
          <w:sz w:val="24"/>
          <w:szCs w:val="24"/>
          <w:lang w:eastAsia="sv-SE"/>
        </w:rPr>
        <w:t>is often unevenly realised</w:t>
      </w:r>
      <w:proofErr w:type="gramEnd"/>
      <w:r w:rsidRPr="00FF6F6C">
        <w:rPr>
          <w:rFonts w:ascii="Times New Roman" w:eastAsia="Times New Roman" w:hAnsi="Times New Roman" w:cs="Times New Roman"/>
          <w:sz w:val="24"/>
          <w:szCs w:val="24"/>
          <w:lang w:eastAsia="sv-SE"/>
        </w:rPr>
        <w:t xml:space="preserve"> in practice, underscoring the need for closer examination of how scaffolding and interaction shape access to learning opportunities.</w:t>
      </w:r>
    </w:p>
    <w:p w14:paraId="6DFE17B3" w14:textId="77777777" w:rsidR="00FF6F6C" w:rsidRDefault="00FF6F6C" w:rsidP="00E81CB3">
      <w:pPr>
        <w:pBdr>
          <w:bottom w:val="single" w:sz="6" w:space="1" w:color="auto"/>
        </w:pBdr>
        <w:spacing w:after="0" w:line="240" w:lineRule="auto"/>
        <w:rPr>
          <w:rFonts w:ascii="Arial" w:eastAsia="Times New Roman" w:hAnsi="Arial" w:cs="Arial"/>
          <w:sz w:val="16"/>
          <w:szCs w:val="16"/>
          <w:highlight w:val="green"/>
          <w:lang w:eastAsia="sv-SE"/>
        </w:rPr>
      </w:pPr>
      <w:r w:rsidRPr="00FF6F6C">
        <w:rPr>
          <w:rFonts w:ascii="Arial" w:eastAsia="Times New Roman" w:hAnsi="Arial" w:cs="Arial"/>
          <w:vanish/>
          <w:sz w:val="16"/>
          <w:szCs w:val="16"/>
          <w:highlight w:val="green"/>
          <w:lang w:eastAsia="sv-SE"/>
        </w:rPr>
        <w:t>Formulärets överkant</w:t>
      </w:r>
    </w:p>
    <w:p w14:paraId="768376A3" w14:textId="77777777" w:rsidR="002F21C7" w:rsidRDefault="002F21C7" w:rsidP="00E81CB3">
      <w:pPr>
        <w:pBdr>
          <w:bottom w:val="single" w:sz="6" w:space="1" w:color="auto"/>
        </w:pBdr>
        <w:spacing w:after="0" w:line="240" w:lineRule="auto"/>
        <w:rPr>
          <w:rFonts w:ascii="Arial" w:eastAsia="Times New Roman" w:hAnsi="Arial" w:cs="Arial"/>
          <w:sz w:val="16"/>
          <w:szCs w:val="16"/>
          <w:highlight w:val="green"/>
          <w:lang w:eastAsia="sv-SE"/>
        </w:rPr>
      </w:pPr>
    </w:p>
    <w:p w14:paraId="284ADB73" w14:textId="77777777" w:rsidR="002F21C7" w:rsidRDefault="002F21C7" w:rsidP="00E81CB3">
      <w:pPr>
        <w:pBdr>
          <w:bottom w:val="single" w:sz="6" w:space="1" w:color="auto"/>
        </w:pBdr>
        <w:spacing w:after="0" w:line="240" w:lineRule="auto"/>
        <w:rPr>
          <w:rFonts w:ascii="Arial" w:eastAsia="Times New Roman" w:hAnsi="Arial" w:cs="Arial"/>
          <w:sz w:val="16"/>
          <w:szCs w:val="16"/>
          <w:highlight w:val="green"/>
          <w:lang w:eastAsia="sv-SE"/>
        </w:rPr>
      </w:pPr>
    </w:p>
    <w:p w14:paraId="34215B8D" w14:textId="77777777" w:rsidR="002F21C7" w:rsidRPr="00FF6F6C" w:rsidRDefault="002F21C7" w:rsidP="00E81CB3">
      <w:pPr>
        <w:pBdr>
          <w:bottom w:val="single" w:sz="6" w:space="1" w:color="auto"/>
        </w:pBdr>
        <w:spacing w:after="0" w:line="240" w:lineRule="auto"/>
        <w:rPr>
          <w:rFonts w:ascii="Arial" w:eastAsia="Times New Roman" w:hAnsi="Arial" w:cs="Arial"/>
          <w:vanish/>
          <w:sz w:val="16"/>
          <w:szCs w:val="16"/>
          <w:highlight w:val="green"/>
          <w:lang w:eastAsia="sv-SE"/>
        </w:rPr>
      </w:pPr>
    </w:p>
    <w:p w14:paraId="7EDBB948" w14:textId="77777777" w:rsidR="00FF6F6C" w:rsidRPr="00FF6F6C" w:rsidRDefault="00FF6F6C" w:rsidP="00FF6F6C">
      <w:pPr>
        <w:pBdr>
          <w:top w:val="single" w:sz="6" w:space="1" w:color="auto"/>
        </w:pBdr>
        <w:spacing w:after="0" w:line="240" w:lineRule="auto"/>
        <w:jc w:val="center"/>
        <w:rPr>
          <w:rFonts w:ascii="Arial" w:eastAsia="Times New Roman" w:hAnsi="Arial" w:cs="Arial"/>
          <w:vanish/>
          <w:sz w:val="16"/>
          <w:szCs w:val="16"/>
          <w:highlight w:val="green"/>
          <w:lang w:eastAsia="sv-SE"/>
        </w:rPr>
      </w:pPr>
      <w:r w:rsidRPr="00FF6F6C">
        <w:rPr>
          <w:rFonts w:ascii="Arial" w:eastAsia="Times New Roman" w:hAnsi="Arial" w:cs="Arial"/>
          <w:vanish/>
          <w:sz w:val="16"/>
          <w:szCs w:val="16"/>
          <w:highlight w:val="green"/>
          <w:lang w:eastAsia="sv-SE"/>
        </w:rPr>
        <w:t>Formulärets nederkant</w:t>
      </w:r>
    </w:p>
    <w:p w14:paraId="2810EAF5" w14:textId="77777777" w:rsidR="0099355A" w:rsidRDefault="00982928" w:rsidP="0099355A">
      <w:pPr>
        <w:pStyle w:val="Normalwebb"/>
        <w:spacing w:line="360" w:lineRule="auto"/>
        <w:jc w:val="both"/>
        <w:rPr>
          <w:b/>
          <w:bCs/>
        </w:rPr>
      </w:pPr>
      <w:r w:rsidRPr="00A86C07">
        <w:rPr>
          <w:b/>
          <w:bCs/>
        </w:rPr>
        <w:t>Research Gap</w:t>
      </w:r>
    </w:p>
    <w:p w14:paraId="2280C6CB" w14:textId="77777777" w:rsidR="0099355A" w:rsidRDefault="00D17498" w:rsidP="0099355A">
      <w:pPr>
        <w:pStyle w:val="Normalwebb"/>
        <w:spacing w:line="360" w:lineRule="auto"/>
        <w:jc w:val="both"/>
        <w:rPr>
          <w:b/>
          <w:bCs/>
        </w:rPr>
      </w:pPr>
      <w:r>
        <w:br/>
      </w:r>
      <w:r w:rsidRPr="0099355A">
        <w:t xml:space="preserve">Although sociocultural theory conceptualises learning as a socially mediated process, empirical research on how scaffolding </w:t>
      </w:r>
      <w:proofErr w:type="gramStart"/>
      <w:r w:rsidRPr="0099355A">
        <w:t>is enacted</w:t>
      </w:r>
      <w:proofErr w:type="gramEnd"/>
      <w:r w:rsidRPr="0099355A">
        <w:t xml:space="preserve"> in everyday classroom interaction remains limited. Existing studies often reduce scaffolding to a pedagogical technique and prioritise learning outcomes, overlooking the interactional processes through which support </w:t>
      </w:r>
      <w:proofErr w:type="gramStart"/>
      <w:r w:rsidRPr="0099355A">
        <w:t>is negotiated</w:t>
      </w:r>
      <w:proofErr w:type="gramEnd"/>
      <w:r w:rsidRPr="0099355A">
        <w:t xml:space="preserve"> in real time (Theelen, Canisius and Lambert, 2025). Consequently, the micro-level mechanisms through which teachers and students co-construct learning in discourse remain underexplored.</w:t>
      </w:r>
    </w:p>
    <w:p w14:paraId="13A53271" w14:textId="669F5105" w:rsidR="003D26FA" w:rsidRPr="004329A3" w:rsidRDefault="00D17498" w:rsidP="004329A3">
      <w:pPr>
        <w:pStyle w:val="Normalwebb"/>
        <w:spacing w:line="360" w:lineRule="auto"/>
        <w:jc w:val="both"/>
        <w:rPr>
          <w:b/>
          <w:bCs/>
        </w:rPr>
      </w:pPr>
      <w:r w:rsidRPr="0099355A">
        <w:br/>
        <w:t xml:space="preserve">While the ZPD is central to sociocultural theory, its connection to inclusive participation in diverse classrooms </w:t>
      </w:r>
      <w:proofErr w:type="gramStart"/>
      <w:r w:rsidRPr="0099355A">
        <w:t>is insufficiently examined</w:t>
      </w:r>
      <w:proofErr w:type="gramEnd"/>
      <w:r w:rsidRPr="0099355A">
        <w:t xml:space="preserve">. </w:t>
      </w:r>
      <w:r w:rsidR="00BB7DB8" w:rsidRPr="0099355A">
        <w:t>P</w:t>
      </w:r>
      <w:r w:rsidRPr="0099355A">
        <w:t>articular</w:t>
      </w:r>
      <w:r w:rsidR="00BB7DB8" w:rsidRPr="0099355A">
        <w:t>ly</w:t>
      </w:r>
      <w:r w:rsidRPr="0099355A">
        <w:t xml:space="preserve">, limited attention has </w:t>
      </w:r>
      <w:proofErr w:type="gramStart"/>
      <w:r w:rsidRPr="0099355A">
        <w:t>been given</w:t>
      </w:r>
      <w:proofErr w:type="gramEnd"/>
      <w:r w:rsidRPr="0099355A">
        <w:t xml:space="preserve"> to how teachers adapt scaffolding during live interaction to address linguistic, cultural, and cognitive diversity (Utami and Yus, 2025). This gap is significant, as inclusion depends not only on access but also on how support </w:t>
      </w:r>
      <w:proofErr w:type="gramStart"/>
      <w:r w:rsidRPr="0099355A">
        <w:t>is distributed</w:t>
      </w:r>
      <w:proofErr w:type="gramEnd"/>
      <w:r w:rsidRPr="0099355A">
        <w:t xml:space="preserve"> in interaction (Matuk et al., 2021). Addressing this</w:t>
      </w:r>
      <w:r w:rsidR="00FD473E" w:rsidRPr="0099355A">
        <w:t xml:space="preserve"> gap</w:t>
      </w:r>
      <w:r w:rsidRPr="0099355A">
        <w:t xml:space="preserve"> requires a shift towards viewing scaffolding as a situated, dialogic process.</w:t>
      </w:r>
    </w:p>
    <w:p w14:paraId="3623144D" w14:textId="08F408D5" w:rsidR="00D919A8" w:rsidRPr="00963259" w:rsidRDefault="00D919A8" w:rsidP="00963259">
      <w:pPr>
        <w:pStyle w:val="Normalwebb"/>
        <w:spacing w:line="360" w:lineRule="auto"/>
        <w:jc w:val="both"/>
        <w:rPr>
          <w:b/>
          <w:bCs/>
        </w:rPr>
      </w:pPr>
      <w:r w:rsidRPr="00963259">
        <w:rPr>
          <w:b/>
          <w:bCs/>
        </w:rPr>
        <w:t>Research Aim</w:t>
      </w:r>
      <w:r w:rsidR="004329A3">
        <w:rPr>
          <w:b/>
          <w:bCs/>
        </w:rPr>
        <w:t>s</w:t>
      </w:r>
      <w:r w:rsidRPr="00963259">
        <w:rPr>
          <w:b/>
          <w:bCs/>
        </w:rPr>
        <w:t xml:space="preserve"> and Questions</w:t>
      </w:r>
    </w:p>
    <w:p w14:paraId="2993B7CE" w14:textId="150388F5" w:rsidR="00F34C7B" w:rsidRDefault="00D919A8" w:rsidP="00963259">
      <w:pPr>
        <w:pStyle w:val="Normalwebb"/>
        <w:spacing w:line="360" w:lineRule="auto"/>
        <w:jc w:val="both"/>
        <w:rPr>
          <w:b/>
          <w:bCs/>
        </w:rPr>
      </w:pPr>
      <w:r w:rsidRPr="00963259">
        <w:rPr>
          <w:b/>
          <w:bCs/>
        </w:rPr>
        <w:t>Aim</w:t>
      </w:r>
      <w:r w:rsidR="004329A3">
        <w:rPr>
          <w:b/>
          <w:bCs/>
        </w:rPr>
        <w:t>s</w:t>
      </w:r>
    </w:p>
    <w:p w14:paraId="527E28EC" w14:textId="65BED366" w:rsidR="00565A8D" w:rsidRPr="00963259" w:rsidRDefault="00565A8D" w:rsidP="0036025A">
      <w:pPr>
        <w:pStyle w:val="Normalwebb"/>
        <w:spacing w:line="360" w:lineRule="auto"/>
        <w:jc w:val="both"/>
        <w:rPr>
          <w:b/>
          <w:bCs/>
        </w:rPr>
      </w:pPr>
      <w:r>
        <w:t xml:space="preserve">This study will examine how scaffolding and guided learning </w:t>
      </w:r>
      <w:proofErr w:type="gramStart"/>
      <w:r>
        <w:t>are enacted</w:t>
      </w:r>
      <w:proofErr w:type="gramEnd"/>
      <w:r>
        <w:t xml:space="preserve"> in teacher</w:t>
      </w:r>
      <w:r w:rsidR="00773135">
        <w:t>-</w:t>
      </w:r>
      <w:r>
        <w:t xml:space="preserve">student interaction and how they shape inclusive participation within the ZPD. Drawing on sociocultural theory, scaffolding </w:t>
      </w:r>
      <w:proofErr w:type="gramStart"/>
      <w:r>
        <w:t>is understood</w:t>
      </w:r>
      <w:proofErr w:type="gramEnd"/>
      <w:r>
        <w:t xml:space="preserve"> as an interactional, co-constructed process (Shalizar and Rezaei, 2023). Through analysis of classroom discourse in Swedish lower secondary settings, the study explores how support is adapted in real time and how ZPDs </w:t>
      </w:r>
      <w:proofErr w:type="gramStart"/>
      <w:r>
        <w:t>are constituted</w:t>
      </w:r>
      <w:proofErr w:type="gramEnd"/>
      <w:r>
        <w:t>, potentially enabling or constraining inclusion.</w:t>
      </w:r>
    </w:p>
    <w:p w14:paraId="19F2A639" w14:textId="77777777" w:rsidR="00D919A8" w:rsidRPr="00963259" w:rsidRDefault="00D919A8" w:rsidP="00963259">
      <w:pPr>
        <w:pStyle w:val="Normalwebb"/>
        <w:spacing w:line="360" w:lineRule="auto"/>
        <w:jc w:val="both"/>
        <w:rPr>
          <w:b/>
          <w:bCs/>
        </w:rPr>
      </w:pPr>
      <w:r w:rsidRPr="00963259">
        <w:rPr>
          <w:b/>
          <w:bCs/>
        </w:rPr>
        <w:t>Research Questions</w:t>
      </w:r>
    </w:p>
    <w:p w14:paraId="79A3943E" w14:textId="0079CBD6" w:rsidR="000D68AD" w:rsidRPr="00963259" w:rsidRDefault="004F5983" w:rsidP="002C2E65">
      <w:pPr>
        <w:pStyle w:val="Normalwebb"/>
        <w:numPr>
          <w:ilvl w:val="0"/>
          <w:numId w:val="1"/>
        </w:numPr>
        <w:spacing w:line="360" w:lineRule="auto"/>
        <w:jc w:val="both"/>
      </w:pPr>
      <w:r w:rsidRPr="00963259">
        <w:t xml:space="preserve">How are scaffolding and guided </w:t>
      </w:r>
      <w:r w:rsidR="00EE51A8" w:rsidRPr="00963259">
        <w:t>learning enacted</w:t>
      </w:r>
      <w:r w:rsidRPr="00963259">
        <w:t xml:space="preserve"> through verbal and </w:t>
      </w:r>
      <w:r w:rsidR="00527B4B">
        <w:t>informal</w:t>
      </w:r>
      <w:r w:rsidRPr="00963259">
        <w:t xml:space="preserve"> practices in teacher</w:t>
      </w:r>
      <w:r w:rsidR="00642D0D" w:rsidRPr="00963259">
        <w:t>-</w:t>
      </w:r>
      <w:r w:rsidRPr="00963259">
        <w:t>student activities in Swedish lower secondary classrooms?</w:t>
      </w:r>
    </w:p>
    <w:p w14:paraId="099E6DE3" w14:textId="2DC39298" w:rsidR="000D68AD" w:rsidRPr="00963259" w:rsidRDefault="000D68AD" w:rsidP="002C2E65">
      <w:pPr>
        <w:pStyle w:val="Normalwebb"/>
        <w:numPr>
          <w:ilvl w:val="0"/>
          <w:numId w:val="1"/>
        </w:numPr>
        <w:spacing w:line="360" w:lineRule="auto"/>
        <w:jc w:val="both"/>
      </w:pPr>
      <w:r w:rsidRPr="00963259">
        <w:t xml:space="preserve"> </w:t>
      </w:r>
      <w:r w:rsidRPr="00963259">
        <w:rPr>
          <w:rStyle w:val="Stark"/>
          <w:rFonts w:eastAsiaTheme="majorEastAsia"/>
          <w:b w:val="0"/>
          <w:bCs w:val="0"/>
        </w:rPr>
        <w:t xml:space="preserve">How </w:t>
      </w:r>
      <w:r w:rsidR="00F73EA8" w:rsidRPr="00963259">
        <w:rPr>
          <w:rStyle w:val="Stark"/>
          <w:rFonts w:eastAsiaTheme="majorEastAsia"/>
          <w:b w:val="0"/>
          <w:bCs w:val="0"/>
        </w:rPr>
        <w:t>is the</w:t>
      </w:r>
      <w:r w:rsidRPr="00963259">
        <w:rPr>
          <w:rStyle w:val="Stark"/>
          <w:rFonts w:eastAsiaTheme="majorEastAsia"/>
          <w:b w:val="0"/>
          <w:bCs w:val="0"/>
        </w:rPr>
        <w:t xml:space="preserve"> Z</w:t>
      </w:r>
      <w:r w:rsidR="0036311C" w:rsidRPr="00963259">
        <w:rPr>
          <w:rStyle w:val="Stark"/>
          <w:rFonts w:eastAsiaTheme="majorEastAsia"/>
          <w:b w:val="0"/>
          <w:bCs w:val="0"/>
        </w:rPr>
        <w:t>PD</w:t>
      </w:r>
      <w:r w:rsidR="006151CC" w:rsidRPr="00963259">
        <w:rPr>
          <w:rStyle w:val="Stark"/>
          <w:rFonts w:eastAsiaTheme="majorEastAsia"/>
          <w:b w:val="0"/>
          <w:bCs w:val="0"/>
        </w:rPr>
        <w:t xml:space="preserve"> </w:t>
      </w:r>
      <w:r w:rsidRPr="00963259">
        <w:rPr>
          <w:rStyle w:val="Stark"/>
          <w:rFonts w:eastAsiaTheme="majorEastAsia"/>
          <w:b w:val="0"/>
          <w:bCs w:val="0"/>
        </w:rPr>
        <w:t>const</w:t>
      </w:r>
      <w:r w:rsidR="009B671A" w:rsidRPr="00963259">
        <w:rPr>
          <w:rStyle w:val="Stark"/>
          <w:rFonts w:eastAsiaTheme="majorEastAsia"/>
          <w:b w:val="0"/>
          <w:bCs w:val="0"/>
        </w:rPr>
        <w:t>ructed</w:t>
      </w:r>
      <w:r w:rsidRPr="00963259">
        <w:rPr>
          <w:rStyle w:val="Stark"/>
          <w:rFonts w:eastAsiaTheme="majorEastAsia"/>
          <w:b w:val="0"/>
          <w:bCs w:val="0"/>
        </w:rPr>
        <w:t xml:space="preserve"> and negotiated during teacher</w:t>
      </w:r>
      <w:r w:rsidR="00C23DAA" w:rsidRPr="00963259">
        <w:rPr>
          <w:rStyle w:val="Stark"/>
          <w:rFonts w:eastAsiaTheme="majorEastAsia"/>
          <w:b w:val="0"/>
          <w:bCs w:val="0"/>
        </w:rPr>
        <w:t>-</w:t>
      </w:r>
      <w:r w:rsidRPr="00963259">
        <w:rPr>
          <w:rStyle w:val="Stark"/>
          <w:rFonts w:eastAsiaTheme="majorEastAsia"/>
          <w:b w:val="0"/>
          <w:bCs w:val="0"/>
        </w:rPr>
        <w:t>student classroom discourse?</w:t>
      </w:r>
    </w:p>
    <w:p w14:paraId="1DEA64F3" w14:textId="1E7A7642" w:rsidR="000D68AD" w:rsidRPr="00963259" w:rsidRDefault="000D68AD" w:rsidP="002C2E65">
      <w:pPr>
        <w:pStyle w:val="Normalwebb"/>
        <w:numPr>
          <w:ilvl w:val="0"/>
          <w:numId w:val="1"/>
        </w:numPr>
        <w:spacing w:line="360" w:lineRule="auto"/>
        <w:jc w:val="both"/>
      </w:pPr>
      <w:r w:rsidRPr="00963259">
        <w:t xml:space="preserve"> </w:t>
      </w:r>
      <w:r w:rsidRPr="00963259">
        <w:rPr>
          <w:rStyle w:val="Stark"/>
          <w:rFonts w:eastAsiaTheme="majorEastAsia"/>
          <w:b w:val="0"/>
          <w:bCs w:val="0"/>
        </w:rPr>
        <w:t>How do students respond to,</w:t>
      </w:r>
      <w:r w:rsidR="00EE51A8" w:rsidRPr="00963259">
        <w:rPr>
          <w:rStyle w:val="Stark"/>
          <w:rFonts w:eastAsiaTheme="majorEastAsia"/>
          <w:b w:val="0"/>
          <w:bCs w:val="0"/>
        </w:rPr>
        <w:t xml:space="preserve"> </w:t>
      </w:r>
      <w:r w:rsidR="00846950">
        <w:rPr>
          <w:rStyle w:val="Stark"/>
          <w:rFonts w:eastAsiaTheme="majorEastAsia"/>
          <w:b w:val="0"/>
          <w:bCs w:val="0"/>
        </w:rPr>
        <w:t>appropriate</w:t>
      </w:r>
      <w:r w:rsidR="009D3D85">
        <w:rPr>
          <w:rStyle w:val="Stark"/>
          <w:rFonts w:eastAsiaTheme="majorEastAsia"/>
          <w:b w:val="0"/>
          <w:bCs w:val="0"/>
        </w:rPr>
        <w:t xml:space="preserve">, </w:t>
      </w:r>
      <w:r w:rsidRPr="00963259">
        <w:rPr>
          <w:rStyle w:val="Stark"/>
          <w:rFonts w:eastAsiaTheme="majorEastAsia"/>
          <w:b w:val="0"/>
          <w:bCs w:val="0"/>
        </w:rPr>
        <w:t>and transform scaffolded support in ways that demonstrate active participation and developing understanding?</w:t>
      </w:r>
    </w:p>
    <w:p w14:paraId="442F7CB1" w14:textId="2807D46F" w:rsidR="000D68AD" w:rsidRPr="00963259" w:rsidRDefault="000D68AD" w:rsidP="002C2E65">
      <w:pPr>
        <w:pStyle w:val="Normalwebb"/>
        <w:numPr>
          <w:ilvl w:val="0"/>
          <w:numId w:val="1"/>
        </w:numPr>
        <w:spacing w:line="360" w:lineRule="auto"/>
        <w:jc w:val="both"/>
      </w:pPr>
      <w:r w:rsidRPr="00963259">
        <w:rPr>
          <w:rStyle w:val="Stark"/>
          <w:rFonts w:eastAsiaTheme="majorEastAsia"/>
          <w:b w:val="0"/>
          <w:bCs w:val="0"/>
        </w:rPr>
        <w:lastRenderedPageBreak/>
        <w:t xml:space="preserve">How do teachers </w:t>
      </w:r>
      <w:r w:rsidR="008E3813" w:rsidRPr="00963259">
        <w:rPr>
          <w:rStyle w:val="Stark"/>
          <w:rFonts w:eastAsiaTheme="majorEastAsia"/>
          <w:b w:val="0"/>
          <w:bCs w:val="0"/>
        </w:rPr>
        <w:t xml:space="preserve">adapt </w:t>
      </w:r>
      <w:r w:rsidR="00816452" w:rsidRPr="00963259">
        <w:rPr>
          <w:rStyle w:val="Stark"/>
          <w:rFonts w:eastAsiaTheme="majorEastAsia"/>
          <w:b w:val="0"/>
          <w:bCs w:val="0"/>
        </w:rPr>
        <w:t xml:space="preserve">scaffolded support </w:t>
      </w:r>
      <w:r w:rsidR="00431522">
        <w:rPr>
          <w:rStyle w:val="Stark"/>
          <w:rFonts w:eastAsiaTheme="majorEastAsia"/>
          <w:b w:val="0"/>
          <w:bCs w:val="0"/>
        </w:rPr>
        <w:t xml:space="preserve">in real time </w:t>
      </w:r>
      <w:r w:rsidRPr="00963259">
        <w:rPr>
          <w:rStyle w:val="Stark"/>
          <w:rFonts w:eastAsiaTheme="majorEastAsia"/>
          <w:b w:val="0"/>
          <w:bCs w:val="0"/>
        </w:rPr>
        <w:t>to accommodate learners with diverse</w:t>
      </w:r>
      <w:r w:rsidR="008E2413">
        <w:rPr>
          <w:rStyle w:val="Stark"/>
          <w:rFonts w:eastAsiaTheme="majorEastAsia"/>
          <w:b w:val="0"/>
          <w:bCs w:val="0"/>
        </w:rPr>
        <w:t xml:space="preserve"> needs</w:t>
      </w:r>
      <w:r w:rsidRPr="00963259">
        <w:rPr>
          <w:rStyle w:val="Stark"/>
          <w:rFonts w:eastAsiaTheme="majorEastAsia"/>
          <w:b w:val="0"/>
          <w:bCs w:val="0"/>
        </w:rPr>
        <w:t>?</w:t>
      </w:r>
    </w:p>
    <w:p w14:paraId="28D2075E" w14:textId="36EA466E" w:rsidR="00000FE0" w:rsidRPr="00BF775C" w:rsidRDefault="000D68AD" w:rsidP="00BF775C">
      <w:pPr>
        <w:pStyle w:val="Normalwebb"/>
        <w:numPr>
          <w:ilvl w:val="0"/>
          <w:numId w:val="1"/>
        </w:numPr>
        <w:spacing w:line="360" w:lineRule="auto"/>
        <w:jc w:val="both"/>
        <w:rPr>
          <w:b/>
          <w:bCs/>
        </w:rPr>
      </w:pPr>
      <w:r w:rsidRPr="00963259">
        <w:rPr>
          <w:rStyle w:val="Stark"/>
          <w:rFonts w:eastAsiaTheme="majorEastAsia"/>
          <w:b w:val="0"/>
          <w:bCs w:val="0"/>
        </w:rPr>
        <w:t xml:space="preserve">In what ways do scaffolded classroom interactions </w:t>
      </w:r>
      <w:r w:rsidR="00282412" w:rsidRPr="00963259">
        <w:rPr>
          <w:rStyle w:val="Stark"/>
          <w:rFonts w:eastAsiaTheme="majorEastAsia"/>
          <w:b w:val="0"/>
          <w:bCs w:val="0"/>
        </w:rPr>
        <w:t>facilitate</w:t>
      </w:r>
      <w:r w:rsidRPr="00963259">
        <w:rPr>
          <w:rStyle w:val="Stark"/>
          <w:rFonts w:eastAsiaTheme="majorEastAsia"/>
          <w:b w:val="0"/>
          <w:bCs w:val="0"/>
        </w:rPr>
        <w:t xml:space="preserve"> or constrain inclusive participation for diverse learners within the Z</w:t>
      </w:r>
      <w:r w:rsidR="00282412" w:rsidRPr="00963259">
        <w:rPr>
          <w:rStyle w:val="Stark"/>
          <w:rFonts w:eastAsiaTheme="majorEastAsia"/>
          <w:b w:val="0"/>
          <w:bCs w:val="0"/>
        </w:rPr>
        <w:t>PD</w:t>
      </w:r>
      <w:r w:rsidRPr="00963259">
        <w:rPr>
          <w:rStyle w:val="Stark"/>
          <w:rFonts w:eastAsiaTheme="majorEastAsia"/>
          <w:b w:val="0"/>
          <w:bCs w:val="0"/>
        </w:rPr>
        <w:t>?</w:t>
      </w:r>
    </w:p>
    <w:p w14:paraId="3CB24B3B" w14:textId="22FAF45C" w:rsidR="00BA49E6" w:rsidRPr="00963259" w:rsidRDefault="00BA49E6" w:rsidP="00963259">
      <w:pPr>
        <w:pStyle w:val="Normalwebb"/>
        <w:spacing w:line="360" w:lineRule="auto"/>
        <w:jc w:val="both"/>
        <w:rPr>
          <w:rStyle w:val="Stark"/>
          <w:rFonts w:eastAsiaTheme="majorEastAsia"/>
        </w:rPr>
      </w:pPr>
      <w:r w:rsidRPr="005B406A">
        <w:rPr>
          <w:rStyle w:val="Stark"/>
          <w:rFonts w:eastAsiaTheme="majorEastAsia"/>
        </w:rPr>
        <w:t>M</w:t>
      </w:r>
      <w:r w:rsidRPr="00963259">
        <w:rPr>
          <w:rStyle w:val="Stark"/>
          <w:rFonts w:eastAsiaTheme="majorEastAsia"/>
        </w:rPr>
        <w:t>ethodology</w:t>
      </w:r>
    </w:p>
    <w:p w14:paraId="2FD94834" w14:textId="77777777" w:rsidR="00BC41A1" w:rsidRPr="00963259" w:rsidRDefault="00BC41A1" w:rsidP="002C2E65">
      <w:pPr>
        <w:pStyle w:val="Normalwebb"/>
        <w:numPr>
          <w:ilvl w:val="0"/>
          <w:numId w:val="2"/>
        </w:numPr>
        <w:spacing w:line="360" w:lineRule="auto"/>
        <w:jc w:val="both"/>
        <w:rPr>
          <w:rStyle w:val="Stark"/>
        </w:rPr>
      </w:pPr>
      <w:r w:rsidRPr="00963259">
        <w:rPr>
          <w:rStyle w:val="Stark"/>
        </w:rPr>
        <w:t>Research Approach</w:t>
      </w:r>
    </w:p>
    <w:p w14:paraId="62B2998B" w14:textId="0CAC4465" w:rsidR="00FB01A6" w:rsidRPr="00002777" w:rsidRDefault="00FB01A6" w:rsidP="0022518D">
      <w:pPr>
        <w:spacing w:before="100" w:beforeAutospacing="1" w:after="100" w:afterAutospacing="1" w:line="360" w:lineRule="auto"/>
        <w:jc w:val="both"/>
        <w:rPr>
          <w:rFonts w:ascii="Times New Roman" w:eastAsia="Times New Roman" w:hAnsi="Times New Roman" w:cs="Times New Roman"/>
          <w:sz w:val="24"/>
          <w:szCs w:val="24"/>
          <w:lang w:eastAsia="sv-SE"/>
        </w:rPr>
      </w:pPr>
      <w:r w:rsidRPr="00002777">
        <w:rPr>
          <w:rFonts w:ascii="Times New Roman" w:eastAsia="Times New Roman" w:hAnsi="Times New Roman" w:cs="Times New Roman"/>
          <w:sz w:val="24"/>
          <w:szCs w:val="24"/>
          <w:lang w:eastAsia="sv-SE"/>
        </w:rPr>
        <w:t xml:space="preserve">This study adopts a qualitative practitioner research approach to explore how scaffolding and guided learning </w:t>
      </w:r>
      <w:proofErr w:type="gramStart"/>
      <w:r w:rsidRPr="00002777">
        <w:rPr>
          <w:rFonts w:ascii="Times New Roman" w:eastAsia="Times New Roman" w:hAnsi="Times New Roman" w:cs="Times New Roman"/>
          <w:sz w:val="24"/>
          <w:szCs w:val="24"/>
          <w:lang w:eastAsia="sv-SE"/>
        </w:rPr>
        <w:t>are enacted</w:t>
      </w:r>
      <w:proofErr w:type="gramEnd"/>
      <w:r w:rsidRPr="00002777">
        <w:rPr>
          <w:rFonts w:ascii="Times New Roman" w:eastAsia="Times New Roman" w:hAnsi="Times New Roman" w:cs="Times New Roman"/>
          <w:sz w:val="24"/>
          <w:szCs w:val="24"/>
          <w:lang w:eastAsia="sv-SE"/>
        </w:rPr>
        <w:t xml:space="preserve"> in classroom practice and how inclusive participation</w:t>
      </w:r>
      <w:r w:rsidR="009E5045" w:rsidRPr="0022518D">
        <w:rPr>
          <w:rFonts w:ascii="Times New Roman" w:eastAsia="Times New Roman" w:hAnsi="Times New Roman" w:cs="Times New Roman"/>
          <w:sz w:val="24"/>
          <w:szCs w:val="24"/>
          <w:lang w:eastAsia="sv-SE"/>
        </w:rPr>
        <w:t xml:space="preserve"> </w:t>
      </w:r>
      <w:proofErr w:type="gramStart"/>
      <w:r w:rsidR="009E5045" w:rsidRPr="0022518D">
        <w:rPr>
          <w:rFonts w:ascii="Times New Roman" w:eastAsia="Times New Roman" w:hAnsi="Times New Roman" w:cs="Times New Roman"/>
          <w:sz w:val="24"/>
          <w:szCs w:val="24"/>
          <w:lang w:eastAsia="sv-SE"/>
        </w:rPr>
        <w:t>is shaped</w:t>
      </w:r>
      <w:proofErr w:type="gramEnd"/>
      <w:r w:rsidRPr="00002777">
        <w:rPr>
          <w:rFonts w:ascii="Times New Roman" w:eastAsia="Times New Roman" w:hAnsi="Times New Roman" w:cs="Times New Roman"/>
          <w:sz w:val="24"/>
          <w:szCs w:val="24"/>
          <w:lang w:eastAsia="sv-SE"/>
        </w:rPr>
        <w:t xml:space="preserve"> within the Zone of Proximal Development (ZPD). Qualitative research is appropriate as it </w:t>
      </w:r>
      <w:r w:rsidR="00BF5E24">
        <w:rPr>
          <w:rFonts w:ascii="Times New Roman" w:eastAsia="Times New Roman" w:hAnsi="Times New Roman" w:cs="Times New Roman"/>
          <w:sz w:val="24"/>
          <w:szCs w:val="24"/>
          <w:lang w:eastAsia="sv-SE"/>
        </w:rPr>
        <w:t>facilita</w:t>
      </w:r>
      <w:r w:rsidR="006352FD">
        <w:rPr>
          <w:rFonts w:ascii="Times New Roman" w:eastAsia="Times New Roman" w:hAnsi="Times New Roman" w:cs="Times New Roman"/>
          <w:sz w:val="24"/>
          <w:szCs w:val="24"/>
          <w:lang w:eastAsia="sv-SE"/>
        </w:rPr>
        <w:t xml:space="preserve">tes </w:t>
      </w:r>
      <w:r w:rsidRPr="00002777">
        <w:rPr>
          <w:rFonts w:ascii="Times New Roman" w:eastAsia="Times New Roman" w:hAnsi="Times New Roman" w:cs="Times New Roman"/>
          <w:sz w:val="24"/>
          <w:szCs w:val="24"/>
          <w:lang w:eastAsia="sv-SE"/>
        </w:rPr>
        <w:t xml:space="preserve">in-depth, context-sensitive analysis, focusing on meaning, lived experience, and social interaction rather than statistical generalisation (Ahmad and Wilkins, 2024; Lim, 2025). </w:t>
      </w:r>
      <w:r w:rsidR="00B17120" w:rsidRPr="0022518D">
        <w:rPr>
          <w:rFonts w:ascii="Times New Roman" w:eastAsia="Times New Roman" w:hAnsi="Times New Roman" w:cs="Times New Roman"/>
          <w:sz w:val="24"/>
          <w:szCs w:val="24"/>
          <w:lang w:eastAsia="sv-SE"/>
        </w:rPr>
        <w:t>Qualitative design</w:t>
      </w:r>
      <w:r w:rsidRPr="00002777">
        <w:rPr>
          <w:rFonts w:ascii="Times New Roman" w:eastAsia="Times New Roman" w:hAnsi="Times New Roman" w:cs="Times New Roman"/>
          <w:sz w:val="24"/>
          <w:szCs w:val="24"/>
          <w:lang w:eastAsia="sv-SE"/>
        </w:rPr>
        <w:t xml:space="preserve"> is particularly suited to educational research where understanding human experience and contextualised practices </w:t>
      </w:r>
      <w:r w:rsidR="00B17120" w:rsidRPr="0022518D">
        <w:rPr>
          <w:rFonts w:ascii="Times New Roman" w:eastAsia="Times New Roman" w:hAnsi="Times New Roman" w:cs="Times New Roman"/>
          <w:sz w:val="24"/>
          <w:szCs w:val="24"/>
          <w:lang w:eastAsia="sv-SE"/>
        </w:rPr>
        <w:t xml:space="preserve">are </w:t>
      </w:r>
      <w:r w:rsidRPr="00002777">
        <w:rPr>
          <w:rFonts w:ascii="Times New Roman" w:eastAsia="Times New Roman" w:hAnsi="Times New Roman" w:cs="Times New Roman"/>
          <w:sz w:val="24"/>
          <w:szCs w:val="24"/>
          <w:lang w:eastAsia="sv-SE"/>
        </w:rPr>
        <w:t>central (Cresswell, 2007).</w:t>
      </w:r>
    </w:p>
    <w:p w14:paraId="053FEF27" w14:textId="1EAB7C7F" w:rsidR="001F52FC" w:rsidRPr="00002777" w:rsidRDefault="001F52FC" w:rsidP="0022518D">
      <w:pPr>
        <w:spacing w:before="100" w:beforeAutospacing="1" w:after="100" w:afterAutospacing="1" w:line="360" w:lineRule="auto"/>
        <w:jc w:val="both"/>
        <w:rPr>
          <w:rFonts w:ascii="Times New Roman" w:eastAsia="Times New Roman" w:hAnsi="Times New Roman" w:cs="Times New Roman"/>
          <w:sz w:val="24"/>
          <w:szCs w:val="24"/>
          <w:lang w:eastAsia="sv-SE"/>
        </w:rPr>
      </w:pPr>
      <w:r w:rsidRPr="00002777">
        <w:rPr>
          <w:rFonts w:ascii="Times New Roman" w:eastAsia="Times New Roman" w:hAnsi="Times New Roman" w:cs="Times New Roman"/>
          <w:sz w:val="24"/>
          <w:szCs w:val="24"/>
          <w:lang w:eastAsia="sv-SE"/>
        </w:rPr>
        <w:t xml:space="preserve">Practitioner research allows educators to systematically investigate their own contexts, generating insights into pedagogy and learning processes. </w:t>
      </w:r>
      <w:r w:rsidR="0098200C" w:rsidRPr="0022518D">
        <w:rPr>
          <w:rFonts w:ascii="Times New Roman" w:eastAsia="Times New Roman" w:hAnsi="Times New Roman" w:cs="Times New Roman"/>
          <w:sz w:val="24"/>
          <w:szCs w:val="24"/>
          <w:lang w:eastAsia="sv-SE"/>
        </w:rPr>
        <w:t>Further, practitioner inquiry</w:t>
      </w:r>
      <w:r w:rsidRPr="00002777">
        <w:rPr>
          <w:rFonts w:ascii="Times New Roman" w:eastAsia="Times New Roman" w:hAnsi="Times New Roman" w:cs="Times New Roman"/>
          <w:sz w:val="24"/>
          <w:szCs w:val="24"/>
          <w:lang w:eastAsia="sv-SE"/>
        </w:rPr>
        <w:t xml:space="preserve"> positions teachers as reflective researchers who critically examine their practice, contributing to educational knowledge through reflection on how their actions shape learning and social contexts (Mounter, </w:t>
      </w:r>
      <w:proofErr w:type="gramStart"/>
      <w:r w:rsidRPr="00002777">
        <w:rPr>
          <w:rFonts w:ascii="Times New Roman" w:eastAsia="Times New Roman" w:hAnsi="Times New Roman" w:cs="Times New Roman"/>
          <w:sz w:val="24"/>
          <w:szCs w:val="24"/>
          <w:lang w:eastAsia="sv-SE"/>
        </w:rPr>
        <w:t>Huxtable</w:t>
      </w:r>
      <w:proofErr w:type="gramEnd"/>
      <w:r w:rsidRPr="00002777">
        <w:rPr>
          <w:rFonts w:ascii="Times New Roman" w:eastAsia="Times New Roman" w:hAnsi="Times New Roman" w:cs="Times New Roman"/>
          <w:sz w:val="24"/>
          <w:szCs w:val="24"/>
          <w:lang w:eastAsia="sv-SE"/>
        </w:rPr>
        <w:t xml:space="preserve"> and Whitehead, 2019). This </w:t>
      </w:r>
      <w:r w:rsidR="00197014" w:rsidRPr="0022518D">
        <w:rPr>
          <w:rFonts w:ascii="Times New Roman" w:eastAsia="Times New Roman" w:hAnsi="Times New Roman" w:cs="Times New Roman"/>
          <w:sz w:val="24"/>
          <w:szCs w:val="24"/>
          <w:lang w:eastAsia="sv-SE"/>
        </w:rPr>
        <w:t xml:space="preserve">perspective </w:t>
      </w:r>
      <w:r w:rsidRPr="00002777">
        <w:rPr>
          <w:rFonts w:ascii="Times New Roman" w:eastAsia="Times New Roman" w:hAnsi="Times New Roman" w:cs="Times New Roman"/>
          <w:sz w:val="24"/>
          <w:szCs w:val="24"/>
          <w:lang w:eastAsia="sv-SE"/>
        </w:rPr>
        <w:t xml:space="preserve">aligns with Schön’s concept of reflective practice, where professional knowledge develops through reflection on </w:t>
      </w:r>
      <w:r w:rsidR="00F01AB4" w:rsidRPr="0022518D">
        <w:rPr>
          <w:rFonts w:ascii="Times New Roman" w:eastAsia="Times New Roman" w:hAnsi="Times New Roman" w:cs="Times New Roman"/>
          <w:sz w:val="24"/>
          <w:szCs w:val="24"/>
          <w:lang w:eastAsia="sv-SE"/>
        </w:rPr>
        <w:t>experience and not only through formal theory</w:t>
      </w:r>
      <w:r w:rsidRPr="00002777">
        <w:rPr>
          <w:rFonts w:ascii="Times New Roman" w:eastAsia="Times New Roman" w:hAnsi="Times New Roman" w:cs="Times New Roman"/>
          <w:sz w:val="24"/>
          <w:szCs w:val="24"/>
          <w:lang w:eastAsia="sv-SE"/>
        </w:rPr>
        <w:t xml:space="preserve"> (Candy, 2020).</w:t>
      </w:r>
    </w:p>
    <w:p w14:paraId="50728E48" w14:textId="6A0BC8FB" w:rsidR="00952DDC" w:rsidRPr="0022518D" w:rsidRDefault="007607F1" w:rsidP="0022518D">
      <w:pPr>
        <w:spacing w:before="100" w:beforeAutospacing="1" w:after="100" w:afterAutospacing="1" w:line="360" w:lineRule="auto"/>
        <w:jc w:val="both"/>
        <w:rPr>
          <w:rFonts w:ascii="Times New Roman" w:eastAsia="Times New Roman" w:hAnsi="Times New Roman" w:cs="Times New Roman"/>
          <w:sz w:val="24"/>
          <w:szCs w:val="24"/>
          <w:lang w:eastAsia="sv-SE"/>
        </w:rPr>
      </w:pPr>
      <w:r w:rsidRPr="0022518D">
        <w:rPr>
          <w:rFonts w:ascii="Times New Roman" w:eastAsia="Times New Roman" w:hAnsi="Times New Roman" w:cs="Times New Roman"/>
          <w:sz w:val="24"/>
          <w:szCs w:val="24"/>
          <w:lang w:eastAsia="sv-SE"/>
        </w:rPr>
        <w:t xml:space="preserve">Particularly, this </w:t>
      </w:r>
      <w:r w:rsidR="00F01AB4" w:rsidRPr="00002777">
        <w:rPr>
          <w:rFonts w:ascii="Times New Roman" w:eastAsia="Times New Roman" w:hAnsi="Times New Roman" w:cs="Times New Roman"/>
          <w:sz w:val="24"/>
          <w:szCs w:val="24"/>
          <w:lang w:eastAsia="sv-SE"/>
        </w:rPr>
        <w:t xml:space="preserve">study </w:t>
      </w:r>
      <w:proofErr w:type="gramStart"/>
      <w:r w:rsidR="00F01AB4" w:rsidRPr="00002777">
        <w:rPr>
          <w:rFonts w:ascii="Times New Roman" w:eastAsia="Times New Roman" w:hAnsi="Times New Roman" w:cs="Times New Roman"/>
          <w:sz w:val="24"/>
          <w:szCs w:val="24"/>
          <w:lang w:eastAsia="sv-SE"/>
        </w:rPr>
        <w:t>is also informed</w:t>
      </w:r>
      <w:proofErr w:type="gramEnd"/>
      <w:r w:rsidR="00F01AB4" w:rsidRPr="00002777">
        <w:rPr>
          <w:rFonts w:ascii="Times New Roman" w:eastAsia="Times New Roman" w:hAnsi="Times New Roman" w:cs="Times New Roman"/>
          <w:sz w:val="24"/>
          <w:szCs w:val="24"/>
          <w:lang w:eastAsia="sv-SE"/>
        </w:rPr>
        <w:t xml:space="preserve"> by Lewin’s action-oriented inquiry, which emphasises the connection between theory, practice, and reflection, and views teachers as capable of improving their own practice through systematic investigation (Coghlan and Jacobs, 2005). While a full action research cycle </w:t>
      </w:r>
      <w:proofErr w:type="gramStart"/>
      <w:r w:rsidR="00F01AB4" w:rsidRPr="00002777">
        <w:rPr>
          <w:rFonts w:ascii="Times New Roman" w:eastAsia="Times New Roman" w:hAnsi="Times New Roman" w:cs="Times New Roman"/>
          <w:sz w:val="24"/>
          <w:szCs w:val="24"/>
          <w:lang w:eastAsia="sv-SE"/>
        </w:rPr>
        <w:t>is not implemented</w:t>
      </w:r>
      <w:proofErr w:type="gramEnd"/>
      <w:r w:rsidR="00F01AB4" w:rsidRPr="00002777">
        <w:rPr>
          <w:rFonts w:ascii="Times New Roman" w:eastAsia="Times New Roman" w:hAnsi="Times New Roman" w:cs="Times New Roman"/>
          <w:sz w:val="24"/>
          <w:szCs w:val="24"/>
          <w:lang w:eastAsia="sv-SE"/>
        </w:rPr>
        <w:t>, the study maintains Lewin’s emphasis on grounding research in real educational contexts.</w:t>
      </w:r>
    </w:p>
    <w:p w14:paraId="3A660A52" w14:textId="6F106980" w:rsidR="00B21BAD" w:rsidRPr="00127616" w:rsidRDefault="00B21BAD" w:rsidP="00127616">
      <w:pPr>
        <w:spacing w:before="100" w:beforeAutospacing="1" w:after="100" w:afterAutospacing="1" w:line="360" w:lineRule="auto"/>
        <w:jc w:val="both"/>
        <w:rPr>
          <w:rFonts w:ascii="Times New Roman" w:eastAsia="Times New Roman" w:hAnsi="Times New Roman" w:cs="Times New Roman"/>
          <w:sz w:val="24"/>
          <w:szCs w:val="24"/>
          <w:lang w:eastAsia="sv-SE"/>
        </w:rPr>
      </w:pPr>
      <w:r w:rsidRPr="00002777">
        <w:rPr>
          <w:rFonts w:ascii="Times New Roman" w:eastAsia="Times New Roman" w:hAnsi="Times New Roman" w:cs="Times New Roman"/>
          <w:sz w:val="24"/>
          <w:szCs w:val="24"/>
          <w:lang w:eastAsia="sv-SE"/>
        </w:rPr>
        <w:t xml:space="preserve">Additionally, the study </w:t>
      </w:r>
      <w:proofErr w:type="gramStart"/>
      <w:r w:rsidRPr="00002777">
        <w:rPr>
          <w:rFonts w:ascii="Times New Roman" w:eastAsia="Times New Roman" w:hAnsi="Times New Roman" w:cs="Times New Roman"/>
          <w:sz w:val="24"/>
          <w:szCs w:val="24"/>
          <w:lang w:eastAsia="sv-SE"/>
        </w:rPr>
        <w:t>is grounded</w:t>
      </w:r>
      <w:proofErr w:type="gramEnd"/>
      <w:r w:rsidRPr="00002777">
        <w:rPr>
          <w:rFonts w:ascii="Times New Roman" w:eastAsia="Times New Roman" w:hAnsi="Times New Roman" w:cs="Times New Roman"/>
          <w:sz w:val="24"/>
          <w:szCs w:val="24"/>
          <w:lang w:eastAsia="sv-SE"/>
        </w:rPr>
        <w:t xml:space="preserve"> in sociocultural theory, particularly Vygotsky’s view of learning as a socially mediated process in which knowledge </w:t>
      </w:r>
      <w:proofErr w:type="gramStart"/>
      <w:r w:rsidRPr="00002777">
        <w:rPr>
          <w:rFonts w:ascii="Times New Roman" w:eastAsia="Times New Roman" w:hAnsi="Times New Roman" w:cs="Times New Roman"/>
          <w:sz w:val="24"/>
          <w:szCs w:val="24"/>
          <w:lang w:eastAsia="sv-SE"/>
        </w:rPr>
        <w:t>is co-constructed</w:t>
      </w:r>
      <w:proofErr w:type="gramEnd"/>
      <w:r w:rsidRPr="00002777">
        <w:rPr>
          <w:rFonts w:ascii="Times New Roman" w:eastAsia="Times New Roman" w:hAnsi="Times New Roman" w:cs="Times New Roman"/>
          <w:sz w:val="24"/>
          <w:szCs w:val="24"/>
          <w:lang w:eastAsia="sv-SE"/>
        </w:rPr>
        <w:t xml:space="preserve"> through interaction</w:t>
      </w:r>
      <w:r w:rsidR="00FA18BA">
        <w:rPr>
          <w:rFonts w:ascii="Times New Roman" w:eastAsia="Times New Roman" w:hAnsi="Times New Roman" w:cs="Times New Roman"/>
          <w:sz w:val="24"/>
          <w:szCs w:val="24"/>
          <w:lang w:eastAsia="sv-SE"/>
        </w:rPr>
        <w:t xml:space="preserve"> (Eun,2019)</w:t>
      </w:r>
      <w:r w:rsidRPr="00002777">
        <w:rPr>
          <w:rFonts w:ascii="Times New Roman" w:eastAsia="Times New Roman" w:hAnsi="Times New Roman" w:cs="Times New Roman"/>
          <w:sz w:val="24"/>
          <w:szCs w:val="24"/>
          <w:lang w:eastAsia="sv-SE"/>
        </w:rPr>
        <w:t xml:space="preserve">. Classrooms </w:t>
      </w:r>
      <w:proofErr w:type="gramStart"/>
      <w:r w:rsidRPr="00002777">
        <w:rPr>
          <w:rFonts w:ascii="Times New Roman" w:eastAsia="Times New Roman" w:hAnsi="Times New Roman" w:cs="Times New Roman"/>
          <w:sz w:val="24"/>
          <w:szCs w:val="24"/>
          <w:lang w:eastAsia="sv-SE"/>
        </w:rPr>
        <w:t>are therefore understood</w:t>
      </w:r>
      <w:proofErr w:type="gramEnd"/>
      <w:r w:rsidRPr="00002777">
        <w:rPr>
          <w:rFonts w:ascii="Times New Roman" w:eastAsia="Times New Roman" w:hAnsi="Times New Roman" w:cs="Times New Roman"/>
          <w:sz w:val="24"/>
          <w:szCs w:val="24"/>
          <w:lang w:eastAsia="sv-SE"/>
        </w:rPr>
        <w:t xml:space="preserve"> </w:t>
      </w:r>
      <w:r w:rsidR="00196E62" w:rsidRPr="0022518D">
        <w:rPr>
          <w:rFonts w:ascii="Times New Roman" w:eastAsia="Times New Roman" w:hAnsi="Times New Roman" w:cs="Times New Roman"/>
          <w:sz w:val="24"/>
          <w:szCs w:val="24"/>
          <w:lang w:eastAsia="sv-SE"/>
        </w:rPr>
        <w:t xml:space="preserve">in this framework </w:t>
      </w:r>
      <w:r w:rsidRPr="00002777">
        <w:rPr>
          <w:rFonts w:ascii="Times New Roman" w:eastAsia="Times New Roman" w:hAnsi="Times New Roman" w:cs="Times New Roman"/>
          <w:sz w:val="24"/>
          <w:szCs w:val="24"/>
          <w:lang w:eastAsia="sv-SE"/>
        </w:rPr>
        <w:t xml:space="preserve">as social environments where teachers and students collaboratively create learning opportunities, </w:t>
      </w:r>
      <w:r w:rsidRPr="00002777">
        <w:rPr>
          <w:rFonts w:ascii="Times New Roman" w:eastAsia="Times New Roman" w:hAnsi="Times New Roman" w:cs="Times New Roman"/>
          <w:sz w:val="24"/>
          <w:szCs w:val="24"/>
          <w:lang w:eastAsia="sv-SE"/>
        </w:rPr>
        <w:lastRenderedPageBreak/>
        <w:t>allowing the study to examine how scaffolding and the ZPD emerge in everyday practice (Poehner and Leontjev, 2023).</w:t>
      </w:r>
    </w:p>
    <w:p w14:paraId="12DDFFFF" w14:textId="0302B98C" w:rsidR="00336B93" w:rsidRPr="00963259" w:rsidRDefault="000214D8" w:rsidP="002C2E65">
      <w:pPr>
        <w:pStyle w:val="Normalwebb"/>
        <w:numPr>
          <w:ilvl w:val="0"/>
          <w:numId w:val="2"/>
        </w:numPr>
        <w:spacing w:line="360" w:lineRule="auto"/>
        <w:jc w:val="both"/>
        <w:rPr>
          <w:b/>
          <w:bCs/>
        </w:rPr>
      </w:pPr>
      <w:r w:rsidRPr="00963259">
        <w:rPr>
          <w:b/>
          <w:bCs/>
        </w:rPr>
        <w:t>Research Design</w:t>
      </w:r>
    </w:p>
    <w:p w14:paraId="07679327" w14:textId="77777777" w:rsidR="006930F9" w:rsidRPr="00963259" w:rsidRDefault="000214D8" w:rsidP="00963259">
      <w:pPr>
        <w:pStyle w:val="Normalwebb"/>
        <w:spacing w:line="360" w:lineRule="auto"/>
        <w:jc w:val="both"/>
        <w:rPr>
          <w:b/>
          <w:bCs/>
        </w:rPr>
      </w:pPr>
      <w:r w:rsidRPr="00963259">
        <w:rPr>
          <w:b/>
          <w:bCs/>
        </w:rPr>
        <w:t>Participants and context</w:t>
      </w:r>
    </w:p>
    <w:p w14:paraId="559A697A" w14:textId="413A48C7" w:rsidR="00AF249A" w:rsidRPr="00E02B47" w:rsidRDefault="00AF249A" w:rsidP="00E02B47">
      <w:pPr>
        <w:pStyle w:val="Normalwebb"/>
        <w:spacing w:line="360" w:lineRule="auto"/>
        <w:jc w:val="both"/>
      </w:pPr>
      <w:r w:rsidRPr="00002777">
        <w:t xml:space="preserve">The study </w:t>
      </w:r>
      <w:proofErr w:type="gramStart"/>
      <w:r w:rsidRPr="00002777">
        <w:t>is conducted</w:t>
      </w:r>
      <w:proofErr w:type="gramEnd"/>
      <w:r w:rsidRPr="00002777">
        <w:t xml:space="preserve"> in Swedish lower secondary classrooms (ages 13–16), providing a relevant context for examining inclusive participation in diverse educational settings. Participants </w:t>
      </w:r>
      <w:r w:rsidR="00510455">
        <w:t xml:space="preserve">will </w:t>
      </w:r>
      <w:r w:rsidRPr="00002777">
        <w:t xml:space="preserve">include two to three teachers and their classes, selected through purposive sampling to ensure relevance and willingness to engage in reflective discussion. </w:t>
      </w:r>
      <w:r w:rsidR="00BA62EC">
        <w:t>Purposive sampling</w:t>
      </w:r>
      <w:r w:rsidRPr="00002777">
        <w:t xml:space="preserve"> approach supports in-depth, context-sensitive analysis and enables comparison across classrooms, although it prioritises depth over representativeness (Ahmad and Wilkins, 2024).</w:t>
      </w:r>
    </w:p>
    <w:p w14:paraId="149F7809" w14:textId="77777777" w:rsidR="00AF6622" w:rsidRPr="00963259" w:rsidRDefault="006930F9" w:rsidP="00963259">
      <w:pPr>
        <w:pStyle w:val="Normalwebb"/>
        <w:spacing w:line="360" w:lineRule="auto"/>
        <w:jc w:val="both"/>
        <w:rPr>
          <w:rStyle w:val="Stark"/>
          <w:rFonts w:eastAsiaTheme="majorEastAsia"/>
        </w:rPr>
      </w:pPr>
      <w:r w:rsidRPr="00963259">
        <w:rPr>
          <w:rStyle w:val="Stark"/>
          <w:rFonts w:eastAsiaTheme="majorEastAsia"/>
        </w:rPr>
        <w:t>Data Collection Methods</w:t>
      </w:r>
    </w:p>
    <w:p w14:paraId="1ED272CF" w14:textId="22285531" w:rsidR="00E726B9" w:rsidRPr="00F95434" w:rsidRDefault="00953D44" w:rsidP="00F95434">
      <w:pPr>
        <w:spacing w:before="100" w:beforeAutospacing="1" w:after="100" w:afterAutospacing="1" w:line="360" w:lineRule="auto"/>
        <w:jc w:val="both"/>
        <w:rPr>
          <w:rFonts w:ascii="Times New Roman" w:eastAsia="Times New Roman" w:hAnsi="Times New Roman" w:cs="Times New Roman"/>
          <w:sz w:val="24"/>
          <w:szCs w:val="24"/>
          <w:lang w:eastAsia="sv-SE"/>
        </w:rPr>
      </w:pPr>
      <w:r w:rsidRPr="00F95434">
        <w:rPr>
          <w:rFonts w:ascii="Times New Roman" w:eastAsia="Times New Roman" w:hAnsi="Times New Roman" w:cs="Times New Roman"/>
          <w:sz w:val="24"/>
          <w:szCs w:val="24"/>
          <w:lang w:eastAsia="sv-SE"/>
        </w:rPr>
        <w:t xml:space="preserve">Additionally, </w:t>
      </w:r>
      <w:r w:rsidR="00990EFC" w:rsidRPr="00F95434">
        <w:rPr>
          <w:rFonts w:ascii="Times New Roman" w:eastAsia="Times New Roman" w:hAnsi="Times New Roman" w:cs="Times New Roman"/>
          <w:sz w:val="24"/>
          <w:szCs w:val="24"/>
          <w:lang w:eastAsia="sv-SE"/>
        </w:rPr>
        <w:t>m</w:t>
      </w:r>
      <w:r w:rsidR="00E726B9" w:rsidRPr="00002777">
        <w:rPr>
          <w:rFonts w:ascii="Times New Roman" w:eastAsia="Times New Roman" w:hAnsi="Times New Roman" w:cs="Times New Roman"/>
          <w:sz w:val="24"/>
          <w:szCs w:val="24"/>
          <w:lang w:eastAsia="sv-SE"/>
        </w:rPr>
        <w:t xml:space="preserve">ultiple qualitative methods </w:t>
      </w:r>
      <w:r w:rsidR="00990EFC" w:rsidRPr="00F95434">
        <w:rPr>
          <w:rFonts w:ascii="Times New Roman" w:eastAsia="Times New Roman" w:hAnsi="Times New Roman" w:cs="Times New Roman"/>
          <w:sz w:val="24"/>
          <w:szCs w:val="24"/>
          <w:lang w:eastAsia="sv-SE"/>
        </w:rPr>
        <w:t xml:space="preserve">will </w:t>
      </w:r>
      <w:proofErr w:type="gramStart"/>
      <w:r w:rsidR="00990EFC" w:rsidRPr="00F95434">
        <w:rPr>
          <w:rFonts w:ascii="Times New Roman" w:eastAsia="Times New Roman" w:hAnsi="Times New Roman" w:cs="Times New Roman"/>
          <w:sz w:val="24"/>
          <w:szCs w:val="24"/>
          <w:lang w:eastAsia="sv-SE"/>
        </w:rPr>
        <w:t>be</w:t>
      </w:r>
      <w:r w:rsidR="00E726B9" w:rsidRPr="00002777">
        <w:rPr>
          <w:rFonts w:ascii="Times New Roman" w:eastAsia="Times New Roman" w:hAnsi="Times New Roman" w:cs="Times New Roman"/>
          <w:sz w:val="24"/>
          <w:szCs w:val="24"/>
          <w:lang w:eastAsia="sv-SE"/>
        </w:rPr>
        <w:t xml:space="preserve"> used</w:t>
      </w:r>
      <w:proofErr w:type="gramEnd"/>
      <w:r w:rsidR="00E726B9" w:rsidRPr="00002777">
        <w:rPr>
          <w:rFonts w:ascii="Times New Roman" w:eastAsia="Times New Roman" w:hAnsi="Times New Roman" w:cs="Times New Roman"/>
          <w:sz w:val="24"/>
          <w:szCs w:val="24"/>
          <w:lang w:eastAsia="sv-SE"/>
        </w:rPr>
        <w:t xml:space="preserve"> to capture the complexity of classroom interaction. Classroom observations </w:t>
      </w:r>
      <w:r w:rsidR="002506CB" w:rsidRPr="00F95434">
        <w:rPr>
          <w:rFonts w:ascii="Times New Roman" w:eastAsia="Times New Roman" w:hAnsi="Times New Roman" w:cs="Times New Roman"/>
          <w:sz w:val="24"/>
          <w:szCs w:val="24"/>
          <w:lang w:eastAsia="sv-SE"/>
        </w:rPr>
        <w:t xml:space="preserve">will </w:t>
      </w:r>
      <w:r w:rsidR="00E726B9" w:rsidRPr="00002777">
        <w:rPr>
          <w:rFonts w:ascii="Times New Roman" w:eastAsia="Times New Roman" w:hAnsi="Times New Roman" w:cs="Times New Roman"/>
          <w:sz w:val="24"/>
          <w:szCs w:val="24"/>
          <w:lang w:eastAsia="sv-SE"/>
        </w:rPr>
        <w:t>form the primary data source, providing insight into teacher</w:t>
      </w:r>
      <w:r w:rsidR="00990EFC" w:rsidRPr="00F95434">
        <w:rPr>
          <w:rFonts w:ascii="Times New Roman" w:eastAsia="Times New Roman" w:hAnsi="Times New Roman" w:cs="Times New Roman"/>
          <w:sz w:val="24"/>
          <w:szCs w:val="24"/>
          <w:lang w:eastAsia="sv-SE"/>
        </w:rPr>
        <w:t>-</w:t>
      </w:r>
      <w:r w:rsidR="00E726B9" w:rsidRPr="00002777">
        <w:rPr>
          <w:rFonts w:ascii="Times New Roman" w:eastAsia="Times New Roman" w:hAnsi="Times New Roman" w:cs="Times New Roman"/>
          <w:sz w:val="24"/>
          <w:szCs w:val="24"/>
          <w:lang w:eastAsia="sv-SE"/>
        </w:rPr>
        <w:t>student interactions, instructional practices, and participation patterns in natural settings (Wilson, 2022). Field notes will document moments of guidance, prompts, explanations, and other forms of scaffolding</w:t>
      </w:r>
      <w:r w:rsidR="00DD5D12" w:rsidRPr="00F95434">
        <w:rPr>
          <w:rFonts w:ascii="Times New Roman" w:eastAsia="Times New Roman" w:hAnsi="Times New Roman" w:cs="Times New Roman"/>
          <w:sz w:val="24"/>
          <w:szCs w:val="24"/>
          <w:lang w:eastAsia="sv-SE"/>
        </w:rPr>
        <w:t xml:space="preserve"> in natural classroom settings</w:t>
      </w:r>
      <w:r w:rsidR="00E726B9" w:rsidRPr="00002777">
        <w:rPr>
          <w:rFonts w:ascii="Times New Roman" w:eastAsia="Times New Roman" w:hAnsi="Times New Roman" w:cs="Times New Roman"/>
          <w:sz w:val="24"/>
          <w:szCs w:val="24"/>
          <w:lang w:eastAsia="sv-SE"/>
        </w:rPr>
        <w:t>.</w:t>
      </w:r>
    </w:p>
    <w:p w14:paraId="69F7F73F" w14:textId="25922424" w:rsidR="00AB1804" w:rsidRPr="00F95434" w:rsidRDefault="00D54429" w:rsidP="00F95434">
      <w:pPr>
        <w:spacing w:before="100" w:beforeAutospacing="1" w:after="100" w:afterAutospacing="1" w:line="360" w:lineRule="auto"/>
        <w:jc w:val="both"/>
        <w:rPr>
          <w:rFonts w:ascii="Times New Roman" w:eastAsia="Times New Roman" w:hAnsi="Times New Roman" w:cs="Times New Roman"/>
          <w:sz w:val="24"/>
          <w:szCs w:val="24"/>
          <w:lang w:eastAsia="sv-SE"/>
        </w:rPr>
      </w:pPr>
      <w:r w:rsidRPr="00002777">
        <w:rPr>
          <w:rFonts w:ascii="Times New Roman" w:eastAsia="Times New Roman" w:hAnsi="Times New Roman" w:cs="Times New Roman"/>
          <w:sz w:val="24"/>
          <w:szCs w:val="24"/>
          <w:lang w:eastAsia="sv-SE"/>
        </w:rPr>
        <w:t xml:space="preserve">Semi-structured interviews </w:t>
      </w:r>
      <w:r w:rsidR="003648E2" w:rsidRPr="00F95434">
        <w:rPr>
          <w:rFonts w:ascii="Times New Roman" w:eastAsia="Times New Roman" w:hAnsi="Times New Roman" w:cs="Times New Roman"/>
          <w:sz w:val="24"/>
          <w:szCs w:val="24"/>
          <w:lang w:eastAsia="sv-SE"/>
        </w:rPr>
        <w:t xml:space="preserve">will </w:t>
      </w:r>
      <w:r w:rsidRPr="00002777">
        <w:rPr>
          <w:rFonts w:ascii="Times New Roman" w:eastAsia="Times New Roman" w:hAnsi="Times New Roman" w:cs="Times New Roman"/>
          <w:sz w:val="24"/>
          <w:szCs w:val="24"/>
          <w:lang w:eastAsia="sv-SE"/>
        </w:rPr>
        <w:t>complement observations by exploring teachers’ perspectives and the reasoning behind their instructional and inclusive practices. Th</w:t>
      </w:r>
      <w:r w:rsidR="00477FD8" w:rsidRPr="00F95434">
        <w:rPr>
          <w:rFonts w:ascii="Times New Roman" w:eastAsia="Times New Roman" w:hAnsi="Times New Roman" w:cs="Times New Roman"/>
          <w:sz w:val="24"/>
          <w:szCs w:val="24"/>
          <w:lang w:eastAsia="sv-SE"/>
        </w:rPr>
        <w:t xml:space="preserve">e </w:t>
      </w:r>
      <w:r w:rsidR="00207D38" w:rsidRPr="00F95434">
        <w:rPr>
          <w:rFonts w:ascii="Times New Roman" w:eastAsia="Times New Roman" w:hAnsi="Times New Roman" w:cs="Times New Roman"/>
          <w:sz w:val="24"/>
          <w:szCs w:val="24"/>
          <w:lang w:eastAsia="sv-SE"/>
        </w:rPr>
        <w:t xml:space="preserve">reasoning behind </w:t>
      </w:r>
      <w:r w:rsidR="00477FD8" w:rsidRPr="00F95434">
        <w:rPr>
          <w:rFonts w:ascii="Times New Roman" w:eastAsia="Times New Roman" w:hAnsi="Times New Roman" w:cs="Times New Roman"/>
          <w:sz w:val="24"/>
          <w:szCs w:val="24"/>
          <w:lang w:eastAsia="sv-SE"/>
        </w:rPr>
        <w:t>semi-structured interviews</w:t>
      </w:r>
      <w:r w:rsidR="00187135">
        <w:rPr>
          <w:rFonts w:ascii="Times New Roman" w:eastAsia="Times New Roman" w:hAnsi="Times New Roman" w:cs="Times New Roman"/>
          <w:sz w:val="24"/>
          <w:szCs w:val="24"/>
          <w:lang w:eastAsia="sv-SE"/>
        </w:rPr>
        <w:t xml:space="preserve"> is</w:t>
      </w:r>
      <w:r w:rsidR="00874292" w:rsidRPr="00F95434">
        <w:rPr>
          <w:rFonts w:ascii="Times New Roman" w:eastAsia="Times New Roman" w:hAnsi="Times New Roman" w:cs="Times New Roman"/>
          <w:sz w:val="24"/>
          <w:szCs w:val="24"/>
          <w:lang w:eastAsia="sv-SE"/>
        </w:rPr>
        <w:t xml:space="preserve"> to</w:t>
      </w:r>
      <w:r w:rsidR="00477FD8" w:rsidRPr="00F95434">
        <w:rPr>
          <w:rFonts w:ascii="Times New Roman" w:eastAsia="Times New Roman" w:hAnsi="Times New Roman" w:cs="Times New Roman"/>
          <w:sz w:val="24"/>
          <w:szCs w:val="24"/>
          <w:lang w:eastAsia="sv-SE"/>
        </w:rPr>
        <w:t xml:space="preserve"> balance</w:t>
      </w:r>
      <w:r w:rsidRPr="00002777">
        <w:rPr>
          <w:rFonts w:ascii="Times New Roman" w:eastAsia="Times New Roman" w:hAnsi="Times New Roman" w:cs="Times New Roman"/>
          <w:sz w:val="24"/>
          <w:szCs w:val="24"/>
          <w:lang w:eastAsia="sv-SE"/>
        </w:rPr>
        <w:t xml:space="preserve"> structure and flexibility, allowing deeper insights into pedagogical decisions (Adeoye‐Olatunde and Olenik, 2021).</w:t>
      </w:r>
    </w:p>
    <w:p w14:paraId="5F0AB97D" w14:textId="77777777" w:rsidR="006A3E5D" w:rsidRPr="00F95434" w:rsidRDefault="00570417" w:rsidP="00F95434">
      <w:pPr>
        <w:spacing w:before="100" w:beforeAutospacing="1" w:after="100" w:afterAutospacing="1" w:line="360" w:lineRule="auto"/>
        <w:jc w:val="both"/>
      </w:pPr>
      <w:r w:rsidRPr="00F95434">
        <w:rPr>
          <w:rFonts w:ascii="Times New Roman" w:eastAsia="Times New Roman" w:hAnsi="Times New Roman" w:cs="Times New Roman"/>
          <w:sz w:val="24"/>
          <w:szCs w:val="24"/>
          <w:lang w:eastAsia="sv-SE"/>
        </w:rPr>
        <w:t>Where appropriate, c</w:t>
      </w:r>
      <w:r w:rsidR="00874292" w:rsidRPr="00002777">
        <w:rPr>
          <w:rFonts w:ascii="Times New Roman" w:eastAsia="Times New Roman" w:hAnsi="Times New Roman" w:cs="Times New Roman"/>
          <w:sz w:val="24"/>
          <w:szCs w:val="24"/>
          <w:lang w:eastAsia="sv-SE"/>
        </w:rPr>
        <w:t xml:space="preserve">lassroom artefacts, such as lesson plans, worksheets, and learning materials, </w:t>
      </w:r>
      <w:r w:rsidRPr="00F95434">
        <w:rPr>
          <w:rFonts w:ascii="Times New Roman" w:eastAsia="Times New Roman" w:hAnsi="Times New Roman" w:cs="Times New Roman"/>
          <w:sz w:val="24"/>
          <w:szCs w:val="24"/>
          <w:lang w:eastAsia="sv-SE"/>
        </w:rPr>
        <w:t xml:space="preserve">will </w:t>
      </w:r>
      <w:proofErr w:type="gramStart"/>
      <w:r w:rsidRPr="00F95434">
        <w:rPr>
          <w:rFonts w:ascii="Times New Roman" w:eastAsia="Times New Roman" w:hAnsi="Times New Roman" w:cs="Times New Roman"/>
          <w:sz w:val="24"/>
          <w:szCs w:val="24"/>
          <w:lang w:eastAsia="sv-SE"/>
        </w:rPr>
        <w:t>be</w:t>
      </w:r>
      <w:r w:rsidR="00874292" w:rsidRPr="00002777">
        <w:rPr>
          <w:rFonts w:ascii="Times New Roman" w:eastAsia="Times New Roman" w:hAnsi="Times New Roman" w:cs="Times New Roman"/>
          <w:sz w:val="24"/>
          <w:szCs w:val="24"/>
          <w:lang w:eastAsia="sv-SE"/>
        </w:rPr>
        <w:t xml:space="preserve"> used</w:t>
      </w:r>
      <w:proofErr w:type="gramEnd"/>
      <w:r w:rsidR="00874292" w:rsidRPr="00002777">
        <w:rPr>
          <w:rFonts w:ascii="Times New Roman" w:eastAsia="Times New Roman" w:hAnsi="Times New Roman" w:cs="Times New Roman"/>
          <w:sz w:val="24"/>
          <w:szCs w:val="24"/>
          <w:lang w:eastAsia="sv-SE"/>
        </w:rPr>
        <w:t xml:space="preserve"> as supplementary data to contextualise observed practices and understand how participation </w:t>
      </w:r>
      <w:proofErr w:type="gramStart"/>
      <w:r w:rsidR="00874292" w:rsidRPr="00002777">
        <w:rPr>
          <w:rFonts w:ascii="Times New Roman" w:eastAsia="Times New Roman" w:hAnsi="Times New Roman" w:cs="Times New Roman"/>
          <w:sz w:val="24"/>
          <w:szCs w:val="24"/>
          <w:lang w:eastAsia="sv-SE"/>
        </w:rPr>
        <w:t>is supported</w:t>
      </w:r>
      <w:proofErr w:type="gramEnd"/>
      <w:r w:rsidR="00874292" w:rsidRPr="00002777">
        <w:rPr>
          <w:rFonts w:ascii="Times New Roman" w:eastAsia="Times New Roman" w:hAnsi="Times New Roman" w:cs="Times New Roman"/>
          <w:sz w:val="24"/>
          <w:szCs w:val="24"/>
          <w:lang w:eastAsia="sv-SE"/>
        </w:rPr>
        <w:t>. Artefacts, particularly those connected to students’ interests, can also provide insight into how classroom practices promote broader and more equitable participation (Matuk et al., 2021).</w:t>
      </w:r>
      <w:r w:rsidR="002A7CD2" w:rsidRPr="00F95434">
        <w:rPr>
          <w:rFonts w:ascii="Times New Roman" w:eastAsia="Times New Roman" w:hAnsi="Times New Roman" w:cs="Times New Roman"/>
          <w:sz w:val="24"/>
          <w:szCs w:val="24"/>
          <w:lang w:eastAsia="sv-SE"/>
        </w:rPr>
        <w:t xml:space="preserve"> </w:t>
      </w:r>
    </w:p>
    <w:p w14:paraId="7E7DC08A" w14:textId="4F72E0B9" w:rsidR="00D2220E" w:rsidRPr="00F95434" w:rsidRDefault="00711F28" w:rsidP="00F95434">
      <w:pPr>
        <w:spacing w:before="100" w:beforeAutospacing="1" w:after="100" w:afterAutospacing="1" w:line="360" w:lineRule="auto"/>
        <w:jc w:val="both"/>
        <w:rPr>
          <w:rFonts w:ascii="Times New Roman" w:eastAsia="Times New Roman" w:hAnsi="Times New Roman" w:cs="Times New Roman"/>
          <w:sz w:val="24"/>
          <w:szCs w:val="24"/>
          <w:lang w:eastAsia="sv-SE"/>
        </w:rPr>
      </w:pPr>
      <w:r w:rsidRPr="00F95434">
        <w:rPr>
          <w:rFonts w:ascii="Times New Roman" w:eastAsia="Times New Roman" w:hAnsi="Times New Roman" w:cs="Times New Roman"/>
          <w:sz w:val="24"/>
          <w:szCs w:val="24"/>
          <w:lang w:eastAsia="sv-SE"/>
        </w:rPr>
        <w:t>Using</w:t>
      </w:r>
      <w:r w:rsidR="00D2220E" w:rsidRPr="00002777">
        <w:rPr>
          <w:rFonts w:ascii="Times New Roman" w:eastAsia="Times New Roman" w:hAnsi="Times New Roman" w:cs="Times New Roman"/>
          <w:sz w:val="24"/>
          <w:szCs w:val="24"/>
          <w:lang w:eastAsia="sv-SE"/>
        </w:rPr>
        <w:t xml:space="preserve"> multiple data sources enables triangulation, enhancing the study’s credibility by examining practices from different perspectives. Although triangulation does not eliminate </w:t>
      </w:r>
      <w:r w:rsidR="00D2220E" w:rsidRPr="00002777">
        <w:rPr>
          <w:rFonts w:ascii="Times New Roman" w:eastAsia="Times New Roman" w:hAnsi="Times New Roman" w:cs="Times New Roman"/>
          <w:sz w:val="24"/>
          <w:szCs w:val="24"/>
          <w:lang w:eastAsia="sv-SE"/>
        </w:rPr>
        <w:lastRenderedPageBreak/>
        <w:t>interpretive bias, it strengthens validity and reliability in qualitative research (Fusch, Fusch and Ness, 2018).</w:t>
      </w:r>
    </w:p>
    <w:p w14:paraId="2C0A413E" w14:textId="6F89FE2C" w:rsidR="00A52605" w:rsidRPr="00963259" w:rsidRDefault="000E4C2F" w:rsidP="00963259">
      <w:pPr>
        <w:spacing w:before="100" w:beforeAutospacing="1" w:after="100" w:afterAutospacing="1" w:line="360" w:lineRule="auto"/>
        <w:jc w:val="both"/>
        <w:rPr>
          <w:rFonts w:ascii="Times New Roman" w:eastAsia="Times New Roman" w:hAnsi="Times New Roman" w:cs="Times New Roman"/>
          <w:b/>
          <w:bCs/>
          <w:sz w:val="24"/>
          <w:szCs w:val="24"/>
          <w:lang w:eastAsia="sv-SE"/>
        </w:rPr>
      </w:pPr>
      <w:r w:rsidRPr="00963259">
        <w:rPr>
          <w:rFonts w:ascii="Times New Roman" w:eastAsia="Times New Roman" w:hAnsi="Times New Roman" w:cs="Times New Roman"/>
          <w:b/>
          <w:bCs/>
          <w:sz w:val="24"/>
          <w:szCs w:val="24"/>
          <w:lang w:eastAsia="sv-SE"/>
        </w:rPr>
        <w:t>Data analysis</w:t>
      </w:r>
    </w:p>
    <w:p w14:paraId="39D30941" w14:textId="6AC1E935" w:rsidR="00274DE1" w:rsidRPr="00443149" w:rsidRDefault="008B67D2" w:rsidP="00443149">
      <w:pPr>
        <w:spacing w:before="100" w:beforeAutospacing="1" w:after="100" w:afterAutospacing="1" w:line="360" w:lineRule="auto"/>
        <w:jc w:val="both"/>
        <w:rPr>
          <w:rFonts w:ascii="Times New Roman" w:eastAsia="Times New Roman" w:hAnsi="Times New Roman" w:cs="Times New Roman"/>
          <w:sz w:val="24"/>
          <w:szCs w:val="24"/>
          <w:lang w:eastAsia="sv-SE"/>
        </w:rPr>
      </w:pPr>
      <w:r w:rsidRPr="00443149">
        <w:rPr>
          <w:rFonts w:ascii="Times New Roman" w:eastAsia="Times New Roman" w:hAnsi="Times New Roman" w:cs="Times New Roman"/>
          <w:sz w:val="24"/>
          <w:szCs w:val="24"/>
          <w:lang w:eastAsia="sv-SE"/>
        </w:rPr>
        <w:t>The d</w:t>
      </w:r>
      <w:r w:rsidR="00274DE1" w:rsidRPr="00002777">
        <w:rPr>
          <w:rFonts w:ascii="Times New Roman" w:eastAsia="Times New Roman" w:hAnsi="Times New Roman" w:cs="Times New Roman"/>
          <w:sz w:val="24"/>
          <w:szCs w:val="24"/>
          <w:lang w:eastAsia="sv-SE"/>
        </w:rPr>
        <w:t xml:space="preserve">ata will </w:t>
      </w:r>
      <w:proofErr w:type="gramStart"/>
      <w:r w:rsidR="00274DE1" w:rsidRPr="00002777">
        <w:rPr>
          <w:rFonts w:ascii="Times New Roman" w:eastAsia="Times New Roman" w:hAnsi="Times New Roman" w:cs="Times New Roman"/>
          <w:sz w:val="24"/>
          <w:szCs w:val="24"/>
          <w:lang w:eastAsia="sv-SE"/>
        </w:rPr>
        <w:t>be analysed</w:t>
      </w:r>
      <w:proofErr w:type="gramEnd"/>
      <w:r w:rsidR="00274DE1" w:rsidRPr="00002777">
        <w:rPr>
          <w:rFonts w:ascii="Times New Roman" w:eastAsia="Times New Roman" w:hAnsi="Times New Roman" w:cs="Times New Roman"/>
          <w:sz w:val="24"/>
          <w:szCs w:val="24"/>
          <w:lang w:eastAsia="sv-SE"/>
        </w:rPr>
        <w:t xml:space="preserve"> using thematic analysis to identify patterns related to scaffolding, teacher support, and student participation</w:t>
      </w:r>
      <w:proofErr w:type="gramStart"/>
      <w:r w:rsidR="00D97ADF" w:rsidRPr="00443149">
        <w:rPr>
          <w:rFonts w:ascii="Times New Roman" w:eastAsia="Times New Roman" w:hAnsi="Times New Roman" w:cs="Times New Roman"/>
          <w:sz w:val="24"/>
          <w:szCs w:val="24"/>
          <w:lang w:eastAsia="sv-SE"/>
        </w:rPr>
        <w:t xml:space="preserve">.  </w:t>
      </w:r>
      <w:proofErr w:type="gramEnd"/>
      <w:r w:rsidR="00D97ADF" w:rsidRPr="00443149">
        <w:rPr>
          <w:rFonts w:ascii="Times New Roman" w:eastAsia="Times New Roman" w:hAnsi="Times New Roman" w:cs="Times New Roman"/>
          <w:sz w:val="24"/>
          <w:szCs w:val="24"/>
          <w:lang w:eastAsia="sv-SE"/>
        </w:rPr>
        <w:t>Thematic analysis is a qualitative approach for identifying and analysing patterns of meaning within data (Braun and Clarke, 2006).</w:t>
      </w:r>
      <w:r w:rsidR="00921F2F" w:rsidRPr="00443149">
        <w:rPr>
          <w:rFonts w:ascii="Times New Roman" w:eastAsia="Times New Roman" w:hAnsi="Times New Roman" w:cs="Times New Roman"/>
          <w:sz w:val="24"/>
          <w:szCs w:val="24"/>
          <w:lang w:eastAsia="sv-SE"/>
        </w:rPr>
        <w:t xml:space="preserve"> </w:t>
      </w:r>
      <w:r w:rsidR="00274DE1" w:rsidRPr="00002777">
        <w:rPr>
          <w:rFonts w:ascii="Times New Roman" w:eastAsia="Times New Roman" w:hAnsi="Times New Roman" w:cs="Times New Roman"/>
          <w:sz w:val="24"/>
          <w:szCs w:val="24"/>
          <w:lang w:eastAsia="sv-SE"/>
        </w:rPr>
        <w:t xml:space="preserve">Field notes and interview transcripts will </w:t>
      </w:r>
      <w:proofErr w:type="gramStart"/>
      <w:r w:rsidR="00274DE1" w:rsidRPr="00002777">
        <w:rPr>
          <w:rFonts w:ascii="Times New Roman" w:eastAsia="Times New Roman" w:hAnsi="Times New Roman" w:cs="Times New Roman"/>
          <w:sz w:val="24"/>
          <w:szCs w:val="24"/>
          <w:lang w:eastAsia="sv-SE"/>
        </w:rPr>
        <w:t>be reviewed</w:t>
      </w:r>
      <w:proofErr w:type="gramEnd"/>
      <w:r w:rsidR="00274DE1" w:rsidRPr="00002777">
        <w:rPr>
          <w:rFonts w:ascii="Times New Roman" w:eastAsia="Times New Roman" w:hAnsi="Times New Roman" w:cs="Times New Roman"/>
          <w:sz w:val="24"/>
          <w:szCs w:val="24"/>
          <w:lang w:eastAsia="sv-SE"/>
        </w:rPr>
        <w:t xml:space="preserve"> systematically, with repeated reading to ensure familiarity with the data.</w:t>
      </w:r>
    </w:p>
    <w:p w14:paraId="2396A226" w14:textId="368837ED" w:rsidR="007E5DAA" w:rsidRPr="00002777" w:rsidRDefault="006B34B6" w:rsidP="00443149">
      <w:pPr>
        <w:spacing w:before="100" w:beforeAutospacing="1" w:after="100" w:afterAutospacing="1" w:line="360" w:lineRule="auto"/>
        <w:jc w:val="both"/>
        <w:rPr>
          <w:rFonts w:ascii="Times New Roman" w:eastAsia="Times New Roman" w:hAnsi="Times New Roman" w:cs="Times New Roman"/>
          <w:sz w:val="24"/>
          <w:szCs w:val="24"/>
          <w:lang w:eastAsia="sv-SE"/>
        </w:rPr>
      </w:pPr>
      <w:r w:rsidRPr="00443149">
        <w:rPr>
          <w:rFonts w:ascii="Times New Roman" w:eastAsia="Times New Roman" w:hAnsi="Times New Roman" w:cs="Times New Roman"/>
          <w:sz w:val="24"/>
          <w:szCs w:val="24"/>
          <w:lang w:eastAsia="sv-SE"/>
        </w:rPr>
        <w:t>Similarly, i</w:t>
      </w:r>
      <w:r w:rsidR="007E5DAA" w:rsidRPr="00002777">
        <w:rPr>
          <w:rFonts w:ascii="Times New Roman" w:eastAsia="Times New Roman" w:hAnsi="Times New Roman" w:cs="Times New Roman"/>
          <w:sz w:val="24"/>
          <w:szCs w:val="24"/>
          <w:lang w:eastAsia="sv-SE"/>
        </w:rPr>
        <w:t>nitial coding will</w:t>
      </w:r>
      <w:r w:rsidR="00407F85" w:rsidRPr="00443149">
        <w:rPr>
          <w:rFonts w:ascii="Times New Roman" w:eastAsia="Times New Roman" w:hAnsi="Times New Roman" w:cs="Times New Roman"/>
          <w:sz w:val="24"/>
          <w:szCs w:val="24"/>
          <w:lang w:eastAsia="sv-SE"/>
        </w:rPr>
        <w:t xml:space="preserve"> </w:t>
      </w:r>
      <w:proofErr w:type="gramStart"/>
      <w:r w:rsidR="00407F85" w:rsidRPr="00443149">
        <w:rPr>
          <w:rFonts w:ascii="Times New Roman" w:eastAsia="Times New Roman" w:hAnsi="Times New Roman" w:cs="Times New Roman"/>
          <w:sz w:val="24"/>
          <w:szCs w:val="24"/>
          <w:lang w:eastAsia="sv-SE"/>
        </w:rPr>
        <w:t>be generated</w:t>
      </w:r>
      <w:proofErr w:type="gramEnd"/>
      <w:r w:rsidR="00407F85" w:rsidRPr="00443149">
        <w:rPr>
          <w:rFonts w:ascii="Times New Roman" w:eastAsia="Times New Roman" w:hAnsi="Times New Roman" w:cs="Times New Roman"/>
          <w:sz w:val="24"/>
          <w:szCs w:val="24"/>
          <w:lang w:eastAsia="sv-SE"/>
        </w:rPr>
        <w:t xml:space="preserve"> to</w:t>
      </w:r>
      <w:r w:rsidR="007E5DAA" w:rsidRPr="00002777">
        <w:rPr>
          <w:rFonts w:ascii="Times New Roman" w:eastAsia="Times New Roman" w:hAnsi="Times New Roman" w:cs="Times New Roman"/>
          <w:sz w:val="24"/>
          <w:szCs w:val="24"/>
          <w:lang w:eastAsia="sv-SE"/>
        </w:rPr>
        <w:t xml:space="preserve"> capture key features of classroom interaction, such as teacher prompts, feedback, questioning strategies, and forms of student participation. </w:t>
      </w:r>
      <w:r w:rsidR="0043597F" w:rsidRPr="00443149">
        <w:rPr>
          <w:rFonts w:ascii="Times New Roman" w:eastAsia="Times New Roman" w:hAnsi="Times New Roman" w:cs="Times New Roman"/>
          <w:sz w:val="24"/>
          <w:szCs w:val="24"/>
          <w:lang w:eastAsia="sv-SE"/>
        </w:rPr>
        <w:t>Coding in qualitative research</w:t>
      </w:r>
      <w:r w:rsidR="007E5DAA" w:rsidRPr="00002777">
        <w:rPr>
          <w:rFonts w:ascii="Times New Roman" w:eastAsia="Times New Roman" w:hAnsi="Times New Roman" w:cs="Times New Roman"/>
          <w:sz w:val="24"/>
          <w:szCs w:val="24"/>
          <w:lang w:eastAsia="sv-SE"/>
        </w:rPr>
        <w:t xml:space="preserve"> </w:t>
      </w:r>
      <w:proofErr w:type="gramStart"/>
      <w:r w:rsidR="007E5DAA" w:rsidRPr="00002777">
        <w:rPr>
          <w:rFonts w:ascii="Times New Roman" w:eastAsia="Times New Roman" w:hAnsi="Times New Roman" w:cs="Times New Roman"/>
          <w:sz w:val="24"/>
          <w:szCs w:val="24"/>
          <w:lang w:eastAsia="sv-SE"/>
        </w:rPr>
        <w:t>is understood</w:t>
      </w:r>
      <w:proofErr w:type="gramEnd"/>
      <w:r w:rsidR="007E5DAA" w:rsidRPr="00002777">
        <w:rPr>
          <w:rFonts w:ascii="Times New Roman" w:eastAsia="Times New Roman" w:hAnsi="Times New Roman" w:cs="Times New Roman"/>
          <w:sz w:val="24"/>
          <w:szCs w:val="24"/>
          <w:lang w:eastAsia="sv-SE"/>
        </w:rPr>
        <w:t xml:space="preserve"> as an interpretive process, where segments of data </w:t>
      </w:r>
      <w:proofErr w:type="gramStart"/>
      <w:r w:rsidR="007E5DAA" w:rsidRPr="00002777">
        <w:rPr>
          <w:rFonts w:ascii="Times New Roman" w:eastAsia="Times New Roman" w:hAnsi="Times New Roman" w:cs="Times New Roman"/>
          <w:sz w:val="24"/>
          <w:szCs w:val="24"/>
          <w:lang w:eastAsia="sv-SE"/>
        </w:rPr>
        <w:t>are labelled</w:t>
      </w:r>
      <w:proofErr w:type="gramEnd"/>
      <w:r w:rsidR="007E5DAA" w:rsidRPr="00002777">
        <w:rPr>
          <w:rFonts w:ascii="Times New Roman" w:eastAsia="Times New Roman" w:hAnsi="Times New Roman" w:cs="Times New Roman"/>
          <w:sz w:val="24"/>
          <w:szCs w:val="24"/>
          <w:lang w:eastAsia="sv-SE"/>
        </w:rPr>
        <w:t xml:space="preserve"> to represent key meanings (Cooper, 2016). These codes will then be organised into broader themes aligned with the theoretical framework, including forms of scaffolding, support for diverse learners, participation patterns, and interactional conditions within the ZPD.</w:t>
      </w:r>
    </w:p>
    <w:p w14:paraId="74247F00" w14:textId="30BC5FD4" w:rsidR="00274DE1" w:rsidRPr="00443149" w:rsidRDefault="009C7156" w:rsidP="00443149">
      <w:pPr>
        <w:spacing w:before="100" w:beforeAutospacing="1" w:after="100" w:afterAutospacing="1" w:line="360" w:lineRule="auto"/>
        <w:jc w:val="both"/>
        <w:rPr>
          <w:rFonts w:ascii="Times New Roman" w:eastAsia="Times New Roman" w:hAnsi="Times New Roman" w:cs="Times New Roman"/>
          <w:sz w:val="24"/>
          <w:szCs w:val="24"/>
          <w:lang w:eastAsia="sv-SE"/>
        </w:rPr>
      </w:pPr>
      <w:r w:rsidRPr="00002777">
        <w:rPr>
          <w:rFonts w:ascii="Times New Roman" w:eastAsia="Times New Roman" w:hAnsi="Times New Roman" w:cs="Times New Roman"/>
          <w:sz w:val="24"/>
          <w:szCs w:val="24"/>
          <w:lang w:eastAsia="sv-SE"/>
        </w:rPr>
        <w:t xml:space="preserve">The analysis </w:t>
      </w:r>
      <w:proofErr w:type="gramStart"/>
      <w:r w:rsidRPr="00002777">
        <w:rPr>
          <w:rFonts w:ascii="Times New Roman" w:eastAsia="Times New Roman" w:hAnsi="Times New Roman" w:cs="Times New Roman"/>
          <w:sz w:val="24"/>
          <w:szCs w:val="24"/>
          <w:lang w:eastAsia="sv-SE"/>
        </w:rPr>
        <w:t>is guided</w:t>
      </w:r>
      <w:proofErr w:type="gramEnd"/>
      <w:r w:rsidRPr="00002777">
        <w:rPr>
          <w:rFonts w:ascii="Times New Roman" w:eastAsia="Times New Roman" w:hAnsi="Times New Roman" w:cs="Times New Roman"/>
          <w:sz w:val="24"/>
          <w:szCs w:val="24"/>
          <w:lang w:eastAsia="sv-SE"/>
        </w:rPr>
        <w:t xml:space="preserve"> by a sociocultural perspective, focusing on how learning is socially mediated and how meaning </w:t>
      </w:r>
      <w:proofErr w:type="gramStart"/>
      <w:r w:rsidRPr="00002777">
        <w:rPr>
          <w:rFonts w:ascii="Times New Roman" w:eastAsia="Times New Roman" w:hAnsi="Times New Roman" w:cs="Times New Roman"/>
          <w:sz w:val="24"/>
          <w:szCs w:val="24"/>
          <w:lang w:eastAsia="sv-SE"/>
        </w:rPr>
        <w:t>is co-constructed</w:t>
      </w:r>
      <w:proofErr w:type="gramEnd"/>
      <w:r w:rsidRPr="00002777">
        <w:rPr>
          <w:rFonts w:ascii="Times New Roman" w:eastAsia="Times New Roman" w:hAnsi="Times New Roman" w:cs="Times New Roman"/>
          <w:sz w:val="24"/>
          <w:szCs w:val="24"/>
          <w:lang w:eastAsia="sv-SE"/>
        </w:rPr>
        <w:t xml:space="preserve"> in interaction. </w:t>
      </w:r>
      <w:r w:rsidR="00443149" w:rsidRPr="00002777">
        <w:rPr>
          <w:rFonts w:ascii="Times New Roman" w:eastAsia="Times New Roman" w:hAnsi="Times New Roman" w:cs="Times New Roman"/>
          <w:sz w:val="24"/>
          <w:szCs w:val="24"/>
          <w:lang w:eastAsia="sv-SE"/>
        </w:rPr>
        <w:t>Th</w:t>
      </w:r>
      <w:r w:rsidR="00443149" w:rsidRPr="00443149">
        <w:rPr>
          <w:rFonts w:ascii="Times New Roman" w:eastAsia="Times New Roman" w:hAnsi="Times New Roman" w:cs="Times New Roman"/>
          <w:sz w:val="24"/>
          <w:szCs w:val="24"/>
          <w:lang w:eastAsia="sv-SE"/>
        </w:rPr>
        <w:t>erefore,</w:t>
      </w:r>
      <w:r w:rsidR="00D54085" w:rsidRPr="00443149">
        <w:rPr>
          <w:rFonts w:ascii="Times New Roman" w:eastAsia="Times New Roman" w:hAnsi="Times New Roman" w:cs="Times New Roman"/>
          <w:sz w:val="24"/>
          <w:szCs w:val="24"/>
          <w:lang w:eastAsia="sv-SE"/>
        </w:rPr>
        <w:t xml:space="preserve"> th</w:t>
      </w:r>
      <w:r w:rsidRPr="00002777">
        <w:rPr>
          <w:rFonts w:ascii="Times New Roman" w:eastAsia="Times New Roman" w:hAnsi="Times New Roman" w:cs="Times New Roman"/>
          <w:sz w:val="24"/>
          <w:szCs w:val="24"/>
          <w:lang w:eastAsia="sv-SE"/>
        </w:rPr>
        <w:t>is</w:t>
      </w:r>
      <w:r w:rsidR="00D54085" w:rsidRPr="00443149">
        <w:rPr>
          <w:rFonts w:ascii="Times New Roman" w:eastAsia="Times New Roman" w:hAnsi="Times New Roman" w:cs="Times New Roman"/>
          <w:sz w:val="24"/>
          <w:szCs w:val="24"/>
          <w:lang w:eastAsia="sv-SE"/>
        </w:rPr>
        <w:t xml:space="preserve"> </w:t>
      </w:r>
      <w:r w:rsidR="00443149" w:rsidRPr="00443149">
        <w:rPr>
          <w:rFonts w:ascii="Times New Roman" w:eastAsia="Times New Roman" w:hAnsi="Times New Roman" w:cs="Times New Roman"/>
          <w:sz w:val="24"/>
          <w:szCs w:val="24"/>
          <w:lang w:eastAsia="sv-SE"/>
        </w:rPr>
        <w:t>interpretative</w:t>
      </w:r>
      <w:r w:rsidRPr="00002777">
        <w:rPr>
          <w:rFonts w:ascii="Times New Roman" w:eastAsia="Times New Roman" w:hAnsi="Times New Roman" w:cs="Times New Roman"/>
          <w:sz w:val="24"/>
          <w:szCs w:val="24"/>
          <w:lang w:eastAsia="sv-SE"/>
        </w:rPr>
        <w:t xml:space="preserve"> approach enables examination of how scaffolding practices support or constrain inclusive participation.</w:t>
      </w:r>
    </w:p>
    <w:p w14:paraId="3AB70D76" w14:textId="10E74B15" w:rsidR="00CA408C" w:rsidRPr="00963259" w:rsidRDefault="007450AE" w:rsidP="00963259">
      <w:pPr>
        <w:spacing w:before="100" w:beforeAutospacing="1" w:after="100" w:afterAutospacing="1" w:line="360" w:lineRule="auto"/>
        <w:jc w:val="both"/>
        <w:rPr>
          <w:rFonts w:ascii="Times New Roman" w:eastAsia="Times New Roman" w:hAnsi="Times New Roman" w:cs="Times New Roman"/>
          <w:b/>
          <w:bCs/>
          <w:sz w:val="24"/>
          <w:szCs w:val="24"/>
          <w:lang w:eastAsia="sv-SE"/>
        </w:rPr>
      </w:pPr>
      <w:r w:rsidRPr="00963259">
        <w:rPr>
          <w:rFonts w:ascii="Times New Roman" w:eastAsia="Times New Roman" w:hAnsi="Times New Roman" w:cs="Times New Roman"/>
          <w:b/>
          <w:bCs/>
          <w:sz w:val="24"/>
          <w:szCs w:val="24"/>
          <w:lang w:eastAsia="sv-SE"/>
        </w:rPr>
        <w:t>c) Research positionality</w:t>
      </w:r>
    </w:p>
    <w:p w14:paraId="0CF3BBE3" w14:textId="018A4803" w:rsidR="0069300C" w:rsidRPr="00002777" w:rsidRDefault="00DB51E0" w:rsidP="00BE6049">
      <w:pPr>
        <w:spacing w:before="100" w:beforeAutospacing="1" w:after="100" w:afterAutospacing="1" w:line="360" w:lineRule="auto"/>
        <w:jc w:val="both"/>
        <w:rPr>
          <w:rFonts w:ascii="Times New Roman" w:eastAsia="Times New Roman" w:hAnsi="Times New Roman" w:cs="Times New Roman"/>
          <w:sz w:val="24"/>
          <w:szCs w:val="24"/>
          <w:lang w:eastAsia="sv-SE"/>
        </w:rPr>
      </w:pPr>
      <w:r w:rsidRPr="00002777">
        <w:rPr>
          <w:rFonts w:ascii="Times New Roman" w:eastAsia="Times New Roman" w:hAnsi="Times New Roman" w:cs="Times New Roman"/>
          <w:sz w:val="24"/>
          <w:szCs w:val="24"/>
          <w:lang w:eastAsia="sv-SE"/>
        </w:rPr>
        <w:t>As a practitioner researcher, the researcher occupies a dual role as educator and investigator. This</w:t>
      </w:r>
      <w:r w:rsidR="003F2037" w:rsidRPr="00BE6049">
        <w:rPr>
          <w:rFonts w:ascii="Times New Roman" w:eastAsia="Times New Roman" w:hAnsi="Times New Roman" w:cs="Times New Roman"/>
          <w:sz w:val="24"/>
          <w:szCs w:val="24"/>
          <w:lang w:eastAsia="sv-SE"/>
        </w:rPr>
        <w:t xml:space="preserve"> </w:t>
      </w:r>
      <w:r w:rsidR="00C93F2B" w:rsidRPr="00BE6049">
        <w:rPr>
          <w:rFonts w:ascii="Times New Roman" w:eastAsia="Times New Roman" w:hAnsi="Times New Roman" w:cs="Times New Roman"/>
          <w:sz w:val="24"/>
          <w:szCs w:val="24"/>
          <w:lang w:eastAsia="sv-SE"/>
        </w:rPr>
        <w:t>dualism</w:t>
      </w:r>
      <w:r w:rsidRPr="00002777">
        <w:rPr>
          <w:rFonts w:ascii="Times New Roman" w:eastAsia="Times New Roman" w:hAnsi="Times New Roman" w:cs="Times New Roman"/>
          <w:sz w:val="24"/>
          <w:szCs w:val="24"/>
          <w:lang w:eastAsia="sv-SE"/>
        </w:rPr>
        <w:t xml:space="preserve"> provides valuable contextual insight but also introduces potential bias</w:t>
      </w:r>
      <w:r w:rsidR="00EF0496" w:rsidRPr="00BE6049">
        <w:rPr>
          <w:rFonts w:ascii="Times New Roman" w:eastAsia="Times New Roman" w:hAnsi="Times New Roman" w:cs="Times New Roman"/>
          <w:sz w:val="24"/>
          <w:szCs w:val="24"/>
          <w:lang w:eastAsia="sv-SE"/>
        </w:rPr>
        <w:t xml:space="preserve"> and subjectivity</w:t>
      </w:r>
      <w:r w:rsidRPr="00002777">
        <w:rPr>
          <w:rFonts w:ascii="Times New Roman" w:eastAsia="Times New Roman" w:hAnsi="Times New Roman" w:cs="Times New Roman"/>
          <w:sz w:val="24"/>
          <w:szCs w:val="24"/>
          <w:lang w:eastAsia="sv-SE"/>
        </w:rPr>
        <w:t xml:space="preserve">, as personal experience and professional beliefs may influence </w:t>
      </w:r>
      <w:r w:rsidR="00525115" w:rsidRPr="00BE6049">
        <w:rPr>
          <w:rFonts w:ascii="Times New Roman" w:eastAsia="Times New Roman" w:hAnsi="Times New Roman" w:cs="Times New Roman"/>
          <w:sz w:val="24"/>
          <w:szCs w:val="24"/>
          <w:lang w:eastAsia="sv-SE"/>
        </w:rPr>
        <w:t>interpretation. To</w:t>
      </w:r>
      <w:r w:rsidR="0069300C" w:rsidRPr="00002777">
        <w:rPr>
          <w:rFonts w:ascii="Times New Roman" w:eastAsia="Times New Roman" w:hAnsi="Times New Roman" w:cs="Times New Roman"/>
          <w:sz w:val="24"/>
          <w:szCs w:val="24"/>
          <w:lang w:eastAsia="sv-SE"/>
        </w:rPr>
        <w:t xml:space="preserve"> address this, the study </w:t>
      </w:r>
      <w:r w:rsidR="00EF0496" w:rsidRPr="00BE6049">
        <w:rPr>
          <w:rFonts w:ascii="Times New Roman" w:eastAsia="Times New Roman" w:hAnsi="Times New Roman" w:cs="Times New Roman"/>
          <w:sz w:val="24"/>
          <w:szCs w:val="24"/>
          <w:lang w:eastAsia="sv-SE"/>
        </w:rPr>
        <w:t xml:space="preserve">intends to </w:t>
      </w:r>
      <w:r w:rsidR="0069300C" w:rsidRPr="00002777">
        <w:rPr>
          <w:rFonts w:ascii="Times New Roman" w:eastAsia="Times New Roman" w:hAnsi="Times New Roman" w:cs="Times New Roman"/>
          <w:sz w:val="24"/>
          <w:szCs w:val="24"/>
          <w:lang w:eastAsia="sv-SE"/>
        </w:rPr>
        <w:t>incorporate reflexive practices, including reflective notes and analytic memos to document assumptions and decisions throughout the research process.</w:t>
      </w:r>
      <w:r w:rsidR="002A3C0B" w:rsidRPr="00BE6049">
        <w:t xml:space="preserve"> </w:t>
      </w:r>
      <w:r w:rsidR="002A3C0B" w:rsidRPr="00BE6049">
        <w:rPr>
          <w:rFonts w:ascii="Times New Roman" w:eastAsia="Times New Roman" w:hAnsi="Times New Roman" w:cs="Times New Roman"/>
          <w:sz w:val="24"/>
          <w:szCs w:val="24"/>
          <w:lang w:eastAsia="sv-SE"/>
        </w:rPr>
        <w:t>Good researchers are reflexive, considering both broader issues and the specific context of each research situation (BERA, 2024).</w:t>
      </w:r>
      <w:r w:rsidR="0069300C" w:rsidRPr="00002777">
        <w:rPr>
          <w:rFonts w:ascii="Times New Roman" w:eastAsia="Times New Roman" w:hAnsi="Times New Roman" w:cs="Times New Roman"/>
          <w:sz w:val="24"/>
          <w:szCs w:val="24"/>
          <w:lang w:eastAsia="sv-SE"/>
        </w:rPr>
        <w:t xml:space="preserve"> Reflexivity is essential for maintaining awareness of the researcher’s influence and ensuring research quality (BERA, 2024; Tan, Kocsis and Burry, 2023). </w:t>
      </w:r>
      <w:r w:rsidR="00246F53" w:rsidRPr="00BE6049">
        <w:rPr>
          <w:rFonts w:ascii="Times New Roman" w:eastAsia="Times New Roman" w:hAnsi="Times New Roman" w:cs="Times New Roman"/>
          <w:sz w:val="24"/>
          <w:szCs w:val="24"/>
          <w:lang w:eastAsia="sv-SE"/>
        </w:rPr>
        <w:t xml:space="preserve">Reflexivity </w:t>
      </w:r>
      <w:r w:rsidR="0069300C" w:rsidRPr="00002777">
        <w:rPr>
          <w:rFonts w:ascii="Times New Roman" w:eastAsia="Times New Roman" w:hAnsi="Times New Roman" w:cs="Times New Roman"/>
          <w:sz w:val="24"/>
          <w:szCs w:val="24"/>
          <w:lang w:eastAsia="sv-SE"/>
        </w:rPr>
        <w:t>supports key qualitative criteria such as credibility, transferability, dependability, and confirmability (Korstjens and Moser, 2018)</w:t>
      </w:r>
      <w:r w:rsidR="006C319C">
        <w:rPr>
          <w:rFonts w:ascii="Times New Roman" w:eastAsia="Times New Roman" w:hAnsi="Times New Roman" w:cs="Times New Roman"/>
          <w:sz w:val="24"/>
          <w:szCs w:val="24"/>
          <w:lang w:eastAsia="sv-SE"/>
        </w:rPr>
        <w:t>, (Bos,202</w:t>
      </w:r>
      <w:r w:rsidR="00B67878">
        <w:rPr>
          <w:rFonts w:ascii="Times New Roman" w:eastAsia="Times New Roman" w:hAnsi="Times New Roman" w:cs="Times New Roman"/>
          <w:sz w:val="24"/>
          <w:szCs w:val="24"/>
          <w:lang w:eastAsia="sv-SE"/>
        </w:rPr>
        <w:t>0)</w:t>
      </w:r>
      <w:r w:rsidR="0069300C" w:rsidRPr="00002777">
        <w:rPr>
          <w:rFonts w:ascii="Times New Roman" w:eastAsia="Times New Roman" w:hAnsi="Times New Roman" w:cs="Times New Roman"/>
          <w:sz w:val="24"/>
          <w:szCs w:val="24"/>
          <w:lang w:eastAsia="sv-SE"/>
        </w:rPr>
        <w:t>.</w:t>
      </w:r>
    </w:p>
    <w:p w14:paraId="6092EA1D" w14:textId="18D4461F" w:rsidR="000C2E22" w:rsidRPr="00963259" w:rsidRDefault="000C2E22" w:rsidP="00BE6049">
      <w:pPr>
        <w:spacing w:before="100" w:beforeAutospacing="1" w:after="100" w:afterAutospacing="1" w:line="360" w:lineRule="auto"/>
        <w:jc w:val="both"/>
        <w:rPr>
          <w:rFonts w:ascii="Times New Roman" w:eastAsia="Times New Roman" w:hAnsi="Times New Roman" w:cs="Times New Roman"/>
          <w:sz w:val="24"/>
          <w:szCs w:val="24"/>
          <w:lang w:eastAsia="sv-SE"/>
        </w:rPr>
      </w:pPr>
      <w:r w:rsidRPr="00002777">
        <w:rPr>
          <w:rFonts w:ascii="Times New Roman" w:eastAsia="Times New Roman" w:hAnsi="Times New Roman" w:cs="Times New Roman"/>
          <w:sz w:val="24"/>
          <w:szCs w:val="24"/>
          <w:lang w:eastAsia="sv-SE"/>
        </w:rPr>
        <w:lastRenderedPageBreak/>
        <w:t xml:space="preserve">However, bias remains a consideration, particularly in data interpretation, which </w:t>
      </w:r>
      <w:proofErr w:type="gramStart"/>
      <w:r w:rsidRPr="00002777">
        <w:rPr>
          <w:rFonts w:ascii="Times New Roman" w:eastAsia="Times New Roman" w:hAnsi="Times New Roman" w:cs="Times New Roman"/>
          <w:sz w:val="24"/>
          <w:szCs w:val="24"/>
          <w:lang w:eastAsia="sv-SE"/>
        </w:rPr>
        <w:t>is shaped</w:t>
      </w:r>
      <w:proofErr w:type="gramEnd"/>
      <w:r w:rsidRPr="00002777">
        <w:rPr>
          <w:rFonts w:ascii="Times New Roman" w:eastAsia="Times New Roman" w:hAnsi="Times New Roman" w:cs="Times New Roman"/>
          <w:sz w:val="24"/>
          <w:szCs w:val="24"/>
          <w:lang w:eastAsia="sv-SE"/>
        </w:rPr>
        <w:t xml:space="preserve"> by broader research contexts (Baldwin, 2022). Maintaining awareness of the dual role</w:t>
      </w:r>
      <w:r w:rsidR="00514549" w:rsidRPr="00BE6049">
        <w:rPr>
          <w:rFonts w:ascii="Times New Roman" w:eastAsia="Times New Roman" w:hAnsi="Times New Roman" w:cs="Times New Roman"/>
          <w:sz w:val="24"/>
          <w:szCs w:val="24"/>
          <w:lang w:eastAsia="sv-SE"/>
        </w:rPr>
        <w:t xml:space="preserve"> of researcher vis-à-vis educator</w:t>
      </w:r>
      <w:r w:rsidRPr="00002777">
        <w:rPr>
          <w:rFonts w:ascii="Times New Roman" w:eastAsia="Times New Roman" w:hAnsi="Times New Roman" w:cs="Times New Roman"/>
          <w:sz w:val="24"/>
          <w:szCs w:val="24"/>
          <w:lang w:eastAsia="sv-SE"/>
        </w:rPr>
        <w:t xml:space="preserve"> helps ensure that findings remain grounded in the data while acknowledging the researcher’s perspective.</w:t>
      </w:r>
      <w:r w:rsidR="00BE6049" w:rsidRPr="00BE6049">
        <w:rPr>
          <w:rFonts w:ascii="Times New Roman" w:eastAsia="Times New Roman" w:hAnsi="Times New Roman" w:cs="Times New Roman"/>
          <w:sz w:val="24"/>
          <w:szCs w:val="24"/>
          <w:lang w:eastAsia="sv-SE"/>
        </w:rPr>
        <w:t xml:space="preserve"> Important to note is that e</w:t>
      </w:r>
      <w:r w:rsidRPr="00002777">
        <w:rPr>
          <w:rFonts w:ascii="Times New Roman" w:eastAsia="Times New Roman" w:hAnsi="Times New Roman" w:cs="Times New Roman"/>
          <w:sz w:val="24"/>
          <w:szCs w:val="24"/>
          <w:lang w:eastAsia="sv-SE"/>
        </w:rPr>
        <w:t xml:space="preserve">thical considerations </w:t>
      </w:r>
      <w:r w:rsidR="00BE6049" w:rsidRPr="00BE6049">
        <w:rPr>
          <w:rFonts w:ascii="Times New Roman" w:eastAsia="Times New Roman" w:hAnsi="Times New Roman" w:cs="Times New Roman"/>
          <w:sz w:val="24"/>
          <w:szCs w:val="24"/>
          <w:lang w:eastAsia="sv-SE"/>
        </w:rPr>
        <w:t>will be</w:t>
      </w:r>
      <w:r w:rsidRPr="00002777">
        <w:rPr>
          <w:rFonts w:ascii="Times New Roman" w:eastAsia="Times New Roman" w:hAnsi="Times New Roman" w:cs="Times New Roman"/>
          <w:sz w:val="24"/>
          <w:szCs w:val="24"/>
          <w:lang w:eastAsia="sv-SE"/>
        </w:rPr>
        <w:t xml:space="preserve"> prioritised, including voluntary participation, informed consent, and data anonymisation to ensure confidentiality and participant wellbeing, in line with institutional ethical guidelines.</w:t>
      </w:r>
    </w:p>
    <w:p w14:paraId="747482D7" w14:textId="3818D136" w:rsidR="00F50C54" w:rsidRPr="0063659C" w:rsidRDefault="00DB2F71" w:rsidP="0063659C">
      <w:pPr>
        <w:spacing w:before="100" w:beforeAutospacing="1" w:after="100" w:afterAutospacing="1" w:line="360" w:lineRule="auto"/>
        <w:jc w:val="both"/>
        <w:rPr>
          <w:rFonts w:ascii="Times New Roman" w:eastAsia="Times New Roman" w:hAnsi="Times New Roman" w:cs="Times New Roman"/>
          <w:b/>
          <w:bCs/>
          <w:sz w:val="24"/>
          <w:szCs w:val="24"/>
          <w:lang w:eastAsia="sv-SE"/>
        </w:rPr>
      </w:pPr>
      <w:r w:rsidRPr="0063659C">
        <w:rPr>
          <w:rFonts w:ascii="Times New Roman" w:eastAsia="Times New Roman" w:hAnsi="Times New Roman" w:cs="Times New Roman"/>
          <w:b/>
          <w:bCs/>
          <w:sz w:val="24"/>
          <w:szCs w:val="24"/>
          <w:lang w:eastAsia="sv-SE"/>
        </w:rPr>
        <w:t>Ethical considerations</w:t>
      </w:r>
    </w:p>
    <w:p w14:paraId="797C1CB1" w14:textId="2A5EE15D" w:rsidR="006E0A71" w:rsidRPr="00192FC5" w:rsidRDefault="006E0A71" w:rsidP="0063659C">
      <w:pPr>
        <w:spacing w:before="100" w:beforeAutospacing="1" w:after="100" w:afterAutospacing="1" w:line="360" w:lineRule="auto"/>
        <w:jc w:val="both"/>
        <w:rPr>
          <w:rFonts w:ascii="Times New Roman" w:eastAsia="Times New Roman" w:hAnsi="Times New Roman" w:cs="Times New Roman"/>
          <w:sz w:val="24"/>
          <w:szCs w:val="24"/>
          <w:lang w:eastAsia="sv-SE"/>
        </w:rPr>
      </w:pPr>
      <w:r w:rsidRPr="00192FC5">
        <w:rPr>
          <w:rFonts w:ascii="Times New Roman" w:eastAsia="Times New Roman" w:hAnsi="Times New Roman" w:cs="Times New Roman"/>
          <w:sz w:val="24"/>
          <w:szCs w:val="24"/>
          <w:lang w:eastAsia="sv-SE"/>
        </w:rPr>
        <w:t xml:space="preserve">Ethical considerations are central to this study due to its school-based context and the researcher’s dual role as a practitioner. </w:t>
      </w:r>
      <w:r w:rsidR="003677A9" w:rsidRPr="0063659C">
        <w:rPr>
          <w:rFonts w:ascii="Times New Roman" w:eastAsia="Times New Roman" w:hAnsi="Times New Roman" w:cs="Times New Roman"/>
          <w:sz w:val="24"/>
          <w:szCs w:val="24"/>
          <w:lang w:eastAsia="sv-SE"/>
        </w:rPr>
        <w:t>Therefore,</w:t>
      </w:r>
      <w:r w:rsidR="008615A0" w:rsidRPr="0063659C">
        <w:rPr>
          <w:rFonts w:ascii="Times New Roman" w:eastAsia="Times New Roman" w:hAnsi="Times New Roman" w:cs="Times New Roman"/>
          <w:sz w:val="24"/>
          <w:szCs w:val="24"/>
          <w:lang w:eastAsia="sv-SE"/>
        </w:rPr>
        <w:t xml:space="preserve"> the</w:t>
      </w:r>
      <w:r w:rsidRPr="00192FC5">
        <w:rPr>
          <w:rFonts w:ascii="Times New Roman" w:eastAsia="Times New Roman" w:hAnsi="Times New Roman" w:cs="Times New Roman"/>
          <w:sz w:val="24"/>
          <w:szCs w:val="24"/>
          <w:lang w:eastAsia="sv-SE"/>
        </w:rPr>
        <w:t xml:space="preserve"> study</w:t>
      </w:r>
      <w:r w:rsidR="00627FED" w:rsidRPr="0063659C">
        <w:rPr>
          <w:rFonts w:ascii="Times New Roman" w:eastAsia="Times New Roman" w:hAnsi="Times New Roman" w:cs="Times New Roman"/>
          <w:sz w:val="24"/>
          <w:szCs w:val="24"/>
          <w:lang w:eastAsia="sv-SE"/>
        </w:rPr>
        <w:t xml:space="preserve"> will</w:t>
      </w:r>
      <w:r w:rsidRPr="00192FC5">
        <w:rPr>
          <w:rFonts w:ascii="Times New Roman" w:eastAsia="Times New Roman" w:hAnsi="Times New Roman" w:cs="Times New Roman"/>
          <w:sz w:val="24"/>
          <w:szCs w:val="24"/>
          <w:lang w:eastAsia="sv-SE"/>
        </w:rPr>
        <w:t xml:space="preserve"> adhere to established ethical principles set by the University of Wales Trinity St. David, including respect for participants, protection from harm, and responsible data management. Ethical procedures </w:t>
      </w:r>
      <w:proofErr w:type="gramStart"/>
      <w:r w:rsidRPr="00192FC5">
        <w:rPr>
          <w:rFonts w:ascii="Times New Roman" w:eastAsia="Times New Roman" w:hAnsi="Times New Roman" w:cs="Times New Roman"/>
          <w:sz w:val="24"/>
          <w:szCs w:val="24"/>
          <w:lang w:eastAsia="sv-SE"/>
        </w:rPr>
        <w:t>are guided</w:t>
      </w:r>
      <w:proofErr w:type="gramEnd"/>
      <w:r w:rsidRPr="00192FC5">
        <w:rPr>
          <w:rFonts w:ascii="Times New Roman" w:eastAsia="Times New Roman" w:hAnsi="Times New Roman" w:cs="Times New Roman"/>
          <w:sz w:val="24"/>
          <w:szCs w:val="24"/>
          <w:lang w:eastAsia="sv-SE"/>
        </w:rPr>
        <w:t xml:space="preserve"> by institutional policies and the British Educational Research Association, ensuring alignment with recognised standards such as the BERA ethical guidelines (BERA, 2024).</w:t>
      </w:r>
    </w:p>
    <w:p w14:paraId="2965A099" w14:textId="3EA2E24B" w:rsidR="006E0A71" w:rsidRPr="00192FC5" w:rsidRDefault="00167E8C" w:rsidP="0063659C">
      <w:pPr>
        <w:spacing w:before="100" w:beforeAutospacing="1" w:after="100" w:afterAutospacing="1" w:line="360" w:lineRule="auto"/>
        <w:jc w:val="both"/>
        <w:rPr>
          <w:rFonts w:ascii="Times New Roman" w:eastAsia="Times New Roman" w:hAnsi="Times New Roman" w:cs="Times New Roman"/>
          <w:sz w:val="24"/>
          <w:szCs w:val="24"/>
          <w:lang w:eastAsia="sv-SE"/>
        </w:rPr>
      </w:pPr>
      <w:r w:rsidRPr="0063659C">
        <w:rPr>
          <w:rFonts w:ascii="Times New Roman" w:eastAsia="Times New Roman" w:hAnsi="Times New Roman" w:cs="Times New Roman"/>
          <w:sz w:val="24"/>
          <w:szCs w:val="24"/>
          <w:lang w:eastAsia="sv-SE"/>
        </w:rPr>
        <w:t>Since i</w:t>
      </w:r>
      <w:r w:rsidR="006E0A71" w:rsidRPr="00192FC5">
        <w:rPr>
          <w:rFonts w:ascii="Times New Roman" w:eastAsia="Times New Roman" w:hAnsi="Times New Roman" w:cs="Times New Roman"/>
          <w:sz w:val="24"/>
          <w:szCs w:val="24"/>
          <w:lang w:eastAsia="sv-SE"/>
        </w:rPr>
        <w:t>nformed consent is a key principle</w:t>
      </w:r>
      <w:r w:rsidRPr="0063659C">
        <w:rPr>
          <w:rFonts w:ascii="Times New Roman" w:eastAsia="Times New Roman" w:hAnsi="Times New Roman" w:cs="Times New Roman"/>
          <w:sz w:val="24"/>
          <w:szCs w:val="24"/>
          <w:lang w:eastAsia="sv-SE"/>
        </w:rPr>
        <w:t xml:space="preserve"> in this study, t</w:t>
      </w:r>
      <w:r w:rsidR="006E0A71" w:rsidRPr="00192FC5">
        <w:rPr>
          <w:rFonts w:ascii="Times New Roman" w:eastAsia="Times New Roman" w:hAnsi="Times New Roman" w:cs="Times New Roman"/>
          <w:sz w:val="24"/>
          <w:szCs w:val="24"/>
          <w:lang w:eastAsia="sv-SE"/>
        </w:rPr>
        <w:t>eachers will receive clear information about the study’s aims, procedures, and implications prior to participation</w:t>
      </w:r>
      <w:r w:rsidR="00D5644D" w:rsidRPr="0063659C">
        <w:rPr>
          <w:rFonts w:ascii="Times New Roman" w:eastAsia="Times New Roman" w:hAnsi="Times New Roman" w:cs="Times New Roman"/>
          <w:sz w:val="24"/>
          <w:szCs w:val="24"/>
          <w:lang w:eastAsia="sv-SE"/>
        </w:rPr>
        <w:t>.</w:t>
      </w:r>
      <w:r w:rsidR="00D5700A" w:rsidRPr="0063659C">
        <w:rPr>
          <w:rFonts w:ascii="Times New Roman" w:eastAsia="Times New Roman" w:hAnsi="Times New Roman" w:cs="Times New Roman"/>
          <w:sz w:val="24"/>
          <w:szCs w:val="24"/>
          <w:lang w:eastAsia="sv-SE"/>
        </w:rPr>
        <w:t xml:space="preserve"> W</w:t>
      </w:r>
      <w:r w:rsidR="006E0A71" w:rsidRPr="00192FC5">
        <w:rPr>
          <w:rFonts w:ascii="Times New Roman" w:eastAsia="Times New Roman" w:hAnsi="Times New Roman" w:cs="Times New Roman"/>
          <w:sz w:val="24"/>
          <w:szCs w:val="24"/>
          <w:lang w:eastAsia="sv-SE"/>
        </w:rPr>
        <w:t xml:space="preserve">ritten consent will </w:t>
      </w:r>
      <w:proofErr w:type="gramStart"/>
      <w:r w:rsidR="006E0A71" w:rsidRPr="00192FC5">
        <w:rPr>
          <w:rFonts w:ascii="Times New Roman" w:eastAsia="Times New Roman" w:hAnsi="Times New Roman" w:cs="Times New Roman"/>
          <w:sz w:val="24"/>
          <w:szCs w:val="24"/>
          <w:lang w:eastAsia="sv-SE"/>
        </w:rPr>
        <w:t>be obtained</w:t>
      </w:r>
      <w:proofErr w:type="gramEnd"/>
      <w:r w:rsidR="00D5700A" w:rsidRPr="0063659C">
        <w:rPr>
          <w:rFonts w:ascii="Times New Roman" w:eastAsia="Times New Roman" w:hAnsi="Times New Roman" w:cs="Times New Roman"/>
          <w:sz w:val="24"/>
          <w:szCs w:val="24"/>
          <w:lang w:eastAsia="sv-SE"/>
        </w:rPr>
        <w:t xml:space="preserve"> from the teachers participating</w:t>
      </w:r>
      <w:r w:rsidR="00501CFC" w:rsidRPr="0063659C">
        <w:rPr>
          <w:rFonts w:ascii="Times New Roman" w:eastAsia="Times New Roman" w:hAnsi="Times New Roman" w:cs="Times New Roman"/>
          <w:sz w:val="24"/>
          <w:szCs w:val="24"/>
          <w:lang w:eastAsia="sv-SE"/>
        </w:rPr>
        <w:t xml:space="preserve"> while f</w:t>
      </w:r>
      <w:r w:rsidR="006E0A71" w:rsidRPr="00192FC5">
        <w:rPr>
          <w:rFonts w:ascii="Times New Roman" w:eastAsia="Times New Roman" w:hAnsi="Times New Roman" w:cs="Times New Roman"/>
          <w:sz w:val="24"/>
          <w:szCs w:val="24"/>
          <w:lang w:eastAsia="sv-SE"/>
        </w:rPr>
        <w:t xml:space="preserve">or students, parental or guardian consent will </w:t>
      </w:r>
      <w:proofErr w:type="gramStart"/>
      <w:r w:rsidR="006E0A71" w:rsidRPr="00192FC5">
        <w:rPr>
          <w:rFonts w:ascii="Times New Roman" w:eastAsia="Times New Roman" w:hAnsi="Times New Roman" w:cs="Times New Roman"/>
          <w:sz w:val="24"/>
          <w:szCs w:val="24"/>
          <w:lang w:eastAsia="sv-SE"/>
        </w:rPr>
        <w:t>be secured</w:t>
      </w:r>
      <w:proofErr w:type="gramEnd"/>
      <w:r w:rsidR="006E0A71" w:rsidRPr="00192FC5">
        <w:rPr>
          <w:rFonts w:ascii="Times New Roman" w:eastAsia="Times New Roman" w:hAnsi="Times New Roman" w:cs="Times New Roman"/>
          <w:sz w:val="24"/>
          <w:szCs w:val="24"/>
          <w:lang w:eastAsia="sv-SE"/>
        </w:rPr>
        <w:t xml:space="preserve"> in accordance with school policies and national guidelines. Participation </w:t>
      </w:r>
      <w:r w:rsidR="002F1442" w:rsidRPr="0063659C">
        <w:rPr>
          <w:rFonts w:ascii="Times New Roman" w:eastAsia="Times New Roman" w:hAnsi="Times New Roman" w:cs="Times New Roman"/>
          <w:sz w:val="24"/>
          <w:szCs w:val="24"/>
          <w:lang w:eastAsia="sv-SE"/>
        </w:rPr>
        <w:t>will be</w:t>
      </w:r>
      <w:r w:rsidR="006E0A71" w:rsidRPr="00192FC5">
        <w:rPr>
          <w:rFonts w:ascii="Times New Roman" w:eastAsia="Times New Roman" w:hAnsi="Times New Roman" w:cs="Times New Roman"/>
          <w:sz w:val="24"/>
          <w:szCs w:val="24"/>
          <w:lang w:eastAsia="sv-SE"/>
        </w:rPr>
        <w:t xml:space="preserve"> voluntary, and individuals may withdraw at any time without consequence</w:t>
      </w:r>
      <w:r w:rsidR="0013125A" w:rsidRPr="0063659C">
        <w:rPr>
          <w:rFonts w:ascii="Times New Roman" w:eastAsia="Times New Roman" w:hAnsi="Times New Roman" w:cs="Times New Roman"/>
          <w:sz w:val="24"/>
          <w:szCs w:val="24"/>
          <w:lang w:eastAsia="sv-SE"/>
        </w:rPr>
        <w:t>s</w:t>
      </w:r>
      <w:r w:rsidR="006E0A71" w:rsidRPr="00192FC5">
        <w:rPr>
          <w:rFonts w:ascii="Times New Roman" w:eastAsia="Times New Roman" w:hAnsi="Times New Roman" w:cs="Times New Roman"/>
          <w:sz w:val="24"/>
          <w:szCs w:val="24"/>
          <w:lang w:eastAsia="sv-SE"/>
        </w:rPr>
        <w:t>.</w:t>
      </w:r>
    </w:p>
    <w:p w14:paraId="3ACECF72" w14:textId="445B8A45" w:rsidR="006E0A71" w:rsidRPr="00192FC5" w:rsidRDefault="0013125A" w:rsidP="0063659C">
      <w:pPr>
        <w:spacing w:before="100" w:beforeAutospacing="1" w:after="100" w:afterAutospacing="1" w:line="360" w:lineRule="auto"/>
        <w:jc w:val="both"/>
        <w:rPr>
          <w:rFonts w:ascii="Times New Roman" w:eastAsia="Times New Roman" w:hAnsi="Times New Roman" w:cs="Times New Roman"/>
          <w:sz w:val="24"/>
          <w:szCs w:val="24"/>
          <w:lang w:eastAsia="sv-SE"/>
        </w:rPr>
      </w:pPr>
      <w:r w:rsidRPr="0063659C">
        <w:rPr>
          <w:rFonts w:ascii="Times New Roman" w:eastAsia="Times New Roman" w:hAnsi="Times New Roman" w:cs="Times New Roman"/>
          <w:sz w:val="24"/>
          <w:szCs w:val="24"/>
          <w:lang w:eastAsia="sv-SE"/>
        </w:rPr>
        <w:t xml:space="preserve">Since </w:t>
      </w:r>
      <w:r w:rsidR="008E5724" w:rsidRPr="0063659C">
        <w:rPr>
          <w:rFonts w:ascii="Times New Roman" w:eastAsia="Times New Roman" w:hAnsi="Times New Roman" w:cs="Times New Roman"/>
          <w:sz w:val="24"/>
          <w:szCs w:val="24"/>
          <w:lang w:eastAsia="sv-SE"/>
        </w:rPr>
        <w:t xml:space="preserve">maintaining </w:t>
      </w:r>
      <w:r w:rsidRPr="0063659C">
        <w:rPr>
          <w:rFonts w:ascii="Times New Roman" w:eastAsia="Times New Roman" w:hAnsi="Times New Roman" w:cs="Times New Roman"/>
          <w:sz w:val="24"/>
          <w:szCs w:val="24"/>
          <w:lang w:eastAsia="sv-SE"/>
        </w:rPr>
        <w:t>c</w:t>
      </w:r>
      <w:r w:rsidR="006E0A71" w:rsidRPr="00192FC5">
        <w:rPr>
          <w:rFonts w:ascii="Times New Roman" w:eastAsia="Times New Roman" w:hAnsi="Times New Roman" w:cs="Times New Roman"/>
          <w:sz w:val="24"/>
          <w:szCs w:val="24"/>
          <w:lang w:eastAsia="sv-SE"/>
        </w:rPr>
        <w:t>onfidentiality and anonymity are</w:t>
      </w:r>
      <w:r w:rsidRPr="0063659C">
        <w:rPr>
          <w:rFonts w:ascii="Times New Roman" w:eastAsia="Times New Roman" w:hAnsi="Times New Roman" w:cs="Times New Roman"/>
          <w:sz w:val="24"/>
          <w:szCs w:val="24"/>
          <w:lang w:eastAsia="sv-SE"/>
        </w:rPr>
        <w:t xml:space="preserve"> essential in </w:t>
      </w:r>
      <w:r w:rsidR="00094E5D" w:rsidRPr="0063659C">
        <w:rPr>
          <w:rFonts w:ascii="Times New Roman" w:eastAsia="Times New Roman" w:hAnsi="Times New Roman" w:cs="Times New Roman"/>
          <w:sz w:val="24"/>
          <w:szCs w:val="24"/>
          <w:lang w:eastAsia="sv-SE"/>
        </w:rPr>
        <w:t>school-based research,</w:t>
      </w:r>
      <w:r w:rsidR="008E5724" w:rsidRPr="0063659C">
        <w:rPr>
          <w:rFonts w:ascii="Times New Roman" w:eastAsia="Times New Roman" w:hAnsi="Times New Roman" w:cs="Times New Roman"/>
          <w:sz w:val="24"/>
          <w:szCs w:val="24"/>
          <w:lang w:eastAsia="sv-SE"/>
        </w:rPr>
        <w:t xml:space="preserve"> p</w:t>
      </w:r>
      <w:r w:rsidR="006E0A71" w:rsidRPr="00192FC5">
        <w:rPr>
          <w:rFonts w:ascii="Times New Roman" w:eastAsia="Times New Roman" w:hAnsi="Times New Roman" w:cs="Times New Roman"/>
          <w:sz w:val="24"/>
          <w:szCs w:val="24"/>
          <w:lang w:eastAsia="sv-SE"/>
        </w:rPr>
        <w:t xml:space="preserve">seudonyms will </w:t>
      </w:r>
      <w:proofErr w:type="gramStart"/>
      <w:r w:rsidR="006E0A71" w:rsidRPr="00192FC5">
        <w:rPr>
          <w:rFonts w:ascii="Times New Roman" w:eastAsia="Times New Roman" w:hAnsi="Times New Roman" w:cs="Times New Roman"/>
          <w:sz w:val="24"/>
          <w:szCs w:val="24"/>
          <w:lang w:eastAsia="sv-SE"/>
        </w:rPr>
        <w:t>be used</w:t>
      </w:r>
      <w:proofErr w:type="gramEnd"/>
      <w:r w:rsidR="006E0A71" w:rsidRPr="00192FC5">
        <w:rPr>
          <w:rFonts w:ascii="Times New Roman" w:eastAsia="Times New Roman" w:hAnsi="Times New Roman" w:cs="Times New Roman"/>
          <w:sz w:val="24"/>
          <w:szCs w:val="24"/>
          <w:lang w:eastAsia="sv-SE"/>
        </w:rPr>
        <w:t xml:space="preserve"> for teachers, students, and schools</w:t>
      </w:r>
      <w:r w:rsidR="008E5724" w:rsidRPr="0063659C">
        <w:rPr>
          <w:rFonts w:ascii="Times New Roman" w:eastAsia="Times New Roman" w:hAnsi="Times New Roman" w:cs="Times New Roman"/>
          <w:sz w:val="24"/>
          <w:szCs w:val="24"/>
          <w:lang w:eastAsia="sv-SE"/>
        </w:rPr>
        <w:t>.</w:t>
      </w:r>
      <w:r w:rsidR="006E0A71" w:rsidRPr="00192FC5">
        <w:rPr>
          <w:rFonts w:ascii="Times New Roman" w:eastAsia="Times New Roman" w:hAnsi="Times New Roman" w:cs="Times New Roman"/>
          <w:sz w:val="24"/>
          <w:szCs w:val="24"/>
          <w:lang w:eastAsia="sv-SE"/>
        </w:rPr>
        <w:t xml:space="preserve"> </w:t>
      </w:r>
      <w:r w:rsidR="008E5724" w:rsidRPr="0063659C">
        <w:rPr>
          <w:rFonts w:ascii="Times New Roman" w:eastAsia="Times New Roman" w:hAnsi="Times New Roman" w:cs="Times New Roman"/>
          <w:sz w:val="24"/>
          <w:szCs w:val="24"/>
          <w:lang w:eastAsia="sv-SE"/>
        </w:rPr>
        <w:t xml:space="preserve">Any </w:t>
      </w:r>
      <w:r w:rsidR="006E0A71" w:rsidRPr="00192FC5">
        <w:rPr>
          <w:rFonts w:ascii="Times New Roman" w:eastAsia="Times New Roman" w:hAnsi="Times New Roman" w:cs="Times New Roman"/>
          <w:sz w:val="24"/>
          <w:szCs w:val="24"/>
          <w:lang w:eastAsia="sv-SE"/>
        </w:rPr>
        <w:t xml:space="preserve">identifying details will </w:t>
      </w:r>
      <w:proofErr w:type="gramStart"/>
      <w:r w:rsidR="006E0A71" w:rsidRPr="00192FC5">
        <w:rPr>
          <w:rFonts w:ascii="Times New Roman" w:eastAsia="Times New Roman" w:hAnsi="Times New Roman" w:cs="Times New Roman"/>
          <w:sz w:val="24"/>
          <w:szCs w:val="24"/>
          <w:lang w:eastAsia="sv-SE"/>
        </w:rPr>
        <w:t>be removed</w:t>
      </w:r>
      <w:proofErr w:type="gramEnd"/>
      <w:r w:rsidR="006E0A71" w:rsidRPr="00192FC5">
        <w:rPr>
          <w:rFonts w:ascii="Times New Roman" w:eastAsia="Times New Roman" w:hAnsi="Times New Roman" w:cs="Times New Roman"/>
          <w:sz w:val="24"/>
          <w:szCs w:val="24"/>
          <w:lang w:eastAsia="sv-SE"/>
        </w:rPr>
        <w:t xml:space="preserve"> or modified to prevent recognition, which is particularly important in smaller educational settings.</w:t>
      </w:r>
    </w:p>
    <w:p w14:paraId="5C7B5262" w14:textId="1658E06A" w:rsidR="007626E1" w:rsidRPr="0063659C" w:rsidRDefault="00175EAB" w:rsidP="000400FE">
      <w:pPr>
        <w:spacing w:before="100" w:beforeAutospacing="1" w:after="100" w:afterAutospacing="1" w:line="360" w:lineRule="auto"/>
        <w:jc w:val="both"/>
        <w:rPr>
          <w:rFonts w:ascii="Times New Roman" w:eastAsia="Times New Roman" w:hAnsi="Times New Roman" w:cs="Times New Roman"/>
          <w:sz w:val="24"/>
          <w:szCs w:val="24"/>
          <w:lang w:eastAsia="sv-SE"/>
        </w:rPr>
      </w:pPr>
      <w:r w:rsidRPr="0063659C">
        <w:rPr>
          <w:rFonts w:ascii="Times New Roman" w:eastAsia="Times New Roman" w:hAnsi="Times New Roman" w:cs="Times New Roman"/>
          <w:sz w:val="24"/>
          <w:szCs w:val="24"/>
          <w:lang w:eastAsia="sv-SE"/>
        </w:rPr>
        <w:t>Further, d</w:t>
      </w:r>
      <w:r w:rsidR="006E0A71" w:rsidRPr="00192FC5">
        <w:rPr>
          <w:rFonts w:ascii="Times New Roman" w:eastAsia="Times New Roman" w:hAnsi="Times New Roman" w:cs="Times New Roman"/>
          <w:sz w:val="24"/>
          <w:szCs w:val="24"/>
          <w:lang w:eastAsia="sv-SE"/>
        </w:rPr>
        <w:t xml:space="preserve">ata storage and security </w:t>
      </w:r>
      <w:r w:rsidR="000E57E9" w:rsidRPr="0063659C">
        <w:rPr>
          <w:rFonts w:ascii="Times New Roman" w:eastAsia="Times New Roman" w:hAnsi="Times New Roman" w:cs="Times New Roman"/>
          <w:sz w:val="24"/>
          <w:szCs w:val="24"/>
          <w:lang w:eastAsia="sv-SE"/>
        </w:rPr>
        <w:t>will</w:t>
      </w:r>
      <w:r w:rsidR="006E0A71" w:rsidRPr="00192FC5">
        <w:rPr>
          <w:rFonts w:ascii="Times New Roman" w:eastAsia="Times New Roman" w:hAnsi="Times New Roman" w:cs="Times New Roman"/>
          <w:sz w:val="24"/>
          <w:szCs w:val="24"/>
          <w:lang w:eastAsia="sv-SE"/>
        </w:rPr>
        <w:t xml:space="preserve"> also</w:t>
      </w:r>
      <w:r w:rsidR="000E57E9" w:rsidRPr="0063659C">
        <w:rPr>
          <w:rFonts w:ascii="Times New Roman" w:eastAsia="Times New Roman" w:hAnsi="Times New Roman" w:cs="Times New Roman"/>
          <w:sz w:val="24"/>
          <w:szCs w:val="24"/>
          <w:lang w:eastAsia="sv-SE"/>
        </w:rPr>
        <w:t xml:space="preserve"> be</w:t>
      </w:r>
      <w:r w:rsidR="006E0A71" w:rsidRPr="00192FC5">
        <w:rPr>
          <w:rFonts w:ascii="Times New Roman" w:eastAsia="Times New Roman" w:hAnsi="Times New Roman" w:cs="Times New Roman"/>
          <w:sz w:val="24"/>
          <w:szCs w:val="24"/>
          <w:lang w:eastAsia="sv-SE"/>
        </w:rPr>
        <w:t xml:space="preserve"> prioritised. All data, including observation notes and interview transcripts, will </w:t>
      </w:r>
      <w:proofErr w:type="gramStart"/>
      <w:r w:rsidR="006E0A71" w:rsidRPr="00192FC5">
        <w:rPr>
          <w:rFonts w:ascii="Times New Roman" w:eastAsia="Times New Roman" w:hAnsi="Times New Roman" w:cs="Times New Roman"/>
          <w:sz w:val="24"/>
          <w:szCs w:val="24"/>
          <w:lang w:eastAsia="sv-SE"/>
        </w:rPr>
        <w:t>be securely stored</w:t>
      </w:r>
      <w:proofErr w:type="gramEnd"/>
      <w:r w:rsidR="006E0A71" w:rsidRPr="00192FC5">
        <w:rPr>
          <w:rFonts w:ascii="Times New Roman" w:eastAsia="Times New Roman" w:hAnsi="Times New Roman" w:cs="Times New Roman"/>
          <w:sz w:val="24"/>
          <w:szCs w:val="24"/>
          <w:lang w:eastAsia="sv-SE"/>
        </w:rPr>
        <w:t xml:space="preserve"> in password-protected digital files, with physical materials kept in locked storage. Data management will follow institutional data protection regulations and relevant privacy frameworks, supporting research reliability and quality</w:t>
      </w:r>
      <w:r w:rsidR="00813FFB" w:rsidRPr="0063659C">
        <w:rPr>
          <w:rFonts w:ascii="Times New Roman" w:eastAsia="Times New Roman" w:hAnsi="Times New Roman" w:cs="Times New Roman"/>
          <w:sz w:val="24"/>
          <w:szCs w:val="24"/>
          <w:lang w:eastAsia="sv-SE"/>
        </w:rPr>
        <w:t xml:space="preserve">. Ethical considerations underpin research quality and reliability and </w:t>
      </w:r>
      <w:proofErr w:type="gramStart"/>
      <w:r w:rsidR="00813FFB" w:rsidRPr="0063659C">
        <w:rPr>
          <w:rFonts w:ascii="Times New Roman" w:eastAsia="Times New Roman" w:hAnsi="Times New Roman" w:cs="Times New Roman"/>
          <w:sz w:val="24"/>
          <w:szCs w:val="24"/>
          <w:lang w:eastAsia="sv-SE"/>
        </w:rPr>
        <w:t>are guided</w:t>
      </w:r>
      <w:proofErr w:type="gramEnd"/>
      <w:r w:rsidR="00813FFB" w:rsidRPr="0063659C">
        <w:rPr>
          <w:rFonts w:ascii="Times New Roman" w:eastAsia="Times New Roman" w:hAnsi="Times New Roman" w:cs="Times New Roman"/>
          <w:sz w:val="24"/>
          <w:szCs w:val="24"/>
          <w:lang w:eastAsia="sv-SE"/>
        </w:rPr>
        <w:t xml:space="preserve"> by national and international frameworks and ethics committees</w:t>
      </w:r>
      <w:r w:rsidR="0096722A" w:rsidRPr="0063659C">
        <w:rPr>
          <w:rFonts w:ascii="Times New Roman" w:eastAsia="Times New Roman" w:hAnsi="Times New Roman" w:cs="Times New Roman"/>
          <w:sz w:val="24"/>
          <w:szCs w:val="24"/>
          <w:lang w:eastAsia="sv-SE"/>
        </w:rPr>
        <w:t xml:space="preserve"> </w:t>
      </w:r>
      <w:r w:rsidR="006E0A71" w:rsidRPr="00192FC5">
        <w:rPr>
          <w:rFonts w:ascii="Times New Roman" w:eastAsia="Times New Roman" w:hAnsi="Times New Roman" w:cs="Times New Roman"/>
          <w:sz w:val="24"/>
          <w:szCs w:val="24"/>
          <w:lang w:eastAsia="sv-SE"/>
        </w:rPr>
        <w:t>(Cronqvist, 2025).</w:t>
      </w:r>
    </w:p>
    <w:p w14:paraId="7F7CA9A6" w14:textId="4E0E9CA8" w:rsidR="007626E1" w:rsidRPr="00192FC5" w:rsidRDefault="007626E1" w:rsidP="00E836F2">
      <w:pPr>
        <w:spacing w:before="100" w:beforeAutospacing="1" w:after="100" w:afterAutospacing="1" w:line="360" w:lineRule="auto"/>
        <w:jc w:val="both"/>
        <w:rPr>
          <w:rFonts w:ascii="Times New Roman" w:eastAsia="Times New Roman" w:hAnsi="Times New Roman" w:cs="Times New Roman"/>
          <w:sz w:val="24"/>
          <w:szCs w:val="24"/>
          <w:lang w:eastAsia="sv-SE"/>
        </w:rPr>
      </w:pPr>
      <w:r w:rsidRPr="00192FC5">
        <w:rPr>
          <w:rFonts w:ascii="Times New Roman" w:eastAsia="Times New Roman" w:hAnsi="Times New Roman" w:cs="Times New Roman"/>
          <w:sz w:val="24"/>
          <w:szCs w:val="24"/>
          <w:lang w:eastAsia="sv-SE"/>
        </w:rPr>
        <w:t>Given the researcher’s professional role within the</w:t>
      </w:r>
      <w:r w:rsidR="002D0441" w:rsidRPr="00E836F2">
        <w:rPr>
          <w:rFonts w:ascii="Times New Roman" w:eastAsia="Times New Roman" w:hAnsi="Times New Roman" w:cs="Times New Roman"/>
          <w:sz w:val="24"/>
          <w:szCs w:val="24"/>
          <w:lang w:eastAsia="sv-SE"/>
        </w:rPr>
        <w:t xml:space="preserve"> research</w:t>
      </w:r>
      <w:r w:rsidRPr="00192FC5">
        <w:rPr>
          <w:rFonts w:ascii="Times New Roman" w:eastAsia="Times New Roman" w:hAnsi="Times New Roman" w:cs="Times New Roman"/>
          <w:sz w:val="24"/>
          <w:szCs w:val="24"/>
          <w:lang w:eastAsia="sv-SE"/>
        </w:rPr>
        <w:t xml:space="preserve"> setting, </w:t>
      </w:r>
      <w:r w:rsidR="002D0441" w:rsidRPr="00E836F2">
        <w:rPr>
          <w:rFonts w:ascii="Times New Roman" w:eastAsia="Times New Roman" w:hAnsi="Times New Roman" w:cs="Times New Roman"/>
          <w:sz w:val="24"/>
          <w:szCs w:val="24"/>
          <w:lang w:eastAsia="sv-SE"/>
        </w:rPr>
        <w:t>consideration</w:t>
      </w:r>
      <w:r w:rsidRPr="00192FC5">
        <w:rPr>
          <w:rFonts w:ascii="Times New Roman" w:eastAsia="Times New Roman" w:hAnsi="Times New Roman" w:cs="Times New Roman"/>
          <w:sz w:val="24"/>
          <w:szCs w:val="24"/>
          <w:lang w:eastAsia="sv-SE"/>
        </w:rPr>
        <w:t xml:space="preserve"> </w:t>
      </w:r>
      <w:r w:rsidR="002D0441" w:rsidRPr="00E836F2">
        <w:rPr>
          <w:rFonts w:ascii="Times New Roman" w:eastAsia="Times New Roman" w:hAnsi="Times New Roman" w:cs="Times New Roman"/>
          <w:sz w:val="24"/>
          <w:szCs w:val="24"/>
          <w:lang w:eastAsia="sv-SE"/>
        </w:rPr>
        <w:t xml:space="preserve">will </w:t>
      </w:r>
      <w:proofErr w:type="gramStart"/>
      <w:r w:rsidR="002D0441" w:rsidRPr="00E836F2">
        <w:rPr>
          <w:rFonts w:ascii="Times New Roman" w:eastAsia="Times New Roman" w:hAnsi="Times New Roman" w:cs="Times New Roman"/>
          <w:sz w:val="24"/>
          <w:szCs w:val="24"/>
          <w:lang w:eastAsia="sv-SE"/>
        </w:rPr>
        <w:t>be</w:t>
      </w:r>
      <w:r w:rsidRPr="00192FC5">
        <w:rPr>
          <w:rFonts w:ascii="Times New Roman" w:eastAsia="Times New Roman" w:hAnsi="Times New Roman" w:cs="Times New Roman"/>
          <w:sz w:val="24"/>
          <w:szCs w:val="24"/>
          <w:lang w:eastAsia="sv-SE"/>
        </w:rPr>
        <w:t xml:space="preserve"> given</w:t>
      </w:r>
      <w:proofErr w:type="gramEnd"/>
      <w:r w:rsidRPr="00192FC5">
        <w:rPr>
          <w:rFonts w:ascii="Times New Roman" w:eastAsia="Times New Roman" w:hAnsi="Times New Roman" w:cs="Times New Roman"/>
          <w:sz w:val="24"/>
          <w:szCs w:val="24"/>
          <w:lang w:eastAsia="sv-SE"/>
        </w:rPr>
        <w:t xml:space="preserve"> to power dynamics and insider relationships. To mi</w:t>
      </w:r>
      <w:r w:rsidR="009D6323" w:rsidRPr="00E836F2">
        <w:rPr>
          <w:rFonts w:ascii="Times New Roman" w:eastAsia="Times New Roman" w:hAnsi="Times New Roman" w:cs="Times New Roman"/>
          <w:sz w:val="24"/>
          <w:szCs w:val="24"/>
          <w:lang w:eastAsia="sv-SE"/>
        </w:rPr>
        <w:t>tigate</w:t>
      </w:r>
      <w:r w:rsidRPr="00192FC5">
        <w:rPr>
          <w:rFonts w:ascii="Times New Roman" w:eastAsia="Times New Roman" w:hAnsi="Times New Roman" w:cs="Times New Roman"/>
          <w:sz w:val="24"/>
          <w:szCs w:val="24"/>
          <w:lang w:eastAsia="sv-SE"/>
        </w:rPr>
        <w:t xml:space="preserve"> potential influence on participation or </w:t>
      </w:r>
      <w:r w:rsidRPr="00192FC5">
        <w:rPr>
          <w:rFonts w:ascii="Times New Roman" w:eastAsia="Times New Roman" w:hAnsi="Times New Roman" w:cs="Times New Roman"/>
          <w:sz w:val="24"/>
          <w:szCs w:val="24"/>
          <w:lang w:eastAsia="sv-SE"/>
        </w:rPr>
        <w:lastRenderedPageBreak/>
        <w:t>responses, involvement will be clearly voluntary and will not affect professional relationships or evaluations. The researcher will remain transparent about their dual role and apply reflexive practices to reduce bias.</w:t>
      </w:r>
      <w:r w:rsidR="00185FD3" w:rsidRPr="00E836F2">
        <w:rPr>
          <w:rFonts w:ascii="Times New Roman" w:eastAsia="Times New Roman" w:hAnsi="Times New Roman" w:cs="Times New Roman"/>
          <w:sz w:val="24"/>
          <w:szCs w:val="24"/>
          <w:lang w:eastAsia="sv-SE"/>
        </w:rPr>
        <w:t xml:space="preserve"> </w:t>
      </w:r>
      <w:r w:rsidRPr="00192FC5">
        <w:rPr>
          <w:rFonts w:ascii="Times New Roman" w:eastAsia="Times New Roman" w:hAnsi="Times New Roman" w:cs="Times New Roman"/>
          <w:sz w:val="24"/>
          <w:szCs w:val="24"/>
          <w:lang w:eastAsia="sv-SE"/>
        </w:rPr>
        <w:t xml:space="preserve">Although risks to participants </w:t>
      </w:r>
      <w:proofErr w:type="gramStart"/>
      <w:r w:rsidRPr="00192FC5">
        <w:rPr>
          <w:rFonts w:ascii="Times New Roman" w:eastAsia="Times New Roman" w:hAnsi="Times New Roman" w:cs="Times New Roman"/>
          <w:sz w:val="24"/>
          <w:szCs w:val="24"/>
          <w:lang w:eastAsia="sv-SE"/>
        </w:rPr>
        <w:t>are</w:t>
      </w:r>
      <w:r w:rsidR="00975397" w:rsidRPr="00E836F2">
        <w:rPr>
          <w:rFonts w:ascii="Times New Roman" w:eastAsia="Times New Roman" w:hAnsi="Times New Roman" w:cs="Times New Roman"/>
          <w:sz w:val="24"/>
          <w:szCs w:val="24"/>
          <w:lang w:eastAsia="sv-SE"/>
        </w:rPr>
        <w:t xml:space="preserve"> expected</w:t>
      </w:r>
      <w:proofErr w:type="gramEnd"/>
      <w:r w:rsidR="00975397" w:rsidRPr="00E836F2">
        <w:rPr>
          <w:rFonts w:ascii="Times New Roman" w:eastAsia="Times New Roman" w:hAnsi="Times New Roman" w:cs="Times New Roman"/>
          <w:sz w:val="24"/>
          <w:szCs w:val="24"/>
          <w:lang w:eastAsia="sv-SE"/>
        </w:rPr>
        <w:t xml:space="preserve"> to be</w:t>
      </w:r>
      <w:r w:rsidRPr="00192FC5">
        <w:rPr>
          <w:rFonts w:ascii="Times New Roman" w:eastAsia="Times New Roman" w:hAnsi="Times New Roman" w:cs="Times New Roman"/>
          <w:sz w:val="24"/>
          <w:szCs w:val="24"/>
          <w:lang w:eastAsia="sv-SE"/>
        </w:rPr>
        <w:t xml:space="preserve"> minimal, care will </w:t>
      </w:r>
      <w:proofErr w:type="gramStart"/>
      <w:r w:rsidRPr="00192FC5">
        <w:rPr>
          <w:rFonts w:ascii="Times New Roman" w:eastAsia="Times New Roman" w:hAnsi="Times New Roman" w:cs="Times New Roman"/>
          <w:sz w:val="24"/>
          <w:szCs w:val="24"/>
          <w:lang w:eastAsia="sv-SE"/>
        </w:rPr>
        <w:t xml:space="preserve">be </w:t>
      </w:r>
      <w:r w:rsidR="00560435" w:rsidRPr="00E836F2">
        <w:rPr>
          <w:rFonts w:ascii="Times New Roman" w:eastAsia="Times New Roman" w:hAnsi="Times New Roman" w:cs="Times New Roman"/>
          <w:sz w:val="24"/>
          <w:szCs w:val="24"/>
          <w:lang w:eastAsia="sv-SE"/>
        </w:rPr>
        <w:t>ensured</w:t>
      </w:r>
      <w:proofErr w:type="gramEnd"/>
      <w:r w:rsidR="00560435" w:rsidRPr="00E836F2">
        <w:rPr>
          <w:rFonts w:ascii="Times New Roman" w:eastAsia="Times New Roman" w:hAnsi="Times New Roman" w:cs="Times New Roman"/>
          <w:sz w:val="24"/>
          <w:szCs w:val="24"/>
          <w:lang w:eastAsia="sv-SE"/>
        </w:rPr>
        <w:t xml:space="preserve"> in</w:t>
      </w:r>
      <w:r w:rsidRPr="00192FC5">
        <w:rPr>
          <w:rFonts w:ascii="Times New Roman" w:eastAsia="Times New Roman" w:hAnsi="Times New Roman" w:cs="Times New Roman"/>
          <w:sz w:val="24"/>
          <w:szCs w:val="24"/>
          <w:lang w:eastAsia="sv-SE"/>
        </w:rPr>
        <w:t xml:space="preserve"> avoid</w:t>
      </w:r>
      <w:r w:rsidR="00560435" w:rsidRPr="00E836F2">
        <w:rPr>
          <w:rFonts w:ascii="Times New Roman" w:eastAsia="Times New Roman" w:hAnsi="Times New Roman" w:cs="Times New Roman"/>
          <w:sz w:val="24"/>
          <w:szCs w:val="24"/>
          <w:lang w:eastAsia="sv-SE"/>
        </w:rPr>
        <w:t>ing</w:t>
      </w:r>
      <w:r w:rsidRPr="00192FC5">
        <w:rPr>
          <w:rFonts w:ascii="Times New Roman" w:eastAsia="Times New Roman" w:hAnsi="Times New Roman" w:cs="Times New Roman"/>
          <w:sz w:val="24"/>
          <w:szCs w:val="24"/>
          <w:lang w:eastAsia="sv-SE"/>
        </w:rPr>
        <w:t xml:space="preserve"> disruption or pressure during observations and interviews. Interview questions will focus on professional practice rather than personal evaluation, and participants will have the opportunity to review or clarify their responses.</w:t>
      </w:r>
    </w:p>
    <w:p w14:paraId="5BDCDB83" w14:textId="0D9A52BA" w:rsidR="00C40914" w:rsidRPr="00963259" w:rsidRDefault="00C40914" w:rsidP="00963259">
      <w:pPr>
        <w:pStyle w:val="Normalwebb"/>
        <w:spacing w:line="360" w:lineRule="auto"/>
        <w:jc w:val="both"/>
      </w:pPr>
      <w:r w:rsidRPr="00192FC5">
        <w:t xml:space="preserve">Finally, </w:t>
      </w:r>
      <w:r w:rsidR="00AE22DC" w:rsidRPr="00E836F2">
        <w:t>approval</w:t>
      </w:r>
      <w:r w:rsidRPr="00192FC5">
        <w:t xml:space="preserve"> will </w:t>
      </w:r>
      <w:proofErr w:type="gramStart"/>
      <w:r w:rsidRPr="00192FC5">
        <w:t xml:space="preserve">be </w:t>
      </w:r>
      <w:r w:rsidR="00AE22DC" w:rsidRPr="00E836F2">
        <w:t>sought</w:t>
      </w:r>
      <w:proofErr w:type="gramEnd"/>
      <w:r w:rsidRPr="00192FC5">
        <w:t xml:space="preserve"> from relevant school authorities, including leadership and, where required, local educational administrations. </w:t>
      </w:r>
      <w:r w:rsidR="00E650DF" w:rsidRPr="00E836F2">
        <w:t>Approval sought</w:t>
      </w:r>
      <w:r w:rsidR="00E8555D" w:rsidRPr="00E836F2">
        <w:t xml:space="preserve"> will</w:t>
      </w:r>
      <w:r w:rsidRPr="00192FC5">
        <w:t xml:space="preserve"> ensure alignment with institutional policies and safeguards the interests of all participants. Overall, these measures </w:t>
      </w:r>
      <w:r w:rsidR="00E8555D" w:rsidRPr="00E836F2">
        <w:t xml:space="preserve">will </w:t>
      </w:r>
      <w:r w:rsidRPr="00192FC5">
        <w:t>aim to uphold integrity, transparency, and respect throughout the research process.</w:t>
      </w:r>
    </w:p>
    <w:p w14:paraId="1020E7C6" w14:textId="0CED82CF" w:rsidR="0093738F" w:rsidRPr="00963259" w:rsidRDefault="0093738F" w:rsidP="00963259">
      <w:pPr>
        <w:spacing w:after="0" w:line="360" w:lineRule="auto"/>
        <w:jc w:val="both"/>
        <w:rPr>
          <w:rFonts w:ascii="Times New Roman" w:eastAsia="Times New Roman" w:hAnsi="Times New Roman" w:cs="Times New Roman"/>
          <w:b/>
          <w:bCs/>
          <w:sz w:val="24"/>
          <w:szCs w:val="24"/>
          <w:lang w:eastAsia="sv-SE"/>
        </w:rPr>
      </w:pPr>
      <w:r w:rsidRPr="00963259">
        <w:rPr>
          <w:rFonts w:ascii="Times New Roman" w:eastAsia="Times New Roman" w:hAnsi="Times New Roman" w:cs="Times New Roman"/>
          <w:b/>
          <w:bCs/>
          <w:sz w:val="24"/>
          <w:szCs w:val="24"/>
          <w:lang w:eastAsia="sv-SE"/>
        </w:rPr>
        <w:t>Contribution to practice and knowledge</w:t>
      </w:r>
    </w:p>
    <w:p w14:paraId="430FDBCB" w14:textId="76A5C881" w:rsidR="00C961B3" w:rsidRPr="006E28A0" w:rsidRDefault="003C5F45" w:rsidP="00963259">
      <w:pPr>
        <w:spacing w:before="100" w:beforeAutospacing="1" w:after="100" w:afterAutospacing="1" w:line="360" w:lineRule="auto"/>
        <w:jc w:val="both"/>
        <w:rPr>
          <w:rFonts w:ascii="Times New Roman" w:eastAsia="Times New Roman" w:hAnsi="Times New Roman" w:cs="Times New Roman"/>
          <w:sz w:val="24"/>
          <w:szCs w:val="24"/>
          <w:lang w:eastAsia="sv-SE"/>
        </w:rPr>
      </w:pPr>
      <w:r>
        <w:rPr>
          <w:rFonts w:ascii="Times New Roman" w:eastAsia="Times New Roman" w:hAnsi="Times New Roman" w:cs="Times New Roman"/>
          <w:sz w:val="24"/>
          <w:szCs w:val="24"/>
          <w:lang w:eastAsia="sv-SE"/>
        </w:rPr>
        <w:t>T</w:t>
      </w:r>
      <w:r w:rsidR="00C961B3" w:rsidRPr="00C961B3">
        <w:rPr>
          <w:rFonts w:ascii="Times New Roman" w:eastAsia="Times New Roman" w:hAnsi="Times New Roman" w:cs="Times New Roman"/>
          <w:sz w:val="24"/>
          <w:szCs w:val="24"/>
          <w:lang w:eastAsia="sv-SE"/>
        </w:rPr>
        <w:t xml:space="preserve">his study </w:t>
      </w:r>
      <w:r>
        <w:rPr>
          <w:rFonts w:ascii="Times New Roman" w:eastAsia="Times New Roman" w:hAnsi="Times New Roman" w:cs="Times New Roman"/>
          <w:sz w:val="24"/>
          <w:szCs w:val="24"/>
          <w:lang w:eastAsia="sv-SE"/>
        </w:rPr>
        <w:t xml:space="preserve">aims at </w:t>
      </w:r>
      <w:r w:rsidR="00C961B3" w:rsidRPr="00C961B3">
        <w:rPr>
          <w:rFonts w:ascii="Times New Roman" w:eastAsia="Times New Roman" w:hAnsi="Times New Roman" w:cs="Times New Roman"/>
          <w:sz w:val="24"/>
          <w:szCs w:val="24"/>
          <w:lang w:eastAsia="sv-SE"/>
        </w:rPr>
        <w:t>contribut</w:t>
      </w:r>
      <w:r>
        <w:rPr>
          <w:rFonts w:ascii="Times New Roman" w:eastAsia="Times New Roman" w:hAnsi="Times New Roman" w:cs="Times New Roman"/>
          <w:sz w:val="24"/>
          <w:szCs w:val="24"/>
          <w:lang w:eastAsia="sv-SE"/>
        </w:rPr>
        <w:t>ing</w:t>
      </w:r>
      <w:r w:rsidR="00C961B3" w:rsidRPr="00C961B3">
        <w:rPr>
          <w:rFonts w:ascii="Times New Roman" w:eastAsia="Times New Roman" w:hAnsi="Times New Roman" w:cs="Times New Roman"/>
          <w:sz w:val="24"/>
          <w:szCs w:val="24"/>
          <w:lang w:eastAsia="sv-SE"/>
        </w:rPr>
        <w:t xml:space="preserve"> to educational practice and research by examining how scaffolding and guided learning support inclusive participation within the ZPD in Swedish lower secondary classrooms. Practically, it </w:t>
      </w:r>
      <w:r w:rsidR="0016645F">
        <w:rPr>
          <w:rFonts w:ascii="Times New Roman" w:eastAsia="Times New Roman" w:hAnsi="Times New Roman" w:cs="Times New Roman"/>
          <w:sz w:val="24"/>
          <w:szCs w:val="24"/>
          <w:lang w:eastAsia="sv-SE"/>
        </w:rPr>
        <w:t xml:space="preserve">will </w:t>
      </w:r>
      <w:r w:rsidR="00C961B3" w:rsidRPr="00C961B3">
        <w:rPr>
          <w:rFonts w:ascii="Times New Roman" w:eastAsia="Times New Roman" w:hAnsi="Times New Roman" w:cs="Times New Roman"/>
          <w:sz w:val="24"/>
          <w:szCs w:val="24"/>
          <w:lang w:eastAsia="sv-SE"/>
        </w:rPr>
        <w:t>offer insights into how teachers can use interaction to foster more responsive and inclusive learning, supporting reflective practice</w:t>
      </w:r>
      <w:r w:rsidR="00B33AC3" w:rsidRPr="00B33AC3">
        <w:rPr>
          <w:rFonts w:ascii="Times New Roman" w:eastAsia="Times New Roman" w:hAnsi="Times New Roman" w:cs="Times New Roman"/>
          <w:sz w:val="24"/>
          <w:szCs w:val="24"/>
          <w:lang w:eastAsia="sv-SE"/>
        </w:rPr>
        <w:t xml:space="preserve"> </w:t>
      </w:r>
      <w:r w:rsidR="00591781">
        <w:rPr>
          <w:rFonts w:ascii="Times New Roman" w:eastAsia="Times New Roman" w:hAnsi="Times New Roman" w:cs="Times New Roman"/>
          <w:sz w:val="24"/>
          <w:szCs w:val="24"/>
          <w:lang w:eastAsia="sv-SE"/>
        </w:rPr>
        <w:t xml:space="preserve">in line </w:t>
      </w:r>
      <w:r w:rsidR="00B33AC3" w:rsidRPr="00923400">
        <w:rPr>
          <w:rFonts w:ascii="Times New Roman" w:eastAsia="Times New Roman" w:hAnsi="Times New Roman" w:cs="Times New Roman"/>
          <w:sz w:val="24"/>
          <w:szCs w:val="24"/>
          <w:lang w:eastAsia="sv-SE"/>
        </w:rPr>
        <w:t>with Donald Schön’s concept of reflective practice,</w:t>
      </w:r>
      <w:r w:rsidR="00C961B3" w:rsidRPr="00C961B3">
        <w:rPr>
          <w:rFonts w:ascii="Times New Roman" w:eastAsia="Times New Roman" w:hAnsi="Times New Roman" w:cs="Times New Roman"/>
          <w:sz w:val="24"/>
          <w:szCs w:val="24"/>
          <w:lang w:eastAsia="sv-SE"/>
        </w:rPr>
        <w:t xml:space="preserve"> (Tan, Kocsis and Burry, 2023). Theoretically, it </w:t>
      </w:r>
      <w:r w:rsidR="0016645F">
        <w:rPr>
          <w:rFonts w:ascii="Times New Roman" w:eastAsia="Times New Roman" w:hAnsi="Times New Roman" w:cs="Times New Roman"/>
          <w:sz w:val="24"/>
          <w:szCs w:val="24"/>
          <w:lang w:eastAsia="sv-SE"/>
        </w:rPr>
        <w:t xml:space="preserve">will </w:t>
      </w:r>
      <w:r w:rsidR="00C961B3" w:rsidRPr="00C961B3">
        <w:rPr>
          <w:rFonts w:ascii="Times New Roman" w:eastAsia="Times New Roman" w:hAnsi="Times New Roman" w:cs="Times New Roman"/>
          <w:sz w:val="24"/>
          <w:szCs w:val="24"/>
          <w:lang w:eastAsia="sv-SE"/>
        </w:rPr>
        <w:t>advance sociocultural perspectives by framing scaffolding as a situated, co-constructed process and extending understanding of how the ZPD emerges in classroom interaction (Eun, 2019). Overall, the study links theory and practice to inform more inclusive and collaborative teaching approaches.</w:t>
      </w:r>
    </w:p>
    <w:p w14:paraId="3DCF6E59" w14:textId="097619AD" w:rsidR="00C23096" w:rsidRPr="00C23096" w:rsidRDefault="00C63269" w:rsidP="00C23096">
      <w:pPr>
        <w:spacing w:before="100" w:beforeAutospacing="1" w:after="100" w:afterAutospacing="1" w:line="360" w:lineRule="auto"/>
        <w:jc w:val="both"/>
        <w:rPr>
          <w:rFonts w:ascii="Times New Roman" w:eastAsia="Times New Roman" w:hAnsi="Times New Roman" w:cs="Times New Roman"/>
          <w:b/>
          <w:bCs/>
          <w:sz w:val="24"/>
          <w:szCs w:val="24"/>
          <w:lang w:eastAsia="sv-SE"/>
        </w:rPr>
      </w:pPr>
      <w:r w:rsidRPr="00963259">
        <w:rPr>
          <w:rFonts w:ascii="Times New Roman" w:eastAsia="Times New Roman" w:hAnsi="Times New Roman" w:cs="Times New Roman"/>
          <w:b/>
          <w:bCs/>
          <w:sz w:val="24"/>
          <w:szCs w:val="24"/>
          <w:lang w:eastAsia="sv-SE"/>
        </w:rPr>
        <w:t>Limitations</w:t>
      </w:r>
      <w:r w:rsidR="00AD779B" w:rsidRPr="00963259">
        <w:rPr>
          <w:rFonts w:ascii="Times New Roman" w:eastAsia="Times New Roman" w:hAnsi="Times New Roman" w:cs="Times New Roman"/>
          <w:b/>
          <w:bCs/>
          <w:sz w:val="24"/>
          <w:szCs w:val="24"/>
          <w:lang w:eastAsia="sv-SE"/>
        </w:rPr>
        <w:t xml:space="preserve"> and </w:t>
      </w:r>
      <w:r w:rsidRPr="00963259">
        <w:rPr>
          <w:rFonts w:ascii="Times New Roman" w:eastAsia="Times New Roman" w:hAnsi="Times New Roman" w:cs="Times New Roman"/>
          <w:b/>
          <w:bCs/>
          <w:sz w:val="24"/>
          <w:szCs w:val="24"/>
          <w:lang w:eastAsia="sv-SE"/>
        </w:rPr>
        <w:t>Delimitations</w:t>
      </w:r>
    </w:p>
    <w:p w14:paraId="30CD953F" w14:textId="33C95452" w:rsidR="00CE2DF6" w:rsidRDefault="00121460" w:rsidP="00482121">
      <w:pPr>
        <w:spacing w:before="100" w:beforeAutospacing="1" w:after="100" w:afterAutospacing="1" w:line="360" w:lineRule="auto"/>
        <w:jc w:val="both"/>
        <w:rPr>
          <w:rFonts w:ascii="Times New Roman" w:eastAsia="Times New Roman" w:hAnsi="Times New Roman" w:cs="Times New Roman"/>
          <w:sz w:val="24"/>
          <w:szCs w:val="24"/>
          <w:lang w:eastAsia="sv-SE"/>
        </w:rPr>
      </w:pPr>
      <w:r>
        <w:rPr>
          <w:rFonts w:ascii="Times New Roman" w:eastAsia="Times New Roman" w:hAnsi="Times New Roman" w:cs="Times New Roman"/>
          <w:sz w:val="24"/>
          <w:szCs w:val="24"/>
          <w:lang w:eastAsia="sv-SE"/>
        </w:rPr>
        <w:t>T</w:t>
      </w:r>
      <w:r w:rsidR="00CE2DF6" w:rsidRPr="00CE2DF6">
        <w:rPr>
          <w:rFonts w:ascii="Times New Roman" w:eastAsia="Times New Roman" w:hAnsi="Times New Roman" w:cs="Times New Roman"/>
          <w:sz w:val="24"/>
          <w:szCs w:val="24"/>
          <w:lang w:eastAsia="sv-SE"/>
        </w:rPr>
        <w:t>h</w:t>
      </w:r>
      <w:r w:rsidR="00FA2491">
        <w:rPr>
          <w:rFonts w:ascii="Times New Roman" w:eastAsia="Times New Roman" w:hAnsi="Times New Roman" w:cs="Times New Roman"/>
          <w:sz w:val="24"/>
          <w:szCs w:val="24"/>
          <w:lang w:eastAsia="sv-SE"/>
        </w:rPr>
        <w:t>e</w:t>
      </w:r>
      <w:r w:rsidR="00CE2DF6" w:rsidRPr="00CE2DF6">
        <w:rPr>
          <w:rFonts w:ascii="Times New Roman" w:eastAsia="Times New Roman" w:hAnsi="Times New Roman" w:cs="Times New Roman"/>
          <w:sz w:val="24"/>
          <w:szCs w:val="24"/>
          <w:lang w:eastAsia="sv-SE"/>
        </w:rPr>
        <w:t xml:space="preserve"> qualitative study</w:t>
      </w:r>
      <w:r w:rsidR="00FF0216">
        <w:rPr>
          <w:rFonts w:ascii="Times New Roman" w:eastAsia="Times New Roman" w:hAnsi="Times New Roman" w:cs="Times New Roman"/>
          <w:sz w:val="24"/>
          <w:szCs w:val="24"/>
          <w:lang w:eastAsia="sv-SE"/>
        </w:rPr>
        <w:t xml:space="preserve"> </w:t>
      </w:r>
      <w:r>
        <w:rPr>
          <w:rFonts w:ascii="Times New Roman" w:eastAsia="Times New Roman" w:hAnsi="Times New Roman" w:cs="Times New Roman"/>
          <w:sz w:val="24"/>
          <w:szCs w:val="24"/>
          <w:lang w:eastAsia="sv-SE"/>
        </w:rPr>
        <w:t xml:space="preserve">will be </w:t>
      </w:r>
      <w:r w:rsidR="00CE2DF6" w:rsidRPr="00CE2DF6">
        <w:rPr>
          <w:rFonts w:ascii="Times New Roman" w:eastAsia="Times New Roman" w:hAnsi="Times New Roman" w:cs="Times New Roman"/>
          <w:sz w:val="24"/>
          <w:szCs w:val="24"/>
          <w:lang w:eastAsia="sv-SE"/>
        </w:rPr>
        <w:t>based on a small sample of Swedish lower secondary classrooms</w:t>
      </w:r>
      <w:r w:rsidR="006F6546">
        <w:rPr>
          <w:rFonts w:ascii="Times New Roman" w:eastAsia="Times New Roman" w:hAnsi="Times New Roman" w:cs="Times New Roman"/>
          <w:sz w:val="24"/>
          <w:szCs w:val="24"/>
          <w:lang w:eastAsia="sv-SE"/>
        </w:rPr>
        <w:t>.</w:t>
      </w:r>
      <w:r w:rsidR="00CE2DF6" w:rsidRPr="00CE2DF6">
        <w:rPr>
          <w:rFonts w:ascii="Times New Roman" w:eastAsia="Times New Roman" w:hAnsi="Times New Roman" w:cs="Times New Roman"/>
          <w:sz w:val="24"/>
          <w:szCs w:val="24"/>
          <w:lang w:eastAsia="sv-SE"/>
        </w:rPr>
        <w:t xml:space="preserve"> </w:t>
      </w:r>
      <w:r w:rsidR="006F6546">
        <w:rPr>
          <w:rFonts w:ascii="Times New Roman" w:eastAsia="Times New Roman" w:hAnsi="Times New Roman" w:cs="Times New Roman"/>
          <w:sz w:val="24"/>
          <w:szCs w:val="24"/>
          <w:lang w:eastAsia="sv-SE"/>
        </w:rPr>
        <w:t xml:space="preserve">Further, the study </w:t>
      </w:r>
      <w:r w:rsidR="00446C72">
        <w:rPr>
          <w:rFonts w:ascii="Times New Roman" w:eastAsia="Times New Roman" w:hAnsi="Times New Roman" w:cs="Times New Roman"/>
          <w:sz w:val="24"/>
          <w:szCs w:val="24"/>
          <w:lang w:eastAsia="sv-SE"/>
        </w:rPr>
        <w:t>will</w:t>
      </w:r>
      <w:r w:rsidR="00CE2DF6" w:rsidRPr="00CE2DF6">
        <w:rPr>
          <w:rFonts w:ascii="Times New Roman" w:eastAsia="Times New Roman" w:hAnsi="Times New Roman" w:cs="Times New Roman"/>
          <w:sz w:val="24"/>
          <w:szCs w:val="24"/>
          <w:lang w:eastAsia="sv-SE"/>
        </w:rPr>
        <w:t xml:space="preserve"> </w:t>
      </w:r>
      <w:r w:rsidR="00F05C9F" w:rsidRPr="00CE2DF6">
        <w:rPr>
          <w:rFonts w:ascii="Times New Roman" w:eastAsia="Times New Roman" w:hAnsi="Times New Roman" w:cs="Times New Roman"/>
          <w:sz w:val="24"/>
          <w:szCs w:val="24"/>
          <w:lang w:eastAsia="sv-SE"/>
        </w:rPr>
        <w:t xml:space="preserve">not </w:t>
      </w:r>
      <w:r w:rsidR="00F05C9F">
        <w:rPr>
          <w:rFonts w:ascii="Times New Roman" w:eastAsia="Times New Roman" w:hAnsi="Times New Roman" w:cs="Times New Roman"/>
          <w:sz w:val="24"/>
          <w:szCs w:val="24"/>
          <w:lang w:eastAsia="sv-SE"/>
        </w:rPr>
        <w:t>be</w:t>
      </w:r>
      <w:r w:rsidR="00701641">
        <w:rPr>
          <w:rFonts w:ascii="Times New Roman" w:eastAsia="Times New Roman" w:hAnsi="Times New Roman" w:cs="Times New Roman"/>
          <w:sz w:val="24"/>
          <w:szCs w:val="24"/>
          <w:lang w:eastAsia="sv-SE"/>
        </w:rPr>
        <w:t xml:space="preserve"> </w:t>
      </w:r>
      <w:r w:rsidR="00CE2DF6" w:rsidRPr="00CE2DF6">
        <w:rPr>
          <w:rFonts w:ascii="Times New Roman" w:eastAsia="Times New Roman" w:hAnsi="Times New Roman" w:cs="Times New Roman"/>
          <w:sz w:val="24"/>
          <w:szCs w:val="24"/>
          <w:lang w:eastAsia="sv-SE"/>
        </w:rPr>
        <w:t xml:space="preserve">statistically generalisable but </w:t>
      </w:r>
      <w:r w:rsidR="00701641">
        <w:rPr>
          <w:rFonts w:ascii="Times New Roman" w:eastAsia="Times New Roman" w:hAnsi="Times New Roman" w:cs="Times New Roman"/>
          <w:sz w:val="24"/>
          <w:szCs w:val="24"/>
          <w:lang w:eastAsia="sv-SE"/>
        </w:rPr>
        <w:t xml:space="preserve">will </w:t>
      </w:r>
      <w:r w:rsidR="00CE2DF6" w:rsidRPr="00CE2DF6">
        <w:rPr>
          <w:rFonts w:ascii="Times New Roman" w:eastAsia="Times New Roman" w:hAnsi="Times New Roman" w:cs="Times New Roman"/>
          <w:sz w:val="24"/>
          <w:szCs w:val="24"/>
          <w:lang w:eastAsia="sv-SE"/>
        </w:rPr>
        <w:t xml:space="preserve">aim </w:t>
      </w:r>
      <w:r w:rsidR="00701641">
        <w:rPr>
          <w:rFonts w:ascii="Times New Roman" w:eastAsia="Times New Roman" w:hAnsi="Times New Roman" w:cs="Times New Roman"/>
          <w:sz w:val="24"/>
          <w:szCs w:val="24"/>
          <w:lang w:eastAsia="sv-SE"/>
        </w:rPr>
        <w:t>at</w:t>
      </w:r>
      <w:r w:rsidR="00CE2DF6" w:rsidRPr="00CE2DF6">
        <w:rPr>
          <w:rFonts w:ascii="Times New Roman" w:eastAsia="Times New Roman" w:hAnsi="Times New Roman" w:cs="Times New Roman"/>
          <w:sz w:val="24"/>
          <w:szCs w:val="24"/>
          <w:lang w:eastAsia="sv-SE"/>
        </w:rPr>
        <w:t xml:space="preserve"> provid</w:t>
      </w:r>
      <w:r w:rsidR="00701641">
        <w:rPr>
          <w:rFonts w:ascii="Times New Roman" w:eastAsia="Times New Roman" w:hAnsi="Times New Roman" w:cs="Times New Roman"/>
          <w:sz w:val="24"/>
          <w:szCs w:val="24"/>
          <w:lang w:eastAsia="sv-SE"/>
        </w:rPr>
        <w:t>ing</w:t>
      </w:r>
      <w:r w:rsidR="00CE2DF6" w:rsidRPr="00CE2DF6">
        <w:rPr>
          <w:rFonts w:ascii="Times New Roman" w:eastAsia="Times New Roman" w:hAnsi="Times New Roman" w:cs="Times New Roman"/>
          <w:sz w:val="24"/>
          <w:szCs w:val="24"/>
          <w:lang w:eastAsia="sv-SE"/>
        </w:rPr>
        <w:t xml:space="preserve"> context-rich transferable insights. The absence of video recordings </w:t>
      </w:r>
      <w:r w:rsidR="00F05C9F">
        <w:rPr>
          <w:rFonts w:ascii="Times New Roman" w:eastAsia="Times New Roman" w:hAnsi="Times New Roman" w:cs="Times New Roman"/>
          <w:sz w:val="24"/>
          <w:szCs w:val="24"/>
          <w:lang w:eastAsia="sv-SE"/>
        </w:rPr>
        <w:t xml:space="preserve">will </w:t>
      </w:r>
      <w:r w:rsidR="00CE2DF6" w:rsidRPr="00CE2DF6">
        <w:rPr>
          <w:rFonts w:ascii="Times New Roman" w:eastAsia="Times New Roman" w:hAnsi="Times New Roman" w:cs="Times New Roman"/>
          <w:sz w:val="24"/>
          <w:szCs w:val="24"/>
          <w:lang w:eastAsia="sv-SE"/>
        </w:rPr>
        <w:t>limit capture of detailed interaction</w:t>
      </w:r>
      <w:r w:rsidR="00446C72">
        <w:rPr>
          <w:rFonts w:ascii="Times New Roman" w:eastAsia="Times New Roman" w:hAnsi="Times New Roman" w:cs="Times New Roman"/>
          <w:sz w:val="24"/>
          <w:szCs w:val="24"/>
          <w:lang w:eastAsia="sv-SE"/>
        </w:rPr>
        <w:t xml:space="preserve"> </w:t>
      </w:r>
      <w:r w:rsidR="00CE2DF6" w:rsidRPr="00CE2DF6">
        <w:rPr>
          <w:rFonts w:ascii="Times New Roman" w:eastAsia="Times New Roman" w:hAnsi="Times New Roman" w:cs="Times New Roman"/>
          <w:sz w:val="24"/>
          <w:szCs w:val="24"/>
          <w:lang w:eastAsia="sv-SE"/>
        </w:rPr>
        <w:t xml:space="preserve">due to ethical and privacy considerations; instead, observations, field notes, and interviews </w:t>
      </w:r>
      <w:r w:rsidR="00446C72">
        <w:rPr>
          <w:rFonts w:ascii="Times New Roman" w:eastAsia="Times New Roman" w:hAnsi="Times New Roman" w:cs="Times New Roman"/>
          <w:sz w:val="24"/>
          <w:szCs w:val="24"/>
          <w:lang w:eastAsia="sv-SE"/>
        </w:rPr>
        <w:t xml:space="preserve">will </w:t>
      </w:r>
      <w:proofErr w:type="gramStart"/>
      <w:r w:rsidR="00446C72">
        <w:rPr>
          <w:rFonts w:ascii="Times New Roman" w:eastAsia="Times New Roman" w:hAnsi="Times New Roman" w:cs="Times New Roman"/>
          <w:sz w:val="24"/>
          <w:szCs w:val="24"/>
          <w:lang w:eastAsia="sv-SE"/>
        </w:rPr>
        <w:t>be</w:t>
      </w:r>
      <w:r w:rsidR="00CE2DF6" w:rsidRPr="00CE2DF6">
        <w:rPr>
          <w:rFonts w:ascii="Times New Roman" w:eastAsia="Times New Roman" w:hAnsi="Times New Roman" w:cs="Times New Roman"/>
          <w:sz w:val="24"/>
          <w:szCs w:val="24"/>
          <w:lang w:eastAsia="sv-SE"/>
        </w:rPr>
        <w:t xml:space="preserve"> used</w:t>
      </w:r>
      <w:proofErr w:type="gramEnd"/>
      <w:r w:rsidR="00CE2DF6" w:rsidRPr="00CE2DF6">
        <w:rPr>
          <w:rFonts w:ascii="Times New Roman" w:eastAsia="Times New Roman" w:hAnsi="Times New Roman" w:cs="Times New Roman"/>
          <w:sz w:val="24"/>
          <w:szCs w:val="24"/>
          <w:lang w:eastAsia="sv-SE"/>
        </w:rPr>
        <w:t xml:space="preserve">. The researcher’s dual role may introduce bias, but reflexive practices help enhance transparency and mitigate this (Richardson, Erol and Bueno, 2023). The study </w:t>
      </w:r>
      <w:proofErr w:type="gramStart"/>
      <w:r w:rsidR="00CE2DF6" w:rsidRPr="00CE2DF6">
        <w:rPr>
          <w:rFonts w:ascii="Times New Roman" w:eastAsia="Times New Roman" w:hAnsi="Times New Roman" w:cs="Times New Roman"/>
          <w:sz w:val="24"/>
          <w:szCs w:val="24"/>
          <w:lang w:eastAsia="sv-SE"/>
        </w:rPr>
        <w:t>is delimited</w:t>
      </w:r>
      <w:proofErr w:type="gramEnd"/>
      <w:r w:rsidR="00CE2DF6" w:rsidRPr="00CE2DF6">
        <w:rPr>
          <w:rFonts w:ascii="Times New Roman" w:eastAsia="Times New Roman" w:hAnsi="Times New Roman" w:cs="Times New Roman"/>
          <w:sz w:val="24"/>
          <w:szCs w:val="24"/>
          <w:lang w:eastAsia="sv-SE"/>
        </w:rPr>
        <w:t xml:space="preserve"> to teacher</w:t>
      </w:r>
      <w:r w:rsidR="00EC384D">
        <w:rPr>
          <w:rFonts w:ascii="Times New Roman" w:eastAsia="Times New Roman" w:hAnsi="Times New Roman" w:cs="Times New Roman"/>
          <w:sz w:val="24"/>
          <w:szCs w:val="24"/>
          <w:lang w:eastAsia="sv-SE"/>
        </w:rPr>
        <w:t>-</w:t>
      </w:r>
      <w:r w:rsidR="00CE2DF6" w:rsidRPr="00CE2DF6">
        <w:rPr>
          <w:rFonts w:ascii="Times New Roman" w:eastAsia="Times New Roman" w:hAnsi="Times New Roman" w:cs="Times New Roman"/>
          <w:sz w:val="24"/>
          <w:szCs w:val="24"/>
          <w:lang w:eastAsia="sv-SE"/>
        </w:rPr>
        <w:t>student interaction focused on scaffolding and participation within the ZPD, excluding broader factors such as curriculum and policy.</w:t>
      </w:r>
    </w:p>
    <w:p w14:paraId="539E3794" w14:textId="77777777" w:rsidR="00CF6D21" w:rsidRPr="00CE349E" w:rsidRDefault="00CF6D21" w:rsidP="00482121">
      <w:pPr>
        <w:spacing w:before="100" w:beforeAutospacing="1" w:after="100" w:afterAutospacing="1" w:line="360" w:lineRule="auto"/>
        <w:jc w:val="both"/>
        <w:rPr>
          <w:rFonts w:ascii="Times New Roman" w:eastAsia="Times New Roman" w:hAnsi="Times New Roman" w:cs="Times New Roman"/>
          <w:sz w:val="24"/>
          <w:szCs w:val="24"/>
          <w:lang w:eastAsia="sv-SE"/>
        </w:rPr>
      </w:pPr>
    </w:p>
    <w:p w14:paraId="62248897" w14:textId="5FBB2457" w:rsidR="00FE1934" w:rsidRPr="00963259" w:rsidRDefault="001C2333" w:rsidP="00963259">
      <w:pPr>
        <w:pStyle w:val="Normalwebb"/>
        <w:spacing w:line="360" w:lineRule="auto"/>
        <w:jc w:val="both"/>
        <w:rPr>
          <w:rFonts w:eastAsiaTheme="majorEastAsia"/>
        </w:rPr>
      </w:pPr>
      <w:r w:rsidRPr="00963259">
        <w:rPr>
          <w:rStyle w:val="Stark"/>
          <w:rFonts w:eastAsiaTheme="majorEastAsia"/>
        </w:rPr>
        <w:lastRenderedPageBreak/>
        <w:t>Proposed Research Timeline</w:t>
      </w:r>
    </w:p>
    <w:p w14:paraId="2E98E40B" w14:textId="77777777" w:rsidR="00FE1934" w:rsidRPr="00963259" w:rsidRDefault="00FE1934" w:rsidP="00963259">
      <w:pPr>
        <w:pStyle w:val="Normalwebb"/>
        <w:spacing w:line="360" w:lineRule="auto"/>
        <w:jc w:val="both"/>
      </w:pPr>
      <w:r w:rsidRPr="00963259">
        <w:t xml:space="preserve">The doctoral research </w:t>
      </w:r>
      <w:proofErr w:type="gramStart"/>
      <w:r w:rsidRPr="00963259">
        <w:t>is expected</w:t>
      </w:r>
      <w:proofErr w:type="gramEnd"/>
      <w:r w:rsidRPr="00963259">
        <w:t xml:space="preserve"> to span approximately three years, covering theoretical development, data collection, analysis, and dissemination.</w:t>
      </w:r>
    </w:p>
    <w:p w14:paraId="693695F7" w14:textId="77777777" w:rsidR="006979A8" w:rsidRDefault="00FE1934" w:rsidP="00F339F6">
      <w:pPr>
        <w:pStyle w:val="Normalwebb"/>
        <w:spacing w:line="360" w:lineRule="auto"/>
      </w:pPr>
      <w:r w:rsidRPr="00963259">
        <w:rPr>
          <w:rStyle w:val="Stark"/>
          <w:rFonts w:eastAsiaTheme="majorEastAsia"/>
        </w:rPr>
        <w:t>Year 1: Literature Review and Research Design</w:t>
      </w:r>
      <w:r w:rsidRPr="00963259">
        <w:br/>
      </w:r>
      <w:r w:rsidR="00AA45E9" w:rsidRPr="00F339F6">
        <w:t>Conduct a critical literature review on sociocultural theory (Vygotsky, scaffolding, ZPD), refine the research design, and secure ethical approval and access to schools.</w:t>
      </w:r>
    </w:p>
    <w:p w14:paraId="436A00A1" w14:textId="29843DB7" w:rsidR="006979A8" w:rsidRPr="00535E32" w:rsidRDefault="00FE1934" w:rsidP="00F339F6">
      <w:pPr>
        <w:pStyle w:val="Normalwebb"/>
        <w:spacing w:line="360" w:lineRule="auto"/>
        <w:rPr>
          <w:highlight w:val="yellow"/>
        </w:rPr>
      </w:pPr>
      <w:r w:rsidRPr="00963259">
        <w:rPr>
          <w:rStyle w:val="Stark"/>
          <w:rFonts w:eastAsiaTheme="majorEastAsia"/>
        </w:rPr>
        <w:t>Year 2: Data Collection and Preliminary Analysis</w:t>
      </w:r>
      <w:r w:rsidRPr="00963259">
        <w:br/>
      </w:r>
      <w:r w:rsidR="006979A8" w:rsidRPr="00F339F6">
        <w:t xml:space="preserve">Collect data in Swedish lower secondary classrooms through observations, field notes, artefacts, and interviews, alongside initial </w:t>
      </w:r>
      <w:proofErr w:type="gramStart"/>
      <w:r w:rsidR="006979A8" w:rsidRPr="00F339F6">
        <w:t>organisation</w:t>
      </w:r>
      <w:proofErr w:type="gramEnd"/>
      <w:r w:rsidR="006979A8" w:rsidRPr="00F339F6">
        <w:t xml:space="preserve"> and coding</w:t>
      </w:r>
      <w:r w:rsidR="00EE3470" w:rsidRPr="00F339F6">
        <w:t xml:space="preserve"> to </w:t>
      </w:r>
      <w:r w:rsidR="00F339F6" w:rsidRPr="00F339F6">
        <w:t>support analytical process</w:t>
      </w:r>
      <w:r w:rsidR="006979A8" w:rsidRPr="00F339F6">
        <w:t>.</w:t>
      </w:r>
    </w:p>
    <w:p w14:paraId="17EFFC39" w14:textId="1AF36FB5" w:rsidR="004E4DFE" w:rsidRPr="00CF6D21" w:rsidRDefault="00FE1934" w:rsidP="00CF6D21">
      <w:pPr>
        <w:pStyle w:val="Normalwebb"/>
        <w:spacing w:line="360" w:lineRule="auto"/>
      </w:pPr>
      <w:r w:rsidRPr="00963259">
        <w:rPr>
          <w:rStyle w:val="Stark"/>
          <w:rFonts w:eastAsiaTheme="majorEastAsia"/>
        </w:rPr>
        <w:t>Year 3: Analysis, Writing, and Dissemination</w:t>
      </w:r>
      <w:r w:rsidRPr="00963259">
        <w:br/>
      </w:r>
      <w:r w:rsidR="00F339F6" w:rsidRPr="00F339F6">
        <w:t>Complete thematic analysis, write and refine the thesis, and disseminate findings through conferences and publications prior to submission and defence.</w:t>
      </w:r>
    </w:p>
    <w:p w14:paraId="5F3F2C26" w14:textId="0FDFCE0A" w:rsidR="004E4DFE" w:rsidRDefault="006743A6" w:rsidP="004E4DFE">
      <w:pPr>
        <w:pStyle w:val="Normalwebb"/>
        <w:spacing w:line="360" w:lineRule="auto"/>
        <w:jc w:val="both"/>
        <w:rPr>
          <w:b/>
          <w:bCs/>
        </w:rPr>
      </w:pPr>
      <w:r w:rsidRPr="00963259">
        <w:rPr>
          <w:b/>
          <w:bCs/>
        </w:rPr>
        <w:t>C</w:t>
      </w:r>
      <w:r w:rsidR="00EF2603" w:rsidRPr="00963259">
        <w:rPr>
          <w:b/>
          <w:bCs/>
        </w:rPr>
        <w:t>onclusion</w:t>
      </w:r>
    </w:p>
    <w:p w14:paraId="1742AC33" w14:textId="6705A95C" w:rsidR="004C366D" w:rsidRDefault="004C366D" w:rsidP="004E4DFE">
      <w:pPr>
        <w:pStyle w:val="Normalwebb"/>
        <w:spacing w:line="360" w:lineRule="auto"/>
        <w:jc w:val="both"/>
      </w:pPr>
      <w:r w:rsidRPr="004C366D">
        <w:t>This study conceptualises scaffolding and guided learning as interactional processes, examining how the ZPD emerges through teacher</w:t>
      </w:r>
      <w:r w:rsidR="00EC1E86">
        <w:t>-</w:t>
      </w:r>
      <w:r w:rsidRPr="004C366D">
        <w:t>student collaboration in Swedish lower secondary classrooms. Using a qualitative practitioner approach, it aims to contribute to sociocultural theory and inform more inclusive and responsive teaching practices.</w:t>
      </w:r>
    </w:p>
    <w:p w14:paraId="18B76BC9" w14:textId="77777777" w:rsidR="00CF6D21" w:rsidRDefault="00CF6D21" w:rsidP="004E4DFE">
      <w:pPr>
        <w:pStyle w:val="Normalwebb"/>
        <w:spacing w:line="360" w:lineRule="auto"/>
        <w:jc w:val="both"/>
      </w:pPr>
    </w:p>
    <w:p w14:paraId="7BDF06AD" w14:textId="77777777" w:rsidR="00CF6D21" w:rsidRDefault="00CF6D21" w:rsidP="004E4DFE">
      <w:pPr>
        <w:pStyle w:val="Normalwebb"/>
        <w:spacing w:line="360" w:lineRule="auto"/>
        <w:jc w:val="both"/>
      </w:pPr>
    </w:p>
    <w:p w14:paraId="223B3B6F" w14:textId="77777777" w:rsidR="00CF6D21" w:rsidRDefault="00CF6D21" w:rsidP="004E4DFE">
      <w:pPr>
        <w:pStyle w:val="Normalwebb"/>
        <w:spacing w:line="360" w:lineRule="auto"/>
        <w:jc w:val="both"/>
      </w:pPr>
    </w:p>
    <w:p w14:paraId="7088B478" w14:textId="77777777" w:rsidR="00CF6D21" w:rsidRDefault="00CF6D21" w:rsidP="004E4DFE">
      <w:pPr>
        <w:pStyle w:val="Normalwebb"/>
        <w:spacing w:line="360" w:lineRule="auto"/>
        <w:jc w:val="both"/>
      </w:pPr>
    </w:p>
    <w:p w14:paraId="7B787DDF" w14:textId="77777777" w:rsidR="00CF6D21" w:rsidRDefault="00CF6D21" w:rsidP="004E4DFE">
      <w:pPr>
        <w:pStyle w:val="Normalwebb"/>
        <w:spacing w:line="360" w:lineRule="auto"/>
        <w:jc w:val="both"/>
      </w:pPr>
    </w:p>
    <w:p w14:paraId="077AB686" w14:textId="77777777" w:rsidR="00CF6D21" w:rsidRDefault="00CF6D21" w:rsidP="004E4DFE">
      <w:pPr>
        <w:pStyle w:val="Normalwebb"/>
        <w:spacing w:line="360" w:lineRule="auto"/>
        <w:jc w:val="both"/>
      </w:pPr>
    </w:p>
    <w:p w14:paraId="13209833" w14:textId="77777777" w:rsidR="00CF6D21" w:rsidRPr="004E4DFE" w:rsidRDefault="00CF6D21" w:rsidP="004E4DFE">
      <w:pPr>
        <w:pStyle w:val="Normalwebb"/>
        <w:spacing w:line="360" w:lineRule="auto"/>
        <w:jc w:val="both"/>
        <w:rPr>
          <w:b/>
          <w:bCs/>
        </w:rPr>
      </w:pPr>
    </w:p>
    <w:p w14:paraId="7B2BF4C2" w14:textId="24BB75C6" w:rsidR="001B2C4C" w:rsidRPr="00963259" w:rsidRDefault="001B2C4C" w:rsidP="00B05407">
      <w:pPr>
        <w:spacing w:line="360" w:lineRule="auto"/>
        <w:jc w:val="both"/>
        <w:rPr>
          <w:rFonts w:ascii="Times New Roman" w:hAnsi="Times New Roman" w:cs="Times New Roman"/>
          <w:sz w:val="24"/>
          <w:szCs w:val="24"/>
        </w:rPr>
      </w:pPr>
      <w:r w:rsidRPr="00963259">
        <w:rPr>
          <w:rFonts w:ascii="Times New Roman" w:hAnsi="Times New Roman" w:cs="Times New Roman"/>
          <w:b/>
          <w:bCs/>
          <w:sz w:val="24"/>
          <w:szCs w:val="24"/>
        </w:rPr>
        <w:lastRenderedPageBreak/>
        <w:t>Sources</w:t>
      </w:r>
      <w:r w:rsidRPr="00963259">
        <w:rPr>
          <w:rFonts w:ascii="Times New Roman" w:hAnsi="Times New Roman" w:cs="Times New Roman"/>
          <w:sz w:val="24"/>
          <w:szCs w:val="24"/>
        </w:rPr>
        <w:t>:</w:t>
      </w:r>
    </w:p>
    <w:p w14:paraId="21A60BCB" w14:textId="17C5C467" w:rsidR="00E64BC0" w:rsidRPr="00963259" w:rsidRDefault="00E64BC0" w:rsidP="00B05407">
      <w:pPr>
        <w:spacing w:after="0" w:line="360" w:lineRule="auto"/>
        <w:jc w:val="both"/>
        <w:rPr>
          <w:rFonts w:ascii="Times New Roman" w:eastAsia="Times New Roman" w:hAnsi="Times New Roman" w:cs="Times New Roman"/>
          <w:sz w:val="24"/>
          <w:szCs w:val="24"/>
          <w:lang w:eastAsia="sv-SE"/>
        </w:rPr>
      </w:pPr>
      <w:r w:rsidRPr="00963259">
        <w:rPr>
          <w:rFonts w:ascii="Times New Roman" w:eastAsia="Times New Roman" w:hAnsi="Times New Roman" w:cs="Times New Roman"/>
          <w:sz w:val="24"/>
          <w:szCs w:val="24"/>
          <w:lang w:eastAsia="sv-SE"/>
        </w:rPr>
        <w:t xml:space="preserve">Adeoye‐Olatunde, O.A. and Olenik, N.L. (2021) “Research and scholarly methods: Semi‐structured interviews,” </w:t>
      </w:r>
      <w:r w:rsidRPr="00963259">
        <w:rPr>
          <w:rFonts w:ascii="Times New Roman" w:eastAsia="Times New Roman" w:hAnsi="Times New Roman" w:cs="Times New Roman"/>
          <w:i/>
          <w:iCs/>
          <w:sz w:val="24"/>
          <w:szCs w:val="24"/>
          <w:lang w:eastAsia="sv-SE"/>
        </w:rPr>
        <w:t>JAACP : Journal of the American College of Clinical Pharmacy</w:t>
      </w:r>
      <w:r w:rsidRPr="00963259">
        <w:rPr>
          <w:rFonts w:ascii="Times New Roman" w:eastAsia="Times New Roman" w:hAnsi="Times New Roman" w:cs="Times New Roman"/>
          <w:sz w:val="24"/>
          <w:szCs w:val="24"/>
          <w:lang w:eastAsia="sv-SE"/>
        </w:rPr>
        <w:t xml:space="preserve">, 4(10), pp. 1358–1367. Available at: </w:t>
      </w:r>
      <w:hyperlink r:id="rId7" w:history="1">
        <w:r w:rsidRPr="00963259">
          <w:rPr>
            <w:rStyle w:val="Hyperlnk"/>
            <w:rFonts w:ascii="Times New Roman" w:eastAsia="Times New Roman" w:hAnsi="Times New Roman" w:cs="Times New Roman"/>
            <w:sz w:val="24"/>
            <w:szCs w:val="24"/>
            <w:lang w:eastAsia="sv-SE"/>
          </w:rPr>
          <w:t>https://doi.org/10.1002/jac5.1441</w:t>
        </w:r>
      </w:hyperlink>
      <w:r w:rsidRPr="00963259">
        <w:rPr>
          <w:rFonts w:ascii="Times New Roman" w:eastAsia="Times New Roman" w:hAnsi="Times New Roman" w:cs="Times New Roman"/>
          <w:sz w:val="24"/>
          <w:szCs w:val="24"/>
          <w:lang w:eastAsia="sv-SE"/>
        </w:rPr>
        <w:t>.</w:t>
      </w:r>
    </w:p>
    <w:p w14:paraId="2C5505E3" w14:textId="77777777" w:rsidR="00E64BC0" w:rsidRPr="00963259" w:rsidRDefault="00E64BC0" w:rsidP="00B05407">
      <w:pPr>
        <w:spacing w:after="0" w:line="360" w:lineRule="auto"/>
        <w:jc w:val="both"/>
        <w:rPr>
          <w:rFonts w:ascii="Times New Roman" w:eastAsia="Times New Roman" w:hAnsi="Times New Roman" w:cs="Times New Roman"/>
          <w:sz w:val="24"/>
          <w:szCs w:val="24"/>
          <w:lang w:eastAsia="sv-SE"/>
        </w:rPr>
      </w:pPr>
    </w:p>
    <w:p w14:paraId="31DE6A84" w14:textId="4A0E941D" w:rsidR="00C34413" w:rsidRPr="00963259" w:rsidRDefault="00C34413" w:rsidP="00B05407">
      <w:pPr>
        <w:spacing w:after="0" w:line="360" w:lineRule="auto"/>
        <w:jc w:val="both"/>
        <w:rPr>
          <w:rFonts w:ascii="Times New Roman" w:eastAsia="Times New Roman" w:hAnsi="Times New Roman" w:cs="Times New Roman"/>
          <w:sz w:val="24"/>
          <w:szCs w:val="24"/>
          <w:lang w:eastAsia="sv-SE"/>
        </w:rPr>
      </w:pPr>
      <w:r w:rsidRPr="00963259">
        <w:rPr>
          <w:rFonts w:ascii="Times New Roman" w:eastAsia="Times New Roman" w:hAnsi="Times New Roman" w:cs="Times New Roman"/>
          <w:sz w:val="24"/>
          <w:szCs w:val="24"/>
          <w:lang w:eastAsia="sv-SE"/>
        </w:rPr>
        <w:t xml:space="preserve">Ahmad, </w:t>
      </w:r>
      <w:proofErr w:type="gramStart"/>
      <w:r w:rsidRPr="00963259">
        <w:rPr>
          <w:rFonts w:ascii="Times New Roman" w:eastAsia="Times New Roman" w:hAnsi="Times New Roman" w:cs="Times New Roman"/>
          <w:sz w:val="24"/>
          <w:szCs w:val="24"/>
          <w:lang w:eastAsia="sv-SE"/>
        </w:rPr>
        <w:t>M.</w:t>
      </w:r>
      <w:proofErr w:type="gramEnd"/>
      <w:r w:rsidRPr="00963259">
        <w:rPr>
          <w:rFonts w:ascii="Times New Roman" w:eastAsia="Times New Roman" w:hAnsi="Times New Roman" w:cs="Times New Roman"/>
          <w:sz w:val="24"/>
          <w:szCs w:val="24"/>
          <w:lang w:eastAsia="sv-SE"/>
        </w:rPr>
        <w:t xml:space="preserve"> and Wilkins, S. (2025) “Purposive sampling in qualitative research: a framework for the entire journey,” </w:t>
      </w:r>
      <w:r w:rsidRPr="00963259">
        <w:rPr>
          <w:rFonts w:ascii="Times New Roman" w:eastAsia="Times New Roman" w:hAnsi="Times New Roman" w:cs="Times New Roman"/>
          <w:i/>
          <w:iCs/>
          <w:sz w:val="24"/>
          <w:szCs w:val="24"/>
          <w:lang w:eastAsia="sv-SE"/>
        </w:rPr>
        <w:t>Quality &amp; quantity</w:t>
      </w:r>
      <w:r w:rsidRPr="00963259">
        <w:rPr>
          <w:rFonts w:ascii="Times New Roman" w:eastAsia="Times New Roman" w:hAnsi="Times New Roman" w:cs="Times New Roman"/>
          <w:sz w:val="24"/>
          <w:szCs w:val="24"/>
          <w:lang w:eastAsia="sv-SE"/>
        </w:rPr>
        <w:t xml:space="preserve">, 59(2), pp. 1461–1479. Available at: </w:t>
      </w:r>
      <w:hyperlink r:id="rId8" w:history="1">
        <w:r w:rsidRPr="00963259">
          <w:rPr>
            <w:rStyle w:val="Hyperlnk"/>
            <w:rFonts w:ascii="Times New Roman" w:eastAsia="Times New Roman" w:hAnsi="Times New Roman" w:cs="Times New Roman"/>
            <w:sz w:val="24"/>
            <w:szCs w:val="24"/>
            <w:lang w:eastAsia="sv-SE"/>
          </w:rPr>
          <w:t>https://doi.org/10.1007/s11135-024-02022-5</w:t>
        </w:r>
      </w:hyperlink>
      <w:r w:rsidRPr="00963259">
        <w:rPr>
          <w:rFonts w:ascii="Times New Roman" w:eastAsia="Times New Roman" w:hAnsi="Times New Roman" w:cs="Times New Roman"/>
          <w:sz w:val="24"/>
          <w:szCs w:val="24"/>
          <w:lang w:eastAsia="sv-SE"/>
        </w:rPr>
        <w:t>.</w:t>
      </w:r>
    </w:p>
    <w:p w14:paraId="64247F22" w14:textId="77777777" w:rsidR="00CC59CC" w:rsidRPr="00963259" w:rsidRDefault="00CC59CC" w:rsidP="00B05407">
      <w:pPr>
        <w:spacing w:after="0" w:line="360" w:lineRule="auto"/>
        <w:jc w:val="both"/>
        <w:rPr>
          <w:rFonts w:ascii="Times New Roman" w:eastAsia="Times New Roman" w:hAnsi="Times New Roman" w:cs="Times New Roman"/>
          <w:sz w:val="24"/>
          <w:szCs w:val="24"/>
          <w:lang w:eastAsia="sv-SE"/>
        </w:rPr>
      </w:pPr>
    </w:p>
    <w:p w14:paraId="2BA919CB" w14:textId="24064167" w:rsidR="00CC59CC" w:rsidRPr="00963259" w:rsidRDefault="00CC59CC" w:rsidP="00B05407">
      <w:pPr>
        <w:spacing w:after="0" w:line="360" w:lineRule="auto"/>
        <w:jc w:val="both"/>
        <w:rPr>
          <w:rFonts w:ascii="Times New Roman" w:eastAsia="Times New Roman" w:hAnsi="Times New Roman" w:cs="Times New Roman"/>
          <w:sz w:val="24"/>
          <w:szCs w:val="24"/>
          <w:lang w:eastAsia="sv-SE"/>
        </w:rPr>
      </w:pPr>
      <w:r w:rsidRPr="00963259">
        <w:rPr>
          <w:rFonts w:ascii="Times New Roman" w:eastAsia="Times New Roman" w:hAnsi="Times New Roman" w:cs="Times New Roman"/>
          <w:sz w:val="24"/>
          <w:szCs w:val="24"/>
          <w:lang w:eastAsia="sv-SE"/>
        </w:rPr>
        <w:t xml:space="preserve">Amundrud, A., Rasmussen, </w:t>
      </w:r>
      <w:proofErr w:type="gramStart"/>
      <w:r w:rsidRPr="00963259">
        <w:rPr>
          <w:rFonts w:ascii="Times New Roman" w:eastAsia="Times New Roman" w:hAnsi="Times New Roman" w:cs="Times New Roman"/>
          <w:sz w:val="24"/>
          <w:szCs w:val="24"/>
          <w:lang w:eastAsia="sv-SE"/>
        </w:rPr>
        <w:t>I.</w:t>
      </w:r>
      <w:proofErr w:type="gramEnd"/>
      <w:r w:rsidRPr="00963259">
        <w:rPr>
          <w:rFonts w:ascii="Times New Roman" w:eastAsia="Times New Roman" w:hAnsi="Times New Roman" w:cs="Times New Roman"/>
          <w:sz w:val="24"/>
          <w:szCs w:val="24"/>
          <w:lang w:eastAsia="sv-SE"/>
        </w:rPr>
        <w:t xml:space="preserve"> and Warwick, P. (2025) “How teachers make talk rules relevant as collective scaffolds in the context of digital technology - support for and from microblogging,” </w:t>
      </w:r>
      <w:r w:rsidRPr="00963259">
        <w:rPr>
          <w:rFonts w:ascii="Times New Roman" w:eastAsia="Times New Roman" w:hAnsi="Times New Roman" w:cs="Times New Roman"/>
          <w:i/>
          <w:iCs/>
          <w:sz w:val="24"/>
          <w:szCs w:val="24"/>
          <w:lang w:eastAsia="sv-SE"/>
        </w:rPr>
        <w:t>Teacher development</w:t>
      </w:r>
      <w:r w:rsidRPr="00963259">
        <w:rPr>
          <w:rFonts w:ascii="Times New Roman" w:eastAsia="Times New Roman" w:hAnsi="Times New Roman" w:cs="Times New Roman"/>
          <w:sz w:val="24"/>
          <w:szCs w:val="24"/>
          <w:lang w:eastAsia="sv-SE"/>
        </w:rPr>
        <w:t xml:space="preserve">, 29(1), pp. 44–67. Available at: </w:t>
      </w:r>
      <w:hyperlink r:id="rId9" w:history="1">
        <w:r w:rsidRPr="00963259">
          <w:rPr>
            <w:rStyle w:val="Hyperlnk"/>
            <w:rFonts w:ascii="Times New Roman" w:eastAsia="Times New Roman" w:hAnsi="Times New Roman" w:cs="Times New Roman"/>
            <w:sz w:val="24"/>
            <w:szCs w:val="24"/>
            <w:lang w:eastAsia="sv-SE"/>
          </w:rPr>
          <w:t>https://doi.org/10.1080/13664530.2024.2365720</w:t>
        </w:r>
      </w:hyperlink>
      <w:r w:rsidRPr="00963259">
        <w:rPr>
          <w:rFonts w:ascii="Times New Roman" w:eastAsia="Times New Roman" w:hAnsi="Times New Roman" w:cs="Times New Roman"/>
          <w:sz w:val="24"/>
          <w:szCs w:val="24"/>
          <w:lang w:eastAsia="sv-SE"/>
        </w:rPr>
        <w:t>.</w:t>
      </w:r>
    </w:p>
    <w:p w14:paraId="6F3CB714" w14:textId="77777777" w:rsidR="00C34413" w:rsidRPr="00963259" w:rsidRDefault="00C34413" w:rsidP="00B05407">
      <w:pPr>
        <w:spacing w:line="360" w:lineRule="auto"/>
        <w:jc w:val="both"/>
        <w:rPr>
          <w:rFonts w:ascii="Times New Roman" w:hAnsi="Times New Roman" w:cs="Times New Roman"/>
          <w:sz w:val="24"/>
          <w:szCs w:val="24"/>
        </w:rPr>
      </w:pPr>
    </w:p>
    <w:p w14:paraId="13001746" w14:textId="3D289D5F" w:rsidR="00C15606" w:rsidRPr="00963259" w:rsidRDefault="00C15606" w:rsidP="00B05407">
      <w:pPr>
        <w:spacing w:after="0" w:line="360" w:lineRule="auto"/>
        <w:jc w:val="both"/>
        <w:rPr>
          <w:rFonts w:ascii="Times New Roman" w:eastAsia="Times New Roman" w:hAnsi="Times New Roman" w:cs="Times New Roman"/>
          <w:sz w:val="24"/>
          <w:szCs w:val="24"/>
          <w:lang w:eastAsia="sv-SE"/>
        </w:rPr>
      </w:pPr>
      <w:r w:rsidRPr="00963259">
        <w:rPr>
          <w:rFonts w:ascii="Times New Roman" w:eastAsia="Times New Roman" w:hAnsi="Times New Roman" w:cs="Times New Roman"/>
          <w:sz w:val="24"/>
          <w:szCs w:val="24"/>
          <w:lang w:eastAsia="sv-SE"/>
        </w:rPr>
        <w:t xml:space="preserve">Baldwin, J.R. </w:t>
      </w:r>
      <w:r w:rsidRPr="00963259">
        <w:rPr>
          <w:rFonts w:ascii="Times New Roman" w:eastAsia="Times New Roman" w:hAnsi="Times New Roman" w:cs="Times New Roman"/>
          <w:i/>
          <w:iCs/>
          <w:sz w:val="24"/>
          <w:szCs w:val="24"/>
          <w:lang w:eastAsia="sv-SE"/>
        </w:rPr>
        <w:t>et al.</w:t>
      </w:r>
      <w:r w:rsidRPr="00963259">
        <w:rPr>
          <w:rFonts w:ascii="Times New Roman" w:eastAsia="Times New Roman" w:hAnsi="Times New Roman" w:cs="Times New Roman"/>
          <w:sz w:val="24"/>
          <w:szCs w:val="24"/>
          <w:lang w:eastAsia="sv-SE"/>
        </w:rPr>
        <w:t xml:space="preserve"> (2022) “Protecting against researcher bias in secondary data analysis: challenges and potential solutions,” </w:t>
      </w:r>
      <w:r w:rsidRPr="00963259">
        <w:rPr>
          <w:rFonts w:ascii="Times New Roman" w:eastAsia="Times New Roman" w:hAnsi="Times New Roman" w:cs="Times New Roman"/>
          <w:i/>
          <w:iCs/>
          <w:sz w:val="24"/>
          <w:szCs w:val="24"/>
          <w:lang w:eastAsia="sv-SE"/>
        </w:rPr>
        <w:t>European journal of epidemiology</w:t>
      </w:r>
      <w:r w:rsidRPr="00963259">
        <w:rPr>
          <w:rFonts w:ascii="Times New Roman" w:eastAsia="Times New Roman" w:hAnsi="Times New Roman" w:cs="Times New Roman"/>
          <w:sz w:val="24"/>
          <w:szCs w:val="24"/>
          <w:lang w:eastAsia="sv-SE"/>
        </w:rPr>
        <w:t xml:space="preserve">, 37(1), pp. 1–10. Available at: </w:t>
      </w:r>
      <w:hyperlink r:id="rId10" w:history="1">
        <w:r w:rsidRPr="00963259">
          <w:rPr>
            <w:rStyle w:val="Hyperlnk"/>
            <w:rFonts w:ascii="Times New Roman" w:eastAsia="Times New Roman" w:hAnsi="Times New Roman" w:cs="Times New Roman"/>
            <w:sz w:val="24"/>
            <w:szCs w:val="24"/>
            <w:lang w:eastAsia="sv-SE"/>
          </w:rPr>
          <w:t>https://doi.org/10.1007/s10654-021-00839-0</w:t>
        </w:r>
      </w:hyperlink>
      <w:r w:rsidRPr="00963259">
        <w:rPr>
          <w:rFonts w:ascii="Times New Roman" w:eastAsia="Times New Roman" w:hAnsi="Times New Roman" w:cs="Times New Roman"/>
          <w:sz w:val="24"/>
          <w:szCs w:val="24"/>
          <w:lang w:eastAsia="sv-SE"/>
        </w:rPr>
        <w:t>.</w:t>
      </w:r>
    </w:p>
    <w:p w14:paraId="59DFD9EC" w14:textId="77777777" w:rsidR="00667A39" w:rsidRPr="00963259" w:rsidRDefault="00667A39" w:rsidP="00B05407">
      <w:pPr>
        <w:spacing w:after="0" w:line="360" w:lineRule="auto"/>
        <w:jc w:val="both"/>
        <w:rPr>
          <w:rFonts w:ascii="Times New Roman" w:eastAsia="Times New Roman" w:hAnsi="Times New Roman" w:cs="Times New Roman"/>
          <w:sz w:val="24"/>
          <w:szCs w:val="24"/>
          <w:lang w:eastAsia="sv-SE"/>
        </w:rPr>
      </w:pPr>
    </w:p>
    <w:p w14:paraId="18C8E4DC" w14:textId="72B00C29" w:rsidR="00667A39" w:rsidRDefault="00667A39" w:rsidP="00B05407">
      <w:pPr>
        <w:spacing w:after="0" w:line="360" w:lineRule="auto"/>
        <w:jc w:val="both"/>
        <w:rPr>
          <w:rFonts w:ascii="Times New Roman" w:eastAsia="Times New Roman" w:hAnsi="Times New Roman" w:cs="Times New Roman"/>
          <w:sz w:val="24"/>
          <w:szCs w:val="24"/>
          <w:lang w:eastAsia="sv-SE"/>
        </w:rPr>
      </w:pPr>
      <w:r w:rsidRPr="00963259">
        <w:rPr>
          <w:rFonts w:ascii="Times New Roman" w:eastAsia="Times New Roman" w:hAnsi="Times New Roman" w:cs="Times New Roman"/>
          <w:sz w:val="24"/>
          <w:szCs w:val="24"/>
          <w:lang w:eastAsia="sv-SE"/>
        </w:rPr>
        <w:t>BERA (2024). </w:t>
      </w:r>
      <w:r w:rsidRPr="00963259">
        <w:rPr>
          <w:rFonts w:ascii="Times New Roman" w:eastAsia="Times New Roman" w:hAnsi="Times New Roman" w:cs="Times New Roman"/>
          <w:i/>
          <w:iCs/>
          <w:sz w:val="24"/>
          <w:szCs w:val="24"/>
          <w:lang w:eastAsia="sv-SE"/>
        </w:rPr>
        <w:t>Ethical Guidelines for Educational Research, fifth edition (2024)</w:t>
      </w:r>
      <w:r w:rsidRPr="00963259">
        <w:rPr>
          <w:rFonts w:ascii="Times New Roman" w:eastAsia="Times New Roman" w:hAnsi="Times New Roman" w:cs="Times New Roman"/>
          <w:sz w:val="24"/>
          <w:szCs w:val="24"/>
          <w:lang w:eastAsia="sv-SE"/>
        </w:rPr>
        <w:t xml:space="preserve">. [online] www.bera.ac.uk. Available at: </w:t>
      </w:r>
      <w:hyperlink r:id="rId11" w:anchor="transparency" w:history="1">
        <w:r w:rsidRPr="00963259">
          <w:rPr>
            <w:rStyle w:val="Hyperlnk"/>
            <w:rFonts w:ascii="Times New Roman" w:eastAsia="Times New Roman" w:hAnsi="Times New Roman" w:cs="Times New Roman"/>
            <w:sz w:val="24"/>
            <w:szCs w:val="24"/>
            <w:lang w:eastAsia="sv-SE"/>
          </w:rPr>
          <w:t>https://www.bera.ac.uk/publication/ethical-guidelines-for-educational-research-fifth-edition-2024-online#transparency</w:t>
        </w:r>
      </w:hyperlink>
      <w:r w:rsidRPr="00963259">
        <w:rPr>
          <w:rFonts w:ascii="Times New Roman" w:eastAsia="Times New Roman" w:hAnsi="Times New Roman" w:cs="Times New Roman"/>
          <w:sz w:val="24"/>
          <w:szCs w:val="24"/>
          <w:lang w:eastAsia="sv-SE"/>
        </w:rPr>
        <w:t>.</w:t>
      </w:r>
    </w:p>
    <w:p w14:paraId="68D9E516" w14:textId="77777777" w:rsidR="00FB6479" w:rsidRPr="00963259" w:rsidRDefault="00FB6479" w:rsidP="00B05407">
      <w:pPr>
        <w:spacing w:after="0" w:line="360" w:lineRule="auto"/>
        <w:jc w:val="both"/>
        <w:rPr>
          <w:rFonts w:ascii="Times New Roman" w:eastAsia="Times New Roman" w:hAnsi="Times New Roman" w:cs="Times New Roman"/>
          <w:sz w:val="24"/>
          <w:szCs w:val="24"/>
          <w:lang w:eastAsia="sv-SE"/>
        </w:rPr>
      </w:pPr>
    </w:p>
    <w:p w14:paraId="60D6E2AB" w14:textId="24A96993" w:rsidR="00C15606" w:rsidRDefault="00FB6479" w:rsidP="00B05407">
      <w:pPr>
        <w:spacing w:after="0" w:line="360" w:lineRule="auto"/>
        <w:jc w:val="both"/>
        <w:rPr>
          <w:rFonts w:ascii="Times New Roman" w:eastAsia="Times New Roman" w:hAnsi="Times New Roman" w:cs="Times New Roman"/>
          <w:sz w:val="24"/>
          <w:szCs w:val="24"/>
          <w:lang w:eastAsia="sv-SE"/>
        </w:rPr>
      </w:pPr>
      <w:r w:rsidRPr="00FB6479">
        <w:rPr>
          <w:rFonts w:ascii="Times New Roman" w:eastAsia="Times New Roman" w:hAnsi="Times New Roman" w:cs="Times New Roman"/>
          <w:sz w:val="24"/>
          <w:szCs w:val="24"/>
          <w:lang w:eastAsia="sv-SE"/>
        </w:rPr>
        <w:t>Bos, J. (2020) </w:t>
      </w:r>
      <w:r w:rsidRPr="00FB6479">
        <w:rPr>
          <w:rFonts w:ascii="Times New Roman" w:eastAsia="Times New Roman" w:hAnsi="Times New Roman" w:cs="Times New Roman"/>
          <w:i/>
          <w:iCs/>
          <w:sz w:val="24"/>
          <w:szCs w:val="24"/>
          <w:lang w:eastAsia="sv-SE"/>
        </w:rPr>
        <w:t>Research Ethics for Students in the Social Sciences</w:t>
      </w:r>
      <w:r w:rsidRPr="00FB6479">
        <w:rPr>
          <w:rFonts w:ascii="Times New Roman" w:eastAsia="Times New Roman" w:hAnsi="Times New Roman" w:cs="Times New Roman"/>
          <w:sz w:val="24"/>
          <w:szCs w:val="24"/>
          <w:lang w:eastAsia="sv-SE"/>
        </w:rPr>
        <w:t xml:space="preserve">. 1st ed. 2020. Cham: Springer Nature. Available at: </w:t>
      </w:r>
      <w:hyperlink r:id="rId12" w:history="1">
        <w:r w:rsidRPr="00FD43B2">
          <w:rPr>
            <w:rStyle w:val="Hyperlnk"/>
            <w:rFonts w:ascii="Times New Roman" w:eastAsia="Times New Roman" w:hAnsi="Times New Roman" w:cs="Times New Roman"/>
            <w:sz w:val="24"/>
            <w:szCs w:val="24"/>
            <w:lang w:eastAsia="sv-SE"/>
          </w:rPr>
          <w:t>https://doi.org/10.1007/978-3-030-48415-6</w:t>
        </w:r>
      </w:hyperlink>
      <w:r w:rsidRPr="00FB6479">
        <w:rPr>
          <w:rFonts w:ascii="Times New Roman" w:eastAsia="Times New Roman" w:hAnsi="Times New Roman" w:cs="Times New Roman"/>
          <w:sz w:val="24"/>
          <w:szCs w:val="24"/>
          <w:lang w:eastAsia="sv-SE"/>
        </w:rPr>
        <w:t>.</w:t>
      </w:r>
    </w:p>
    <w:p w14:paraId="627FD19C" w14:textId="77777777" w:rsidR="00FB6479" w:rsidRPr="00963259" w:rsidRDefault="00FB6479" w:rsidP="00B05407">
      <w:pPr>
        <w:spacing w:after="0" w:line="360" w:lineRule="auto"/>
        <w:jc w:val="both"/>
        <w:rPr>
          <w:rFonts w:ascii="Times New Roman" w:eastAsia="Times New Roman" w:hAnsi="Times New Roman" w:cs="Times New Roman"/>
          <w:sz w:val="24"/>
          <w:szCs w:val="24"/>
          <w:lang w:eastAsia="sv-SE"/>
        </w:rPr>
      </w:pPr>
    </w:p>
    <w:p w14:paraId="6372B1D7" w14:textId="7136DD5B" w:rsidR="00751BC5" w:rsidRPr="00963259" w:rsidRDefault="00751BC5" w:rsidP="00B05407">
      <w:pPr>
        <w:spacing w:after="0" w:line="360" w:lineRule="auto"/>
        <w:jc w:val="both"/>
        <w:rPr>
          <w:rFonts w:ascii="Times New Roman" w:eastAsia="Times New Roman" w:hAnsi="Times New Roman" w:cs="Times New Roman"/>
          <w:sz w:val="24"/>
          <w:szCs w:val="24"/>
          <w:lang w:eastAsia="sv-SE"/>
        </w:rPr>
      </w:pPr>
      <w:r w:rsidRPr="00963259">
        <w:rPr>
          <w:rFonts w:ascii="Times New Roman" w:eastAsia="Times New Roman" w:hAnsi="Times New Roman" w:cs="Times New Roman"/>
          <w:sz w:val="24"/>
          <w:szCs w:val="24"/>
          <w:lang w:eastAsia="sv-SE"/>
        </w:rPr>
        <w:t xml:space="preserve">Braun, </w:t>
      </w:r>
      <w:proofErr w:type="gramStart"/>
      <w:r w:rsidRPr="00963259">
        <w:rPr>
          <w:rFonts w:ascii="Times New Roman" w:eastAsia="Times New Roman" w:hAnsi="Times New Roman" w:cs="Times New Roman"/>
          <w:sz w:val="24"/>
          <w:szCs w:val="24"/>
          <w:lang w:eastAsia="sv-SE"/>
        </w:rPr>
        <w:t>V.</w:t>
      </w:r>
      <w:proofErr w:type="gramEnd"/>
      <w:r w:rsidRPr="00963259">
        <w:rPr>
          <w:rFonts w:ascii="Times New Roman" w:eastAsia="Times New Roman" w:hAnsi="Times New Roman" w:cs="Times New Roman"/>
          <w:sz w:val="24"/>
          <w:szCs w:val="24"/>
          <w:lang w:eastAsia="sv-SE"/>
        </w:rPr>
        <w:t xml:space="preserve"> and Clarke, V. (2006) “Using thematic analysis in psychology,” </w:t>
      </w:r>
      <w:r w:rsidRPr="00963259">
        <w:rPr>
          <w:rFonts w:ascii="Times New Roman" w:eastAsia="Times New Roman" w:hAnsi="Times New Roman" w:cs="Times New Roman"/>
          <w:i/>
          <w:iCs/>
          <w:sz w:val="24"/>
          <w:szCs w:val="24"/>
          <w:lang w:eastAsia="sv-SE"/>
        </w:rPr>
        <w:t>Qualitative research in psychology</w:t>
      </w:r>
      <w:r w:rsidRPr="00963259">
        <w:rPr>
          <w:rFonts w:ascii="Times New Roman" w:eastAsia="Times New Roman" w:hAnsi="Times New Roman" w:cs="Times New Roman"/>
          <w:sz w:val="24"/>
          <w:szCs w:val="24"/>
          <w:lang w:eastAsia="sv-SE"/>
        </w:rPr>
        <w:t xml:space="preserve">, 3(2), pp. 77–101. Available at: </w:t>
      </w:r>
      <w:hyperlink r:id="rId13" w:history="1">
        <w:r w:rsidRPr="00963259">
          <w:rPr>
            <w:rStyle w:val="Hyperlnk"/>
            <w:rFonts w:ascii="Times New Roman" w:eastAsia="Times New Roman" w:hAnsi="Times New Roman" w:cs="Times New Roman"/>
            <w:sz w:val="24"/>
            <w:szCs w:val="24"/>
            <w:lang w:eastAsia="sv-SE"/>
          </w:rPr>
          <w:t>https://doi.org/10.1191/1478088706qp063oa</w:t>
        </w:r>
      </w:hyperlink>
      <w:r w:rsidRPr="00963259">
        <w:rPr>
          <w:rFonts w:ascii="Times New Roman" w:eastAsia="Times New Roman" w:hAnsi="Times New Roman" w:cs="Times New Roman"/>
          <w:sz w:val="24"/>
          <w:szCs w:val="24"/>
          <w:lang w:eastAsia="sv-SE"/>
        </w:rPr>
        <w:t>.</w:t>
      </w:r>
    </w:p>
    <w:p w14:paraId="2F7C0AC8" w14:textId="5360DB9C" w:rsidR="005610DB" w:rsidRPr="00963259" w:rsidRDefault="00081215" w:rsidP="00B05407">
      <w:pPr>
        <w:spacing w:line="360" w:lineRule="auto"/>
        <w:jc w:val="both"/>
        <w:rPr>
          <w:rFonts w:ascii="Times New Roman" w:hAnsi="Times New Roman" w:cs="Times New Roman"/>
          <w:sz w:val="24"/>
          <w:szCs w:val="24"/>
        </w:rPr>
      </w:pPr>
      <w:r w:rsidRPr="00963259">
        <w:rPr>
          <w:rFonts w:ascii="Times New Roman" w:hAnsi="Times New Roman" w:cs="Times New Roman"/>
          <w:sz w:val="24"/>
          <w:szCs w:val="24"/>
        </w:rPr>
        <w:t xml:space="preserve">Coghlan, D. and Jacobs, C. (2005) “Kurt Lewin on Re-education: Foundations for Action Research,” </w:t>
      </w:r>
      <w:r w:rsidRPr="00963259">
        <w:rPr>
          <w:rFonts w:ascii="Times New Roman" w:hAnsi="Times New Roman" w:cs="Times New Roman"/>
          <w:i/>
          <w:iCs/>
          <w:sz w:val="24"/>
          <w:szCs w:val="24"/>
        </w:rPr>
        <w:t>The Journal of applied behavioral science</w:t>
      </w:r>
      <w:r w:rsidRPr="00963259">
        <w:rPr>
          <w:rFonts w:ascii="Times New Roman" w:hAnsi="Times New Roman" w:cs="Times New Roman"/>
          <w:sz w:val="24"/>
          <w:szCs w:val="24"/>
        </w:rPr>
        <w:t xml:space="preserve">, 41(4), pp. 444–457. Available at: </w:t>
      </w:r>
      <w:hyperlink r:id="rId14" w:history="1">
        <w:r w:rsidRPr="00963259">
          <w:rPr>
            <w:rStyle w:val="Hyperlnk"/>
            <w:rFonts w:ascii="Times New Roman" w:hAnsi="Times New Roman" w:cs="Times New Roman"/>
            <w:sz w:val="24"/>
            <w:szCs w:val="24"/>
          </w:rPr>
          <w:t>https://doi.org/10.1177/0021886305277275</w:t>
        </w:r>
      </w:hyperlink>
      <w:r w:rsidRPr="00963259">
        <w:rPr>
          <w:rFonts w:ascii="Times New Roman" w:hAnsi="Times New Roman" w:cs="Times New Roman"/>
          <w:sz w:val="24"/>
          <w:szCs w:val="24"/>
        </w:rPr>
        <w:t>.</w:t>
      </w:r>
    </w:p>
    <w:p w14:paraId="3F0525E8" w14:textId="28A66CCA" w:rsidR="005610DB" w:rsidRPr="00963259" w:rsidRDefault="000348D5" w:rsidP="00B05407">
      <w:pPr>
        <w:spacing w:after="0" w:line="360" w:lineRule="auto"/>
        <w:jc w:val="both"/>
        <w:rPr>
          <w:rFonts w:ascii="Times New Roman" w:eastAsia="Times New Roman" w:hAnsi="Times New Roman" w:cs="Times New Roman"/>
          <w:sz w:val="24"/>
          <w:szCs w:val="24"/>
          <w:lang w:eastAsia="sv-SE"/>
        </w:rPr>
      </w:pPr>
      <w:r w:rsidRPr="00963259">
        <w:rPr>
          <w:rFonts w:ascii="Times New Roman" w:eastAsia="Times New Roman" w:hAnsi="Times New Roman" w:cs="Times New Roman"/>
          <w:sz w:val="24"/>
          <w:szCs w:val="24"/>
          <w:lang w:eastAsia="sv-SE"/>
        </w:rPr>
        <w:t xml:space="preserve">Cooper, R. (2016) “Decoding Coding via The Coding Manual for Qualitative Researchers by Johnny Saldaña,” </w:t>
      </w:r>
      <w:r w:rsidRPr="00963259">
        <w:rPr>
          <w:rFonts w:ascii="Times New Roman" w:eastAsia="Times New Roman" w:hAnsi="Times New Roman" w:cs="Times New Roman"/>
          <w:i/>
          <w:iCs/>
          <w:sz w:val="24"/>
          <w:szCs w:val="24"/>
          <w:lang w:eastAsia="sv-SE"/>
        </w:rPr>
        <w:t>Qualitative report</w:t>
      </w:r>
      <w:r w:rsidRPr="00963259">
        <w:rPr>
          <w:rFonts w:ascii="Times New Roman" w:eastAsia="Times New Roman" w:hAnsi="Times New Roman" w:cs="Times New Roman"/>
          <w:sz w:val="24"/>
          <w:szCs w:val="24"/>
          <w:lang w:eastAsia="sv-SE"/>
        </w:rPr>
        <w:t xml:space="preserve"> [Preprint]. Available at: </w:t>
      </w:r>
      <w:hyperlink r:id="rId15" w:history="1">
        <w:r w:rsidRPr="00963259">
          <w:rPr>
            <w:rStyle w:val="Hyperlnk"/>
            <w:rFonts w:ascii="Times New Roman" w:eastAsia="Times New Roman" w:hAnsi="Times New Roman" w:cs="Times New Roman"/>
            <w:sz w:val="24"/>
            <w:szCs w:val="24"/>
            <w:lang w:eastAsia="sv-SE"/>
          </w:rPr>
          <w:t>https://doi.org/10.46743/2160-3715/2009.2856</w:t>
        </w:r>
      </w:hyperlink>
      <w:r w:rsidRPr="00963259">
        <w:rPr>
          <w:rFonts w:ascii="Times New Roman" w:eastAsia="Times New Roman" w:hAnsi="Times New Roman" w:cs="Times New Roman"/>
          <w:sz w:val="24"/>
          <w:szCs w:val="24"/>
          <w:lang w:eastAsia="sv-SE"/>
        </w:rPr>
        <w:t>.</w:t>
      </w:r>
    </w:p>
    <w:p w14:paraId="6FA1F710" w14:textId="6759F8C1" w:rsidR="00AA6486" w:rsidRPr="00963259" w:rsidRDefault="00AA6486" w:rsidP="00B05407">
      <w:pPr>
        <w:spacing w:after="0" w:line="360" w:lineRule="auto"/>
        <w:jc w:val="both"/>
        <w:rPr>
          <w:rFonts w:ascii="Times New Roman" w:eastAsia="Times New Roman" w:hAnsi="Times New Roman" w:cs="Times New Roman"/>
          <w:sz w:val="24"/>
          <w:szCs w:val="24"/>
          <w:lang w:eastAsia="sv-SE"/>
        </w:rPr>
      </w:pPr>
      <w:r w:rsidRPr="00963259">
        <w:rPr>
          <w:rFonts w:ascii="Times New Roman" w:eastAsia="Times New Roman" w:hAnsi="Times New Roman" w:cs="Times New Roman"/>
          <w:sz w:val="24"/>
          <w:szCs w:val="24"/>
          <w:lang w:eastAsia="sv-SE"/>
        </w:rPr>
        <w:lastRenderedPageBreak/>
        <w:t xml:space="preserve">Creswell, J.W. </w:t>
      </w:r>
      <w:r w:rsidRPr="00963259">
        <w:rPr>
          <w:rFonts w:ascii="Times New Roman" w:eastAsia="Times New Roman" w:hAnsi="Times New Roman" w:cs="Times New Roman"/>
          <w:i/>
          <w:iCs/>
          <w:sz w:val="24"/>
          <w:szCs w:val="24"/>
          <w:lang w:eastAsia="sv-SE"/>
        </w:rPr>
        <w:t>et al.</w:t>
      </w:r>
      <w:r w:rsidRPr="00963259">
        <w:rPr>
          <w:rFonts w:ascii="Times New Roman" w:eastAsia="Times New Roman" w:hAnsi="Times New Roman" w:cs="Times New Roman"/>
          <w:sz w:val="24"/>
          <w:szCs w:val="24"/>
          <w:lang w:eastAsia="sv-SE"/>
        </w:rPr>
        <w:t xml:space="preserve"> (2007) “Qualitative Research Designs: Selection and Implementation,” </w:t>
      </w:r>
      <w:r w:rsidRPr="00963259">
        <w:rPr>
          <w:rFonts w:ascii="Times New Roman" w:eastAsia="Times New Roman" w:hAnsi="Times New Roman" w:cs="Times New Roman"/>
          <w:i/>
          <w:iCs/>
          <w:sz w:val="24"/>
          <w:szCs w:val="24"/>
          <w:lang w:eastAsia="sv-SE"/>
        </w:rPr>
        <w:t>The Counseling psychologist</w:t>
      </w:r>
      <w:r w:rsidRPr="00963259">
        <w:rPr>
          <w:rFonts w:ascii="Times New Roman" w:eastAsia="Times New Roman" w:hAnsi="Times New Roman" w:cs="Times New Roman"/>
          <w:sz w:val="24"/>
          <w:szCs w:val="24"/>
          <w:lang w:eastAsia="sv-SE"/>
        </w:rPr>
        <w:t xml:space="preserve">, 35(2), pp. 236–264. Available at: </w:t>
      </w:r>
      <w:hyperlink r:id="rId16" w:history="1">
        <w:r w:rsidRPr="00963259">
          <w:rPr>
            <w:rStyle w:val="Hyperlnk"/>
            <w:rFonts w:ascii="Times New Roman" w:eastAsia="Times New Roman" w:hAnsi="Times New Roman" w:cs="Times New Roman"/>
            <w:sz w:val="24"/>
            <w:szCs w:val="24"/>
            <w:lang w:eastAsia="sv-SE"/>
          </w:rPr>
          <w:t>https://doi.org/10.1177/0011000006287390</w:t>
        </w:r>
      </w:hyperlink>
      <w:r w:rsidRPr="00963259">
        <w:rPr>
          <w:rFonts w:ascii="Times New Roman" w:eastAsia="Times New Roman" w:hAnsi="Times New Roman" w:cs="Times New Roman"/>
          <w:sz w:val="24"/>
          <w:szCs w:val="24"/>
          <w:lang w:eastAsia="sv-SE"/>
        </w:rPr>
        <w:t>.</w:t>
      </w:r>
    </w:p>
    <w:p w14:paraId="3EC768D8" w14:textId="77777777" w:rsidR="00AA6486" w:rsidRPr="00963259" w:rsidRDefault="00AA6486" w:rsidP="00B05407">
      <w:pPr>
        <w:spacing w:line="360" w:lineRule="auto"/>
        <w:jc w:val="both"/>
        <w:rPr>
          <w:rFonts w:ascii="Times New Roman" w:hAnsi="Times New Roman" w:cs="Times New Roman"/>
          <w:sz w:val="24"/>
          <w:szCs w:val="24"/>
        </w:rPr>
      </w:pPr>
    </w:p>
    <w:p w14:paraId="7664E326" w14:textId="153EBFCA" w:rsidR="005F6215" w:rsidRPr="00963259" w:rsidRDefault="005F6215" w:rsidP="00B05407">
      <w:pPr>
        <w:spacing w:line="360" w:lineRule="auto"/>
        <w:jc w:val="both"/>
        <w:rPr>
          <w:rFonts w:ascii="Times New Roman" w:hAnsi="Times New Roman" w:cs="Times New Roman"/>
          <w:sz w:val="24"/>
          <w:szCs w:val="24"/>
        </w:rPr>
      </w:pPr>
      <w:r w:rsidRPr="00963259">
        <w:rPr>
          <w:rFonts w:ascii="Times New Roman" w:hAnsi="Times New Roman" w:cs="Times New Roman"/>
          <w:sz w:val="24"/>
          <w:szCs w:val="24"/>
        </w:rPr>
        <w:t>Cronqvist, M. (2025) “Research Ethics in Swedish Dissertations in Educational Science – A Matter of Confusion,” </w:t>
      </w:r>
      <w:r w:rsidRPr="00963259">
        <w:rPr>
          <w:rFonts w:ascii="Times New Roman" w:hAnsi="Times New Roman" w:cs="Times New Roman"/>
          <w:i/>
          <w:iCs/>
          <w:sz w:val="24"/>
          <w:szCs w:val="24"/>
        </w:rPr>
        <w:t>Journal of academic ethics</w:t>
      </w:r>
      <w:r w:rsidRPr="00963259">
        <w:rPr>
          <w:rFonts w:ascii="Times New Roman" w:hAnsi="Times New Roman" w:cs="Times New Roman"/>
          <w:sz w:val="24"/>
          <w:szCs w:val="24"/>
        </w:rPr>
        <w:t xml:space="preserve">, 23(2), pp. 243–258. Available at: </w:t>
      </w:r>
      <w:hyperlink r:id="rId17" w:history="1">
        <w:r w:rsidRPr="00963259">
          <w:rPr>
            <w:rStyle w:val="Hyperlnk"/>
            <w:rFonts w:ascii="Times New Roman" w:hAnsi="Times New Roman" w:cs="Times New Roman"/>
            <w:sz w:val="24"/>
            <w:szCs w:val="24"/>
          </w:rPr>
          <w:t>https://doi.org/10.1007/s10805-024-09540-9</w:t>
        </w:r>
      </w:hyperlink>
      <w:r w:rsidRPr="00963259">
        <w:rPr>
          <w:rFonts w:ascii="Times New Roman" w:hAnsi="Times New Roman" w:cs="Times New Roman"/>
          <w:sz w:val="24"/>
          <w:szCs w:val="24"/>
        </w:rPr>
        <w:t>.</w:t>
      </w:r>
    </w:p>
    <w:p w14:paraId="195A6139" w14:textId="202822AF" w:rsidR="007431F1" w:rsidRPr="00963259" w:rsidRDefault="007431F1" w:rsidP="00B05407">
      <w:pPr>
        <w:spacing w:line="360" w:lineRule="auto"/>
        <w:jc w:val="both"/>
        <w:rPr>
          <w:rFonts w:ascii="Times New Roman" w:hAnsi="Times New Roman" w:cs="Times New Roman"/>
          <w:sz w:val="24"/>
          <w:szCs w:val="24"/>
        </w:rPr>
      </w:pPr>
      <w:r w:rsidRPr="00963259">
        <w:rPr>
          <w:rFonts w:ascii="Times New Roman" w:hAnsi="Times New Roman" w:cs="Times New Roman"/>
          <w:sz w:val="24"/>
          <w:szCs w:val="24"/>
        </w:rPr>
        <w:t>de Bruin, L. (2018). Dialogic Communication in the One-to-One Improvisation Lesson: A Qualitative Study. </w:t>
      </w:r>
      <w:r w:rsidRPr="00963259">
        <w:rPr>
          <w:rFonts w:ascii="Times New Roman" w:hAnsi="Times New Roman" w:cs="Times New Roman"/>
          <w:i/>
          <w:iCs/>
          <w:sz w:val="24"/>
          <w:szCs w:val="24"/>
        </w:rPr>
        <w:t>Australian Journal of Teacher Education</w:t>
      </w:r>
      <w:r w:rsidRPr="00963259">
        <w:rPr>
          <w:rFonts w:ascii="Times New Roman" w:hAnsi="Times New Roman" w:cs="Times New Roman"/>
          <w:sz w:val="24"/>
          <w:szCs w:val="24"/>
        </w:rPr>
        <w:t xml:space="preserve">, 43(5), pp.1–16. doi: </w:t>
      </w:r>
      <w:hyperlink r:id="rId18" w:history="1">
        <w:r w:rsidRPr="00963259">
          <w:rPr>
            <w:rStyle w:val="Hyperlnk"/>
            <w:rFonts w:ascii="Times New Roman" w:hAnsi="Times New Roman" w:cs="Times New Roman"/>
            <w:sz w:val="24"/>
            <w:szCs w:val="24"/>
          </w:rPr>
          <w:t>https://doi.org/10.14221/ajte.2018v43n5.1</w:t>
        </w:r>
      </w:hyperlink>
      <w:r w:rsidRPr="00963259">
        <w:rPr>
          <w:rFonts w:ascii="Times New Roman" w:hAnsi="Times New Roman" w:cs="Times New Roman"/>
          <w:sz w:val="24"/>
          <w:szCs w:val="24"/>
        </w:rPr>
        <w:t>.</w:t>
      </w:r>
    </w:p>
    <w:p w14:paraId="07EFEF1A" w14:textId="2C53791F" w:rsidR="00B96D7F" w:rsidRPr="00963259" w:rsidRDefault="00B96D7F" w:rsidP="00B05407">
      <w:pPr>
        <w:spacing w:line="360" w:lineRule="auto"/>
        <w:jc w:val="both"/>
        <w:rPr>
          <w:rFonts w:ascii="Times New Roman" w:hAnsi="Times New Roman" w:cs="Times New Roman"/>
          <w:sz w:val="24"/>
          <w:szCs w:val="24"/>
        </w:rPr>
      </w:pPr>
      <w:r w:rsidRPr="00963259">
        <w:rPr>
          <w:rFonts w:ascii="Times New Roman" w:hAnsi="Times New Roman" w:cs="Times New Roman"/>
          <w:sz w:val="24"/>
          <w:szCs w:val="24"/>
        </w:rPr>
        <w:t>DE SILVA, R.M., GLEDITSCH, R., JOB, C., JESME, S., URNESS, B. and HUNTER, C., 2018. Gloria Ladson-Billings: Igniting Student Learning Through Teacher Engagement in Culturally Relevant Pedagogy. </w:t>
      </w:r>
      <w:r w:rsidRPr="00963259">
        <w:rPr>
          <w:rFonts w:ascii="Times New Roman" w:hAnsi="Times New Roman" w:cs="Times New Roman"/>
          <w:i/>
          <w:iCs/>
          <w:sz w:val="24"/>
          <w:szCs w:val="24"/>
        </w:rPr>
        <w:t>Multicultural Education, </w:t>
      </w:r>
      <w:r w:rsidRPr="00963259">
        <w:rPr>
          <w:rFonts w:ascii="Times New Roman" w:hAnsi="Times New Roman" w:cs="Times New Roman"/>
          <w:b/>
          <w:bCs/>
          <w:sz w:val="24"/>
          <w:szCs w:val="24"/>
        </w:rPr>
        <w:t>25</w:t>
      </w:r>
      <w:r w:rsidRPr="00963259">
        <w:rPr>
          <w:rFonts w:ascii="Times New Roman" w:hAnsi="Times New Roman" w:cs="Times New Roman"/>
          <w:sz w:val="24"/>
          <w:szCs w:val="24"/>
        </w:rPr>
        <w:t>(3), pp. 23-28.</w:t>
      </w:r>
    </w:p>
    <w:p w14:paraId="3094D3CF" w14:textId="09217052" w:rsidR="00E62878" w:rsidRPr="00963259" w:rsidRDefault="00E62878" w:rsidP="00B05407">
      <w:pPr>
        <w:spacing w:after="0" w:line="360" w:lineRule="auto"/>
        <w:jc w:val="both"/>
        <w:rPr>
          <w:rFonts w:ascii="Times New Roman" w:eastAsia="Times New Roman" w:hAnsi="Times New Roman" w:cs="Times New Roman"/>
          <w:sz w:val="24"/>
          <w:szCs w:val="24"/>
          <w:lang w:eastAsia="sv-SE"/>
        </w:rPr>
      </w:pPr>
      <w:r w:rsidRPr="00963259">
        <w:rPr>
          <w:rFonts w:ascii="Times New Roman" w:eastAsia="Times New Roman" w:hAnsi="Times New Roman" w:cs="Times New Roman"/>
          <w:sz w:val="24"/>
          <w:szCs w:val="24"/>
          <w:lang w:eastAsia="sv-SE"/>
        </w:rPr>
        <w:t xml:space="preserve">Duffy, J.D. (2025) “On dead classrooms,” </w:t>
      </w:r>
      <w:r w:rsidRPr="00963259">
        <w:rPr>
          <w:rFonts w:ascii="Times New Roman" w:eastAsia="Times New Roman" w:hAnsi="Times New Roman" w:cs="Times New Roman"/>
          <w:i/>
          <w:iCs/>
          <w:sz w:val="24"/>
          <w:szCs w:val="24"/>
          <w:lang w:eastAsia="sv-SE"/>
        </w:rPr>
        <w:t>Phi Delta Kappan</w:t>
      </w:r>
      <w:r w:rsidRPr="00963259">
        <w:rPr>
          <w:rFonts w:ascii="Times New Roman" w:eastAsia="Times New Roman" w:hAnsi="Times New Roman" w:cs="Times New Roman"/>
          <w:sz w:val="24"/>
          <w:szCs w:val="24"/>
          <w:lang w:eastAsia="sv-SE"/>
        </w:rPr>
        <w:t xml:space="preserve">, 107(3–4), pp. 42–45. Available at: </w:t>
      </w:r>
      <w:hyperlink r:id="rId19" w:history="1">
        <w:r w:rsidRPr="00963259">
          <w:rPr>
            <w:rStyle w:val="Hyperlnk"/>
            <w:rFonts w:ascii="Times New Roman" w:eastAsia="Times New Roman" w:hAnsi="Times New Roman" w:cs="Times New Roman"/>
            <w:sz w:val="24"/>
            <w:szCs w:val="24"/>
            <w:lang w:eastAsia="sv-SE"/>
          </w:rPr>
          <w:t>https://doi.org/10.1177/00317217251405525</w:t>
        </w:r>
      </w:hyperlink>
      <w:r w:rsidRPr="00963259">
        <w:rPr>
          <w:rFonts w:ascii="Times New Roman" w:eastAsia="Times New Roman" w:hAnsi="Times New Roman" w:cs="Times New Roman"/>
          <w:sz w:val="24"/>
          <w:szCs w:val="24"/>
          <w:lang w:eastAsia="sv-SE"/>
        </w:rPr>
        <w:t>.</w:t>
      </w:r>
    </w:p>
    <w:p w14:paraId="44D7B780" w14:textId="77777777" w:rsidR="00E62878" w:rsidRPr="00963259" w:rsidRDefault="00E62878" w:rsidP="00B05407">
      <w:pPr>
        <w:spacing w:line="360" w:lineRule="auto"/>
        <w:jc w:val="both"/>
        <w:rPr>
          <w:rFonts w:ascii="Times New Roman" w:hAnsi="Times New Roman" w:cs="Times New Roman"/>
          <w:sz w:val="24"/>
          <w:szCs w:val="24"/>
        </w:rPr>
      </w:pPr>
    </w:p>
    <w:p w14:paraId="6C3AC45A" w14:textId="6E13C816" w:rsidR="002C2D1C" w:rsidRPr="00963259" w:rsidRDefault="001B2C4C" w:rsidP="00B05407">
      <w:pPr>
        <w:spacing w:line="360" w:lineRule="auto"/>
        <w:jc w:val="both"/>
        <w:rPr>
          <w:rFonts w:ascii="Times New Roman" w:hAnsi="Times New Roman" w:cs="Times New Roman"/>
          <w:sz w:val="24"/>
          <w:szCs w:val="24"/>
        </w:rPr>
      </w:pPr>
      <w:r w:rsidRPr="00963259">
        <w:rPr>
          <w:rFonts w:ascii="Times New Roman" w:hAnsi="Times New Roman" w:cs="Times New Roman"/>
          <w:sz w:val="24"/>
          <w:szCs w:val="24"/>
        </w:rPr>
        <w:t>Eun, B. (2019) “The zone of proximal development as an overarching concept: A framework for synthesizing Vygotsky’s theories,” </w:t>
      </w:r>
      <w:r w:rsidRPr="00963259">
        <w:rPr>
          <w:rFonts w:ascii="Times New Roman" w:hAnsi="Times New Roman" w:cs="Times New Roman"/>
          <w:i/>
          <w:iCs/>
          <w:sz w:val="24"/>
          <w:szCs w:val="24"/>
        </w:rPr>
        <w:t>Educational philosophy and theory</w:t>
      </w:r>
      <w:r w:rsidRPr="00963259">
        <w:rPr>
          <w:rFonts w:ascii="Times New Roman" w:hAnsi="Times New Roman" w:cs="Times New Roman"/>
          <w:sz w:val="24"/>
          <w:szCs w:val="24"/>
        </w:rPr>
        <w:t xml:space="preserve">, 51(1), pp. 18–30. Available at: </w:t>
      </w:r>
      <w:hyperlink r:id="rId20" w:history="1">
        <w:r w:rsidRPr="00963259">
          <w:rPr>
            <w:rStyle w:val="Hyperlnk"/>
            <w:rFonts w:ascii="Times New Roman" w:hAnsi="Times New Roman" w:cs="Times New Roman"/>
            <w:sz w:val="24"/>
            <w:szCs w:val="24"/>
          </w:rPr>
          <w:t>https://doi.org/10.1080/00131857.2017.1421941</w:t>
        </w:r>
      </w:hyperlink>
      <w:r w:rsidRPr="00963259">
        <w:rPr>
          <w:rFonts w:ascii="Times New Roman" w:hAnsi="Times New Roman" w:cs="Times New Roman"/>
          <w:sz w:val="24"/>
          <w:szCs w:val="24"/>
        </w:rPr>
        <w:t>.</w:t>
      </w:r>
    </w:p>
    <w:p w14:paraId="7BA43067" w14:textId="0D41F5DE" w:rsidR="009A234F" w:rsidRPr="00963259" w:rsidRDefault="009A234F" w:rsidP="00B05407">
      <w:pPr>
        <w:spacing w:after="0" w:line="360" w:lineRule="auto"/>
        <w:jc w:val="both"/>
        <w:rPr>
          <w:rFonts w:ascii="Times New Roman" w:eastAsia="Times New Roman" w:hAnsi="Times New Roman" w:cs="Times New Roman"/>
          <w:sz w:val="24"/>
          <w:szCs w:val="24"/>
          <w:lang w:eastAsia="sv-SE"/>
        </w:rPr>
      </w:pPr>
      <w:r w:rsidRPr="00963259">
        <w:rPr>
          <w:rFonts w:ascii="Times New Roman" w:eastAsia="Times New Roman" w:hAnsi="Times New Roman" w:cs="Times New Roman"/>
          <w:sz w:val="24"/>
          <w:szCs w:val="24"/>
          <w:lang w:eastAsia="sv-SE"/>
        </w:rPr>
        <w:t xml:space="preserve">Fusch, P., Fusch, G.E. and Ness, L.R. (2018) “Denzin’s Paradigm Shift: Revisiting Triangulation in Qualitative Research,” </w:t>
      </w:r>
      <w:r w:rsidRPr="00963259">
        <w:rPr>
          <w:rFonts w:ascii="Times New Roman" w:eastAsia="Times New Roman" w:hAnsi="Times New Roman" w:cs="Times New Roman"/>
          <w:i/>
          <w:iCs/>
          <w:sz w:val="24"/>
          <w:szCs w:val="24"/>
          <w:lang w:eastAsia="sv-SE"/>
        </w:rPr>
        <w:t>Journal of social change</w:t>
      </w:r>
      <w:r w:rsidRPr="00963259">
        <w:rPr>
          <w:rFonts w:ascii="Times New Roman" w:eastAsia="Times New Roman" w:hAnsi="Times New Roman" w:cs="Times New Roman"/>
          <w:sz w:val="24"/>
          <w:szCs w:val="24"/>
          <w:lang w:eastAsia="sv-SE"/>
        </w:rPr>
        <w:t xml:space="preserve">, 10(1). Available at: </w:t>
      </w:r>
      <w:hyperlink r:id="rId21" w:history="1">
        <w:r w:rsidRPr="00963259">
          <w:rPr>
            <w:rStyle w:val="Hyperlnk"/>
            <w:rFonts w:ascii="Times New Roman" w:eastAsia="Times New Roman" w:hAnsi="Times New Roman" w:cs="Times New Roman"/>
            <w:sz w:val="24"/>
            <w:szCs w:val="24"/>
            <w:lang w:eastAsia="sv-SE"/>
          </w:rPr>
          <w:t>https://doi.org/10.5590/JOSC.2018.10.1.02</w:t>
        </w:r>
      </w:hyperlink>
      <w:r w:rsidRPr="00963259">
        <w:rPr>
          <w:rFonts w:ascii="Times New Roman" w:eastAsia="Times New Roman" w:hAnsi="Times New Roman" w:cs="Times New Roman"/>
          <w:sz w:val="24"/>
          <w:szCs w:val="24"/>
          <w:lang w:eastAsia="sv-SE"/>
        </w:rPr>
        <w:t>.</w:t>
      </w:r>
    </w:p>
    <w:p w14:paraId="70A01DF8" w14:textId="77777777" w:rsidR="00FC7908" w:rsidRPr="00963259" w:rsidRDefault="00FC7908" w:rsidP="00B05407">
      <w:pPr>
        <w:spacing w:line="360" w:lineRule="auto"/>
        <w:jc w:val="both"/>
        <w:rPr>
          <w:rFonts w:ascii="Times New Roman" w:hAnsi="Times New Roman" w:cs="Times New Roman"/>
          <w:sz w:val="24"/>
          <w:szCs w:val="24"/>
        </w:rPr>
      </w:pPr>
    </w:p>
    <w:p w14:paraId="6BD83BBC" w14:textId="7F5B678A" w:rsidR="008E031C" w:rsidRPr="00963259" w:rsidRDefault="008E031C" w:rsidP="00B05407">
      <w:pPr>
        <w:spacing w:line="360" w:lineRule="auto"/>
        <w:jc w:val="both"/>
        <w:rPr>
          <w:rFonts w:ascii="Times New Roman" w:hAnsi="Times New Roman" w:cs="Times New Roman"/>
          <w:sz w:val="24"/>
          <w:szCs w:val="24"/>
        </w:rPr>
      </w:pPr>
      <w:r w:rsidRPr="00963259">
        <w:rPr>
          <w:rFonts w:ascii="Times New Roman" w:hAnsi="Times New Roman" w:cs="Times New Roman"/>
          <w:sz w:val="24"/>
          <w:szCs w:val="24"/>
        </w:rPr>
        <w:t>Ghafar Samar, R. and Parsaie, Z. (2025). Dialogue journal in L2 classroom: A sociocultural perspective. </w:t>
      </w:r>
      <w:r w:rsidRPr="00963259">
        <w:rPr>
          <w:rFonts w:ascii="Times New Roman" w:hAnsi="Times New Roman" w:cs="Times New Roman"/>
          <w:i/>
          <w:iCs/>
          <w:sz w:val="24"/>
          <w:szCs w:val="24"/>
        </w:rPr>
        <w:t>The Journal of Second Language Acquisition and Teaching (JSLAT)</w:t>
      </w:r>
      <w:r w:rsidRPr="00963259">
        <w:rPr>
          <w:rFonts w:ascii="Times New Roman" w:hAnsi="Times New Roman" w:cs="Times New Roman"/>
          <w:sz w:val="24"/>
          <w:szCs w:val="24"/>
        </w:rPr>
        <w:t xml:space="preserve">, 31(0). doi: </w:t>
      </w:r>
      <w:hyperlink r:id="rId22" w:history="1">
        <w:r w:rsidRPr="00963259">
          <w:rPr>
            <w:rStyle w:val="Hyperlnk"/>
            <w:rFonts w:ascii="Times New Roman" w:hAnsi="Times New Roman" w:cs="Times New Roman"/>
            <w:sz w:val="24"/>
            <w:szCs w:val="24"/>
          </w:rPr>
          <w:t>https://doi.org/10.2458/jslat.7415</w:t>
        </w:r>
      </w:hyperlink>
      <w:r w:rsidRPr="00963259">
        <w:rPr>
          <w:rFonts w:ascii="Times New Roman" w:hAnsi="Times New Roman" w:cs="Times New Roman"/>
          <w:sz w:val="24"/>
          <w:szCs w:val="24"/>
        </w:rPr>
        <w:t>.</w:t>
      </w:r>
    </w:p>
    <w:p w14:paraId="6232E7D5" w14:textId="3C2EF1FE" w:rsidR="009110C2" w:rsidRPr="00963259" w:rsidRDefault="009110C2" w:rsidP="00B05407">
      <w:pPr>
        <w:spacing w:after="0" w:line="360" w:lineRule="auto"/>
        <w:jc w:val="both"/>
        <w:rPr>
          <w:rFonts w:ascii="Times New Roman" w:eastAsia="Times New Roman" w:hAnsi="Times New Roman" w:cs="Times New Roman"/>
          <w:sz w:val="24"/>
          <w:szCs w:val="24"/>
          <w:lang w:eastAsia="sv-SE"/>
        </w:rPr>
      </w:pPr>
      <w:r w:rsidRPr="00963259">
        <w:rPr>
          <w:rFonts w:ascii="Times New Roman" w:eastAsia="Times New Roman" w:hAnsi="Times New Roman" w:cs="Times New Roman"/>
          <w:sz w:val="24"/>
          <w:szCs w:val="24"/>
          <w:lang w:eastAsia="sv-SE"/>
        </w:rPr>
        <w:t xml:space="preserve">Granger, K.L. and Chow, J.C. (2025) “Classroom Carrying Capacity: A Resource and Limiting Factors Framework,” </w:t>
      </w:r>
      <w:r w:rsidRPr="00963259">
        <w:rPr>
          <w:rFonts w:ascii="Times New Roman" w:eastAsia="Times New Roman" w:hAnsi="Times New Roman" w:cs="Times New Roman"/>
          <w:i/>
          <w:iCs/>
          <w:sz w:val="24"/>
          <w:szCs w:val="24"/>
          <w:lang w:eastAsia="sv-SE"/>
        </w:rPr>
        <w:t>Educational psychology review</w:t>
      </w:r>
      <w:r w:rsidRPr="00963259">
        <w:rPr>
          <w:rFonts w:ascii="Times New Roman" w:eastAsia="Times New Roman" w:hAnsi="Times New Roman" w:cs="Times New Roman"/>
          <w:sz w:val="24"/>
          <w:szCs w:val="24"/>
          <w:lang w:eastAsia="sv-SE"/>
        </w:rPr>
        <w:t xml:space="preserve">, 37(1). Available at: </w:t>
      </w:r>
      <w:hyperlink r:id="rId23" w:history="1">
        <w:r w:rsidRPr="00963259">
          <w:rPr>
            <w:rStyle w:val="Hyperlnk"/>
            <w:rFonts w:ascii="Times New Roman" w:eastAsia="Times New Roman" w:hAnsi="Times New Roman" w:cs="Times New Roman"/>
            <w:sz w:val="24"/>
            <w:szCs w:val="24"/>
            <w:lang w:eastAsia="sv-SE"/>
          </w:rPr>
          <w:t>https://doi.org/10.1007/s10648-025-09999-x</w:t>
        </w:r>
      </w:hyperlink>
      <w:r w:rsidRPr="00963259">
        <w:rPr>
          <w:rFonts w:ascii="Times New Roman" w:eastAsia="Times New Roman" w:hAnsi="Times New Roman" w:cs="Times New Roman"/>
          <w:sz w:val="24"/>
          <w:szCs w:val="24"/>
          <w:lang w:eastAsia="sv-SE"/>
        </w:rPr>
        <w:t>.</w:t>
      </w:r>
    </w:p>
    <w:p w14:paraId="29EB983F" w14:textId="77777777" w:rsidR="009110C2" w:rsidRPr="00963259" w:rsidRDefault="009110C2" w:rsidP="00B05407">
      <w:pPr>
        <w:spacing w:line="360" w:lineRule="auto"/>
        <w:jc w:val="both"/>
        <w:rPr>
          <w:rFonts w:ascii="Times New Roman" w:hAnsi="Times New Roman" w:cs="Times New Roman"/>
          <w:sz w:val="24"/>
          <w:szCs w:val="24"/>
        </w:rPr>
      </w:pPr>
    </w:p>
    <w:p w14:paraId="4509C4B9" w14:textId="71422F87" w:rsidR="00BF105D" w:rsidRPr="00963259" w:rsidRDefault="00BF105D" w:rsidP="00B05407">
      <w:pPr>
        <w:spacing w:after="0" w:line="360" w:lineRule="auto"/>
        <w:jc w:val="both"/>
        <w:rPr>
          <w:rFonts w:ascii="Times New Roman" w:eastAsia="Times New Roman" w:hAnsi="Times New Roman" w:cs="Times New Roman"/>
          <w:sz w:val="24"/>
          <w:szCs w:val="24"/>
          <w:lang w:eastAsia="sv-SE"/>
        </w:rPr>
      </w:pPr>
      <w:r w:rsidRPr="00963259">
        <w:rPr>
          <w:rFonts w:ascii="Times New Roman" w:eastAsia="Times New Roman" w:hAnsi="Times New Roman" w:cs="Times New Roman"/>
          <w:sz w:val="24"/>
          <w:szCs w:val="24"/>
          <w:lang w:eastAsia="sv-SE"/>
        </w:rPr>
        <w:lastRenderedPageBreak/>
        <w:t xml:space="preserve">Gulz, A. and Haake, M. (2024) “Scaffolding attention and perseverance skills in a diverse population of preschool children in Sweden,” </w:t>
      </w:r>
      <w:r w:rsidRPr="00963259">
        <w:rPr>
          <w:rFonts w:ascii="Times New Roman" w:eastAsia="Times New Roman" w:hAnsi="Times New Roman" w:cs="Times New Roman"/>
          <w:i/>
          <w:iCs/>
          <w:sz w:val="24"/>
          <w:szCs w:val="24"/>
          <w:lang w:eastAsia="sv-SE"/>
        </w:rPr>
        <w:t>Learning and individual differences</w:t>
      </w:r>
      <w:r w:rsidRPr="00963259">
        <w:rPr>
          <w:rFonts w:ascii="Times New Roman" w:eastAsia="Times New Roman" w:hAnsi="Times New Roman" w:cs="Times New Roman"/>
          <w:sz w:val="24"/>
          <w:szCs w:val="24"/>
          <w:lang w:eastAsia="sv-SE"/>
        </w:rPr>
        <w:t xml:space="preserve">, 113. Available at: </w:t>
      </w:r>
      <w:hyperlink r:id="rId24" w:history="1">
        <w:r w:rsidRPr="00963259">
          <w:rPr>
            <w:rStyle w:val="Hyperlnk"/>
            <w:rFonts w:ascii="Times New Roman" w:eastAsia="Times New Roman" w:hAnsi="Times New Roman" w:cs="Times New Roman"/>
            <w:sz w:val="24"/>
            <w:szCs w:val="24"/>
            <w:lang w:eastAsia="sv-SE"/>
          </w:rPr>
          <w:t>https://doi.org/10.1016/j.lindif.2024.102488</w:t>
        </w:r>
      </w:hyperlink>
      <w:r w:rsidRPr="00963259">
        <w:rPr>
          <w:rFonts w:ascii="Times New Roman" w:eastAsia="Times New Roman" w:hAnsi="Times New Roman" w:cs="Times New Roman"/>
          <w:sz w:val="24"/>
          <w:szCs w:val="24"/>
          <w:lang w:eastAsia="sv-SE"/>
        </w:rPr>
        <w:t>.</w:t>
      </w:r>
    </w:p>
    <w:p w14:paraId="3E9A83CF" w14:textId="77777777" w:rsidR="000760E9" w:rsidRPr="00963259" w:rsidRDefault="000760E9" w:rsidP="00B05407">
      <w:pPr>
        <w:spacing w:after="0" w:line="360" w:lineRule="auto"/>
        <w:jc w:val="both"/>
        <w:rPr>
          <w:rFonts w:ascii="Times New Roman" w:eastAsia="Times New Roman" w:hAnsi="Times New Roman" w:cs="Times New Roman"/>
          <w:sz w:val="24"/>
          <w:szCs w:val="24"/>
          <w:lang w:eastAsia="sv-SE"/>
        </w:rPr>
      </w:pPr>
    </w:p>
    <w:p w14:paraId="107FE5B4" w14:textId="6B65C5AB" w:rsidR="00FC7908" w:rsidRPr="00963259" w:rsidRDefault="00FC7908" w:rsidP="00B05407">
      <w:pPr>
        <w:spacing w:line="360" w:lineRule="auto"/>
        <w:jc w:val="both"/>
        <w:rPr>
          <w:rFonts w:ascii="Times New Roman" w:hAnsi="Times New Roman" w:cs="Times New Roman"/>
          <w:sz w:val="24"/>
          <w:szCs w:val="24"/>
        </w:rPr>
      </w:pPr>
      <w:r w:rsidRPr="00963259">
        <w:rPr>
          <w:rFonts w:ascii="Times New Roman" w:hAnsi="Times New Roman" w:cs="Times New Roman"/>
          <w:sz w:val="24"/>
          <w:szCs w:val="24"/>
        </w:rPr>
        <w:t xml:space="preserve">Infante, </w:t>
      </w:r>
      <w:proofErr w:type="gramStart"/>
      <w:r w:rsidRPr="00963259">
        <w:rPr>
          <w:rFonts w:ascii="Times New Roman" w:hAnsi="Times New Roman" w:cs="Times New Roman"/>
          <w:sz w:val="24"/>
          <w:szCs w:val="24"/>
        </w:rPr>
        <w:t>P.</w:t>
      </w:r>
      <w:proofErr w:type="gramEnd"/>
      <w:r w:rsidRPr="00963259">
        <w:rPr>
          <w:rFonts w:ascii="Times New Roman" w:hAnsi="Times New Roman" w:cs="Times New Roman"/>
          <w:sz w:val="24"/>
          <w:szCs w:val="24"/>
        </w:rPr>
        <w:t xml:space="preserve"> and Poehner, M.E. (2019). Realizing the ZPD in Second Language Education: The Complementary Contributions of Dynamic Assessment and Mediated Development. </w:t>
      </w:r>
      <w:r w:rsidRPr="00963259">
        <w:rPr>
          <w:rFonts w:ascii="Times New Roman" w:hAnsi="Times New Roman" w:cs="Times New Roman"/>
          <w:i/>
          <w:iCs/>
          <w:sz w:val="24"/>
          <w:szCs w:val="24"/>
        </w:rPr>
        <w:t>Language and Sociocultural Theory</w:t>
      </w:r>
      <w:r w:rsidRPr="00963259">
        <w:rPr>
          <w:rFonts w:ascii="Times New Roman" w:hAnsi="Times New Roman" w:cs="Times New Roman"/>
          <w:sz w:val="24"/>
          <w:szCs w:val="24"/>
        </w:rPr>
        <w:t xml:space="preserve">, 6(1), pp.63–91. doi: </w:t>
      </w:r>
      <w:hyperlink r:id="rId25" w:history="1">
        <w:r w:rsidRPr="00963259">
          <w:rPr>
            <w:rStyle w:val="Hyperlnk"/>
            <w:rFonts w:ascii="Times New Roman" w:hAnsi="Times New Roman" w:cs="Times New Roman"/>
            <w:sz w:val="24"/>
            <w:szCs w:val="24"/>
          </w:rPr>
          <w:t>https://doi.org/10.1558/lst.38916</w:t>
        </w:r>
      </w:hyperlink>
      <w:r w:rsidRPr="00963259">
        <w:rPr>
          <w:rFonts w:ascii="Times New Roman" w:hAnsi="Times New Roman" w:cs="Times New Roman"/>
          <w:sz w:val="24"/>
          <w:szCs w:val="24"/>
        </w:rPr>
        <w:t>.</w:t>
      </w:r>
    </w:p>
    <w:p w14:paraId="19F12991" w14:textId="3179FDBF" w:rsidR="00580811" w:rsidRPr="00963259" w:rsidRDefault="00580811" w:rsidP="00B05407">
      <w:pPr>
        <w:spacing w:after="0" w:line="360" w:lineRule="auto"/>
        <w:jc w:val="both"/>
        <w:rPr>
          <w:rFonts w:ascii="Times New Roman" w:eastAsia="Times New Roman" w:hAnsi="Times New Roman" w:cs="Times New Roman"/>
          <w:sz w:val="24"/>
          <w:szCs w:val="24"/>
          <w:lang w:eastAsia="sv-SE"/>
        </w:rPr>
      </w:pPr>
      <w:r w:rsidRPr="00963259">
        <w:rPr>
          <w:rFonts w:ascii="Times New Roman" w:eastAsia="Times New Roman" w:hAnsi="Times New Roman" w:cs="Times New Roman"/>
          <w:sz w:val="24"/>
          <w:szCs w:val="24"/>
          <w:lang w:eastAsia="sv-SE"/>
        </w:rPr>
        <w:t xml:space="preserve">Korstjens, I. and Moser, A. (2018) “Series: Practical guidance to qualitative research. Part 4: Trustworthiness and publishing,” </w:t>
      </w:r>
      <w:r w:rsidRPr="00963259">
        <w:rPr>
          <w:rFonts w:ascii="Times New Roman" w:eastAsia="Times New Roman" w:hAnsi="Times New Roman" w:cs="Times New Roman"/>
          <w:i/>
          <w:iCs/>
          <w:sz w:val="24"/>
          <w:szCs w:val="24"/>
          <w:lang w:eastAsia="sv-SE"/>
        </w:rPr>
        <w:t>The European journal of general practice</w:t>
      </w:r>
      <w:r w:rsidRPr="00963259">
        <w:rPr>
          <w:rFonts w:ascii="Times New Roman" w:eastAsia="Times New Roman" w:hAnsi="Times New Roman" w:cs="Times New Roman"/>
          <w:sz w:val="24"/>
          <w:szCs w:val="24"/>
          <w:lang w:eastAsia="sv-SE"/>
        </w:rPr>
        <w:t xml:space="preserve">, 24(1), pp. 120–124. Available at: </w:t>
      </w:r>
      <w:hyperlink r:id="rId26" w:history="1">
        <w:r w:rsidRPr="00963259">
          <w:rPr>
            <w:rStyle w:val="Hyperlnk"/>
            <w:rFonts w:ascii="Times New Roman" w:eastAsia="Times New Roman" w:hAnsi="Times New Roman" w:cs="Times New Roman"/>
            <w:sz w:val="24"/>
            <w:szCs w:val="24"/>
            <w:lang w:eastAsia="sv-SE"/>
          </w:rPr>
          <w:t>https://doi.org/10.1080/13814788.2017.1375092</w:t>
        </w:r>
      </w:hyperlink>
      <w:r w:rsidRPr="00963259">
        <w:rPr>
          <w:rFonts w:ascii="Times New Roman" w:eastAsia="Times New Roman" w:hAnsi="Times New Roman" w:cs="Times New Roman"/>
          <w:sz w:val="24"/>
          <w:szCs w:val="24"/>
          <w:lang w:eastAsia="sv-SE"/>
        </w:rPr>
        <w:t>.</w:t>
      </w:r>
    </w:p>
    <w:p w14:paraId="25051905" w14:textId="77777777" w:rsidR="00580811" w:rsidRPr="00963259" w:rsidRDefault="00580811" w:rsidP="00B05407">
      <w:pPr>
        <w:spacing w:line="360" w:lineRule="auto"/>
        <w:jc w:val="both"/>
        <w:rPr>
          <w:rFonts w:ascii="Times New Roman" w:hAnsi="Times New Roman" w:cs="Times New Roman"/>
          <w:sz w:val="24"/>
          <w:szCs w:val="24"/>
        </w:rPr>
      </w:pPr>
    </w:p>
    <w:p w14:paraId="4B6EEDAA" w14:textId="21EF9E37" w:rsidR="00DD6371" w:rsidRPr="00963259" w:rsidRDefault="00DD6371" w:rsidP="00B05407">
      <w:pPr>
        <w:spacing w:line="360" w:lineRule="auto"/>
        <w:jc w:val="both"/>
        <w:rPr>
          <w:rFonts w:ascii="Times New Roman" w:hAnsi="Times New Roman" w:cs="Times New Roman"/>
          <w:sz w:val="24"/>
          <w:szCs w:val="24"/>
        </w:rPr>
      </w:pPr>
      <w:r w:rsidRPr="00963259">
        <w:rPr>
          <w:rFonts w:ascii="Times New Roman" w:hAnsi="Times New Roman" w:cs="Times New Roman"/>
          <w:sz w:val="24"/>
          <w:szCs w:val="24"/>
        </w:rPr>
        <w:t>Lantolf, J.P. and Poehner, M.E. (2023). Sociocultural theory and classroom second language learning in the East Asian context: Introduction to the special issue. </w:t>
      </w:r>
      <w:r w:rsidRPr="00963259">
        <w:rPr>
          <w:rFonts w:ascii="Times New Roman" w:hAnsi="Times New Roman" w:cs="Times New Roman"/>
          <w:i/>
          <w:iCs/>
          <w:sz w:val="24"/>
          <w:szCs w:val="24"/>
        </w:rPr>
        <w:t>The Modern Language Journal</w:t>
      </w:r>
      <w:r w:rsidRPr="00963259">
        <w:rPr>
          <w:rFonts w:ascii="Times New Roman" w:hAnsi="Times New Roman" w:cs="Times New Roman"/>
          <w:sz w:val="24"/>
          <w:szCs w:val="24"/>
        </w:rPr>
        <w:t xml:space="preserve">, 107(S1). doi: </w:t>
      </w:r>
      <w:hyperlink r:id="rId27" w:history="1">
        <w:r w:rsidRPr="00963259">
          <w:rPr>
            <w:rStyle w:val="Hyperlnk"/>
            <w:rFonts w:ascii="Times New Roman" w:hAnsi="Times New Roman" w:cs="Times New Roman"/>
            <w:sz w:val="24"/>
            <w:szCs w:val="24"/>
          </w:rPr>
          <w:t>https://doi.org/10.1111/modl.12816</w:t>
        </w:r>
      </w:hyperlink>
      <w:r w:rsidRPr="00963259">
        <w:rPr>
          <w:rFonts w:ascii="Times New Roman" w:hAnsi="Times New Roman" w:cs="Times New Roman"/>
          <w:sz w:val="24"/>
          <w:szCs w:val="24"/>
        </w:rPr>
        <w:t>.</w:t>
      </w:r>
    </w:p>
    <w:p w14:paraId="4618B1ED" w14:textId="77BAE941" w:rsidR="00B16333" w:rsidRPr="00963259" w:rsidRDefault="00B16333" w:rsidP="00B05407">
      <w:pPr>
        <w:spacing w:after="0" w:line="360" w:lineRule="auto"/>
        <w:jc w:val="both"/>
        <w:rPr>
          <w:rFonts w:ascii="Times New Roman" w:eastAsia="Times New Roman" w:hAnsi="Times New Roman" w:cs="Times New Roman"/>
          <w:sz w:val="24"/>
          <w:szCs w:val="24"/>
          <w:lang w:eastAsia="sv-SE"/>
        </w:rPr>
      </w:pPr>
      <w:r w:rsidRPr="00963259">
        <w:rPr>
          <w:rFonts w:ascii="Times New Roman" w:eastAsia="Times New Roman" w:hAnsi="Times New Roman" w:cs="Times New Roman"/>
          <w:sz w:val="24"/>
          <w:szCs w:val="24"/>
          <w:lang w:eastAsia="sv-SE"/>
        </w:rPr>
        <w:t xml:space="preserve">Lim, W.M. (2025) “What Is Qualitative Research? An Overview and Guidelines,” </w:t>
      </w:r>
      <w:r w:rsidRPr="00963259">
        <w:rPr>
          <w:rFonts w:ascii="Times New Roman" w:eastAsia="Times New Roman" w:hAnsi="Times New Roman" w:cs="Times New Roman"/>
          <w:i/>
          <w:iCs/>
          <w:sz w:val="24"/>
          <w:szCs w:val="24"/>
          <w:lang w:eastAsia="sv-SE"/>
        </w:rPr>
        <w:t>Australasian marketing journal</w:t>
      </w:r>
      <w:r w:rsidRPr="00963259">
        <w:rPr>
          <w:rFonts w:ascii="Times New Roman" w:eastAsia="Times New Roman" w:hAnsi="Times New Roman" w:cs="Times New Roman"/>
          <w:sz w:val="24"/>
          <w:szCs w:val="24"/>
          <w:lang w:eastAsia="sv-SE"/>
        </w:rPr>
        <w:t xml:space="preserve">, 33(2), pp. 199–229. Available at: </w:t>
      </w:r>
      <w:hyperlink r:id="rId28" w:history="1">
        <w:r w:rsidRPr="00963259">
          <w:rPr>
            <w:rStyle w:val="Hyperlnk"/>
            <w:rFonts w:ascii="Times New Roman" w:eastAsia="Times New Roman" w:hAnsi="Times New Roman" w:cs="Times New Roman"/>
            <w:sz w:val="24"/>
            <w:szCs w:val="24"/>
            <w:lang w:eastAsia="sv-SE"/>
          </w:rPr>
          <w:t>https://doi.org/10.1177/14413582241264619</w:t>
        </w:r>
      </w:hyperlink>
      <w:r w:rsidRPr="00963259">
        <w:rPr>
          <w:rFonts w:ascii="Times New Roman" w:eastAsia="Times New Roman" w:hAnsi="Times New Roman" w:cs="Times New Roman"/>
          <w:sz w:val="24"/>
          <w:szCs w:val="24"/>
          <w:lang w:eastAsia="sv-SE"/>
        </w:rPr>
        <w:t>.</w:t>
      </w:r>
    </w:p>
    <w:p w14:paraId="212D448A" w14:textId="77777777" w:rsidR="00B80775" w:rsidRPr="00963259" w:rsidRDefault="00B80775" w:rsidP="00B05407">
      <w:pPr>
        <w:spacing w:line="360" w:lineRule="auto"/>
        <w:jc w:val="both"/>
        <w:rPr>
          <w:rFonts w:ascii="Times New Roman" w:hAnsi="Times New Roman" w:cs="Times New Roman"/>
          <w:sz w:val="24"/>
          <w:szCs w:val="24"/>
        </w:rPr>
      </w:pPr>
    </w:p>
    <w:p w14:paraId="4AAF6C21" w14:textId="69F6FE99" w:rsidR="00223110" w:rsidRPr="00963259" w:rsidRDefault="00223110" w:rsidP="00B05407">
      <w:pPr>
        <w:spacing w:line="360" w:lineRule="auto"/>
        <w:jc w:val="both"/>
        <w:rPr>
          <w:rFonts w:ascii="Times New Roman" w:hAnsi="Times New Roman" w:cs="Times New Roman"/>
          <w:sz w:val="24"/>
          <w:szCs w:val="24"/>
        </w:rPr>
      </w:pPr>
      <w:r w:rsidRPr="00963259">
        <w:rPr>
          <w:rFonts w:ascii="Times New Roman" w:hAnsi="Times New Roman" w:cs="Times New Roman"/>
          <w:sz w:val="24"/>
          <w:szCs w:val="24"/>
        </w:rPr>
        <w:t>Marginson, S. and Dang, T.K.A. (2016). Vygotsky’s sociocultural theory in the context of globalization. </w:t>
      </w:r>
      <w:r w:rsidRPr="00963259">
        <w:rPr>
          <w:rFonts w:ascii="Times New Roman" w:hAnsi="Times New Roman" w:cs="Times New Roman"/>
          <w:i/>
          <w:iCs/>
          <w:sz w:val="24"/>
          <w:szCs w:val="24"/>
        </w:rPr>
        <w:t>Asia Pacific Journal of Education</w:t>
      </w:r>
      <w:r w:rsidRPr="00963259">
        <w:rPr>
          <w:rFonts w:ascii="Times New Roman" w:hAnsi="Times New Roman" w:cs="Times New Roman"/>
          <w:sz w:val="24"/>
          <w:szCs w:val="24"/>
        </w:rPr>
        <w:t xml:space="preserve">, [online] 37(1), pp.116–129. doi: </w:t>
      </w:r>
      <w:hyperlink r:id="rId29" w:history="1">
        <w:r w:rsidRPr="00963259">
          <w:rPr>
            <w:rStyle w:val="Hyperlnk"/>
            <w:rFonts w:ascii="Times New Roman" w:hAnsi="Times New Roman" w:cs="Times New Roman"/>
            <w:sz w:val="24"/>
            <w:szCs w:val="24"/>
          </w:rPr>
          <w:t>https://doi.org/10.1080/02188791.2016.1216827</w:t>
        </w:r>
      </w:hyperlink>
      <w:r w:rsidRPr="00963259">
        <w:rPr>
          <w:rFonts w:ascii="Times New Roman" w:hAnsi="Times New Roman" w:cs="Times New Roman"/>
          <w:sz w:val="24"/>
          <w:szCs w:val="24"/>
        </w:rPr>
        <w:t>.</w:t>
      </w:r>
    </w:p>
    <w:p w14:paraId="64BB3FAE" w14:textId="24BBB53A" w:rsidR="00B11E59" w:rsidRPr="00963259" w:rsidRDefault="00B11E59" w:rsidP="00B05407">
      <w:pPr>
        <w:spacing w:line="360" w:lineRule="auto"/>
        <w:jc w:val="both"/>
        <w:rPr>
          <w:rFonts w:ascii="Times New Roman" w:hAnsi="Times New Roman" w:cs="Times New Roman"/>
          <w:sz w:val="24"/>
          <w:szCs w:val="24"/>
        </w:rPr>
      </w:pPr>
    </w:p>
    <w:p w14:paraId="66B2DAF2" w14:textId="55F22E43" w:rsidR="00437B99" w:rsidRPr="00963259" w:rsidRDefault="00437B99" w:rsidP="00B05407">
      <w:pPr>
        <w:spacing w:after="0" w:line="360" w:lineRule="auto"/>
        <w:jc w:val="both"/>
        <w:rPr>
          <w:rFonts w:ascii="Times New Roman" w:eastAsia="Times New Roman" w:hAnsi="Times New Roman" w:cs="Times New Roman"/>
          <w:sz w:val="24"/>
          <w:szCs w:val="24"/>
          <w:lang w:eastAsia="sv-SE"/>
        </w:rPr>
      </w:pPr>
      <w:r w:rsidRPr="00963259">
        <w:rPr>
          <w:rFonts w:ascii="Times New Roman" w:eastAsia="Times New Roman" w:hAnsi="Times New Roman" w:cs="Times New Roman"/>
          <w:sz w:val="24"/>
          <w:szCs w:val="24"/>
          <w:lang w:eastAsia="sv-SE"/>
        </w:rPr>
        <w:t xml:space="preserve">Matuk, C. </w:t>
      </w:r>
      <w:r w:rsidRPr="00963259">
        <w:rPr>
          <w:rFonts w:ascii="Times New Roman" w:eastAsia="Times New Roman" w:hAnsi="Times New Roman" w:cs="Times New Roman"/>
          <w:i/>
          <w:iCs/>
          <w:sz w:val="24"/>
          <w:szCs w:val="24"/>
          <w:lang w:eastAsia="sv-SE"/>
        </w:rPr>
        <w:t>et al.</w:t>
      </w:r>
      <w:r w:rsidRPr="00963259">
        <w:rPr>
          <w:rFonts w:ascii="Times New Roman" w:eastAsia="Times New Roman" w:hAnsi="Times New Roman" w:cs="Times New Roman"/>
          <w:sz w:val="24"/>
          <w:szCs w:val="24"/>
          <w:lang w:eastAsia="sv-SE"/>
        </w:rPr>
        <w:t xml:space="preserve"> (2021) “How Do Teachers Use Comics to Promote Engagement, Equity, and Diversity in Science Classrooms?,” </w:t>
      </w:r>
      <w:r w:rsidRPr="00963259">
        <w:rPr>
          <w:rFonts w:ascii="Times New Roman" w:eastAsia="Times New Roman" w:hAnsi="Times New Roman" w:cs="Times New Roman"/>
          <w:i/>
          <w:iCs/>
          <w:sz w:val="24"/>
          <w:szCs w:val="24"/>
          <w:lang w:eastAsia="sv-SE"/>
        </w:rPr>
        <w:t>Research in science education (Australasian Science Education Research Association)</w:t>
      </w:r>
      <w:r w:rsidRPr="00963259">
        <w:rPr>
          <w:rFonts w:ascii="Times New Roman" w:eastAsia="Times New Roman" w:hAnsi="Times New Roman" w:cs="Times New Roman"/>
          <w:sz w:val="24"/>
          <w:szCs w:val="24"/>
          <w:lang w:eastAsia="sv-SE"/>
        </w:rPr>
        <w:t xml:space="preserve">, 51(3), pp. 685–732. Available at: </w:t>
      </w:r>
      <w:hyperlink r:id="rId30" w:history="1">
        <w:r w:rsidRPr="00963259">
          <w:rPr>
            <w:rStyle w:val="Hyperlnk"/>
            <w:rFonts w:ascii="Times New Roman" w:eastAsia="Times New Roman" w:hAnsi="Times New Roman" w:cs="Times New Roman"/>
            <w:sz w:val="24"/>
            <w:szCs w:val="24"/>
            <w:lang w:eastAsia="sv-SE"/>
          </w:rPr>
          <w:t>https://doi.org/10.1007/s11165-018-9814-8</w:t>
        </w:r>
      </w:hyperlink>
      <w:r w:rsidRPr="00963259">
        <w:rPr>
          <w:rFonts w:ascii="Times New Roman" w:eastAsia="Times New Roman" w:hAnsi="Times New Roman" w:cs="Times New Roman"/>
          <w:sz w:val="24"/>
          <w:szCs w:val="24"/>
          <w:lang w:eastAsia="sv-SE"/>
        </w:rPr>
        <w:t>.</w:t>
      </w:r>
    </w:p>
    <w:p w14:paraId="15DA93B8" w14:textId="77777777" w:rsidR="00437B99" w:rsidRPr="00963259" w:rsidRDefault="00437B99" w:rsidP="00B05407">
      <w:pPr>
        <w:spacing w:line="360" w:lineRule="auto"/>
        <w:jc w:val="both"/>
        <w:rPr>
          <w:rFonts w:ascii="Times New Roman" w:hAnsi="Times New Roman" w:cs="Times New Roman"/>
          <w:sz w:val="24"/>
          <w:szCs w:val="24"/>
        </w:rPr>
      </w:pPr>
    </w:p>
    <w:p w14:paraId="7C6938F5" w14:textId="28C4D51B" w:rsidR="003A2407" w:rsidRPr="00963259" w:rsidRDefault="003A2407" w:rsidP="00B05407">
      <w:pPr>
        <w:spacing w:after="0" w:line="360" w:lineRule="auto"/>
        <w:jc w:val="both"/>
        <w:rPr>
          <w:rFonts w:ascii="Times New Roman" w:eastAsia="Times New Roman" w:hAnsi="Times New Roman" w:cs="Times New Roman"/>
          <w:sz w:val="24"/>
          <w:szCs w:val="24"/>
          <w:lang w:eastAsia="sv-SE"/>
        </w:rPr>
      </w:pPr>
      <w:r w:rsidRPr="00963259">
        <w:rPr>
          <w:rFonts w:ascii="Times New Roman" w:eastAsia="Times New Roman" w:hAnsi="Times New Roman" w:cs="Times New Roman"/>
          <w:sz w:val="24"/>
          <w:szCs w:val="24"/>
          <w:lang w:eastAsia="sv-SE"/>
        </w:rPr>
        <w:t xml:space="preserve">Mounter, J., Huxtable, </w:t>
      </w:r>
      <w:proofErr w:type="gramStart"/>
      <w:r w:rsidRPr="00963259">
        <w:rPr>
          <w:rFonts w:ascii="Times New Roman" w:eastAsia="Times New Roman" w:hAnsi="Times New Roman" w:cs="Times New Roman"/>
          <w:sz w:val="24"/>
          <w:szCs w:val="24"/>
          <w:lang w:eastAsia="sv-SE"/>
        </w:rPr>
        <w:t>M.</w:t>
      </w:r>
      <w:proofErr w:type="gramEnd"/>
      <w:r w:rsidRPr="00963259">
        <w:rPr>
          <w:rFonts w:ascii="Times New Roman" w:eastAsia="Times New Roman" w:hAnsi="Times New Roman" w:cs="Times New Roman"/>
          <w:sz w:val="24"/>
          <w:szCs w:val="24"/>
          <w:lang w:eastAsia="sv-SE"/>
        </w:rPr>
        <w:t xml:space="preserve"> and Whitehead, J. (2019) “Using Thinking Actively in a Social Context and Spirals in Living Theory research in explanations of educational influences in a global social movement,” </w:t>
      </w:r>
      <w:r w:rsidRPr="00963259">
        <w:rPr>
          <w:rFonts w:ascii="Times New Roman" w:eastAsia="Times New Roman" w:hAnsi="Times New Roman" w:cs="Times New Roman"/>
          <w:i/>
          <w:iCs/>
          <w:sz w:val="24"/>
          <w:szCs w:val="24"/>
          <w:lang w:eastAsia="sv-SE"/>
        </w:rPr>
        <w:t>Gifted education international</w:t>
      </w:r>
      <w:r w:rsidRPr="00963259">
        <w:rPr>
          <w:rFonts w:ascii="Times New Roman" w:eastAsia="Times New Roman" w:hAnsi="Times New Roman" w:cs="Times New Roman"/>
          <w:sz w:val="24"/>
          <w:szCs w:val="24"/>
          <w:lang w:eastAsia="sv-SE"/>
        </w:rPr>
        <w:t xml:space="preserve">, 35(2), pp. 91–109. Available at: </w:t>
      </w:r>
      <w:hyperlink r:id="rId31" w:history="1">
        <w:r w:rsidRPr="00963259">
          <w:rPr>
            <w:rStyle w:val="Hyperlnk"/>
            <w:rFonts w:ascii="Times New Roman" w:eastAsia="Times New Roman" w:hAnsi="Times New Roman" w:cs="Times New Roman"/>
            <w:sz w:val="24"/>
            <w:szCs w:val="24"/>
            <w:lang w:eastAsia="sv-SE"/>
          </w:rPr>
          <w:t>https://doi.org/10.1177/0261429418824110</w:t>
        </w:r>
      </w:hyperlink>
      <w:r w:rsidRPr="00963259">
        <w:rPr>
          <w:rFonts w:ascii="Times New Roman" w:eastAsia="Times New Roman" w:hAnsi="Times New Roman" w:cs="Times New Roman"/>
          <w:sz w:val="24"/>
          <w:szCs w:val="24"/>
          <w:lang w:eastAsia="sv-SE"/>
        </w:rPr>
        <w:t>.</w:t>
      </w:r>
    </w:p>
    <w:p w14:paraId="4A051B20" w14:textId="77777777" w:rsidR="003A2407" w:rsidRPr="00963259" w:rsidRDefault="003A2407" w:rsidP="00B05407">
      <w:pPr>
        <w:spacing w:line="360" w:lineRule="auto"/>
        <w:jc w:val="both"/>
        <w:rPr>
          <w:rFonts w:ascii="Times New Roman" w:hAnsi="Times New Roman" w:cs="Times New Roman"/>
          <w:sz w:val="24"/>
          <w:szCs w:val="24"/>
        </w:rPr>
      </w:pPr>
    </w:p>
    <w:p w14:paraId="02139F53" w14:textId="3108CE5B" w:rsidR="00A53D56" w:rsidRPr="00963259" w:rsidRDefault="00A53D56" w:rsidP="00B05407">
      <w:pPr>
        <w:spacing w:after="0" w:line="360" w:lineRule="auto"/>
        <w:jc w:val="both"/>
        <w:rPr>
          <w:rFonts w:ascii="Times New Roman" w:eastAsia="Times New Roman" w:hAnsi="Times New Roman" w:cs="Times New Roman"/>
          <w:sz w:val="24"/>
          <w:szCs w:val="24"/>
          <w:lang w:eastAsia="sv-SE"/>
        </w:rPr>
      </w:pPr>
      <w:r w:rsidRPr="00963259">
        <w:rPr>
          <w:rFonts w:ascii="Times New Roman" w:eastAsia="Times New Roman" w:hAnsi="Times New Roman" w:cs="Times New Roman"/>
          <w:sz w:val="24"/>
          <w:szCs w:val="24"/>
          <w:lang w:eastAsia="sv-SE"/>
        </w:rPr>
        <w:t xml:space="preserve">Munandar, M.I. (2025) “Interculturality, native-speakerism and authenticity: paradoxes in Indonesia’s EFL pedagogy,” </w:t>
      </w:r>
      <w:r w:rsidRPr="00963259">
        <w:rPr>
          <w:rFonts w:ascii="Times New Roman" w:eastAsia="Times New Roman" w:hAnsi="Times New Roman" w:cs="Times New Roman"/>
          <w:i/>
          <w:iCs/>
          <w:sz w:val="24"/>
          <w:szCs w:val="24"/>
          <w:lang w:eastAsia="sv-SE"/>
        </w:rPr>
        <w:t>Pedagogy, culture &amp; society</w:t>
      </w:r>
      <w:r w:rsidRPr="00963259">
        <w:rPr>
          <w:rFonts w:ascii="Times New Roman" w:eastAsia="Times New Roman" w:hAnsi="Times New Roman" w:cs="Times New Roman"/>
          <w:sz w:val="24"/>
          <w:szCs w:val="24"/>
          <w:lang w:eastAsia="sv-SE"/>
        </w:rPr>
        <w:t xml:space="preserve">, 33(2), pp. 689–709. Available at: </w:t>
      </w:r>
      <w:hyperlink r:id="rId32" w:history="1">
        <w:r w:rsidRPr="00963259">
          <w:rPr>
            <w:rStyle w:val="Hyperlnk"/>
            <w:rFonts w:ascii="Times New Roman" w:eastAsia="Times New Roman" w:hAnsi="Times New Roman" w:cs="Times New Roman"/>
            <w:sz w:val="24"/>
            <w:szCs w:val="24"/>
            <w:lang w:eastAsia="sv-SE"/>
          </w:rPr>
          <w:t>https://doi.org/10.1080/14681366.2023.2298441</w:t>
        </w:r>
      </w:hyperlink>
      <w:r w:rsidRPr="00963259">
        <w:rPr>
          <w:rFonts w:ascii="Times New Roman" w:eastAsia="Times New Roman" w:hAnsi="Times New Roman" w:cs="Times New Roman"/>
          <w:sz w:val="24"/>
          <w:szCs w:val="24"/>
          <w:lang w:eastAsia="sv-SE"/>
        </w:rPr>
        <w:t>.</w:t>
      </w:r>
    </w:p>
    <w:p w14:paraId="62AADFF6" w14:textId="77777777" w:rsidR="00B23B65" w:rsidRPr="00963259" w:rsidRDefault="00B23B65" w:rsidP="00B05407">
      <w:pPr>
        <w:spacing w:after="0" w:line="360" w:lineRule="auto"/>
        <w:jc w:val="both"/>
        <w:rPr>
          <w:rFonts w:ascii="Times New Roman" w:eastAsia="Times New Roman" w:hAnsi="Times New Roman" w:cs="Times New Roman"/>
          <w:sz w:val="24"/>
          <w:szCs w:val="24"/>
          <w:lang w:eastAsia="sv-SE"/>
        </w:rPr>
      </w:pPr>
    </w:p>
    <w:p w14:paraId="749E1FCD" w14:textId="748520D0" w:rsidR="00B23B65" w:rsidRPr="00963259" w:rsidRDefault="00B23B65" w:rsidP="00B05407">
      <w:pPr>
        <w:spacing w:after="0" w:line="360" w:lineRule="auto"/>
        <w:jc w:val="both"/>
        <w:rPr>
          <w:rFonts w:ascii="Times New Roman" w:eastAsia="Times New Roman" w:hAnsi="Times New Roman" w:cs="Times New Roman"/>
          <w:sz w:val="24"/>
          <w:szCs w:val="24"/>
          <w:lang w:eastAsia="sv-SE"/>
        </w:rPr>
      </w:pPr>
      <w:r w:rsidRPr="00963259">
        <w:rPr>
          <w:rFonts w:ascii="Times New Roman" w:eastAsia="Times New Roman" w:hAnsi="Times New Roman" w:cs="Times New Roman"/>
          <w:sz w:val="24"/>
          <w:szCs w:val="24"/>
          <w:lang w:eastAsia="sv-SE"/>
        </w:rPr>
        <w:t xml:space="preserve">Nag, S. (2024) “Language as a Tool for Inclusive and Equitable School Education: A Critical Review of NEP 2020,” </w:t>
      </w:r>
      <w:r w:rsidRPr="00963259">
        <w:rPr>
          <w:rFonts w:ascii="Times New Roman" w:eastAsia="Times New Roman" w:hAnsi="Times New Roman" w:cs="Times New Roman"/>
          <w:i/>
          <w:iCs/>
          <w:sz w:val="24"/>
          <w:szCs w:val="24"/>
          <w:lang w:eastAsia="sv-SE"/>
        </w:rPr>
        <w:t>Contemporary education dialogue</w:t>
      </w:r>
      <w:r w:rsidRPr="00963259">
        <w:rPr>
          <w:rFonts w:ascii="Times New Roman" w:eastAsia="Times New Roman" w:hAnsi="Times New Roman" w:cs="Times New Roman"/>
          <w:sz w:val="24"/>
          <w:szCs w:val="24"/>
          <w:lang w:eastAsia="sv-SE"/>
        </w:rPr>
        <w:t xml:space="preserve">, 21(2), pp. 208–222. Available at: </w:t>
      </w:r>
      <w:hyperlink r:id="rId33" w:history="1">
        <w:r w:rsidRPr="00963259">
          <w:rPr>
            <w:rStyle w:val="Hyperlnk"/>
            <w:rFonts w:ascii="Times New Roman" w:eastAsia="Times New Roman" w:hAnsi="Times New Roman" w:cs="Times New Roman"/>
            <w:sz w:val="24"/>
            <w:szCs w:val="24"/>
            <w:lang w:eastAsia="sv-SE"/>
          </w:rPr>
          <w:t>https://doi.org/10.1177/09731849241253398</w:t>
        </w:r>
      </w:hyperlink>
      <w:r w:rsidRPr="00963259">
        <w:rPr>
          <w:rFonts w:ascii="Times New Roman" w:eastAsia="Times New Roman" w:hAnsi="Times New Roman" w:cs="Times New Roman"/>
          <w:sz w:val="24"/>
          <w:szCs w:val="24"/>
          <w:lang w:eastAsia="sv-SE"/>
        </w:rPr>
        <w:t>.</w:t>
      </w:r>
    </w:p>
    <w:p w14:paraId="62573B7D" w14:textId="77777777" w:rsidR="008E7B50" w:rsidRPr="00963259" w:rsidRDefault="008E7B50" w:rsidP="00B05407">
      <w:pPr>
        <w:spacing w:after="0" w:line="360" w:lineRule="auto"/>
        <w:jc w:val="both"/>
        <w:rPr>
          <w:rFonts w:ascii="Times New Roman" w:eastAsia="Times New Roman" w:hAnsi="Times New Roman" w:cs="Times New Roman"/>
          <w:sz w:val="24"/>
          <w:szCs w:val="24"/>
          <w:lang w:eastAsia="sv-SE"/>
        </w:rPr>
      </w:pPr>
    </w:p>
    <w:p w14:paraId="4C8265D4" w14:textId="0C198EA4" w:rsidR="008E7B50" w:rsidRPr="00963259" w:rsidRDefault="008E7B50" w:rsidP="00B05407">
      <w:pPr>
        <w:spacing w:after="0" w:line="360" w:lineRule="auto"/>
        <w:jc w:val="both"/>
        <w:rPr>
          <w:rFonts w:ascii="Times New Roman" w:eastAsia="Times New Roman" w:hAnsi="Times New Roman" w:cs="Times New Roman"/>
          <w:sz w:val="24"/>
          <w:szCs w:val="24"/>
          <w:lang w:eastAsia="sv-SE"/>
        </w:rPr>
      </w:pPr>
      <w:r w:rsidRPr="00963259">
        <w:rPr>
          <w:rFonts w:ascii="Times New Roman" w:eastAsia="Times New Roman" w:hAnsi="Times New Roman" w:cs="Times New Roman"/>
          <w:sz w:val="24"/>
          <w:szCs w:val="24"/>
          <w:lang w:eastAsia="sv-SE"/>
        </w:rPr>
        <w:t xml:space="preserve">OECD. (2019). </w:t>
      </w:r>
      <w:r w:rsidRPr="00963259">
        <w:rPr>
          <w:rFonts w:ascii="Times New Roman" w:eastAsia="Times New Roman" w:hAnsi="Times New Roman" w:cs="Times New Roman"/>
          <w:i/>
          <w:iCs/>
          <w:sz w:val="24"/>
          <w:szCs w:val="24"/>
          <w:lang w:eastAsia="sv-SE"/>
        </w:rPr>
        <w:t>Strength through diversity’s spotlight report for Sweden.</w:t>
      </w:r>
      <w:r w:rsidRPr="00963259">
        <w:rPr>
          <w:rFonts w:ascii="Times New Roman" w:eastAsia="Times New Roman" w:hAnsi="Times New Roman" w:cs="Times New Roman"/>
          <w:sz w:val="24"/>
          <w:szCs w:val="24"/>
          <w:lang w:eastAsia="sv-SE"/>
        </w:rPr>
        <w:t xml:space="preserve"> OECD Education Working Papers. Available at: </w:t>
      </w:r>
      <w:hyperlink r:id="rId34" w:tgtFrame="_new" w:history="1">
        <w:r w:rsidRPr="00963259">
          <w:rPr>
            <w:rStyle w:val="Hyperlnk"/>
            <w:rFonts w:ascii="Times New Roman" w:eastAsia="Times New Roman" w:hAnsi="Times New Roman" w:cs="Times New Roman"/>
            <w:sz w:val="24"/>
            <w:szCs w:val="24"/>
            <w:lang w:eastAsia="sv-SE"/>
          </w:rPr>
          <w:t>https://doi.org/10.1787/059ce467-en</w:t>
        </w:r>
      </w:hyperlink>
      <w:r w:rsidR="00080618" w:rsidRPr="00963259">
        <w:rPr>
          <w:rFonts w:ascii="Times New Roman" w:eastAsia="Times New Roman" w:hAnsi="Times New Roman" w:cs="Times New Roman"/>
          <w:sz w:val="24"/>
          <w:szCs w:val="24"/>
          <w:lang w:eastAsia="sv-SE"/>
        </w:rPr>
        <w:t>.</w:t>
      </w:r>
    </w:p>
    <w:p w14:paraId="6A708590" w14:textId="5EEAE69E" w:rsidR="00664B75" w:rsidRPr="00963259" w:rsidRDefault="00664B75" w:rsidP="00B05407">
      <w:pPr>
        <w:pStyle w:val="nuc-modal-bodycitation-content"/>
        <w:spacing w:line="360" w:lineRule="auto"/>
        <w:jc w:val="both"/>
      </w:pPr>
      <w:r w:rsidRPr="00963259">
        <w:t>Piyumi Udeshinee, Knutsson, O. and Sirkku Männikkö Barbutiu (2025) ‘Learner Reciprocity in Text Chat-Mediated Dynamic Assessment’, </w:t>
      </w:r>
      <w:r w:rsidRPr="00963259">
        <w:rPr>
          <w:i/>
          <w:iCs/>
        </w:rPr>
        <w:t>Language and Sociocultural Theory</w:t>
      </w:r>
      <w:r w:rsidRPr="00963259">
        <w:t xml:space="preserve">, 11(1), pp. 1–32. Available at: </w:t>
      </w:r>
      <w:hyperlink r:id="rId35" w:history="1">
        <w:r w:rsidRPr="00963259">
          <w:rPr>
            <w:rStyle w:val="Hyperlnk"/>
          </w:rPr>
          <w:t>https://doi.org/10.3138/lst-25392-udeshini</w:t>
        </w:r>
      </w:hyperlink>
      <w:r w:rsidRPr="00963259">
        <w:t>.</w:t>
      </w:r>
    </w:p>
    <w:p w14:paraId="531E2902" w14:textId="4637DDCB" w:rsidR="00796EFB" w:rsidRPr="00963259" w:rsidRDefault="00796EFB" w:rsidP="00B05407">
      <w:pPr>
        <w:spacing w:line="360" w:lineRule="auto"/>
        <w:jc w:val="both"/>
        <w:rPr>
          <w:rFonts w:ascii="Times New Roman" w:hAnsi="Times New Roman" w:cs="Times New Roman"/>
          <w:sz w:val="24"/>
          <w:szCs w:val="24"/>
        </w:rPr>
      </w:pPr>
      <w:r w:rsidRPr="00963259">
        <w:rPr>
          <w:rFonts w:ascii="Times New Roman" w:hAnsi="Times New Roman" w:cs="Times New Roman"/>
          <w:sz w:val="24"/>
          <w:szCs w:val="24"/>
        </w:rPr>
        <w:t xml:space="preserve">Poehner, M.E. and Leontjev, D. (2023) “Peer interaction, mediation, and a view of teachers as creators of learner L2 development,” </w:t>
      </w:r>
      <w:r w:rsidRPr="00963259">
        <w:rPr>
          <w:rFonts w:ascii="Times New Roman" w:hAnsi="Times New Roman" w:cs="Times New Roman"/>
          <w:i/>
          <w:iCs/>
          <w:sz w:val="24"/>
          <w:szCs w:val="24"/>
        </w:rPr>
        <w:t>International journal of applied linguistics</w:t>
      </w:r>
      <w:r w:rsidRPr="00963259">
        <w:rPr>
          <w:rFonts w:ascii="Times New Roman" w:hAnsi="Times New Roman" w:cs="Times New Roman"/>
          <w:sz w:val="24"/>
          <w:szCs w:val="24"/>
        </w:rPr>
        <w:t xml:space="preserve">, 33(1), pp. 18–32. Available at: </w:t>
      </w:r>
      <w:hyperlink r:id="rId36" w:history="1">
        <w:r w:rsidRPr="00963259">
          <w:rPr>
            <w:rStyle w:val="Hyperlnk"/>
            <w:rFonts w:ascii="Times New Roman" w:hAnsi="Times New Roman" w:cs="Times New Roman"/>
            <w:sz w:val="24"/>
            <w:szCs w:val="24"/>
          </w:rPr>
          <w:t>https://doi.org/10.1111/ijal.12444</w:t>
        </w:r>
      </w:hyperlink>
      <w:r w:rsidRPr="00963259">
        <w:rPr>
          <w:rFonts w:ascii="Times New Roman" w:hAnsi="Times New Roman" w:cs="Times New Roman"/>
          <w:sz w:val="24"/>
          <w:szCs w:val="24"/>
        </w:rPr>
        <w:t>.</w:t>
      </w:r>
    </w:p>
    <w:p w14:paraId="37248941" w14:textId="191856C6" w:rsidR="00502A98" w:rsidRDefault="00AC3719" w:rsidP="00B05407">
      <w:pPr>
        <w:spacing w:after="0" w:line="360" w:lineRule="auto"/>
        <w:jc w:val="both"/>
        <w:rPr>
          <w:rFonts w:ascii="Times New Roman" w:eastAsia="Times New Roman" w:hAnsi="Times New Roman" w:cs="Times New Roman"/>
          <w:sz w:val="24"/>
          <w:szCs w:val="24"/>
          <w:lang w:eastAsia="sv-SE"/>
        </w:rPr>
      </w:pPr>
      <w:r w:rsidRPr="00963259">
        <w:rPr>
          <w:rFonts w:ascii="Times New Roman" w:eastAsia="Times New Roman" w:hAnsi="Times New Roman" w:cs="Times New Roman"/>
          <w:sz w:val="24"/>
          <w:szCs w:val="24"/>
          <w:lang w:eastAsia="sv-SE"/>
        </w:rPr>
        <w:t xml:space="preserve">Puntambekar, S. (2022) “Distributed Scaffolding: Scaffolding Students in Classroom Environments,” </w:t>
      </w:r>
      <w:r w:rsidRPr="00963259">
        <w:rPr>
          <w:rFonts w:ascii="Times New Roman" w:eastAsia="Times New Roman" w:hAnsi="Times New Roman" w:cs="Times New Roman"/>
          <w:i/>
          <w:iCs/>
          <w:sz w:val="24"/>
          <w:szCs w:val="24"/>
          <w:lang w:eastAsia="sv-SE"/>
        </w:rPr>
        <w:t>Educational psychology review</w:t>
      </w:r>
      <w:r w:rsidRPr="00963259">
        <w:rPr>
          <w:rFonts w:ascii="Times New Roman" w:eastAsia="Times New Roman" w:hAnsi="Times New Roman" w:cs="Times New Roman"/>
          <w:sz w:val="24"/>
          <w:szCs w:val="24"/>
          <w:lang w:eastAsia="sv-SE"/>
        </w:rPr>
        <w:t xml:space="preserve">, 34(1), pp. 451–472. Available at: </w:t>
      </w:r>
      <w:hyperlink r:id="rId37" w:history="1">
        <w:r w:rsidRPr="00963259">
          <w:rPr>
            <w:rStyle w:val="Hyperlnk"/>
            <w:rFonts w:ascii="Times New Roman" w:eastAsia="Times New Roman" w:hAnsi="Times New Roman" w:cs="Times New Roman"/>
            <w:sz w:val="24"/>
            <w:szCs w:val="24"/>
            <w:lang w:eastAsia="sv-SE"/>
          </w:rPr>
          <w:t>https://doi.org/10.1007/s10648-021-09636-3</w:t>
        </w:r>
      </w:hyperlink>
      <w:r w:rsidRPr="00963259">
        <w:rPr>
          <w:rFonts w:ascii="Times New Roman" w:eastAsia="Times New Roman" w:hAnsi="Times New Roman" w:cs="Times New Roman"/>
          <w:sz w:val="24"/>
          <w:szCs w:val="24"/>
          <w:lang w:eastAsia="sv-SE"/>
        </w:rPr>
        <w:t>.</w:t>
      </w:r>
    </w:p>
    <w:p w14:paraId="1A56C365" w14:textId="77777777" w:rsidR="00B05407" w:rsidRPr="00963259" w:rsidRDefault="00B05407" w:rsidP="00B05407">
      <w:pPr>
        <w:spacing w:after="0" w:line="360" w:lineRule="auto"/>
        <w:jc w:val="both"/>
        <w:rPr>
          <w:rFonts w:ascii="Times New Roman" w:eastAsia="Times New Roman" w:hAnsi="Times New Roman" w:cs="Times New Roman"/>
          <w:sz w:val="24"/>
          <w:szCs w:val="24"/>
          <w:lang w:eastAsia="sv-SE"/>
        </w:rPr>
      </w:pPr>
    </w:p>
    <w:p w14:paraId="61C4A01E" w14:textId="499E56EE" w:rsidR="00502A98" w:rsidRPr="00963259" w:rsidRDefault="00502A98" w:rsidP="00B05407">
      <w:pPr>
        <w:spacing w:after="0" w:line="360" w:lineRule="auto"/>
        <w:jc w:val="both"/>
        <w:rPr>
          <w:rFonts w:ascii="Times New Roman" w:eastAsia="Times New Roman" w:hAnsi="Times New Roman" w:cs="Times New Roman"/>
          <w:sz w:val="24"/>
          <w:szCs w:val="24"/>
          <w:lang w:eastAsia="sv-SE"/>
        </w:rPr>
      </w:pPr>
      <w:r w:rsidRPr="00963259">
        <w:rPr>
          <w:rFonts w:ascii="Times New Roman" w:eastAsia="Times New Roman" w:hAnsi="Times New Roman" w:cs="Times New Roman"/>
          <w:sz w:val="24"/>
          <w:szCs w:val="24"/>
          <w:lang w:eastAsia="sv-SE"/>
        </w:rPr>
        <w:t xml:space="preserve">Richardson, J., Erol, R. and Bueno, A.A. (2023) “A Reflection on the Tensions of Acting in Dual Roles of Doctoral Researcher and Practitioner when Evaluating a Lifestyle Intervention for Breast Cancer Patients,” </w:t>
      </w:r>
      <w:r w:rsidRPr="00963259">
        <w:rPr>
          <w:rFonts w:ascii="Times New Roman" w:eastAsia="Times New Roman" w:hAnsi="Times New Roman" w:cs="Times New Roman"/>
          <w:i/>
          <w:iCs/>
          <w:sz w:val="24"/>
          <w:szCs w:val="24"/>
          <w:lang w:eastAsia="sv-SE"/>
        </w:rPr>
        <w:t>Journal of cancer education</w:t>
      </w:r>
      <w:r w:rsidRPr="00963259">
        <w:rPr>
          <w:rFonts w:ascii="Times New Roman" w:eastAsia="Times New Roman" w:hAnsi="Times New Roman" w:cs="Times New Roman"/>
          <w:sz w:val="24"/>
          <w:szCs w:val="24"/>
          <w:lang w:eastAsia="sv-SE"/>
        </w:rPr>
        <w:t xml:space="preserve">, 38(1), pp. 383–386. Available at: </w:t>
      </w:r>
      <w:hyperlink r:id="rId38" w:history="1">
        <w:r w:rsidRPr="00963259">
          <w:rPr>
            <w:rStyle w:val="Hyperlnk"/>
            <w:rFonts w:ascii="Times New Roman" w:eastAsia="Times New Roman" w:hAnsi="Times New Roman" w:cs="Times New Roman"/>
            <w:sz w:val="24"/>
            <w:szCs w:val="24"/>
            <w:lang w:eastAsia="sv-SE"/>
          </w:rPr>
          <w:t>https://doi.org/10.1007/s13187-022-02180-w</w:t>
        </w:r>
      </w:hyperlink>
      <w:r w:rsidRPr="00963259">
        <w:rPr>
          <w:rFonts w:ascii="Times New Roman" w:eastAsia="Times New Roman" w:hAnsi="Times New Roman" w:cs="Times New Roman"/>
          <w:sz w:val="24"/>
          <w:szCs w:val="24"/>
          <w:lang w:eastAsia="sv-SE"/>
        </w:rPr>
        <w:t>.</w:t>
      </w:r>
    </w:p>
    <w:p w14:paraId="01D3D77F" w14:textId="752AF583" w:rsidR="001640F5" w:rsidRPr="00963259" w:rsidRDefault="00664B75" w:rsidP="00B05407">
      <w:pPr>
        <w:pStyle w:val="nuc-modal-bodycitation-content"/>
        <w:spacing w:line="360" w:lineRule="auto"/>
        <w:jc w:val="both"/>
      </w:pPr>
      <w:r w:rsidRPr="00963259">
        <w:t xml:space="preserve">Seng, </w:t>
      </w:r>
      <w:proofErr w:type="gramStart"/>
      <w:r w:rsidRPr="00963259">
        <w:t>E.</w:t>
      </w:r>
      <w:proofErr w:type="gramEnd"/>
      <w:r w:rsidRPr="00963259">
        <w:t xml:space="preserve"> and Tan, S.C. (2024) “Integrating knowledge-building principles into design thinking: Scaffolding innovative ideation: A systematic literature review,” </w:t>
      </w:r>
      <w:r w:rsidRPr="00963259">
        <w:rPr>
          <w:i/>
          <w:iCs/>
        </w:rPr>
        <w:t>Art, design &amp; communication in higher education</w:t>
      </w:r>
      <w:r w:rsidRPr="00963259">
        <w:t xml:space="preserve">, 23(1), pp. 25–42. Available at: </w:t>
      </w:r>
      <w:hyperlink r:id="rId39" w:history="1">
        <w:r w:rsidRPr="00963259">
          <w:rPr>
            <w:rStyle w:val="Hyperlnk"/>
          </w:rPr>
          <w:t>https://doi.org/10.1386/adch_00082_1</w:t>
        </w:r>
      </w:hyperlink>
      <w:r w:rsidRPr="00963259">
        <w:t>.</w:t>
      </w:r>
    </w:p>
    <w:p w14:paraId="293FDA38" w14:textId="3E9A723A" w:rsidR="001D7771" w:rsidRPr="00963259" w:rsidRDefault="001D7771" w:rsidP="00B05407">
      <w:pPr>
        <w:spacing w:after="0" w:line="360" w:lineRule="auto"/>
        <w:jc w:val="both"/>
        <w:rPr>
          <w:rFonts w:ascii="Times New Roman" w:eastAsia="Times New Roman" w:hAnsi="Times New Roman" w:cs="Times New Roman"/>
          <w:sz w:val="24"/>
          <w:szCs w:val="24"/>
          <w:lang w:eastAsia="sv-SE"/>
        </w:rPr>
      </w:pPr>
      <w:r w:rsidRPr="00963259">
        <w:rPr>
          <w:rFonts w:ascii="Times New Roman" w:eastAsia="Times New Roman" w:hAnsi="Times New Roman" w:cs="Times New Roman"/>
          <w:sz w:val="24"/>
          <w:szCs w:val="24"/>
          <w:lang w:eastAsia="sv-SE"/>
        </w:rPr>
        <w:lastRenderedPageBreak/>
        <w:t xml:space="preserve">Shalizar, R. and Rezaei, A. (2023) “Examining the Differential Effects of Focused vs. Unfocused ZPD and Explicit Feedback on Second Language Writing,” </w:t>
      </w:r>
      <w:r w:rsidRPr="00963259">
        <w:rPr>
          <w:rFonts w:ascii="Times New Roman" w:eastAsia="Times New Roman" w:hAnsi="Times New Roman" w:cs="Times New Roman"/>
          <w:i/>
          <w:iCs/>
          <w:sz w:val="24"/>
          <w:szCs w:val="24"/>
          <w:lang w:eastAsia="sv-SE"/>
        </w:rPr>
        <w:t>Language learning journal</w:t>
      </w:r>
      <w:r w:rsidRPr="00963259">
        <w:rPr>
          <w:rFonts w:ascii="Times New Roman" w:eastAsia="Times New Roman" w:hAnsi="Times New Roman" w:cs="Times New Roman"/>
          <w:sz w:val="24"/>
          <w:szCs w:val="24"/>
          <w:lang w:eastAsia="sv-SE"/>
        </w:rPr>
        <w:t xml:space="preserve">, 51(3), pp. 359–375. Available at: </w:t>
      </w:r>
      <w:hyperlink r:id="rId40" w:history="1">
        <w:r w:rsidRPr="00963259">
          <w:rPr>
            <w:rStyle w:val="Hyperlnk"/>
            <w:rFonts w:ascii="Times New Roman" w:eastAsia="Times New Roman" w:hAnsi="Times New Roman" w:cs="Times New Roman"/>
            <w:sz w:val="24"/>
            <w:szCs w:val="24"/>
            <w:lang w:eastAsia="sv-SE"/>
          </w:rPr>
          <w:t>https://doi.org/10.1080/09571736.2022.2042366</w:t>
        </w:r>
      </w:hyperlink>
      <w:r w:rsidRPr="00963259">
        <w:rPr>
          <w:rFonts w:ascii="Times New Roman" w:eastAsia="Times New Roman" w:hAnsi="Times New Roman" w:cs="Times New Roman"/>
          <w:sz w:val="24"/>
          <w:szCs w:val="24"/>
          <w:lang w:eastAsia="sv-SE"/>
        </w:rPr>
        <w:t>.</w:t>
      </w:r>
    </w:p>
    <w:p w14:paraId="3E7CB9E0" w14:textId="77777777" w:rsidR="005517AE" w:rsidRPr="00963259" w:rsidRDefault="005517AE" w:rsidP="00B05407">
      <w:pPr>
        <w:spacing w:after="0" w:line="360" w:lineRule="auto"/>
        <w:jc w:val="both"/>
        <w:rPr>
          <w:rFonts w:ascii="Times New Roman" w:eastAsia="Times New Roman" w:hAnsi="Times New Roman" w:cs="Times New Roman"/>
          <w:sz w:val="24"/>
          <w:szCs w:val="24"/>
          <w:lang w:eastAsia="sv-SE"/>
        </w:rPr>
      </w:pPr>
    </w:p>
    <w:p w14:paraId="495029DC" w14:textId="63138396" w:rsidR="005517AE" w:rsidRPr="00963259" w:rsidRDefault="005517AE" w:rsidP="00B05407">
      <w:pPr>
        <w:spacing w:line="360" w:lineRule="auto"/>
        <w:jc w:val="both"/>
        <w:rPr>
          <w:rFonts w:ascii="Times New Roman" w:hAnsi="Times New Roman" w:cs="Times New Roman"/>
          <w:sz w:val="24"/>
          <w:szCs w:val="24"/>
        </w:rPr>
      </w:pPr>
      <w:r w:rsidRPr="00963259">
        <w:rPr>
          <w:rFonts w:ascii="Times New Roman" w:hAnsi="Times New Roman" w:cs="Times New Roman"/>
          <w:sz w:val="24"/>
          <w:szCs w:val="24"/>
        </w:rPr>
        <w:t xml:space="preserve">Shvarts, </w:t>
      </w:r>
      <w:proofErr w:type="gramStart"/>
      <w:r w:rsidRPr="00963259">
        <w:rPr>
          <w:rFonts w:ascii="Times New Roman" w:hAnsi="Times New Roman" w:cs="Times New Roman"/>
          <w:sz w:val="24"/>
          <w:szCs w:val="24"/>
        </w:rPr>
        <w:t>A.</w:t>
      </w:r>
      <w:proofErr w:type="gramEnd"/>
      <w:r w:rsidRPr="00963259">
        <w:rPr>
          <w:rFonts w:ascii="Times New Roman" w:hAnsi="Times New Roman" w:cs="Times New Roman"/>
          <w:sz w:val="24"/>
          <w:szCs w:val="24"/>
        </w:rPr>
        <w:t xml:space="preserve"> and Bakker, A. (2019) ‘The early history of the scaffolding metaphor: Bernstein, Luria, Vygotsky, and before’, </w:t>
      </w:r>
      <w:r w:rsidRPr="00963259">
        <w:rPr>
          <w:rFonts w:ascii="Times New Roman" w:hAnsi="Times New Roman" w:cs="Times New Roman"/>
          <w:i/>
          <w:iCs/>
          <w:sz w:val="24"/>
          <w:szCs w:val="24"/>
        </w:rPr>
        <w:t>Mind, Culture, and Activity</w:t>
      </w:r>
      <w:r w:rsidRPr="00963259">
        <w:rPr>
          <w:rFonts w:ascii="Times New Roman" w:hAnsi="Times New Roman" w:cs="Times New Roman"/>
          <w:sz w:val="24"/>
          <w:szCs w:val="24"/>
        </w:rPr>
        <w:t>, 26(1), pp. 4–23. doi: 10.1080/10749039.2019.1574306.</w:t>
      </w:r>
    </w:p>
    <w:p w14:paraId="0A6B4032" w14:textId="66A626B0" w:rsidR="00BF484B" w:rsidRPr="00963259" w:rsidRDefault="00B671F0" w:rsidP="00B05407">
      <w:pPr>
        <w:spacing w:line="360" w:lineRule="auto"/>
        <w:jc w:val="both"/>
        <w:rPr>
          <w:rFonts w:ascii="Times New Roman" w:hAnsi="Times New Roman" w:cs="Times New Roman"/>
          <w:sz w:val="24"/>
          <w:szCs w:val="24"/>
        </w:rPr>
      </w:pPr>
      <w:r w:rsidRPr="009D3F42">
        <w:rPr>
          <w:rFonts w:ascii="Times New Roman" w:hAnsi="Times New Roman" w:cs="Times New Roman"/>
          <w:sz w:val="24"/>
          <w:szCs w:val="24"/>
          <w:lang w:val="sv-SE"/>
        </w:rPr>
        <w:t>Skolverket.se. (2025). </w:t>
      </w:r>
      <w:r w:rsidRPr="009D3F42">
        <w:rPr>
          <w:rFonts w:ascii="Times New Roman" w:hAnsi="Times New Roman" w:cs="Times New Roman"/>
          <w:i/>
          <w:iCs/>
          <w:sz w:val="24"/>
          <w:szCs w:val="24"/>
          <w:lang w:val="sv-SE"/>
        </w:rPr>
        <w:t>Läroplan (Lgr22) för grundskolan samt för förskoleklassen och fritidshemmet</w:t>
      </w:r>
      <w:r w:rsidRPr="009D3F42">
        <w:rPr>
          <w:rFonts w:ascii="Times New Roman" w:hAnsi="Times New Roman" w:cs="Times New Roman"/>
          <w:sz w:val="24"/>
          <w:szCs w:val="24"/>
          <w:lang w:val="sv-SE"/>
        </w:rPr>
        <w:t xml:space="preserve">. </w:t>
      </w:r>
      <w:r w:rsidRPr="00963259">
        <w:rPr>
          <w:rFonts w:ascii="Times New Roman" w:hAnsi="Times New Roman" w:cs="Times New Roman"/>
          <w:sz w:val="24"/>
          <w:szCs w:val="24"/>
        </w:rPr>
        <w:t xml:space="preserve">[online] Available at: </w:t>
      </w:r>
      <w:hyperlink r:id="rId41" w:anchor="/curriculums/LGR22?schoolType=GR&amp;tosHeading=Kursplaner" w:history="1">
        <w:r w:rsidR="00AD4493" w:rsidRPr="00963259">
          <w:rPr>
            <w:rStyle w:val="Hyperlnk"/>
            <w:rFonts w:ascii="Times New Roman" w:hAnsi="Times New Roman" w:cs="Times New Roman"/>
            <w:sz w:val="24"/>
            <w:szCs w:val="24"/>
          </w:rPr>
          <w:t>https://www.skolverket.se/undervisning/grundskolan/laroplan-lgr22-for-grundskolan-samt-for-forskoleklassen-och-fritidshemmet#/curriculums/LGR22?schoolType=GR&amp;tosHeading=Kursplaner</w:t>
        </w:r>
      </w:hyperlink>
      <w:r w:rsidRPr="00963259">
        <w:rPr>
          <w:rFonts w:ascii="Times New Roman" w:hAnsi="Times New Roman" w:cs="Times New Roman"/>
          <w:sz w:val="24"/>
          <w:szCs w:val="24"/>
        </w:rPr>
        <w:t>.</w:t>
      </w:r>
    </w:p>
    <w:p w14:paraId="6FB7EF1C" w14:textId="2ED84580" w:rsidR="00A77DDC" w:rsidRPr="009D3F42" w:rsidRDefault="00A77DDC" w:rsidP="00B05407">
      <w:pPr>
        <w:spacing w:line="360" w:lineRule="auto"/>
        <w:jc w:val="both"/>
        <w:rPr>
          <w:rFonts w:ascii="Times New Roman" w:hAnsi="Times New Roman" w:cs="Times New Roman"/>
          <w:sz w:val="24"/>
          <w:szCs w:val="24"/>
          <w:lang w:val="sv-SE"/>
        </w:rPr>
      </w:pPr>
      <w:r w:rsidRPr="009D3F42">
        <w:rPr>
          <w:rFonts w:ascii="Times New Roman" w:hAnsi="Times New Roman" w:cs="Times New Roman"/>
          <w:sz w:val="24"/>
          <w:szCs w:val="24"/>
          <w:lang w:val="sv-SE"/>
        </w:rPr>
        <w:t>Sveriges Riksdag (2010) </w:t>
      </w:r>
      <w:r w:rsidRPr="009D3F42">
        <w:rPr>
          <w:rFonts w:ascii="Times New Roman" w:hAnsi="Times New Roman" w:cs="Times New Roman"/>
          <w:i/>
          <w:iCs/>
          <w:sz w:val="24"/>
          <w:szCs w:val="24"/>
          <w:lang w:val="sv-SE"/>
        </w:rPr>
        <w:t>Skollag (2010:800)</w:t>
      </w:r>
      <w:r w:rsidRPr="009D3F42">
        <w:rPr>
          <w:rFonts w:ascii="Times New Roman" w:hAnsi="Times New Roman" w:cs="Times New Roman"/>
          <w:sz w:val="24"/>
          <w:szCs w:val="24"/>
          <w:lang w:val="sv-SE"/>
        </w:rPr>
        <w:t>, </w:t>
      </w:r>
      <w:r w:rsidRPr="009D3F42">
        <w:rPr>
          <w:rFonts w:ascii="Times New Roman" w:hAnsi="Times New Roman" w:cs="Times New Roman"/>
          <w:i/>
          <w:iCs/>
          <w:sz w:val="24"/>
          <w:szCs w:val="24"/>
          <w:lang w:val="sv-SE"/>
        </w:rPr>
        <w:t>www.riksdagen.se</w:t>
      </w:r>
      <w:r w:rsidRPr="009D3F42">
        <w:rPr>
          <w:rFonts w:ascii="Times New Roman" w:hAnsi="Times New Roman" w:cs="Times New Roman"/>
          <w:sz w:val="24"/>
          <w:szCs w:val="24"/>
          <w:lang w:val="sv-SE"/>
        </w:rPr>
        <w:t xml:space="preserve">. Available at: </w:t>
      </w:r>
      <w:hyperlink r:id="rId42" w:history="1">
        <w:r w:rsidRPr="009D3F42">
          <w:rPr>
            <w:rStyle w:val="Hyperlnk"/>
            <w:rFonts w:ascii="Times New Roman" w:hAnsi="Times New Roman" w:cs="Times New Roman"/>
            <w:sz w:val="24"/>
            <w:szCs w:val="24"/>
            <w:lang w:val="sv-SE"/>
          </w:rPr>
          <w:t>https://www.riksdagen.se/sv/dokument-och-lagar/dokument/svensk-forfattningssamling/skollag-2010800_sfs-2010-800/</w:t>
        </w:r>
      </w:hyperlink>
      <w:r w:rsidRPr="009D3F42">
        <w:rPr>
          <w:rFonts w:ascii="Times New Roman" w:hAnsi="Times New Roman" w:cs="Times New Roman"/>
          <w:sz w:val="24"/>
          <w:szCs w:val="24"/>
          <w:lang w:val="sv-SE"/>
        </w:rPr>
        <w:t>.</w:t>
      </w:r>
    </w:p>
    <w:p w14:paraId="3746B1E3" w14:textId="3F9CAF28" w:rsidR="00A77DDC" w:rsidRPr="00963259" w:rsidRDefault="00750971" w:rsidP="00B05407">
      <w:pPr>
        <w:spacing w:after="0" w:line="360" w:lineRule="auto"/>
        <w:jc w:val="both"/>
        <w:rPr>
          <w:rFonts w:ascii="Times New Roman" w:eastAsia="Times New Roman" w:hAnsi="Times New Roman" w:cs="Times New Roman"/>
          <w:sz w:val="24"/>
          <w:szCs w:val="24"/>
          <w:lang w:eastAsia="sv-SE"/>
        </w:rPr>
      </w:pPr>
      <w:r w:rsidRPr="00963259">
        <w:rPr>
          <w:rFonts w:ascii="Times New Roman" w:eastAsia="Times New Roman" w:hAnsi="Times New Roman" w:cs="Times New Roman"/>
          <w:sz w:val="24"/>
          <w:szCs w:val="24"/>
          <w:lang w:eastAsia="sv-SE"/>
        </w:rPr>
        <w:t xml:space="preserve">Tan, L., Kocsis, A. and Burry, J. (2023) “Advancing Donald Schön’s Reflective Practitioner : Where to Next?,” </w:t>
      </w:r>
      <w:r w:rsidRPr="00963259">
        <w:rPr>
          <w:rFonts w:ascii="Times New Roman" w:eastAsia="Times New Roman" w:hAnsi="Times New Roman" w:cs="Times New Roman"/>
          <w:i/>
          <w:iCs/>
          <w:sz w:val="24"/>
          <w:szCs w:val="24"/>
          <w:lang w:eastAsia="sv-SE"/>
        </w:rPr>
        <w:t>Design issues</w:t>
      </w:r>
      <w:r w:rsidRPr="00963259">
        <w:rPr>
          <w:rFonts w:ascii="Times New Roman" w:eastAsia="Times New Roman" w:hAnsi="Times New Roman" w:cs="Times New Roman"/>
          <w:sz w:val="24"/>
          <w:szCs w:val="24"/>
          <w:lang w:eastAsia="sv-SE"/>
        </w:rPr>
        <w:t xml:space="preserve">, 39(3), pp. 3–18. Available at: </w:t>
      </w:r>
      <w:hyperlink r:id="rId43" w:history="1">
        <w:r w:rsidRPr="00963259">
          <w:rPr>
            <w:rStyle w:val="Hyperlnk"/>
            <w:rFonts w:ascii="Times New Roman" w:eastAsia="Times New Roman" w:hAnsi="Times New Roman" w:cs="Times New Roman"/>
            <w:sz w:val="24"/>
            <w:szCs w:val="24"/>
            <w:lang w:eastAsia="sv-SE"/>
          </w:rPr>
          <w:t>https://doi.org/10.1162/desi_a_00722</w:t>
        </w:r>
      </w:hyperlink>
      <w:r w:rsidRPr="00963259">
        <w:rPr>
          <w:rFonts w:ascii="Times New Roman" w:eastAsia="Times New Roman" w:hAnsi="Times New Roman" w:cs="Times New Roman"/>
          <w:sz w:val="24"/>
          <w:szCs w:val="24"/>
          <w:lang w:eastAsia="sv-SE"/>
        </w:rPr>
        <w:t>.</w:t>
      </w:r>
    </w:p>
    <w:p w14:paraId="6DB7879F" w14:textId="77777777" w:rsidR="007519EC" w:rsidRPr="00963259" w:rsidRDefault="007519EC" w:rsidP="00B05407">
      <w:pPr>
        <w:spacing w:after="0" w:line="360" w:lineRule="auto"/>
        <w:jc w:val="both"/>
        <w:rPr>
          <w:rFonts w:ascii="Times New Roman" w:eastAsia="Times New Roman" w:hAnsi="Times New Roman" w:cs="Times New Roman"/>
          <w:sz w:val="24"/>
          <w:szCs w:val="24"/>
          <w:lang w:eastAsia="sv-SE"/>
        </w:rPr>
      </w:pPr>
    </w:p>
    <w:p w14:paraId="2EED1B74" w14:textId="51A0636D" w:rsidR="00800383" w:rsidRPr="00963259" w:rsidRDefault="00800383" w:rsidP="00B05407">
      <w:pPr>
        <w:spacing w:after="0" w:line="360" w:lineRule="auto"/>
        <w:jc w:val="both"/>
        <w:rPr>
          <w:rFonts w:ascii="Times New Roman" w:eastAsia="Times New Roman" w:hAnsi="Times New Roman" w:cs="Times New Roman"/>
          <w:sz w:val="24"/>
          <w:szCs w:val="24"/>
          <w:lang w:eastAsia="sv-SE"/>
        </w:rPr>
      </w:pPr>
      <w:r w:rsidRPr="00963259">
        <w:rPr>
          <w:rFonts w:ascii="Times New Roman" w:eastAsia="Times New Roman" w:hAnsi="Times New Roman" w:cs="Times New Roman"/>
          <w:sz w:val="24"/>
          <w:szCs w:val="24"/>
          <w:lang w:eastAsia="sv-SE"/>
        </w:rPr>
        <w:t xml:space="preserve">Theelen, H., Canisius, E. and Lambert, G. (2025) “The Relationship Between Instructional Strategies and Cognitive Activation in Higher Education: A Student Perspective,” </w:t>
      </w:r>
      <w:r w:rsidRPr="00963259">
        <w:rPr>
          <w:rFonts w:ascii="Times New Roman" w:eastAsia="Times New Roman" w:hAnsi="Times New Roman" w:cs="Times New Roman"/>
          <w:i/>
          <w:iCs/>
          <w:sz w:val="24"/>
          <w:szCs w:val="24"/>
          <w:lang w:eastAsia="sv-SE"/>
        </w:rPr>
        <w:t>Active learning in higher education</w:t>
      </w:r>
      <w:r w:rsidRPr="00963259">
        <w:rPr>
          <w:rFonts w:ascii="Times New Roman" w:eastAsia="Times New Roman" w:hAnsi="Times New Roman" w:cs="Times New Roman"/>
          <w:sz w:val="24"/>
          <w:szCs w:val="24"/>
          <w:lang w:eastAsia="sv-SE"/>
        </w:rPr>
        <w:t xml:space="preserve">, 26(3), pp. 521–541. Available at: </w:t>
      </w:r>
      <w:hyperlink r:id="rId44" w:history="1">
        <w:r w:rsidRPr="00963259">
          <w:rPr>
            <w:rStyle w:val="Hyperlnk"/>
            <w:rFonts w:ascii="Times New Roman" w:eastAsia="Times New Roman" w:hAnsi="Times New Roman" w:cs="Times New Roman"/>
            <w:sz w:val="24"/>
            <w:szCs w:val="24"/>
            <w:lang w:eastAsia="sv-SE"/>
          </w:rPr>
          <w:t>https://doi.org/10.1177/14697874251356242</w:t>
        </w:r>
      </w:hyperlink>
      <w:r w:rsidRPr="00963259">
        <w:rPr>
          <w:rFonts w:ascii="Times New Roman" w:eastAsia="Times New Roman" w:hAnsi="Times New Roman" w:cs="Times New Roman"/>
          <w:sz w:val="24"/>
          <w:szCs w:val="24"/>
          <w:lang w:eastAsia="sv-SE"/>
        </w:rPr>
        <w:t>.</w:t>
      </w:r>
    </w:p>
    <w:p w14:paraId="437975D5" w14:textId="77777777" w:rsidR="00800383" w:rsidRPr="00963259" w:rsidRDefault="00800383" w:rsidP="00B05407">
      <w:pPr>
        <w:spacing w:after="0" w:line="360" w:lineRule="auto"/>
        <w:jc w:val="both"/>
        <w:rPr>
          <w:rFonts w:ascii="Times New Roman" w:eastAsia="Times New Roman" w:hAnsi="Times New Roman" w:cs="Times New Roman"/>
          <w:sz w:val="24"/>
          <w:szCs w:val="24"/>
          <w:lang w:eastAsia="sv-SE"/>
        </w:rPr>
      </w:pPr>
    </w:p>
    <w:p w14:paraId="642EE71C" w14:textId="1F2AAE9D" w:rsidR="00E41EBB" w:rsidRPr="00963259" w:rsidRDefault="00E41EBB" w:rsidP="00B05407">
      <w:pPr>
        <w:spacing w:after="0" w:line="360" w:lineRule="auto"/>
        <w:jc w:val="both"/>
        <w:rPr>
          <w:rFonts w:ascii="Times New Roman" w:eastAsia="Times New Roman" w:hAnsi="Times New Roman" w:cs="Times New Roman"/>
          <w:sz w:val="24"/>
          <w:szCs w:val="24"/>
          <w:lang w:eastAsia="sv-SE"/>
        </w:rPr>
      </w:pPr>
      <w:r w:rsidRPr="00963259">
        <w:rPr>
          <w:rFonts w:ascii="Times New Roman" w:eastAsia="Times New Roman" w:hAnsi="Times New Roman" w:cs="Times New Roman"/>
          <w:sz w:val="24"/>
          <w:szCs w:val="24"/>
          <w:lang w:eastAsia="sv-SE"/>
        </w:rPr>
        <w:t xml:space="preserve">Utami, A.D. and Yus, A. (2025) “Interpreting Vygotsky’s zone of proximal development in the context of children’s learning through play,” </w:t>
      </w:r>
      <w:r w:rsidRPr="00963259">
        <w:rPr>
          <w:rFonts w:ascii="Times New Roman" w:eastAsia="Times New Roman" w:hAnsi="Times New Roman" w:cs="Times New Roman"/>
          <w:i/>
          <w:iCs/>
          <w:sz w:val="24"/>
          <w:szCs w:val="24"/>
          <w:lang w:eastAsia="sv-SE"/>
        </w:rPr>
        <w:t>Journal of early childhood teacher education</w:t>
      </w:r>
      <w:r w:rsidRPr="00963259">
        <w:rPr>
          <w:rFonts w:ascii="Times New Roman" w:eastAsia="Times New Roman" w:hAnsi="Times New Roman" w:cs="Times New Roman"/>
          <w:sz w:val="24"/>
          <w:szCs w:val="24"/>
          <w:lang w:eastAsia="sv-SE"/>
        </w:rPr>
        <w:t xml:space="preserve">, pp. 1–14. Available at: </w:t>
      </w:r>
      <w:hyperlink r:id="rId45" w:history="1">
        <w:r w:rsidRPr="00963259">
          <w:rPr>
            <w:rStyle w:val="Hyperlnk"/>
            <w:rFonts w:ascii="Times New Roman" w:eastAsia="Times New Roman" w:hAnsi="Times New Roman" w:cs="Times New Roman"/>
            <w:sz w:val="24"/>
            <w:szCs w:val="24"/>
            <w:lang w:eastAsia="sv-SE"/>
          </w:rPr>
          <w:t>https://doi.org/10.1080/10901027.2025.2591098</w:t>
        </w:r>
      </w:hyperlink>
      <w:r w:rsidRPr="00963259">
        <w:rPr>
          <w:rFonts w:ascii="Times New Roman" w:eastAsia="Times New Roman" w:hAnsi="Times New Roman" w:cs="Times New Roman"/>
          <w:sz w:val="24"/>
          <w:szCs w:val="24"/>
          <w:lang w:eastAsia="sv-SE"/>
        </w:rPr>
        <w:t>.</w:t>
      </w:r>
    </w:p>
    <w:p w14:paraId="1D16A0BC" w14:textId="77777777" w:rsidR="0039568B" w:rsidRDefault="0039568B" w:rsidP="00B05407">
      <w:pPr>
        <w:spacing w:after="0" w:line="360" w:lineRule="auto"/>
        <w:jc w:val="both"/>
        <w:rPr>
          <w:rFonts w:ascii="Times New Roman" w:eastAsia="Times New Roman" w:hAnsi="Times New Roman" w:cs="Times New Roman"/>
          <w:sz w:val="24"/>
          <w:szCs w:val="24"/>
          <w:lang w:eastAsia="sv-SE"/>
        </w:rPr>
      </w:pPr>
    </w:p>
    <w:p w14:paraId="5DDA7A98" w14:textId="2AC7AF66" w:rsidR="007F2243" w:rsidRPr="00AE1D12" w:rsidRDefault="007F2243" w:rsidP="007F2243">
      <w:pPr>
        <w:spacing w:after="0" w:line="240" w:lineRule="auto"/>
        <w:rPr>
          <w:rFonts w:ascii="Times New Roman" w:eastAsia="Times New Roman" w:hAnsi="Times New Roman" w:cs="Times New Roman"/>
          <w:sz w:val="24"/>
          <w:szCs w:val="24"/>
          <w:lang w:eastAsia="sv-SE"/>
        </w:rPr>
      </w:pPr>
      <w:r w:rsidRPr="007F2243">
        <w:rPr>
          <w:rFonts w:ascii="Times New Roman" w:eastAsia="Times New Roman" w:hAnsi="Times New Roman" w:cs="Times New Roman"/>
          <w:sz w:val="24"/>
          <w:szCs w:val="24"/>
          <w:lang w:eastAsia="sv-SE"/>
        </w:rPr>
        <w:t xml:space="preserve">Vakili, S. and Ebadi, S. (2019) “Investigating contextual effects on Iranian EFL learners` mediation and reciprocity in academic writing,” </w:t>
      </w:r>
      <w:r w:rsidRPr="007F2243">
        <w:rPr>
          <w:rFonts w:ascii="Times New Roman" w:eastAsia="Times New Roman" w:hAnsi="Times New Roman" w:cs="Times New Roman"/>
          <w:i/>
          <w:iCs/>
          <w:sz w:val="24"/>
          <w:szCs w:val="24"/>
          <w:lang w:eastAsia="sv-SE"/>
        </w:rPr>
        <w:t>Cogent education</w:t>
      </w:r>
      <w:r w:rsidRPr="007F2243">
        <w:rPr>
          <w:rFonts w:ascii="Times New Roman" w:eastAsia="Times New Roman" w:hAnsi="Times New Roman" w:cs="Times New Roman"/>
          <w:sz w:val="24"/>
          <w:szCs w:val="24"/>
          <w:lang w:eastAsia="sv-SE"/>
        </w:rPr>
        <w:t xml:space="preserve">, 6(1). Available at: </w:t>
      </w:r>
      <w:hyperlink r:id="rId46" w:history="1">
        <w:r w:rsidR="00AE1D12" w:rsidRPr="007F2243">
          <w:rPr>
            <w:rStyle w:val="Hyperlnk"/>
            <w:rFonts w:ascii="Times New Roman" w:eastAsia="Times New Roman" w:hAnsi="Times New Roman" w:cs="Times New Roman"/>
            <w:sz w:val="24"/>
            <w:szCs w:val="24"/>
            <w:lang w:eastAsia="sv-SE"/>
          </w:rPr>
          <w:t>https://doi.org/10.1080/2331186X.2019.1571289</w:t>
        </w:r>
      </w:hyperlink>
      <w:r w:rsidRPr="007F2243">
        <w:rPr>
          <w:rFonts w:ascii="Times New Roman" w:eastAsia="Times New Roman" w:hAnsi="Times New Roman" w:cs="Times New Roman"/>
          <w:sz w:val="24"/>
          <w:szCs w:val="24"/>
          <w:lang w:eastAsia="sv-SE"/>
        </w:rPr>
        <w:t>.</w:t>
      </w:r>
    </w:p>
    <w:p w14:paraId="3625913D" w14:textId="77777777" w:rsidR="00AE1D12" w:rsidRPr="007F2243" w:rsidRDefault="00AE1D12" w:rsidP="007F2243">
      <w:pPr>
        <w:spacing w:after="0" w:line="240" w:lineRule="auto"/>
        <w:rPr>
          <w:rFonts w:ascii="Times New Roman" w:eastAsia="Times New Roman" w:hAnsi="Times New Roman" w:cs="Times New Roman"/>
          <w:sz w:val="24"/>
          <w:szCs w:val="24"/>
          <w:lang w:eastAsia="sv-SE"/>
        </w:rPr>
      </w:pPr>
    </w:p>
    <w:p w14:paraId="5E208FCE" w14:textId="77777777" w:rsidR="00A555AE" w:rsidRPr="00963259" w:rsidRDefault="00A555AE" w:rsidP="00B05407">
      <w:pPr>
        <w:spacing w:after="0" w:line="360" w:lineRule="auto"/>
        <w:jc w:val="both"/>
        <w:rPr>
          <w:rFonts w:ascii="Times New Roman" w:eastAsia="Times New Roman" w:hAnsi="Times New Roman" w:cs="Times New Roman"/>
          <w:sz w:val="24"/>
          <w:szCs w:val="24"/>
          <w:lang w:eastAsia="sv-SE"/>
        </w:rPr>
      </w:pPr>
    </w:p>
    <w:p w14:paraId="479B564D" w14:textId="6FC33277" w:rsidR="00D16D05" w:rsidRPr="00963259" w:rsidRDefault="00775B7A" w:rsidP="00B05407">
      <w:pPr>
        <w:spacing w:line="360" w:lineRule="auto"/>
        <w:jc w:val="both"/>
        <w:rPr>
          <w:rFonts w:ascii="Times New Roman" w:hAnsi="Times New Roman" w:cs="Times New Roman"/>
          <w:sz w:val="24"/>
          <w:szCs w:val="24"/>
        </w:rPr>
      </w:pPr>
      <w:r w:rsidRPr="000551CF">
        <w:rPr>
          <w:rFonts w:ascii="Times New Roman" w:hAnsi="Times New Roman" w:cs="Times New Roman"/>
          <w:sz w:val="24"/>
          <w:szCs w:val="24"/>
        </w:rPr>
        <w:lastRenderedPageBreak/>
        <w:t>v</w:t>
      </w:r>
      <w:r w:rsidR="003D04C4" w:rsidRPr="000551CF">
        <w:rPr>
          <w:rFonts w:ascii="Times New Roman" w:hAnsi="Times New Roman" w:cs="Times New Roman"/>
          <w:sz w:val="24"/>
          <w:szCs w:val="24"/>
        </w:rPr>
        <w:t xml:space="preserve">an de Pol, J., Mercer, N., &amp; Volman, M. (2019). </w:t>
      </w:r>
      <w:r w:rsidR="003D04C4" w:rsidRPr="00963259">
        <w:rPr>
          <w:rFonts w:ascii="Times New Roman" w:hAnsi="Times New Roman" w:cs="Times New Roman"/>
          <w:sz w:val="24"/>
          <w:szCs w:val="24"/>
        </w:rPr>
        <w:t>Scaffolding Student Understanding in Small-Group Work: Students’ Uptake of Teacher Support in Subsequent Small-Group Interaction. </w:t>
      </w:r>
      <w:r w:rsidR="003D04C4" w:rsidRPr="00963259">
        <w:rPr>
          <w:rFonts w:ascii="Times New Roman" w:hAnsi="Times New Roman" w:cs="Times New Roman"/>
          <w:i/>
          <w:iCs/>
          <w:sz w:val="24"/>
          <w:szCs w:val="24"/>
        </w:rPr>
        <w:t>Journal of the Learning Sciences</w:t>
      </w:r>
      <w:r w:rsidR="003D04C4" w:rsidRPr="00963259">
        <w:rPr>
          <w:rFonts w:ascii="Times New Roman" w:hAnsi="Times New Roman" w:cs="Times New Roman"/>
          <w:sz w:val="24"/>
          <w:szCs w:val="24"/>
        </w:rPr>
        <w:t>, </w:t>
      </w:r>
      <w:r w:rsidR="003D04C4" w:rsidRPr="00963259">
        <w:rPr>
          <w:rFonts w:ascii="Times New Roman" w:hAnsi="Times New Roman" w:cs="Times New Roman"/>
          <w:i/>
          <w:iCs/>
          <w:sz w:val="24"/>
          <w:szCs w:val="24"/>
        </w:rPr>
        <w:t>28</w:t>
      </w:r>
      <w:r w:rsidR="003D04C4" w:rsidRPr="00963259">
        <w:rPr>
          <w:rFonts w:ascii="Times New Roman" w:hAnsi="Times New Roman" w:cs="Times New Roman"/>
          <w:sz w:val="24"/>
          <w:szCs w:val="24"/>
        </w:rPr>
        <w:t xml:space="preserve">(2), 206–239. </w:t>
      </w:r>
      <w:hyperlink r:id="rId47" w:history="1">
        <w:r w:rsidR="00C11C74" w:rsidRPr="00963259">
          <w:rPr>
            <w:rStyle w:val="Hyperlnk"/>
            <w:rFonts w:ascii="Times New Roman" w:hAnsi="Times New Roman" w:cs="Times New Roman"/>
            <w:sz w:val="24"/>
            <w:szCs w:val="24"/>
          </w:rPr>
          <w:t>https://doi.org/10.1080/10508406.2018.1522258</w:t>
        </w:r>
      </w:hyperlink>
    </w:p>
    <w:p w14:paraId="1FEC8B3E" w14:textId="71289E09" w:rsidR="00E72DDD" w:rsidRPr="00963259" w:rsidRDefault="00E72DDD" w:rsidP="00B05407">
      <w:pPr>
        <w:spacing w:line="360" w:lineRule="auto"/>
        <w:jc w:val="both"/>
        <w:rPr>
          <w:rFonts w:ascii="Times New Roman" w:hAnsi="Times New Roman" w:cs="Times New Roman"/>
          <w:sz w:val="24"/>
          <w:szCs w:val="24"/>
        </w:rPr>
      </w:pPr>
      <w:r w:rsidRPr="00963259">
        <w:rPr>
          <w:rFonts w:ascii="Times New Roman" w:hAnsi="Times New Roman" w:cs="Times New Roman"/>
          <w:sz w:val="24"/>
          <w:szCs w:val="24"/>
        </w:rPr>
        <w:t xml:space="preserve">Wang, Z. </w:t>
      </w:r>
      <w:r w:rsidRPr="00963259">
        <w:rPr>
          <w:rFonts w:ascii="Times New Roman" w:hAnsi="Times New Roman" w:cs="Times New Roman"/>
          <w:i/>
          <w:iCs/>
          <w:sz w:val="24"/>
          <w:szCs w:val="24"/>
        </w:rPr>
        <w:t>et al.</w:t>
      </w:r>
      <w:r w:rsidRPr="00963259">
        <w:rPr>
          <w:rFonts w:ascii="Times New Roman" w:hAnsi="Times New Roman" w:cs="Times New Roman"/>
          <w:sz w:val="24"/>
          <w:szCs w:val="24"/>
        </w:rPr>
        <w:t xml:space="preserve"> (2021) “Technological Solutions for Sustainable Development: Effects of a Visual Prompt Scaffolding-Based Virtual Reality Approach on EFL Learners’ Reading Comprehension, Learning Attitude, Motivation, and Anxiety,” </w:t>
      </w:r>
      <w:r w:rsidRPr="00963259">
        <w:rPr>
          <w:rFonts w:ascii="Times New Roman" w:hAnsi="Times New Roman" w:cs="Times New Roman"/>
          <w:i/>
          <w:iCs/>
          <w:sz w:val="24"/>
          <w:szCs w:val="24"/>
        </w:rPr>
        <w:t>Sustainability</w:t>
      </w:r>
      <w:r w:rsidRPr="00963259">
        <w:rPr>
          <w:rFonts w:ascii="Times New Roman" w:hAnsi="Times New Roman" w:cs="Times New Roman"/>
          <w:sz w:val="24"/>
          <w:szCs w:val="24"/>
        </w:rPr>
        <w:t xml:space="preserve">, 13(24), p. 13977. Available at: </w:t>
      </w:r>
      <w:hyperlink r:id="rId48" w:history="1">
        <w:r w:rsidRPr="00963259">
          <w:rPr>
            <w:rStyle w:val="Hyperlnk"/>
            <w:rFonts w:ascii="Times New Roman" w:hAnsi="Times New Roman" w:cs="Times New Roman"/>
            <w:sz w:val="24"/>
            <w:szCs w:val="24"/>
          </w:rPr>
          <w:t>https://doi.org/10.3390/su132413977</w:t>
        </w:r>
      </w:hyperlink>
      <w:r w:rsidRPr="00963259">
        <w:rPr>
          <w:rFonts w:ascii="Times New Roman" w:hAnsi="Times New Roman" w:cs="Times New Roman"/>
          <w:sz w:val="24"/>
          <w:szCs w:val="24"/>
        </w:rPr>
        <w:t>.</w:t>
      </w:r>
    </w:p>
    <w:p w14:paraId="6C989461" w14:textId="6E9C0E4B" w:rsidR="00D23B8E" w:rsidRPr="00963259" w:rsidRDefault="00D23B8E" w:rsidP="00B05407">
      <w:pPr>
        <w:spacing w:after="0" w:line="360" w:lineRule="auto"/>
        <w:jc w:val="both"/>
        <w:rPr>
          <w:rFonts w:ascii="Times New Roman" w:eastAsia="Times New Roman" w:hAnsi="Times New Roman" w:cs="Times New Roman"/>
          <w:sz w:val="24"/>
          <w:szCs w:val="24"/>
          <w:lang w:eastAsia="sv-SE"/>
        </w:rPr>
      </w:pPr>
      <w:r w:rsidRPr="00963259">
        <w:rPr>
          <w:rFonts w:ascii="Times New Roman" w:eastAsia="Times New Roman" w:hAnsi="Times New Roman" w:cs="Times New Roman"/>
          <w:sz w:val="24"/>
          <w:szCs w:val="24"/>
          <w:lang w:eastAsia="sv-SE"/>
        </w:rPr>
        <w:t xml:space="preserve">Wilson, J. (2022) “Initial Steps in Developing Classroom Observation Rubrics Designed Around Instructional Practices that Support Equity and Access in Classrooms with Potential for ‘Success,’” </w:t>
      </w:r>
      <w:r w:rsidRPr="00963259">
        <w:rPr>
          <w:rFonts w:ascii="Times New Roman" w:eastAsia="Times New Roman" w:hAnsi="Times New Roman" w:cs="Times New Roman"/>
          <w:i/>
          <w:iCs/>
          <w:sz w:val="24"/>
          <w:szCs w:val="24"/>
          <w:lang w:eastAsia="sv-SE"/>
        </w:rPr>
        <w:t>Teachers College record (1970)</w:t>
      </w:r>
      <w:r w:rsidRPr="00963259">
        <w:rPr>
          <w:rFonts w:ascii="Times New Roman" w:eastAsia="Times New Roman" w:hAnsi="Times New Roman" w:cs="Times New Roman"/>
          <w:sz w:val="24"/>
          <w:szCs w:val="24"/>
          <w:lang w:eastAsia="sv-SE"/>
        </w:rPr>
        <w:t xml:space="preserve">, 124(11), pp. 179–217. Available at: </w:t>
      </w:r>
      <w:hyperlink r:id="rId49" w:history="1">
        <w:r w:rsidRPr="00963259">
          <w:rPr>
            <w:rStyle w:val="Hyperlnk"/>
            <w:rFonts w:ascii="Times New Roman" w:eastAsia="Times New Roman" w:hAnsi="Times New Roman" w:cs="Times New Roman"/>
            <w:sz w:val="24"/>
            <w:szCs w:val="24"/>
            <w:lang w:eastAsia="sv-SE"/>
          </w:rPr>
          <w:t>https://doi.org/10.1177/01614681221140963</w:t>
        </w:r>
      </w:hyperlink>
      <w:r w:rsidRPr="00963259">
        <w:rPr>
          <w:rFonts w:ascii="Times New Roman" w:eastAsia="Times New Roman" w:hAnsi="Times New Roman" w:cs="Times New Roman"/>
          <w:sz w:val="24"/>
          <w:szCs w:val="24"/>
          <w:lang w:eastAsia="sv-SE"/>
        </w:rPr>
        <w:t>.</w:t>
      </w:r>
    </w:p>
    <w:p w14:paraId="5DCA0FE4" w14:textId="77777777" w:rsidR="00D23B8E" w:rsidRPr="00963259" w:rsidRDefault="00D23B8E" w:rsidP="00B05407">
      <w:pPr>
        <w:spacing w:line="360" w:lineRule="auto"/>
        <w:jc w:val="both"/>
        <w:rPr>
          <w:rFonts w:ascii="Times New Roman" w:hAnsi="Times New Roman" w:cs="Times New Roman"/>
          <w:sz w:val="24"/>
          <w:szCs w:val="24"/>
        </w:rPr>
      </w:pPr>
    </w:p>
    <w:p w14:paraId="32E69920" w14:textId="77777777" w:rsidR="004D11D6" w:rsidRPr="00963259" w:rsidRDefault="004D11D6" w:rsidP="00B05407">
      <w:pPr>
        <w:spacing w:after="0" w:line="360" w:lineRule="auto"/>
        <w:jc w:val="both"/>
        <w:rPr>
          <w:rFonts w:ascii="Times New Roman" w:eastAsia="Times New Roman" w:hAnsi="Times New Roman" w:cs="Times New Roman"/>
          <w:sz w:val="24"/>
          <w:szCs w:val="24"/>
          <w:lang w:eastAsia="sv-SE"/>
        </w:rPr>
      </w:pPr>
      <w:r w:rsidRPr="00963259">
        <w:rPr>
          <w:rFonts w:ascii="Times New Roman" w:eastAsia="Times New Roman" w:hAnsi="Times New Roman" w:cs="Times New Roman"/>
          <w:sz w:val="24"/>
          <w:szCs w:val="24"/>
          <w:lang w:eastAsia="sv-SE"/>
        </w:rPr>
        <w:t xml:space="preserve">Zahra Fakher Ajabshir and Fatemeh Panahifar (2020) “The Effect of Teachers’ Scaffolding and Peers’ Collaborative Dialogue on Speech Act Production in Symmetrical and Asymmetrical Groups,” </w:t>
      </w:r>
      <w:r w:rsidRPr="00963259">
        <w:rPr>
          <w:rFonts w:ascii="Times New Roman" w:eastAsia="Times New Roman" w:hAnsi="Times New Roman" w:cs="Times New Roman"/>
          <w:i/>
          <w:iCs/>
          <w:sz w:val="24"/>
          <w:szCs w:val="24"/>
          <w:lang w:eastAsia="sv-SE"/>
        </w:rPr>
        <w:t>Iranian Journal of Language Teaching Research</w:t>
      </w:r>
      <w:r w:rsidRPr="00963259">
        <w:rPr>
          <w:rFonts w:ascii="Times New Roman" w:eastAsia="Times New Roman" w:hAnsi="Times New Roman" w:cs="Times New Roman"/>
          <w:sz w:val="24"/>
          <w:szCs w:val="24"/>
          <w:lang w:eastAsia="sv-SE"/>
        </w:rPr>
        <w:t>, 8(1), pp. 45–61.</w:t>
      </w:r>
    </w:p>
    <w:p w14:paraId="399CA3A6" w14:textId="77777777" w:rsidR="004D11D6" w:rsidRPr="00963259" w:rsidRDefault="004D11D6" w:rsidP="00B05407">
      <w:pPr>
        <w:spacing w:line="360" w:lineRule="auto"/>
        <w:jc w:val="both"/>
        <w:rPr>
          <w:rFonts w:ascii="Times New Roman" w:hAnsi="Times New Roman" w:cs="Times New Roman"/>
          <w:sz w:val="24"/>
          <w:szCs w:val="24"/>
        </w:rPr>
      </w:pPr>
    </w:p>
    <w:p w14:paraId="694D4002" w14:textId="03E66AD2" w:rsidR="00BF484B" w:rsidRPr="00963259" w:rsidRDefault="00BF484B" w:rsidP="00B05407">
      <w:pPr>
        <w:spacing w:line="360" w:lineRule="auto"/>
        <w:jc w:val="both"/>
        <w:rPr>
          <w:rFonts w:ascii="Times New Roman" w:hAnsi="Times New Roman" w:cs="Times New Roman"/>
          <w:sz w:val="24"/>
          <w:szCs w:val="24"/>
        </w:rPr>
      </w:pPr>
      <w:r w:rsidRPr="00963259">
        <w:rPr>
          <w:rFonts w:ascii="Times New Roman" w:hAnsi="Times New Roman" w:cs="Times New Roman"/>
          <w:sz w:val="24"/>
          <w:szCs w:val="24"/>
        </w:rPr>
        <w:t>ÖZTURAN, T. and UYSAL GÜRDAL, H.H. (2022). Mediating Multilingual Immigrant Learners’ L2 Writing Through Interactive Dynamic Assessment. </w:t>
      </w:r>
      <w:r w:rsidRPr="00963259">
        <w:rPr>
          <w:rFonts w:ascii="Times New Roman" w:hAnsi="Times New Roman" w:cs="Times New Roman"/>
          <w:i/>
          <w:iCs/>
          <w:sz w:val="24"/>
          <w:szCs w:val="24"/>
        </w:rPr>
        <w:t>Kuramsal Eğitimbilim</w:t>
      </w:r>
      <w:r w:rsidRPr="00963259">
        <w:rPr>
          <w:rFonts w:ascii="Times New Roman" w:hAnsi="Times New Roman" w:cs="Times New Roman"/>
          <w:sz w:val="24"/>
          <w:szCs w:val="24"/>
        </w:rPr>
        <w:t xml:space="preserve">, 15(2), pp.307–326. doi: </w:t>
      </w:r>
      <w:hyperlink r:id="rId50" w:history="1">
        <w:r w:rsidRPr="00963259">
          <w:rPr>
            <w:rStyle w:val="Hyperlnk"/>
            <w:rFonts w:ascii="Times New Roman" w:hAnsi="Times New Roman" w:cs="Times New Roman"/>
            <w:sz w:val="24"/>
            <w:szCs w:val="24"/>
          </w:rPr>
          <w:t>https://doi.org/10.30831/akukeg.1004155</w:t>
        </w:r>
      </w:hyperlink>
      <w:r w:rsidRPr="00963259">
        <w:rPr>
          <w:rFonts w:ascii="Times New Roman" w:hAnsi="Times New Roman" w:cs="Times New Roman"/>
          <w:sz w:val="24"/>
          <w:szCs w:val="24"/>
        </w:rPr>
        <w:t>.</w:t>
      </w:r>
    </w:p>
    <w:p w14:paraId="677DA411" w14:textId="77777777" w:rsidR="00BF484B" w:rsidRPr="00963259" w:rsidRDefault="00BF484B" w:rsidP="00B05407">
      <w:pPr>
        <w:spacing w:line="360" w:lineRule="auto"/>
        <w:jc w:val="both"/>
        <w:rPr>
          <w:rFonts w:ascii="Times New Roman" w:hAnsi="Times New Roman" w:cs="Times New Roman"/>
          <w:sz w:val="24"/>
          <w:szCs w:val="24"/>
        </w:rPr>
      </w:pPr>
    </w:p>
    <w:p w14:paraId="65D74254" w14:textId="77777777" w:rsidR="00BF484B" w:rsidRPr="00963259" w:rsidRDefault="00BF484B" w:rsidP="00B05407">
      <w:pPr>
        <w:spacing w:line="360" w:lineRule="auto"/>
        <w:jc w:val="both"/>
        <w:rPr>
          <w:rFonts w:ascii="Times New Roman" w:hAnsi="Times New Roman" w:cs="Times New Roman"/>
          <w:sz w:val="24"/>
          <w:szCs w:val="24"/>
        </w:rPr>
      </w:pPr>
    </w:p>
    <w:p w14:paraId="661F1B86" w14:textId="330D2E88" w:rsidR="001763ED" w:rsidRPr="006D11AD" w:rsidRDefault="001763ED" w:rsidP="00B05407">
      <w:pPr>
        <w:spacing w:line="360" w:lineRule="auto"/>
        <w:jc w:val="both"/>
        <w:rPr>
          <w:rFonts w:ascii="Times New Roman" w:hAnsi="Times New Roman" w:cs="Times New Roman"/>
          <w:sz w:val="24"/>
          <w:szCs w:val="24"/>
        </w:rPr>
      </w:pPr>
    </w:p>
    <w:sectPr w:rsidR="001763ED" w:rsidRPr="006D11AD">
      <w:headerReference w:type="default" r:id="rId5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BD6615" w14:textId="77777777" w:rsidR="007A6CEE" w:rsidRDefault="007A6CEE" w:rsidP="00FA6783">
      <w:pPr>
        <w:spacing w:after="0" w:line="240" w:lineRule="auto"/>
      </w:pPr>
      <w:r>
        <w:separator/>
      </w:r>
    </w:p>
  </w:endnote>
  <w:endnote w:type="continuationSeparator" w:id="0">
    <w:p w14:paraId="367A5BD9" w14:textId="77777777" w:rsidR="007A6CEE" w:rsidRDefault="007A6CEE" w:rsidP="00FA67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2D4E9C" w14:textId="77777777" w:rsidR="007A6CEE" w:rsidRDefault="007A6CEE" w:rsidP="00FA6783">
      <w:pPr>
        <w:spacing w:after="0" w:line="240" w:lineRule="auto"/>
      </w:pPr>
      <w:r>
        <w:separator/>
      </w:r>
    </w:p>
  </w:footnote>
  <w:footnote w:type="continuationSeparator" w:id="0">
    <w:p w14:paraId="16816C22" w14:textId="77777777" w:rsidR="007A6CEE" w:rsidRDefault="007A6CEE" w:rsidP="00FA67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30346724"/>
      <w:docPartObj>
        <w:docPartGallery w:val="Page Numbers (Top of Page)"/>
        <w:docPartUnique/>
      </w:docPartObj>
    </w:sdtPr>
    <w:sdtContent>
      <w:p w14:paraId="04209153" w14:textId="11527DA6" w:rsidR="00DA2707" w:rsidRDefault="00DA2707">
        <w:pPr>
          <w:pStyle w:val="Sidhuvud"/>
          <w:jc w:val="right"/>
        </w:pPr>
        <w:r>
          <w:fldChar w:fldCharType="begin"/>
        </w:r>
        <w:r>
          <w:instrText>PAGE   \* MERGEFORMAT</w:instrText>
        </w:r>
        <w:r>
          <w:fldChar w:fldCharType="separate"/>
        </w:r>
        <w:r>
          <w:rPr>
            <w:lang w:val="sv-SE"/>
          </w:rPr>
          <w:t>2</w:t>
        </w:r>
        <w:r>
          <w:fldChar w:fldCharType="end"/>
        </w:r>
      </w:p>
    </w:sdtContent>
  </w:sdt>
  <w:p w14:paraId="3861F59F" w14:textId="77777777" w:rsidR="00DA2707" w:rsidRDefault="00DA2707">
    <w:pPr>
      <w:pStyle w:val="Sidhuvu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856AAD"/>
    <w:multiLevelType w:val="hybridMultilevel"/>
    <w:tmpl w:val="C3682196"/>
    <w:lvl w:ilvl="0" w:tplc="041D0017">
      <w:start w:val="1"/>
      <w:numFmt w:val="lowerLetter"/>
      <w:lvlText w:val="%1)"/>
      <w:lvlJc w:val="left"/>
      <w:pPr>
        <w:ind w:left="502"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 w15:restartNumberingAfterBreak="0">
    <w:nsid w:val="4AC9557E"/>
    <w:multiLevelType w:val="multilevel"/>
    <w:tmpl w:val="E8BE694E"/>
    <w:lvl w:ilvl="0">
      <w:start w:val="1"/>
      <w:numFmt w:val="decimal"/>
      <w:lvlText w:val="%1."/>
      <w:lvlJc w:val="left"/>
      <w:pPr>
        <w:tabs>
          <w:tab w:val="num" w:pos="644"/>
        </w:tabs>
        <w:ind w:left="644" w:hanging="360"/>
      </w:pPr>
      <w:rPr>
        <w:b w:val="0"/>
        <w:bCs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79791427">
    <w:abstractNumId w:val="1"/>
  </w:num>
  <w:num w:numId="2" w16cid:durableId="1091657216">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2"/>
  <w:proofState w:spelling="clean" w:grammar="clean"/>
  <w:defaultTabStop w:val="1304"/>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39AF"/>
    <w:rsid w:val="00000FE0"/>
    <w:rsid w:val="000013A8"/>
    <w:rsid w:val="0000318E"/>
    <w:rsid w:val="00004949"/>
    <w:rsid w:val="00004DE5"/>
    <w:rsid w:val="0000510A"/>
    <w:rsid w:val="00006603"/>
    <w:rsid w:val="000074A5"/>
    <w:rsid w:val="0001212E"/>
    <w:rsid w:val="00013FF8"/>
    <w:rsid w:val="00015127"/>
    <w:rsid w:val="00016D45"/>
    <w:rsid w:val="00016F63"/>
    <w:rsid w:val="000178F9"/>
    <w:rsid w:val="000206AD"/>
    <w:rsid w:val="000214D8"/>
    <w:rsid w:val="00024778"/>
    <w:rsid w:val="0002582B"/>
    <w:rsid w:val="0002633C"/>
    <w:rsid w:val="000275B1"/>
    <w:rsid w:val="00032DDA"/>
    <w:rsid w:val="000348D5"/>
    <w:rsid w:val="00034F82"/>
    <w:rsid w:val="00036AD1"/>
    <w:rsid w:val="000374FA"/>
    <w:rsid w:val="000400FE"/>
    <w:rsid w:val="00040D15"/>
    <w:rsid w:val="00053AA2"/>
    <w:rsid w:val="000551CF"/>
    <w:rsid w:val="00055A39"/>
    <w:rsid w:val="00056058"/>
    <w:rsid w:val="00057238"/>
    <w:rsid w:val="00060368"/>
    <w:rsid w:val="00060EF7"/>
    <w:rsid w:val="0006262E"/>
    <w:rsid w:val="00064DD4"/>
    <w:rsid w:val="000657BB"/>
    <w:rsid w:val="00065B6E"/>
    <w:rsid w:val="00065DEF"/>
    <w:rsid w:val="00065EEE"/>
    <w:rsid w:val="00070784"/>
    <w:rsid w:val="00073241"/>
    <w:rsid w:val="000739AF"/>
    <w:rsid w:val="00073BE7"/>
    <w:rsid w:val="0007428E"/>
    <w:rsid w:val="0007468B"/>
    <w:rsid w:val="000760E9"/>
    <w:rsid w:val="000766BB"/>
    <w:rsid w:val="00076A5B"/>
    <w:rsid w:val="00080618"/>
    <w:rsid w:val="00080AB9"/>
    <w:rsid w:val="00081215"/>
    <w:rsid w:val="00083E4E"/>
    <w:rsid w:val="0008493E"/>
    <w:rsid w:val="000860B7"/>
    <w:rsid w:val="00086892"/>
    <w:rsid w:val="00087953"/>
    <w:rsid w:val="000909F4"/>
    <w:rsid w:val="00092FDA"/>
    <w:rsid w:val="00093124"/>
    <w:rsid w:val="00093717"/>
    <w:rsid w:val="00094E5D"/>
    <w:rsid w:val="0009692B"/>
    <w:rsid w:val="000A2F31"/>
    <w:rsid w:val="000A33CD"/>
    <w:rsid w:val="000A3F46"/>
    <w:rsid w:val="000A4A29"/>
    <w:rsid w:val="000A70F3"/>
    <w:rsid w:val="000A7CD3"/>
    <w:rsid w:val="000B3AD7"/>
    <w:rsid w:val="000B6E67"/>
    <w:rsid w:val="000C0178"/>
    <w:rsid w:val="000C0EEF"/>
    <w:rsid w:val="000C1271"/>
    <w:rsid w:val="000C2404"/>
    <w:rsid w:val="000C2E22"/>
    <w:rsid w:val="000C5030"/>
    <w:rsid w:val="000C51AE"/>
    <w:rsid w:val="000C71AA"/>
    <w:rsid w:val="000D0833"/>
    <w:rsid w:val="000D17B5"/>
    <w:rsid w:val="000D417D"/>
    <w:rsid w:val="000D4AC8"/>
    <w:rsid w:val="000D5D7C"/>
    <w:rsid w:val="000D68AD"/>
    <w:rsid w:val="000D7066"/>
    <w:rsid w:val="000E401F"/>
    <w:rsid w:val="000E4597"/>
    <w:rsid w:val="000E4C2F"/>
    <w:rsid w:val="000E4F39"/>
    <w:rsid w:val="000E57E9"/>
    <w:rsid w:val="000E64D1"/>
    <w:rsid w:val="000E7BDF"/>
    <w:rsid w:val="000F02C9"/>
    <w:rsid w:val="000F06B9"/>
    <w:rsid w:val="000F1557"/>
    <w:rsid w:val="000F18C6"/>
    <w:rsid w:val="000F1CA7"/>
    <w:rsid w:val="000F2ED1"/>
    <w:rsid w:val="000F2F22"/>
    <w:rsid w:val="000F5BF8"/>
    <w:rsid w:val="000F6CB4"/>
    <w:rsid w:val="000F70A4"/>
    <w:rsid w:val="00100743"/>
    <w:rsid w:val="00100DD9"/>
    <w:rsid w:val="001015BF"/>
    <w:rsid w:val="00102151"/>
    <w:rsid w:val="0010277D"/>
    <w:rsid w:val="00110BA5"/>
    <w:rsid w:val="00111D6B"/>
    <w:rsid w:val="001125FF"/>
    <w:rsid w:val="001133C8"/>
    <w:rsid w:val="00113DAA"/>
    <w:rsid w:val="00115DB7"/>
    <w:rsid w:val="001179F3"/>
    <w:rsid w:val="00117F5D"/>
    <w:rsid w:val="00121460"/>
    <w:rsid w:val="00122388"/>
    <w:rsid w:val="001240C3"/>
    <w:rsid w:val="00124A94"/>
    <w:rsid w:val="001255D4"/>
    <w:rsid w:val="00126FCB"/>
    <w:rsid w:val="00127616"/>
    <w:rsid w:val="00130F45"/>
    <w:rsid w:val="0013125A"/>
    <w:rsid w:val="001317C7"/>
    <w:rsid w:val="00131CED"/>
    <w:rsid w:val="00132660"/>
    <w:rsid w:val="00135451"/>
    <w:rsid w:val="00135AEA"/>
    <w:rsid w:val="0013642A"/>
    <w:rsid w:val="001365C1"/>
    <w:rsid w:val="00140446"/>
    <w:rsid w:val="00142068"/>
    <w:rsid w:val="00142E35"/>
    <w:rsid w:val="00143416"/>
    <w:rsid w:val="0014560A"/>
    <w:rsid w:val="001468C7"/>
    <w:rsid w:val="00146C62"/>
    <w:rsid w:val="00155D5B"/>
    <w:rsid w:val="0015776D"/>
    <w:rsid w:val="001626D1"/>
    <w:rsid w:val="00163483"/>
    <w:rsid w:val="00163A83"/>
    <w:rsid w:val="001640F5"/>
    <w:rsid w:val="001647A4"/>
    <w:rsid w:val="001657BC"/>
    <w:rsid w:val="0016645F"/>
    <w:rsid w:val="00166BD9"/>
    <w:rsid w:val="00167070"/>
    <w:rsid w:val="00167E8C"/>
    <w:rsid w:val="00174E86"/>
    <w:rsid w:val="001754F6"/>
    <w:rsid w:val="00175EAB"/>
    <w:rsid w:val="001763ED"/>
    <w:rsid w:val="00176E87"/>
    <w:rsid w:val="00176EDE"/>
    <w:rsid w:val="0018331D"/>
    <w:rsid w:val="00183D4D"/>
    <w:rsid w:val="00185FD3"/>
    <w:rsid w:val="00187135"/>
    <w:rsid w:val="00190CFD"/>
    <w:rsid w:val="00191464"/>
    <w:rsid w:val="0019149B"/>
    <w:rsid w:val="0019214A"/>
    <w:rsid w:val="0019238E"/>
    <w:rsid w:val="00192663"/>
    <w:rsid w:val="00192A5E"/>
    <w:rsid w:val="00196951"/>
    <w:rsid w:val="00196E62"/>
    <w:rsid w:val="00197014"/>
    <w:rsid w:val="001A0141"/>
    <w:rsid w:val="001A0CF0"/>
    <w:rsid w:val="001A0D62"/>
    <w:rsid w:val="001B2708"/>
    <w:rsid w:val="001B2C08"/>
    <w:rsid w:val="001B2C4C"/>
    <w:rsid w:val="001B613B"/>
    <w:rsid w:val="001B67F5"/>
    <w:rsid w:val="001C05AE"/>
    <w:rsid w:val="001C0FA3"/>
    <w:rsid w:val="001C1EF2"/>
    <w:rsid w:val="001C2333"/>
    <w:rsid w:val="001C27C3"/>
    <w:rsid w:val="001C4004"/>
    <w:rsid w:val="001C72BC"/>
    <w:rsid w:val="001D174E"/>
    <w:rsid w:val="001D1F54"/>
    <w:rsid w:val="001D3845"/>
    <w:rsid w:val="001D3C50"/>
    <w:rsid w:val="001D3E9B"/>
    <w:rsid w:val="001D40AF"/>
    <w:rsid w:val="001D4741"/>
    <w:rsid w:val="001D7010"/>
    <w:rsid w:val="001D7771"/>
    <w:rsid w:val="001D7C3D"/>
    <w:rsid w:val="001E0B3D"/>
    <w:rsid w:val="001E2F0E"/>
    <w:rsid w:val="001E3F57"/>
    <w:rsid w:val="001E4915"/>
    <w:rsid w:val="001E4CF6"/>
    <w:rsid w:val="001E6964"/>
    <w:rsid w:val="001E6D61"/>
    <w:rsid w:val="001F02C7"/>
    <w:rsid w:val="001F1959"/>
    <w:rsid w:val="001F20CF"/>
    <w:rsid w:val="001F52FC"/>
    <w:rsid w:val="001F570F"/>
    <w:rsid w:val="001F5712"/>
    <w:rsid w:val="001F68C4"/>
    <w:rsid w:val="001F6E0A"/>
    <w:rsid w:val="001F7CA7"/>
    <w:rsid w:val="001F7F61"/>
    <w:rsid w:val="002011D2"/>
    <w:rsid w:val="00201A1C"/>
    <w:rsid w:val="002040D4"/>
    <w:rsid w:val="00204166"/>
    <w:rsid w:val="00206775"/>
    <w:rsid w:val="00207D38"/>
    <w:rsid w:val="002100BC"/>
    <w:rsid w:val="002124A2"/>
    <w:rsid w:val="00212F19"/>
    <w:rsid w:val="00213DB6"/>
    <w:rsid w:val="00216049"/>
    <w:rsid w:val="00217C3C"/>
    <w:rsid w:val="00220ECF"/>
    <w:rsid w:val="00221844"/>
    <w:rsid w:val="00222FFB"/>
    <w:rsid w:val="00223110"/>
    <w:rsid w:val="002242EF"/>
    <w:rsid w:val="0022518D"/>
    <w:rsid w:val="00225C83"/>
    <w:rsid w:val="00226D48"/>
    <w:rsid w:val="00230C82"/>
    <w:rsid w:val="00231ABC"/>
    <w:rsid w:val="00233750"/>
    <w:rsid w:val="00234C75"/>
    <w:rsid w:val="0023516B"/>
    <w:rsid w:val="0023620E"/>
    <w:rsid w:val="00237B7E"/>
    <w:rsid w:val="0024004C"/>
    <w:rsid w:val="002408DD"/>
    <w:rsid w:val="002418F7"/>
    <w:rsid w:val="00241BFA"/>
    <w:rsid w:val="00242E26"/>
    <w:rsid w:val="00246F53"/>
    <w:rsid w:val="00250110"/>
    <w:rsid w:val="002506CB"/>
    <w:rsid w:val="0025147A"/>
    <w:rsid w:val="0025192B"/>
    <w:rsid w:val="00252CD0"/>
    <w:rsid w:val="00254C18"/>
    <w:rsid w:val="00255186"/>
    <w:rsid w:val="002565BE"/>
    <w:rsid w:val="002573A6"/>
    <w:rsid w:val="00260305"/>
    <w:rsid w:val="00263A1E"/>
    <w:rsid w:val="00264617"/>
    <w:rsid w:val="0027175F"/>
    <w:rsid w:val="00273D6B"/>
    <w:rsid w:val="00274DE1"/>
    <w:rsid w:val="00277024"/>
    <w:rsid w:val="00277B82"/>
    <w:rsid w:val="002814E4"/>
    <w:rsid w:val="002817DC"/>
    <w:rsid w:val="00282412"/>
    <w:rsid w:val="0028419B"/>
    <w:rsid w:val="00295899"/>
    <w:rsid w:val="00295C52"/>
    <w:rsid w:val="00295F32"/>
    <w:rsid w:val="00296E1B"/>
    <w:rsid w:val="00296FBF"/>
    <w:rsid w:val="002978AC"/>
    <w:rsid w:val="002A1BD5"/>
    <w:rsid w:val="002A3C0B"/>
    <w:rsid w:val="002A477D"/>
    <w:rsid w:val="002A6E24"/>
    <w:rsid w:val="002A7CD2"/>
    <w:rsid w:val="002B2285"/>
    <w:rsid w:val="002B4BC3"/>
    <w:rsid w:val="002B5202"/>
    <w:rsid w:val="002B6C39"/>
    <w:rsid w:val="002B7FD0"/>
    <w:rsid w:val="002C11CA"/>
    <w:rsid w:val="002C14AB"/>
    <w:rsid w:val="002C156F"/>
    <w:rsid w:val="002C178A"/>
    <w:rsid w:val="002C1B3A"/>
    <w:rsid w:val="002C22A2"/>
    <w:rsid w:val="002C29DB"/>
    <w:rsid w:val="002C2D1C"/>
    <w:rsid w:val="002C2E65"/>
    <w:rsid w:val="002C38B7"/>
    <w:rsid w:val="002C51D7"/>
    <w:rsid w:val="002D0441"/>
    <w:rsid w:val="002D06EB"/>
    <w:rsid w:val="002D131C"/>
    <w:rsid w:val="002D382C"/>
    <w:rsid w:val="002D4CB8"/>
    <w:rsid w:val="002D5634"/>
    <w:rsid w:val="002D6C44"/>
    <w:rsid w:val="002D7A7C"/>
    <w:rsid w:val="002E0567"/>
    <w:rsid w:val="002E3905"/>
    <w:rsid w:val="002E4B02"/>
    <w:rsid w:val="002E4C7B"/>
    <w:rsid w:val="002E5E27"/>
    <w:rsid w:val="002E6712"/>
    <w:rsid w:val="002F0719"/>
    <w:rsid w:val="002F1442"/>
    <w:rsid w:val="002F21C7"/>
    <w:rsid w:val="002F2978"/>
    <w:rsid w:val="002F2F69"/>
    <w:rsid w:val="002F5193"/>
    <w:rsid w:val="00300E57"/>
    <w:rsid w:val="00301CCF"/>
    <w:rsid w:val="003026F4"/>
    <w:rsid w:val="00303047"/>
    <w:rsid w:val="00306D20"/>
    <w:rsid w:val="00307913"/>
    <w:rsid w:val="0031087C"/>
    <w:rsid w:val="00310BB8"/>
    <w:rsid w:val="003128B3"/>
    <w:rsid w:val="00312AF3"/>
    <w:rsid w:val="003136AB"/>
    <w:rsid w:val="00315230"/>
    <w:rsid w:val="0031574F"/>
    <w:rsid w:val="003210F4"/>
    <w:rsid w:val="003245D1"/>
    <w:rsid w:val="0033065D"/>
    <w:rsid w:val="003312DC"/>
    <w:rsid w:val="003325CA"/>
    <w:rsid w:val="00332FA5"/>
    <w:rsid w:val="0033364E"/>
    <w:rsid w:val="0033433B"/>
    <w:rsid w:val="003348F9"/>
    <w:rsid w:val="0033570A"/>
    <w:rsid w:val="003360FC"/>
    <w:rsid w:val="00336113"/>
    <w:rsid w:val="003363BD"/>
    <w:rsid w:val="00336B93"/>
    <w:rsid w:val="003412F4"/>
    <w:rsid w:val="00341314"/>
    <w:rsid w:val="0034425A"/>
    <w:rsid w:val="00345B87"/>
    <w:rsid w:val="00346134"/>
    <w:rsid w:val="0034715E"/>
    <w:rsid w:val="00347F44"/>
    <w:rsid w:val="003508E1"/>
    <w:rsid w:val="0035220E"/>
    <w:rsid w:val="0035260A"/>
    <w:rsid w:val="003526A5"/>
    <w:rsid w:val="003548BD"/>
    <w:rsid w:val="00357DD4"/>
    <w:rsid w:val="00357F8B"/>
    <w:rsid w:val="0036005B"/>
    <w:rsid w:val="0036025A"/>
    <w:rsid w:val="00361591"/>
    <w:rsid w:val="00362024"/>
    <w:rsid w:val="003622DC"/>
    <w:rsid w:val="00362592"/>
    <w:rsid w:val="00362B90"/>
    <w:rsid w:val="0036311C"/>
    <w:rsid w:val="00363283"/>
    <w:rsid w:val="00363D0E"/>
    <w:rsid w:val="0036407E"/>
    <w:rsid w:val="003648E2"/>
    <w:rsid w:val="00366A5C"/>
    <w:rsid w:val="003677A9"/>
    <w:rsid w:val="0037085A"/>
    <w:rsid w:val="00370D10"/>
    <w:rsid w:val="00373565"/>
    <w:rsid w:val="00373AFD"/>
    <w:rsid w:val="00374185"/>
    <w:rsid w:val="0037440E"/>
    <w:rsid w:val="003768DC"/>
    <w:rsid w:val="00376E16"/>
    <w:rsid w:val="00381866"/>
    <w:rsid w:val="00382E44"/>
    <w:rsid w:val="0038334C"/>
    <w:rsid w:val="003859B2"/>
    <w:rsid w:val="003875D9"/>
    <w:rsid w:val="00387633"/>
    <w:rsid w:val="00395008"/>
    <w:rsid w:val="0039568B"/>
    <w:rsid w:val="00395E80"/>
    <w:rsid w:val="00396A11"/>
    <w:rsid w:val="003A2407"/>
    <w:rsid w:val="003A27B0"/>
    <w:rsid w:val="003B31C0"/>
    <w:rsid w:val="003B3332"/>
    <w:rsid w:val="003B339E"/>
    <w:rsid w:val="003B3608"/>
    <w:rsid w:val="003B4738"/>
    <w:rsid w:val="003B48E3"/>
    <w:rsid w:val="003B4C19"/>
    <w:rsid w:val="003B6EFC"/>
    <w:rsid w:val="003B6F5F"/>
    <w:rsid w:val="003B7435"/>
    <w:rsid w:val="003C11D3"/>
    <w:rsid w:val="003C176F"/>
    <w:rsid w:val="003C4744"/>
    <w:rsid w:val="003C4BCC"/>
    <w:rsid w:val="003C53C0"/>
    <w:rsid w:val="003C5EB6"/>
    <w:rsid w:val="003C5F45"/>
    <w:rsid w:val="003C60A8"/>
    <w:rsid w:val="003C6E5F"/>
    <w:rsid w:val="003D04C4"/>
    <w:rsid w:val="003D173D"/>
    <w:rsid w:val="003D26FA"/>
    <w:rsid w:val="003D381C"/>
    <w:rsid w:val="003D467F"/>
    <w:rsid w:val="003D4DF8"/>
    <w:rsid w:val="003D59FC"/>
    <w:rsid w:val="003D72E4"/>
    <w:rsid w:val="003D76E7"/>
    <w:rsid w:val="003E01CC"/>
    <w:rsid w:val="003E25EF"/>
    <w:rsid w:val="003E5781"/>
    <w:rsid w:val="003F0920"/>
    <w:rsid w:val="003F0BA5"/>
    <w:rsid w:val="003F2037"/>
    <w:rsid w:val="003F28C7"/>
    <w:rsid w:val="00402B67"/>
    <w:rsid w:val="0040547A"/>
    <w:rsid w:val="00405B35"/>
    <w:rsid w:val="00405CB0"/>
    <w:rsid w:val="004063CD"/>
    <w:rsid w:val="00407F85"/>
    <w:rsid w:val="0041112D"/>
    <w:rsid w:val="00412F45"/>
    <w:rsid w:val="00413470"/>
    <w:rsid w:val="004139A6"/>
    <w:rsid w:val="00413A2D"/>
    <w:rsid w:val="004167AA"/>
    <w:rsid w:val="00421AEA"/>
    <w:rsid w:val="0042277D"/>
    <w:rsid w:val="00423C3C"/>
    <w:rsid w:val="00423E50"/>
    <w:rsid w:val="004249D3"/>
    <w:rsid w:val="00424B8C"/>
    <w:rsid w:val="00425C6D"/>
    <w:rsid w:val="00425D00"/>
    <w:rsid w:val="0042632D"/>
    <w:rsid w:val="00431522"/>
    <w:rsid w:val="004329A3"/>
    <w:rsid w:val="00434C3D"/>
    <w:rsid w:val="00434F96"/>
    <w:rsid w:val="0043597F"/>
    <w:rsid w:val="00436CB7"/>
    <w:rsid w:val="00437B99"/>
    <w:rsid w:val="00437D17"/>
    <w:rsid w:val="00441FB7"/>
    <w:rsid w:val="004421B1"/>
    <w:rsid w:val="00442748"/>
    <w:rsid w:val="00443149"/>
    <w:rsid w:val="00446C72"/>
    <w:rsid w:val="00450F9B"/>
    <w:rsid w:val="004521CA"/>
    <w:rsid w:val="00452EBE"/>
    <w:rsid w:val="004538AD"/>
    <w:rsid w:val="00454B4A"/>
    <w:rsid w:val="00455869"/>
    <w:rsid w:val="00455C4B"/>
    <w:rsid w:val="00456079"/>
    <w:rsid w:val="00456FA9"/>
    <w:rsid w:val="00460903"/>
    <w:rsid w:val="0046432C"/>
    <w:rsid w:val="00466175"/>
    <w:rsid w:val="004670FF"/>
    <w:rsid w:val="00467FE9"/>
    <w:rsid w:val="00470621"/>
    <w:rsid w:val="00471574"/>
    <w:rsid w:val="004722D5"/>
    <w:rsid w:val="004742B9"/>
    <w:rsid w:val="004772B7"/>
    <w:rsid w:val="00477FD8"/>
    <w:rsid w:val="00481D03"/>
    <w:rsid w:val="00482121"/>
    <w:rsid w:val="00483414"/>
    <w:rsid w:val="004841D6"/>
    <w:rsid w:val="004856EF"/>
    <w:rsid w:val="00485BEE"/>
    <w:rsid w:val="00486244"/>
    <w:rsid w:val="004879FE"/>
    <w:rsid w:val="004918E6"/>
    <w:rsid w:val="004938C1"/>
    <w:rsid w:val="00495B03"/>
    <w:rsid w:val="00495E1D"/>
    <w:rsid w:val="004A1691"/>
    <w:rsid w:val="004A1834"/>
    <w:rsid w:val="004A24CD"/>
    <w:rsid w:val="004A3596"/>
    <w:rsid w:val="004A3B91"/>
    <w:rsid w:val="004A5EFD"/>
    <w:rsid w:val="004B0965"/>
    <w:rsid w:val="004B1569"/>
    <w:rsid w:val="004B3BB1"/>
    <w:rsid w:val="004B500D"/>
    <w:rsid w:val="004B5832"/>
    <w:rsid w:val="004B5B42"/>
    <w:rsid w:val="004C23C0"/>
    <w:rsid w:val="004C366D"/>
    <w:rsid w:val="004C3E61"/>
    <w:rsid w:val="004C5D6E"/>
    <w:rsid w:val="004D11D6"/>
    <w:rsid w:val="004D2AD7"/>
    <w:rsid w:val="004D4173"/>
    <w:rsid w:val="004D5501"/>
    <w:rsid w:val="004D56E7"/>
    <w:rsid w:val="004D5D86"/>
    <w:rsid w:val="004D759D"/>
    <w:rsid w:val="004D7AFB"/>
    <w:rsid w:val="004E0594"/>
    <w:rsid w:val="004E09A5"/>
    <w:rsid w:val="004E0F6C"/>
    <w:rsid w:val="004E19F3"/>
    <w:rsid w:val="004E26A8"/>
    <w:rsid w:val="004E4DFE"/>
    <w:rsid w:val="004E5F28"/>
    <w:rsid w:val="004E6331"/>
    <w:rsid w:val="004F190A"/>
    <w:rsid w:val="004F407D"/>
    <w:rsid w:val="004F5983"/>
    <w:rsid w:val="004F60EC"/>
    <w:rsid w:val="004F61F7"/>
    <w:rsid w:val="004F6557"/>
    <w:rsid w:val="004F65AD"/>
    <w:rsid w:val="004F66D0"/>
    <w:rsid w:val="004F6824"/>
    <w:rsid w:val="004F716C"/>
    <w:rsid w:val="005012C2"/>
    <w:rsid w:val="00501CFC"/>
    <w:rsid w:val="00502A98"/>
    <w:rsid w:val="005030A4"/>
    <w:rsid w:val="0050473F"/>
    <w:rsid w:val="00507B45"/>
    <w:rsid w:val="00510455"/>
    <w:rsid w:val="00511CEB"/>
    <w:rsid w:val="0051256F"/>
    <w:rsid w:val="00514549"/>
    <w:rsid w:val="00514F91"/>
    <w:rsid w:val="00515CDD"/>
    <w:rsid w:val="0051632C"/>
    <w:rsid w:val="00516A6B"/>
    <w:rsid w:val="00516C8B"/>
    <w:rsid w:val="00517992"/>
    <w:rsid w:val="00517B79"/>
    <w:rsid w:val="005203E3"/>
    <w:rsid w:val="00520F24"/>
    <w:rsid w:val="0052495F"/>
    <w:rsid w:val="00525115"/>
    <w:rsid w:val="00525F84"/>
    <w:rsid w:val="00526112"/>
    <w:rsid w:val="00526D66"/>
    <w:rsid w:val="00527654"/>
    <w:rsid w:val="00527B4B"/>
    <w:rsid w:val="005312C7"/>
    <w:rsid w:val="00531E69"/>
    <w:rsid w:val="00531FEF"/>
    <w:rsid w:val="00533173"/>
    <w:rsid w:val="00534CD5"/>
    <w:rsid w:val="00535336"/>
    <w:rsid w:val="00535E32"/>
    <w:rsid w:val="00535E93"/>
    <w:rsid w:val="00536AC9"/>
    <w:rsid w:val="00537597"/>
    <w:rsid w:val="005375CD"/>
    <w:rsid w:val="00543BC6"/>
    <w:rsid w:val="0054435F"/>
    <w:rsid w:val="005445CD"/>
    <w:rsid w:val="00545670"/>
    <w:rsid w:val="00545E5B"/>
    <w:rsid w:val="005466BD"/>
    <w:rsid w:val="00547376"/>
    <w:rsid w:val="00547524"/>
    <w:rsid w:val="00550274"/>
    <w:rsid w:val="005517AE"/>
    <w:rsid w:val="0055243F"/>
    <w:rsid w:val="005554E8"/>
    <w:rsid w:val="00556247"/>
    <w:rsid w:val="00560435"/>
    <w:rsid w:val="005610DB"/>
    <w:rsid w:val="00564EFB"/>
    <w:rsid w:val="00565A8D"/>
    <w:rsid w:val="00570417"/>
    <w:rsid w:val="00570AA0"/>
    <w:rsid w:val="0057142E"/>
    <w:rsid w:val="005742A1"/>
    <w:rsid w:val="005744C9"/>
    <w:rsid w:val="00574A1E"/>
    <w:rsid w:val="00575B58"/>
    <w:rsid w:val="0057627B"/>
    <w:rsid w:val="00576441"/>
    <w:rsid w:val="00580811"/>
    <w:rsid w:val="00584F7D"/>
    <w:rsid w:val="005865AF"/>
    <w:rsid w:val="005874DE"/>
    <w:rsid w:val="00590630"/>
    <w:rsid w:val="00591781"/>
    <w:rsid w:val="005919B3"/>
    <w:rsid w:val="00592841"/>
    <w:rsid w:val="00592A3A"/>
    <w:rsid w:val="005936E2"/>
    <w:rsid w:val="00594504"/>
    <w:rsid w:val="00594752"/>
    <w:rsid w:val="005960A6"/>
    <w:rsid w:val="005968F6"/>
    <w:rsid w:val="005A18B2"/>
    <w:rsid w:val="005A4638"/>
    <w:rsid w:val="005A48BF"/>
    <w:rsid w:val="005A5B8A"/>
    <w:rsid w:val="005A5D25"/>
    <w:rsid w:val="005A7244"/>
    <w:rsid w:val="005A7276"/>
    <w:rsid w:val="005B0437"/>
    <w:rsid w:val="005B1366"/>
    <w:rsid w:val="005B20CC"/>
    <w:rsid w:val="005B406A"/>
    <w:rsid w:val="005B6B86"/>
    <w:rsid w:val="005B7C13"/>
    <w:rsid w:val="005C20F8"/>
    <w:rsid w:val="005C2805"/>
    <w:rsid w:val="005C3E53"/>
    <w:rsid w:val="005C46E0"/>
    <w:rsid w:val="005C49B9"/>
    <w:rsid w:val="005C6ABE"/>
    <w:rsid w:val="005C7449"/>
    <w:rsid w:val="005D2DC1"/>
    <w:rsid w:val="005D5DEC"/>
    <w:rsid w:val="005D6D85"/>
    <w:rsid w:val="005D6FAF"/>
    <w:rsid w:val="005E0A0A"/>
    <w:rsid w:val="005E12CE"/>
    <w:rsid w:val="005E35A1"/>
    <w:rsid w:val="005E36C8"/>
    <w:rsid w:val="005E3911"/>
    <w:rsid w:val="005E45B1"/>
    <w:rsid w:val="005E53B3"/>
    <w:rsid w:val="005E5FFA"/>
    <w:rsid w:val="005E7584"/>
    <w:rsid w:val="005E76AE"/>
    <w:rsid w:val="005F0BEE"/>
    <w:rsid w:val="005F0D67"/>
    <w:rsid w:val="005F13AA"/>
    <w:rsid w:val="005F3773"/>
    <w:rsid w:val="005F6215"/>
    <w:rsid w:val="00600A13"/>
    <w:rsid w:val="006012B2"/>
    <w:rsid w:val="006012CD"/>
    <w:rsid w:val="00603CD3"/>
    <w:rsid w:val="006054D5"/>
    <w:rsid w:val="0060636A"/>
    <w:rsid w:val="00607ADF"/>
    <w:rsid w:val="00612190"/>
    <w:rsid w:val="00614193"/>
    <w:rsid w:val="006151CC"/>
    <w:rsid w:val="00615865"/>
    <w:rsid w:val="00617B7B"/>
    <w:rsid w:val="00620FDD"/>
    <w:rsid w:val="00621296"/>
    <w:rsid w:val="00623505"/>
    <w:rsid w:val="0062568B"/>
    <w:rsid w:val="00627A4D"/>
    <w:rsid w:val="00627FED"/>
    <w:rsid w:val="006304EC"/>
    <w:rsid w:val="006326EA"/>
    <w:rsid w:val="006328E1"/>
    <w:rsid w:val="006332C4"/>
    <w:rsid w:val="00633BEA"/>
    <w:rsid w:val="006352FD"/>
    <w:rsid w:val="00635427"/>
    <w:rsid w:val="00635E45"/>
    <w:rsid w:val="00636052"/>
    <w:rsid w:val="0063644E"/>
    <w:rsid w:val="0063659C"/>
    <w:rsid w:val="00637B9F"/>
    <w:rsid w:val="0064042D"/>
    <w:rsid w:val="006405AF"/>
    <w:rsid w:val="00642D0D"/>
    <w:rsid w:val="0064372B"/>
    <w:rsid w:val="00645043"/>
    <w:rsid w:val="00646C21"/>
    <w:rsid w:val="00650BD2"/>
    <w:rsid w:val="0065139A"/>
    <w:rsid w:val="00653CA1"/>
    <w:rsid w:val="00654DF1"/>
    <w:rsid w:val="0065580C"/>
    <w:rsid w:val="00655CA7"/>
    <w:rsid w:val="00656395"/>
    <w:rsid w:val="006564C8"/>
    <w:rsid w:val="00656935"/>
    <w:rsid w:val="00661261"/>
    <w:rsid w:val="0066173B"/>
    <w:rsid w:val="00662973"/>
    <w:rsid w:val="006635AA"/>
    <w:rsid w:val="00664A00"/>
    <w:rsid w:val="00664B75"/>
    <w:rsid w:val="00664CAF"/>
    <w:rsid w:val="00665B7A"/>
    <w:rsid w:val="00666C89"/>
    <w:rsid w:val="00667A39"/>
    <w:rsid w:val="00671137"/>
    <w:rsid w:val="00671F9F"/>
    <w:rsid w:val="006743A6"/>
    <w:rsid w:val="0067554B"/>
    <w:rsid w:val="00676223"/>
    <w:rsid w:val="006805A7"/>
    <w:rsid w:val="0068201A"/>
    <w:rsid w:val="006846B3"/>
    <w:rsid w:val="00685247"/>
    <w:rsid w:val="0068675B"/>
    <w:rsid w:val="006869EC"/>
    <w:rsid w:val="00686D11"/>
    <w:rsid w:val="00686EF1"/>
    <w:rsid w:val="00691B9E"/>
    <w:rsid w:val="0069300C"/>
    <w:rsid w:val="006930F9"/>
    <w:rsid w:val="00693B03"/>
    <w:rsid w:val="00696245"/>
    <w:rsid w:val="006979A8"/>
    <w:rsid w:val="00697A88"/>
    <w:rsid w:val="00697B09"/>
    <w:rsid w:val="006A0AD6"/>
    <w:rsid w:val="006A2426"/>
    <w:rsid w:val="006A3409"/>
    <w:rsid w:val="006A3E5D"/>
    <w:rsid w:val="006A3EF8"/>
    <w:rsid w:val="006A4515"/>
    <w:rsid w:val="006A5912"/>
    <w:rsid w:val="006A5DA4"/>
    <w:rsid w:val="006A63A4"/>
    <w:rsid w:val="006A652D"/>
    <w:rsid w:val="006A6A9D"/>
    <w:rsid w:val="006B1A4F"/>
    <w:rsid w:val="006B1E58"/>
    <w:rsid w:val="006B2DBB"/>
    <w:rsid w:val="006B34B6"/>
    <w:rsid w:val="006B486B"/>
    <w:rsid w:val="006B5129"/>
    <w:rsid w:val="006B57DB"/>
    <w:rsid w:val="006B5DC3"/>
    <w:rsid w:val="006B7476"/>
    <w:rsid w:val="006B7B14"/>
    <w:rsid w:val="006C0462"/>
    <w:rsid w:val="006C319C"/>
    <w:rsid w:val="006D11AD"/>
    <w:rsid w:val="006D4A54"/>
    <w:rsid w:val="006D5259"/>
    <w:rsid w:val="006D765B"/>
    <w:rsid w:val="006D7845"/>
    <w:rsid w:val="006E0A71"/>
    <w:rsid w:val="006E16B8"/>
    <w:rsid w:val="006E185A"/>
    <w:rsid w:val="006E28A0"/>
    <w:rsid w:val="006E2937"/>
    <w:rsid w:val="006E3A60"/>
    <w:rsid w:val="006E4ABE"/>
    <w:rsid w:val="006E5CD9"/>
    <w:rsid w:val="006E6DD2"/>
    <w:rsid w:val="006E76F9"/>
    <w:rsid w:val="006E7D88"/>
    <w:rsid w:val="006F0BB8"/>
    <w:rsid w:val="006F1724"/>
    <w:rsid w:val="006F1A26"/>
    <w:rsid w:val="006F6546"/>
    <w:rsid w:val="00701641"/>
    <w:rsid w:val="00702715"/>
    <w:rsid w:val="00702C63"/>
    <w:rsid w:val="007036FD"/>
    <w:rsid w:val="00705BC3"/>
    <w:rsid w:val="00705CDE"/>
    <w:rsid w:val="0070669F"/>
    <w:rsid w:val="00710213"/>
    <w:rsid w:val="00710C75"/>
    <w:rsid w:val="00711735"/>
    <w:rsid w:val="00711F28"/>
    <w:rsid w:val="00713B44"/>
    <w:rsid w:val="00715912"/>
    <w:rsid w:val="00715BC3"/>
    <w:rsid w:val="00716682"/>
    <w:rsid w:val="00716D8F"/>
    <w:rsid w:val="00731A72"/>
    <w:rsid w:val="00735319"/>
    <w:rsid w:val="00735804"/>
    <w:rsid w:val="007361A5"/>
    <w:rsid w:val="00737553"/>
    <w:rsid w:val="00737905"/>
    <w:rsid w:val="007409DC"/>
    <w:rsid w:val="00742623"/>
    <w:rsid w:val="007431F1"/>
    <w:rsid w:val="007450AE"/>
    <w:rsid w:val="00746F9E"/>
    <w:rsid w:val="00747530"/>
    <w:rsid w:val="00750971"/>
    <w:rsid w:val="0075143A"/>
    <w:rsid w:val="007519EC"/>
    <w:rsid w:val="00751BC5"/>
    <w:rsid w:val="00751C68"/>
    <w:rsid w:val="0075340F"/>
    <w:rsid w:val="00753A07"/>
    <w:rsid w:val="00756DC7"/>
    <w:rsid w:val="007607F1"/>
    <w:rsid w:val="00761FF6"/>
    <w:rsid w:val="007626E1"/>
    <w:rsid w:val="00764311"/>
    <w:rsid w:val="007703A6"/>
    <w:rsid w:val="00770D15"/>
    <w:rsid w:val="00771529"/>
    <w:rsid w:val="00771946"/>
    <w:rsid w:val="00771A67"/>
    <w:rsid w:val="00771B7B"/>
    <w:rsid w:val="00773135"/>
    <w:rsid w:val="00773A20"/>
    <w:rsid w:val="00775B7A"/>
    <w:rsid w:val="00780AF1"/>
    <w:rsid w:val="00781FB7"/>
    <w:rsid w:val="00782801"/>
    <w:rsid w:val="00784C89"/>
    <w:rsid w:val="007854CA"/>
    <w:rsid w:val="00786F64"/>
    <w:rsid w:val="00787B5D"/>
    <w:rsid w:val="00792A3E"/>
    <w:rsid w:val="007932B9"/>
    <w:rsid w:val="007938A4"/>
    <w:rsid w:val="00793BC5"/>
    <w:rsid w:val="00794476"/>
    <w:rsid w:val="00794729"/>
    <w:rsid w:val="00795312"/>
    <w:rsid w:val="00796EFB"/>
    <w:rsid w:val="00797D7A"/>
    <w:rsid w:val="007A073B"/>
    <w:rsid w:val="007A338B"/>
    <w:rsid w:val="007A48ED"/>
    <w:rsid w:val="007A50F0"/>
    <w:rsid w:val="007A603B"/>
    <w:rsid w:val="007A6CEE"/>
    <w:rsid w:val="007A791F"/>
    <w:rsid w:val="007A7945"/>
    <w:rsid w:val="007B1D7D"/>
    <w:rsid w:val="007B47D6"/>
    <w:rsid w:val="007B5DE1"/>
    <w:rsid w:val="007B5FB7"/>
    <w:rsid w:val="007B7305"/>
    <w:rsid w:val="007C206C"/>
    <w:rsid w:val="007C2425"/>
    <w:rsid w:val="007C4B48"/>
    <w:rsid w:val="007C527B"/>
    <w:rsid w:val="007C52A1"/>
    <w:rsid w:val="007C5DB5"/>
    <w:rsid w:val="007C7DE2"/>
    <w:rsid w:val="007D1320"/>
    <w:rsid w:val="007D2106"/>
    <w:rsid w:val="007D240A"/>
    <w:rsid w:val="007D404D"/>
    <w:rsid w:val="007D58FD"/>
    <w:rsid w:val="007D629A"/>
    <w:rsid w:val="007E0D7C"/>
    <w:rsid w:val="007E199A"/>
    <w:rsid w:val="007E2EB4"/>
    <w:rsid w:val="007E34FF"/>
    <w:rsid w:val="007E37F2"/>
    <w:rsid w:val="007E5B9D"/>
    <w:rsid w:val="007E5C70"/>
    <w:rsid w:val="007E5DAA"/>
    <w:rsid w:val="007F0CF7"/>
    <w:rsid w:val="007F2243"/>
    <w:rsid w:val="007F3201"/>
    <w:rsid w:val="007F32E8"/>
    <w:rsid w:val="007F3BD9"/>
    <w:rsid w:val="007F4B17"/>
    <w:rsid w:val="007F5DC6"/>
    <w:rsid w:val="007F7E7B"/>
    <w:rsid w:val="00800383"/>
    <w:rsid w:val="00800849"/>
    <w:rsid w:val="00800CD0"/>
    <w:rsid w:val="008024EE"/>
    <w:rsid w:val="00803299"/>
    <w:rsid w:val="0080542A"/>
    <w:rsid w:val="00806164"/>
    <w:rsid w:val="008100CC"/>
    <w:rsid w:val="008138F0"/>
    <w:rsid w:val="00813A6D"/>
    <w:rsid w:val="00813FFB"/>
    <w:rsid w:val="008154E9"/>
    <w:rsid w:val="00815DB5"/>
    <w:rsid w:val="00816346"/>
    <w:rsid w:val="008163EB"/>
    <w:rsid w:val="00816452"/>
    <w:rsid w:val="008177BB"/>
    <w:rsid w:val="00820BD7"/>
    <w:rsid w:val="00821935"/>
    <w:rsid w:val="008225B9"/>
    <w:rsid w:val="00822A10"/>
    <w:rsid w:val="0082355F"/>
    <w:rsid w:val="008237FC"/>
    <w:rsid w:val="008241DD"/>
    <w:rsid w:val="00824487"/>
    <w:rsid w:val="00825697"/>
    <w:rsid w:val="0082646B"/>
    <w:rsid w:val="00831E30"/>
    <w:rsid w:val="00832A87"/>
    <w:rsid w:val="0083388A"/>
    <w:rsid w:val="00833EE7"/>
    <w:rsid w:val="008363BB"/>
    <w:rsid w:val="00836FC6"/>
    <w:rsid w:val="0083746A"/>
    <w:rsid w:val="0084123E"/>
    <w:rsid w:val="008416DE"/>
    <w:rsid w:val="00842F34"/>
    <w:rsid w:val="00844843"/>
    <w:rsid w:val="008458F1"/>
    <w:rsid w:val="00845DF6"/>
    <w:rsid w:val="00846950"/>
    <w:rsid w:val="00850DE0"/>
    <w:rsid w:val="008548E3"/>
    <w:rsid w:val="00855F98"/>
    <w:rsid w:val="00856004"/>
    <w:rsid w:val="0085658E"/>
    <w:rsid w:val="008600C5"/>
    <w:rsid w:val="008615A0"/>
    <w:rsid w:val="00863847"/>
    <w:rsid w:val="00864025"/>
    <w:rsid w:val="00864D90"/>
    <w:rsid w:val="008677A6"/>
    <w:rsid w:val="0086793F"/>
    <w:rsid w:val="00867C8D"/>
    <w:rsid w:val="00867D83"/>
    <w:rsid w:val="00870918"/>
    <w:rsid w:val="00871467"/>
    <w:rsid w:val="00871B40"/>
    <w:rsid w:val="00871B5B"/>
    <w:rsid w:val="0087328A"/>
    <w:rsid w:val="00874292"/>
    <w:rsid w:val="00874384"/>
    <w:rsid w:val="00875E93"/>
    <w:rsid w:val="008761C5"/>
    <w:rsid w:val="00877066"/>
    <w:rsid w:val="00877DA1"/>
    <w:rsid w:val="008809D7"/>
    <w:rsid w:val="0088254A"/>
    <w:rsid w:val="00885343"/>
    <w:rsid w:val="008870A3"/>
    <w:rsid w:val="00887C32"/>
    <w:rsid w:val="008901AE"/>
    <w:rsid w:val="008901D3"/>
    <w:rsid w:val="0089041D"/>
    <w:rsid w:val="00891039"/>
    <w:rsid w:val="0089222E"/>
    <w:rsid w:val="00892D04"/>
    <w:rsid w:val="008935F4"/>
    <w:rsid w:val="00894173"/>
    <w:rsid w:val="008947EF"/>
    <w:rsid w:val="00895ECD"/>
    <w:rsid w:val="008963A8"/>
    <w:rsid w:val="00896947"/>
    <w:rsid w:val="00896A4F"/>
    <w:rsid w:val="00897028"/>
    <w:rsid w:val="008A12CA"/>
    <w:rsid w:val="008A1491"/>
    <w:rsid w:val="008A23F5"/>
    <w:rsid w:val="008A59EF"/>
    <w:rsid w:val="008A6145"/>
    <w:rsid w:val="008A6AAC"/>
    <w:rsid w:val="008A7533"/>
    <w:rsid w:val="008B18CD"/>
    <w:rsid w:val="008B1D7A"/>
    <w:rsid w:val="008B3C27"/>
    <w:rsid w:val="008B4961"/>
    <w:rsid w:val="008B5B06"/>
    <w:rsid w:val="008B6132"/>
    <w:rsid w:val="008B67D2"/>
    <w:rsid w:val="008B6D9E"/>
    <w:rsid w:val="008B7586"/>
    <w:rsid w:val="008B7845"/>
    <w:rsid w:val="008B7D01"/>
    <w:rsid w:val="008C0895"/>
    <w:rsid w:val="008C276E"/>
    <w:rsid w:val="008C3631"/>
    <w:rsid w:val="008C3FE9"/>
    <w:rsid w:val="008C4754"/>
    <w:rsid w:val="008C485C"/>
    <w:rsid w:val="008C4C0D"/>
    <w:rsid w:val="008C57C9"/>
    <w:rsid w:val="008C6075"/>
    <w:rsid w:val="008C7E04"/>
    <w:rsid w:val="008D1B5D"/>
    <w:rsid w:val="008D4562"/>
    <w:rsid w:val="008D72F2"/>
    <w:rsid w:val="008E0314"/>
    <w:rsid w:val="008E031C"/>
    <w:rsid w:val="008E228E"/>
    <w:rsid w:val="008E2413"/>
    <w:rsid w:val="008E3813"/>
    <w:rsid w:val="008E3A58"/>
    <w:rsid w:val="008E564C"/>
    <w:rsid w:val="008E5724"/>
    <w:rsid w:val="008E5F2E"/>
    <w:rsid w:val="008E79B5"/>
    <w:rsid w:val="008E7B50"/>
    <w:rsid w:val="008F46B6"/>
    <w:rsid w:val="008F6ACD"/>
    <w:rsid w:val="00900963"/>
    <w:rsid w:val="0090228A"/>
    <w:rsid w:val="00902835"/>
    <w:rsid w:val="00902C27"/>
    <w:rsid w:val="00903FFF"/>
    <w:rsid w:val="009044D1"/>
    <w:rsid w:val="00905448"/>
    <w:rsid w:val="00906CB8"/>
    <w:rsid w:val="00907F5E"/>
    <w:rsid w:val="00910105"/>
    <w:rsid w:val="009110C2"/>
    <w:rsid w:val="00912C9B"/>
    <w:rsid w:val="0091316A"/>
    <w:rsid w:val="00913495"/>
    <w:rsid w:val="00917BD4"/>
    <w:rsid w:val="00917F2E"/>
    <w:rsid w:val="00921D4B"/>
    <w:rsid w:val="00921F2F"/>
    <w:rsid w:val="009229CD"/>
    <w:rsid w:val="00923C76"/>
    <w:rsid w:val="00926E22"/>
    <w:rsid w:val="009273DC"/>
    <w:rsid w:val="0093001B"/>
    <w:rsid w:val="009309DD"/>
    <w:rsid w:val="00932542"/>
    <w:rsid w:val="00932B7E"/>
    <w:rsid w:val="00932F4E"/>
    <w:rsid w:val="00933954"/>
    <w:rsid w:val="00935050"/>
    <w:rsid w:val="00935C25"/>
    <w:rsid w:val="0093738F"/>
    <w:rsid w:val="009418A9"/>
    <w:rsid w:val="00941AC7"/>
    <w:rsid w:val="00941EA2"/>
    <w:rsid w:val="0094414C"/>
    <w:rsid w:val="009459E9"/>
    <w:rsid w:val="00945C4B"/>
    <w:rsid w:val="00950D8D"/>
    <w:rsid w:val="009511E6"/>
    <w:rsid w:val="00952C27"/>
    <w:rsid w:val="00952DDC"/>
    <w:rsid w:val="00953692"/>
    <w:rsid w:val="00953D44"/>
    <w:rsid w:val="009544B7"/>
    <w:rsid w:val="00955525"/>
    <w:rsid w:val="00955527"/>
    <w:rsid w:val="00955674"/>
    <w:rsid w:val="009567D8"/>
    <w:rsid w:val="00960321"/>
    <w:rsid w:val="009609AC"/>
    <w:rsid w:val="009613BC"/>
    <w:rsid w:val="00961757"/>
    <w:rsid w:val="0096188F"/>
    <w:rsid w:val="00963259"/>
    <w:rsid w:val="00964A21"/>
    <w:rsid w:val="00965BCB"/>
    <w:rsid w:val="0096722A"/>
    <w:rsid w:val="0097187B"/>
    <w:rsid w:val="0097227A"/>
    <w:rsid w:val="0097371F"/>
    <w:rsid w:val="00973C70"/>
    <w:rsid w:val="009749C6"/>
    <w:rsid w:val="0097508F"/>
    <w:rsid w:val="009750A2"/>
    <w:rsid w:val="00975397"/>
    <w:rsid w:val="00975FCF"/>
    <w:rsid w:val="009760C5"/>
    <w:rsid w:val="009765B3"/>
    <w:rsid w:val="009774BE"/>
    <w:rsid w:val="009774D8"/>
    <w:rsid w:val="009775F3"/>
    <w:rsid w:val="00977CCB"/>
    <w:rsid w:val="00980D67"/>
    <w:rsid w:val="0098200C"/>
    <w:rsid w:val="00982928"/>
    <w:rsid w:val="00983104"/>
    <w:rsid w:val="00983A03"/>
    <w:rsid w:val="009847E0"/>
    <w:rsid w:val="0098626E"/>
    <w:rsid w:val="0098790B"/>
    <w:rsid w:val="00990932"/>
    <w:rsid w:val="00990A49"/>
    <w:rsid w:val="00990EFC"/>
    <w:rsid w:val="0099355A"/>
    <w:rsid w:val="0099375D"/>
    <w:rsid w:val="00994CB7"/>
    <w:rsid w:val="00995A10"/>
    <w:rsid w:val="00996033"/>
    <w:rsid w:val="009965DC"/>
    <w:rsid w:val="00997111"/>
    <w:rsid w:val="009A0B39"/>
    <w:rsid w:val="009A0E14"/>
    <w:rsid w:val="009A1C3A"/>
    <w:rsid w:val="009A234F"/>
    <w:rsid w:val="009A28B7"/>
    <w:rsid w:val="009A41CF"/>
    <w:rsid w:val="009A430D"/>
    <w:rsid w:val="009A4A9B"/>
    <w:rsid w:val="009A4DDF"/>
    <w:rsid w:val="009A524A"/>
    <w:rsid w:val="009A5355"/>
    <w:rsid w:val="009A5C61"/>
    <w:rsid w:val="009A6DCE"/>
    <w:rsid w:val="009B0B0C"/>
    <w:rsid w:val="009B1205"/>
    <w:rsid w:val="009B384B"/>
    <w:rsid w:val="009B475D"/>
    <w:rsid w:val="009B4C83"/>
    <w:rsid w:val="009B671A"/>
    <w:rsid w:val="009B6AA8"/>
    <w:rsid w:val="009B72A8"/>
    <w:rsid w:val="009C100D"/>
    <w:rsid w:val="009C1F18"/>
    <w:rsid w:val="009C2E6D"/>
    <w:rsid w:val="009C4421"/>
    <w:rsid w:val="009C4F23"/>
    <w:rsid w:val="009C62A2"/>
    <w:rsid w:val="009C7156"/>
    <w:rsid w:val="009C7601"/>
    <w:rsid w:val="009D0283"/>
    <w:rsid w:val="009D08B3"/>
    <w:rsid w:val="009D3883"/>
    <w:rsid w:val="009D3D85"/>
    <w:rsid w:val="009D3F42"/>
    <w:rsid w:val="009D522C"/>
    <w:rsid w:val="009D5A2C"/>
    <w:rsid w:val="009D6323"/>
    <w:rsid w:val="009D6408"/>
    <w:rsid w:val="009E00A6"/>
    <w:rsid w:val="009E0263"/>
    <w:rsid w:val="009E07CA"/>
    <w:rsid w:val="009E0B27"/>
    <w:rsid w:val="009E2AD4"/>
    <w:rsid w:val="009E2F08"/>
    <w:rsid w:val="009E3D48"/>
    <w:rsid w:val="009E5045"/>
    <w:rsid w:val="009E5C83"/>
    <w:rsid w:val="009E798D"/>
    <w:rsid w:val="009F03B7"/>
    <w:rsid w:val="009F16EB"/>
    <w:rsid w:val="009F24BA"/>
    <w:rsid w:val="009F4750"/>
    <w:rsid w:val="009F5682"/>
    <w:rsid w:val="00A003CA"/>
    <w:rsid w:val="00A00EB6"/>
    <w:rsid w:val="00A01C5A"/>
    <w:rsid w:val="00A039A4"/>
    <w:rsid w:val="00A042CA"/>
    <w:rsid w:val="00A05822"/>
    <w:rsid w:val="00A10653"/>
    <w:rsid w:val="00A11FB2"/>
    <w:rsid w:val="00A1370B"/>
    <w:rsid w:val="00A15680"/>
    <w:rsid w:val="00A16AB3"/>
    <w:rsid w:val="00A16AFA"/>
    <w:rsid w:val="00A16BDB"/>
    <w:rsid w:val="00A21837"/>
    <w:rsid w:val="00A21E52"/>
    <w:rsid w:val="00A24CA1"/>
    <w:rsid w:val="00A25478"/>
    <w:rsid w:val="00A3069F"/>
    <w:rsid w:val="00A365FD"/>
    <w:rsid w:val="00A373B3"/>
    <w:rsid w:val="00A41309"/>
    <w:rsid w:val="00A459C6"/>
    <w:rsid w:val="00A4661E"/>
    <w:rsid w:val="00A47FB7"/>
    <w:rsid w:val="00A52605"/>
    <w:rsid w:val="00A53D56"/>
    <w:rsid w:val="00A555AE"/>
    <w:rsid w:val="00A6087F"/>
    <w:rsid w:val="00A61A67"/>
    <w:rsid w:val="00A620D6"/>
    <w:rsid w:val="00A6510A"/>
    <w:rsid w:val="00A65148"/>
    <w:rsid w:val="00A674EE"/>
    <w:rsid w:val="00A67AB1"/>
    <w:rsid w:val="00A71CF1"/>
    <w:rsid w:val="00A733BD"/>
    <w:rsid w:val="00A77DDC"/>
    <w:rsid w:val="00A80116"/>
    <w:rsid w:val="00A80E45"/>
    <w:rsid w:val="00A80F1C"/>
    <w:rsid w:val="00A81179"/>
    <w:rsid w:val="00A84883"/>
    <w:rsid w:val="00A8512A"/>
    <w:rsid w:val="00A86C07"/>
    <w:rsid w:val="00A91002"/>
    <w:rsid w:val="00A92185"/>
    <w:rsid w:val="00A92272"/>
    <w:rsid w:val="00A928D6"/>
    <w:rsid w:val="00A96673"/>
    <w:rsid w:val="00A96A37"/>
    <w:rsid w:val="00A97796"/>
    <w:rsid w:val="00AA1C33"/>
    <w:rsid w:val="00AA2A5A"/>
    <w:rsid w:val="00AA356F"/>
    <w:rsid w:val="00AA3745"/>
    <w:rsid w:val="00AA4455"/>
    <w:rsid w:val="00AA45E9"/>
    <w:rsid w:val="00AA6486"/>
    <w:rsid w:val="00AA7BC4"/>
    <w:rsid w:val="00AB1804"/>
    <w:rsid w:val="00AB2FEB"/>
    <w:rsid w:val="00AB382C"/>
    <w:rsid w:val="00AB50F1"/>
    <w:rsid w:val="00AB6C2F"/>
    <w:rsid w:val="00AB75AA"/>
    <w:rsid w:val="00AB78EF"/>
    <w:rsid w:val="00AC0107"/>
    <w:rsid w:val="00AC2592"/>
    <w:rsid w:val="00AC3104"/>
    <w:rsid w:val="00AC3719"/>
    <w:rsid w:val="00AC46F0"/>
    <w:rsid w:val="00AC59C9"/>
    <w:rsid w:val="00AD073E"/>
    <w:rsid w:val="00AD4493"/>
    <w:rsid w:val="00AD76F5"/>
    <w:rsid w:val="00AD779B"/>
    <w:rsid w:val="00AE15EF"/>
    <w:rsid w:val="00AE1D12"/>
    <w:rsid w:val="00AE22DC"/>
    <w:rsid w:val="00AE2EDC"/>
    <w:rsid w:val="00AE2F96"/>
    <w:rsid w:val="00AE5E20"/>
    <w:rsid w:val="00AF249A"/>
    <w:rsid w:val="00AF2913"/>
    <w:rsid w:val="00AF29AC"/>
    <w:rsid w:val="00AF409B"/>
    <w:rsid w:val="00AF5EA8"/>
    <w:rsid w:val="00AF6622"/>
    <w:rsid w:val="00AF75A8"/>
    <w:rsid w:val="00B023EF"/>
    <w:rsid w:val="00B03220"/>
    <w:rsid w:val="00B0332C"/>
    <w:rsid w:val="00B04834"/>
    <w:rsid w:val="00B05407"/>
    <w:rsid w:val="00B06141"/>
    <w:rsid w:val="00B06A01"/>
    <w:rsid w:val="00B06CA3"/>
    <w:rsid w:val="00B1081F"/>
    <w:rsid w:val="00B11E59"/>
    <w:rsid w:val="00B1353F"/>
    <w:rsid w:val="00B142D0"/>
    <w:rsid w:val="00B16333"/>
    <w:rsid w:val="00B16B2C"/>
    <w:rsid w:val="00B17120"/>
    <w:rsid w:val="00B20A84"/>
    <w:rsid w:val="00B20FEF"/>
    <w:rsid w:val="00B21BAD"/>
    <w:rsid w:val="00B22A77"/>
    <w:rsid w:val="00B23B65"/>
    <w:rsid w:val="00B2614A"/>
    <w:rsid w:val="00B26231"/>
    <w:rsid w:val="00B3166B"/>
    <w:rsid w:val="00B33AC3"/>
    <w:rsid w:val="00B350FE"/>
    <w:rsid w:val="00B3743F"/>
    <w:rsid w:val="00B418B2"/>
    <w:rsid w:val="00B43F41"/>
    <w:rsid w:val="00B45704"/>
    <w:rsid w:val="00B46123"/>
    <w:rsid w:val="00B51FDF"/>
    <w:rsid w:val="00B52B80"/>
    <w:rsid w:val="00B542ED"/>
    <w:rsid w:val="00B54638"/>
    <w:rsid w:val="00B55BE4"/>
    <w:rsid w:val="00B57408"/>
    <w:rsid w:val="00B62D39"/>
    <w:rsid w:val="00B642FD"/>
    <w:rsid w:val="00B664C7"/>
    <w:rsid w:val="00B66CE5"/>
    <w:rsid w:val="00B671F0"/>
    <w:rsid w:val="00B67878"/>
    <w:rsid w:val="00B67B55"/>
    <w:rsid w:val="00B72919"/>
    <w:rsid w:val="00B80775"/>
    <w:rsid w:val="00B82747"/>
    <w:rsid w:val="00B829E5"/>
    <w:rsid w:val="00B85E9A"/>
    <w:rsid w:val="00B87B6C"/>
    <w:rsid w:val="00B920BB"/>
    <w:rsid w:val="00B92890"/>
    <w:rsid w:val="00B9398F"/>
    <w:rsid w:val="00B9623F"/>
    <w:rsid w:val="00B96BF9"/>
    <w:rsid w:val="00B96D7F"/>
    <w:rsid w:val="00BA0283"/>
    <w:rsid w:val="00BA1A44"/>
    <w:rsid w:val="00BA1F29"/>
    <w:rsid w:val="00BA49E6"/>
    <w:rsid w:val="00BA50E9"/>
    <w:rsid w:val="00BA62EC"/>
    <w:rsid w:val="00BA6D7F"/>
    <w:rsid w:val="00BA7451"/>
    <w:rsid w:val="00BB3A3A"/>
    <w:rsid w:val="00BB624C"/>
    <w:rsid w:val="00BB64E4"/>
    <w:rsid w:val="00BB7D88"/>
    <w:rsid w:val="00BB7DB8"/>
    <w:rsid w:val="00BC06FD"/>
    <w:rsid w:val="00BC1117"/>
    <w:rsid w:val="00BC343B"/>
    <w:rsid w:val="00BC3C4D"/>
    <w:rsid w:val="00BC41A1"/>
    <w:rsid w:val="00BC5C1D"/>
    <w:rsid w:val="00BC5EB9"/>
    <w:rsid w:val="00BC7841"/>
    <w:rsid w:val="00BD08D0"/>
    <w:rsid w:val="00BD0A1C"/>
    <w:rsid w:val="00BD0B2F"/>
    <w:rsid w:val="00BD1020"/>
    <w:rsid w:val="00BD13A2"/>
    <w:rsid w:val="00BD1AAC"/>
    <w:rsid w:val="00BD26CE"/>
    <w:rsid w:val="00BD473B"/>
    <w:rsid w:val="00BD4798"/>
    <w:rsid w:val="00BD4A11"/>
    <w:rsid w:val="00BD59F9"/>
    <w:rsid w:val="00BD6669"/>
    <w:rsid w:val="00BD7681"/>
    <w:rsid w:val="00BE28B7"/>
    <w:rsid w:val="00BE5F02"/>
    <w:rsid w:val="00BE5F23"/>
    <w:rsid w:val="00BE6049"/>
    <w:rsid w:val="00BE64FD"/>
    <w:rsid w:val="00BE6F6A"/>
    <w:rsid w:val="00BF105D"/>
    <w:rsid w:val="00BF136A"/>
    <w:rsid w:val="00BF3A09"/>
    <w:rsid w:val="00BF3F73"/>
    <w:rsid w:val="00BF484B"/>
    <w:rsid w:val="00BF5E24"/>
    <w:rsid w:val="00BF71CB"/>
    <w:rsid w:val="00BF71D7"/>
    <w:rsid w:val="00BF775C"/>
    <w:rsid w:val="00C01E53"/>
    <w:rsid w:val="00C0631C"/>
    <w:rsid w:val="00C10853"/>
    <w:rsid w:val="00C11C74"/>
    <w:rsid w:val="00C124A7"/>
    <w:rsid w:val="00C12CAE"/>
    <w:rsid w:val="00C15606"/>
    <w:rsid w:val="00C15D49"/>
    <w:rsid w:val="00C17A7C"/>
    <w:rsid w:val="00C20ECC"/>
    <w:rsid w:val="00C23096"/>
    <w:rsid w:val="00C23DAA"/>
    <w:rsid w:val="00C24C7F"/>
    <w:rsid w:val="00C27194"/>
    <w:rsid w:val="00C3165A"/>
    <w:rsid w:val="00C32FD9"/>
    <w:rsid w:val="00C34413"/>
    <w:rsid w:val="00C36DAC"/>
    <w:rsid w:val="00C379B8"/>
    <w:rsid w:val="00C37AD2"/>
    <w:rsid w:val="00C37E31"/>
    <w:rsid w:val="00C40914"/>
    <w:rsid w:val="00C424B1"/>
    <w:rsid w:val="00C44197"/>
    <w:rsid w:val="00C44C21"/>
    <w:rsid w:val="00C457AE"/>
    <w:rsid w:val="00C45954"/>
    <w:rsid w:val="00C4630A"/>
    <w:rsid w:val="00C47CD6"/>
    <w:rsid w:val="00C5187E"/>
    <w:rsid w:val="00C528E0"/>
    <w:rsid w:val="00C534EC"/>
    <w:rsid w:val="00C53DC8"/>
    <w:rsid w:val="00C54254"/>
    <w:rsid w:val="00C54580"/>
    <w:rsid w:val="00C5484B"/>
    <w:rsid w:val="00C54ADF"/>
    <w:rsid w:val="00C5597D"/>
    <w:rsid w:val="00C55C39"/>
    <w:rsid w:val="00C55EE4"/>
    <w:rsid w:val="00C56109"/>
    <w:rsid w:val="00C60803"/>
    <w:rsid w:val="00C61F65"/>
    <w:rsid w:val="00C63247"/>
    <w:rsid w:val="00C63269"/>
    <w:rsid w:val="00C639D6"/>
    <w:rsid w:val="00C71B3B"/>
    <w:rsid w:val="00C726B3"/>
    <w:rsid w:val="00C73C84"/>
    <w:rsid w:val="00C75946"/>
    <w:rsid w:val="00C76B46"/>
    <w:rsid w:val="00C80B20"/>
    <w:rsid w:val="00C85491"/>
    <w:rsid w:val="00C86C85"/>
    <w:rsid w:val="00C912E1"/>
    <w:rsid w:val="00C91EFD"/>
    <w:rsid w:val="00C92735"/>
    <w:rsid w:val="00C93F2B"/>
    <w:rsid w:val="00C94223"/>
    <w:rsid w:val="00C94838"/>
    <w:rsid w:val="00C961B3"/>
    <w:rsid w:val="00C96913"/>
    <w:rsid w:val="00C97026"/>
    <w:rsid w:val="00CA11F0"/>
    <w:rsid w:val="00CA3FE5"/>
    <w:rsid w:val="00CA408C"/>
    <w:rsid w:val="00CA71DC"/>
    <w:rsid w:val="00CA75A7"/>
    <w:rsid w:val="00CB1EE1"/>
    <w:rsid w:val="00CB39A2"/>
    <w:rsid w:val="00CB3DA6"/>
    <w:rsid w:val="00CB440A"/>
    <w:rsid w:val="00CB60EA"/>
    <w:rsid w:val="00CB655D"/>
    <w:rsid w:val="00CB6862"/>
    <w:rsid w:val="00CC1C51"/>
    <w:rsid w:val="00CC3801"/>
    <w:rsid w:val="00CC44AE"/>
    <w:rsid w:val="00CC49A1"/>
    <w:rsid w:val="00CC59CC"/>
    <w:rsid w:val="00CC6535"/>
    <w:rsid w:val="00CD103C"/>
    <w:rsid w:val="00CD1834"/>
    <w:rsid w:val="00CD2BF4"/>
    <w:rsid w:val="00CD541A"/>
    <w:rsid w:val="00CD5C5F"/>
    <w:rsid w:val="00CE21BB"/>
    <w:rsid w:val="00CE2DF6"/>
    <w:rsid w:val="00CE2FF9"/>
    <w:rsid w:val="00CE349E"/>
    <w:rsid w:val="00CE4015"/>
    <w:rsid w:val="00CE73F5"/>
    <w:rsid w:val="00CE7415"/>
    <w:rsid w:val="00CE7F57"/>
    <w:rsid w:val="00CF10D0"/>
    <w:rsid w:val="00CF212E"/>
    <w:rsid w:val="00CF3C65"/>
    <w:rsid w:val="00CF3E6F"/>
    <w:rsid w:val="00CF4506"/>
    <w:rsid w:val="00CF4880"/>
    <w:rsid w:val="00CF4F1F"/>
    <w:rsid w:val="00CF6D21"/>
    <w:rsid w:val="00CF74E8"/>
    <w:rsid w:val="00D01831"/>
    <w:rsid w:val="00D02BC2"/>
    <w:rsid w:val="00D032DC"/>
    <w:rsid w:val="00D06C91"/>
    <w:rsid w:val="00D07710"/>
    <w:rsid w:val="00D10D6F"/>
    <w:rsid w:val="00D11434"/>
    <w:rsid w:val="00D13647"/>
    <w:rsid w:val="00D1447C"/>
    <w:rsid w:val="00D16B1E"/>
    <w:rsid w:val="00D16D05"/>
    <w:rsid w:val="00D17498"/>
    <w:rsid w:val="00D17AA6"/>
    <w:rsid w:val="00D21064"/>
    <w:rsid w:val="00D211A0"/>
    <w:rsid w:val="00D22010"/>
    <w:rsid w:val="00D2220E"/>
    <w:rsid w:val="00D23459"/>
    <w:rsid w:val="00D23603"/>
    <w:rsid w:val="00D23B8E"/>
    <w:rsid w:val="00D24A0D"/>
    <w:rsid w:val="00D26B90"/>
    <w:rsid w:val="00D27593"/>
    <w:rsid w:val="00D27DD1"/>
    <w:rsid w:val="00D31FE3"/>
    <w:rsid w:val="00D33545"/>
    <w:rsid w:val="00D33847"/>
    <w:rsid w:val="00D33BD7"/>
    <w:rsid w:val="00D371FC"/>
    <w:rsid w:val="00D41555"/>
    <w:rsid w:val="00D4272C"/>
    <w:rsid w:val="00D42EC5"/>
    <w:rsid w:val="00D447BD"/>
    <w:rsid w:val="00D44F82"/>
    <w:rsid w:val="00D45CC5"/>
    <w:rsid w:val="00D54085"/>
    <w:rsid w:val="00D54429"/>
    <w:rsid w:val="00D547CD"/>
    <w:rsid w:val="00D54B01"/>
    <w:rsid w:val="00D56176"/>
    <w:rsid w:val="00D5644D"/>
    <w:rsid w:val="00D5700A"/>
    <w:rsid w:val="00D5724B"/>
    <w:rsid w:val="00D572B7"/>
    <w:rsid w:val="00D623C5"/>
    <w:rsid w:val="00D62712"/>
    <w:rsid w:val="00D62ABB"/>
    <w:rsid w:val="00D63842"/>
    <w:rsid w:val="00D664DE"/>
    <w:rsid w:val="00D70A9C"/>
    <w:rsid w:val="00D73252"/>
    <w:rsid w:val="00D75DD6"/>
    <w:rsid w:val="00D80991"/>
    <w:rsid w:val="00D80B7D"/>
    <w:rsid w:val="00D80C4A"/>
    <w:rsid w:val="00D82120"/>
    <w:rsid w:val="00D838D2"/>
    <w:rsid w:val="00D871C3"/>
    <w:rsid w:val="00D901B4"/>
    <w:rsid w:val="00D90463"/>
    <w:rsid w:val="00D90F49"/>
    <w:rsid w:val="00D913E3"/>
    <w:rsid w:val="00D919A8"/>
    <w:rsid w:val="00D91E12"/>
    <w:rsid w:val="00D94312"/>
    <w:rsid w:val="00D9540D"/>
    <w:rsid w:val="00D97ADF"/>
    <w:rsid w:val="00DA0842"/>
    <w:rsid w:val="00DA0C43"/>
    <w:rsid w:val="00DA1E3A"/>
    <w:rsid w:val="00DA2707"/>
    <w:rsid w:val="00DA4297"/>
    <w:rsid w:val="00DA6B6B"/>
    <w:rsid w:val="00DB178C"/>
    <w:rsid w:val="00DB2F71"/>
    <w:rsid w:val="00DB384C"/>
    <w:rsid w:val="00DB51E0"/>
    <w:rsid w:val="00DB56B1"/>
    <w:rsid w:val="00DB5AFF"/>
    <w:rsid w:val="00DC1365"/>
    <w:rsid w:val="00DC35D9"/>
    <w:rsid w:val="00DC42A4"/>
    <w:rsid w:val="00DC4D0B"/>
    <w:rsid w:val="00DC5038"/>
    <w:rsid w:val="00DC54D1"/>
    <w:rsid w:val="00DC6A96"/>
    <w:rsid w:val="00DC6AED"/>
    <w:rsid w:val="00DD0AE6"/>
    <w:rsid w:val="00DD228E"/>
    <w:rsid w:val="00DD4204"/>
    <w:rsid w:val="00DD5566"/>
    <w:rsid w:val="00DD5D12"/>
    <w:rsid w:val="00DD6371"/>
    <w:rsid w:val="00DD668F"/>
    <w:rsid w:val="00DD7780"/>
    <w:rsid w:val="00DE0326"/>
    <w:rsid w:val="00DE225B"/>
    <w:rsid w:val="00DE4B17"/>
    <w:rsid w:val="00DE56EA"/>
    <w:rsid w:val="00DE5B29"/>
    <w:rsid w:val="00DE6B53"/>
    <w:rsid w:val="00DE7709"/>
    <w:rsid w:val="00DF1F65"/>
    <w:rsid w:val="00DF267A"/>
    <w:rsid w:val="00DF2895"/>
    <w:rsid w:val="00DF2ED9"/>
    <w:rsid w:val="00DF3286"/>
    <w:rsid w:val="00DF3C1C"/>
    <w:rsid w:val="00DF45E8"/>
    <w:rsid w:val="00DF5274"/>
    <w:rsid w:val="00DF55F9"/>
    <w:rsid w:val="00E0047B"/>
    <w:rsid w:val="00E00BF0"/>
    <w:rsid w:val="00E01A63"/>
    <w:rsid w:val="00E02B47"/>
    <w:rsid w:val="00E02CA1"/>
    <w:rsid w:val="00E071D1"/>
    <w:rsid w:val="00E07ADB"/>
    <w:rsid w:val="00E13240"/>
    <w:rsid w:val="00E1345F"/>
    <w:rsid w:val="00E13746"/>
    <w:rsid w:val="00E179F5"/>
    <w:rsid w:val="00E21A24"/>
    <w:rsid w:val="00E22671"/>
    <w:rsid w:val="00E22C81"/>
    <w:rsid w:val="00E23884"/>
    <w:rsid w:val="00E24815"/>
    <w:rsid w:val="00E24C96"/>
    <w:rsid w:val="00E27C14"/>
    <w:rsid w:val="00E30064"/>
    <w:rsid w:val="00E30250"/>
    <w:rsid w:val="00E30BE8"/>
    <w:rsid w:val="00E322F3"/>
    <w:rsid w:val="00E339D0"/>
    <w:rsid w:val="00E34487"/>
    <w:rsid w:val="00E3566C"/>
    <w:rsid w:val="00E407C8"/>
    <w:rsid w:val="00E41EBB"/>
    <w:rsid w:val="00E42983"/>
    <w:rsid w:val="00E42A76"/>
    <w:rsid w:val="00E42D8D"/>
    <w:rsid w:val="00E453C6"/>
    <w:rsid w:val="00E454BC"/>
    <w:rsid w:val="00E45F61"/>
    <w:rsid w:val="00E47AFE"/>
    <w:rsid w:val="00E516CA"/>
    <w:rsid w:val="00E535B1"/>
    <w:rsid w:val="00E5478A"/>
    <w:rsid w:val="00E5613E"/>
    <w:rsid w:val="00E5644B"/>
    <w:rsid w:val="00E57ACF"/>
    <w:rsid w:val="00E613F3"/>
    <w:rsid w:val="00E627BF"/>
    <w:rsid w:val="00E62878"/>
    <w:rsid w:val="00E630EB"/>
    <w:rsid w:val="00E639D5"/>
    <w:rsid w:val="00E64BC0"/>
    <w:rsid w:val="00E650DF"/>
    <w:rsid w:val="00E65394"/>
    <w:rsid w:val="00E657CD"/>
    <w:rsid w:val="00E700BE"/>
    <w:rsid w:val="00E71133"/>
    <w:rsid w:val="00E721CC"/>
    <w:rsid w:val="00E7265D"/>
    <w:rsid w:val="00E726B9"/>
    <w:rsid w:val="00E72ADF"/>
    <w:rsid w:val="00E72DDD"/>
    <w:rsid w:val="00E73A5C"/>
    <w:rsid w:val="00E809A8"/>
    <w:rsid w:val="00E809AF"/>
    <w:rsid w:val="00E80B7C"/>
    <w:rsid w:val="00E81CB3"/>
    <w:rsid w:val="00E836F2"/>
    <w:rsid w:val="00E84784"/>
    <w:rsid w:val="00E84D7A"/>
    <w:rsid w:val="00E8555D"/>
    <w:rsid w:val="00E87007"/>
    <w:rsid w:val="00E90C09"/>
    <w:rsid w:val="00E948F0"/>
    <w:rsid w:val="00E9516D"/>
    <w:rsid w:val="00E9620E"/>
    <w:rsid w:val="00E97470"/>
    <w:rsid w:val="00E97CCC"/>
    <w:rsid w:val="00EA01FD"/>
    <w:rsid w:val="00EA0FF4"/>
    <w:rsid w:val="00EA131C"/>
    <w:rsid w:val="00EA2A65"/>
    <w:rsid w:val="00EA30EC"/>
    <w:rsid w:val="00EA36BE"/>
    <w:rsid w:val="00EA487F"/>
    <w:rsid w:val="00EA5AD5"/>
    <w:rsid w:val="00EA5B05"/>
    <w:rsid w:val="00EB04BE"/>
    <w:rsid w:val="00EB1886"/>
    <w:rsid w:val="00EB3D94"/>
    <w:rsid w:val="00EB3F23"/>
    <w:rsid w:val="00EB50F7"/>
    <w:rsid w:val="00EB5899"/>
    <w:rsid w:val="00EB7485"/>
    <w:rsid w:val="00EB7714"/>
    <w:rsid w:val="00EC02D4"/>
    <w:rsid w:val="00EC1E86"/>
    <w:rsid w:val="00EC384D"/>
    <w:rsid w:val="00EC5786"/>
    <w:rsid w:val="00EC5931"/>
    <w:rsid w:val="00ED1B1B"/>
    <w:rsid w:val="00ED3D1F"/>
    <w:rsid w:val="00ED642D"/>
    <w:rsid w:val="00ED6F13"/>
    <w:rsid w:val="00ED75D9"/>
    <w:rsid w:val="00EE01E2"/>
    <w:rsid w:val="00EE1042"/>
    <w:rsid w:val="00EE179B"/>
    <w:rsid w:val="00EE1D6D"/>
    <w:rsid w:val="00EE3470"/>
    <w:rsid w:val="00EE51A8"/>
    <w:rsid w:val="00EE62C5"/>
    <w:rsid w:val="00EE644B"/>
    <w:rsid w:val="00EE6B28"/>
    <w:rsid w:val="00EF0496"/>
    <w:rsid w:val="00EF125A"/>
    <w:rsid w:val="00EF1323"/>
    <w:rsid w:val="00EF1F6C"/>
    <w:rsid w:val="00EF2603"/>
    <w:rsid w:val="00EF381F"/>
    <w:rsid w:val="00EF53FC"/>
    <w:rsid w:val="00EF57A9"/>
    <w:rsid w:val="00EF5C74"/>
    <w:rsid w:val="00EF6A6F"/>
    <w:rsid w:val="00EF6CB0"/>
    <w:rsid w:val="00EF7BCA"/>
    <w:rsid w:val="00F01AB4"/>
    <w:rsid w:val="00F02471"/>
    <w:rsid w:val="00F035DC"/>
    <w:rsid w:val="00F0511A"/>
    <w:rsid w:val="00F05C9F"/>
    <w:rsid w:val="00F05F99"/>
    <w:rsid w:val="00F071F1"/>
    <w:rsid w:val="00F07B32"/>
    <w:rsid w:val="00F07DCB"/>
    <w:rsid w:val="00F108B8"/>
    <w:rsid w:val="00F111A1"/>
    <w:rsid w:val="00F13265"/>
    <w:rsid w:val="00F16082"/>
    <w:rsid w:val="00F16946"/>
    <w:rsid w:val="00F20462"/>
    <w:rsid w:val="00F216DC"/>
    <w:rsid w:val="00F2228D"/>
    <w:rsid w:val="00F23992"/>
    <w:rsid w:val="00F24E2E"/>
    <w:rsid w:val="00F266F3"/>
    <w:rsid w:val="00F26B6A"/>
    <w:rsid w:val="00F276D8"/>
    <w:rsid w:val="00F30B31"/>
    <w:rsid w:val="00F30BFC"/>
    <w:rsid w:val="00F3316B"/>
    <w:rsid w:val="00F339F6"/>
    <w:rsid w:val="00F33D5E"/>
    <w:rsid w:val="00F342FF"/>
    <w:rsid w:val="00F34C19"/>
    <w:rsid w:val="00F34C7B"/>
    <w:rsid w:val="00F35235"/>
    <w:rsid w:val="00F4122D"/>
    <w:rsid w:val="00F41571"/>
    <w:rsid w:val="00F41BBC"/>
    <w:rsid w:val="00F449A6"/>
    <w:rsid w:val="00F45E35"/>
    <w:rsid w:val="00F46AD2"/>
    <w:rsid w:val="00F46CEB"/>
    <w:rsid w:val="00F47005"/>
    <w:rsid w:val="00F50C54"/>
    <w:rsid w:val="00F51B10"/>
    <w:rsid w:val="00F534E8"/>
    <w:rsid w:val="00F56C66"/>
    <w:rsid w:val="00F57829"/>
    <w:rsid w:val="00F612CD"/>
    <w:rsid w:val="00F61E07"/>
    <w:rsid w:val="00F62F17"/>
    <w:rsid w:val="00F66E52"/>
    <w:rsid w:val="00F6791D"/>
    <w:rsid w:val="00F67EFE"/>
    <w:rsid w:val="00F7184A"/>
    <w:rsid w:val="00F732D4"/>
    <w:rsid w:val="00F73EA8"/>
    <w:rsid w:val="00F77C7C"/>
    <w:rsid w:val="00F81EDE"/>
    <w:rsid w:val="00F81FE6"/>
    <w:rsid w:val="00F832C9"/>
    <w:rsid w:val="00F83996"/>
    <w:rsid w:val="00F84D6B"/>
    <w:rsid w:val="00F865DB"/>
    <w:rsid w:val="00F87CCA"/>
    <w:rsid w:val="00F87F8A"/>
    <w:rsid w:val="00F9180F"/>
    <w:rsid w:val="00F91C6F"/>
    <w:rsid w:val="00F937EA"/>
    <w:rsid w:val="00F94B58"/>
    <w:rsid w:val="00F95434"/>
    <w:rsid w:val="00F9650A"/>
    <w:rsid w:val="00F9674D"/>
    <w:rsid w:val="00F973C2"/>
    <w:rsid w:val="00FA0F03"/>
    <w:rsid w:val="00FA18BA"/>
    <w:rsid w:val="00FA2491"/>
    <w:rsid w:val="00FA2DA9"/>
    <w:rsid w:val="00FA2DBE"/>
    <w:rsid w:val="00FA6318"/>
    <w:rsid w:val="00FA6783"/>
    <w:rsid w:val="00FB01A6"/>
    <w:rsid w:val="00FB2751"/>
    <w:rsid w:val="00FB47A7"/>
    <w:rsid w:val="00FB6479"/>
    <w:rsid w:val="00FB770A"/>
    <w:rsid w:val="00FB7C23"/>
    <w:rsid w:val="00FC0707"/>
    <w:rsid w:val="00FC1AD1"/>
    <w:rsid w:val="00FC3976"/>
    <w:rsid w:val="00FC3F62"/>
    <w:rsid w:val="00FC4A82"/>
    <w:rsid w:val="00FC4F15"/>
    <w:rsid w:val="00FC5007"/>
    <w:rsid w:val="00FC5A83"/>
    <w:rsid w:val="00FC5F3C"/>
    <w:rsid w:val="00FC6477"/>
    <w:rsid w:val="00FC6809"/>
    <w:rsid w:val="00FC7795"/>
    <w:rsid w:val="00FC7908"/>
    <w:rsid w:val="00FD0CAB"/>
    <w:rsid w:val="00FD3854"/>
    <w:rsid w:val="00FD473E"/>
    <w:rsid w:val="00FD6E43"/>
    <w:rsid w:val="00FE03FC"/>
    <w:rsid w:val="00FE17D4"/>
    <w:rsid w:val="00FE1934"/>
    <w:rsid w:val="00FE3641"/>
    <w:rsid w:val="00FE433D"/>
    <w:rsid w:val="00FE6653"/>
    <w:rsid w:val="00FE7F1F"/>
    <w:rsid w:val="00FF0216"/>
    <w:rsid w:val="00FF3E11"/>
    <w:rsid w:val="00FF5A32"/>
    <w:rsid w:val="00FF5CBD"/>
    <w:rsid w:val="00FF6DBB"/>
    <w:rsid w:val="00FF6E1E"/>
    <w:rsid w:val="00FF6F6C"/>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9C9231"/>
  <w15:chartTrackingRefBased/>
  <w15:docId w15:val="{8FE4D3F6-68AA-46B2-90F3-35820410F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Rubrik1">
    <w:name w:val="heading 1"/>
    <w:basedOn w:val="Normal"/>
    <w:next w:val="Normal"/>
    <w:link w:val="Rubrik1Char"/>
    <w:uiPriority w:val="9"/>
    <w:qFormat/>
    <w:rsid w:val="000739A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Rubrik2">
    <w:name w:val="heading 2"/>
    <w:basedOn w:val="Normal"/>
    <w:next w:val="Normal"/>
    <w:link w:val="Rubrik2Char"/>
    <w:uiPriority w:val="9"/>
    <w:unhideWhenUsed/>
    <w:qFormat/>
    <w:rsid w:val="000739A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Rubrik3">
    <w:name w:val="heading 3"/>
    <w:basedOn w:val="Normal"/>
    <w:next w:val="Normal"/>
    <w:link w:val="Rubrik3Char"/>
    <w:uiPriority w:val="9"/>
    <w:unhideWhenUsed/>
    <w:qFormat/>
    <w:rsid w:val="000739AF"/>
    <w:pPr>
      <w:keepNext/>
      <w:keepLines/>
      <w:spacing w:before="160" w:after="80"/>
      <w:outlineLvl w:val="2"/>
    </w:pPr>
    <w:rPr>
      <w:rFonts w:eastAsiaTheme="majorEastAsia" w:cstheme="majorBidi"/>
      <w:color w:val="2F5496" w:themeColor="accent1" w:themeShade="BF"/>
      <w:sz w:val="28"/>
      <w:szCs w:val="28"/>
    </w:rPr>
  </w:style>
  <w:style w:type="paragraph" w:styleId="Rubrik4">
    <w:name w:val="heading 4"/>
    <w:basedOn w:val="Normal"/>
    <w:next w:val="Normal"/>
    <w:link w:val="Rubrik4Char"/>
    <w:uiPriority w:val="9"/>
    <w:semiHidden/>
    <w:unhideWhenUsed/>
    <w:qFormat/>
    <w:rsid w:val="000739AF"/>
    <w:pPr>
      <w:keepNext/>
      <w:keepLines/>
      <w:spacing w:before="80" w:after="40"/>
      <w:outlineLvl w:val="3"/>
    </w:pPr>
    <w:rPr>
      <w:rFonts w:eastAsiaTheme="majorEastAsia" w:cstheme="majorBidi"/>
      <w:i/>
      <w:iCs/>
      <w:color w:val="2F5496" w:themeColor="accent1" w:themeShade="BF"/>
    </w:rPr>
  </w:style>
  <w:style w:type="paragraph" w:styleId="Rubrik5">
    <w:name w:val="heading 5"/>
    <w:basedOn w:val="Normal"/>
    <w:next w:val="Normal"/>
    <w:link w:val="Rubrik5Char"/>
    <w:uiPriority w:val="9"/>
    <w:semiHidden/>
    <w:unhideWhenUsed/>
    <w:qFormat/>
    <w:rsid w:val="000739AF"/>
    <w:pPr>
      <w:keepNext/>
      <w:keepLines/>
      <w:spacing w:before="80" w:after="40"/>
      <w:outlineLvl w:val="4"/>
    </w:pPr>
    <w:rPr>
      <w:rFonts w:eastAsiaTheme="majorEastAsia" w:cstheme="majorBidi"/>
      <w:color w:val="2F5496" w:themeColor="accent1" w:themeShade="BF"/>
    </w:rPr>
  </w:style>
  <w:style w:type="paragraph" w:styleId="Rubrik6">
    <w:name w:val="heading 6"/>
    <w:basedOn w:val="Normal"/>
    <w:next w:val="Normal"/>
    <w:link w:val="Rubrik6Char"/>
    <w:uiPriority w:val="9"/>
    <w:semiHidden/>
    <w:unhideWhenUsed/>
    <w:qFormat/>
    <w:rsid w:val="000739AF"/>
    <w:pPr>
      <w:keepNext/>
      <w:keepLines/>
      <w:spacing w:before="40" w:after="0"/>
      <w:outlineLvl w:val="5"/>
    </w:pPr>
    <w:rPr>
      <w:rFonts w:eastAsiaTheme="majorEastAsia" w:cstheme="majorBidi"/>
      <w:i/>
      <w:iCs/>
      <w:color w:val="595959" w:themeColor="text1" w:themeTint="A6"/>
    </w:rPr>
  </w:style>
  <w:style w:type="paragraph" w:styleId="Rubrik7">
    <w:name w:val="heading 7"/>
    <w:basedOn w:val="Normal"/>
    <w:next w:val="Normal"/>
    <w:link w:val="Rubrik7Char"/>
    <w:uiPriority w:val="9"/>
    <w:semiHidden/>
    <w:unhideWhenUsed/>
    <w:qFormat/>
    <w:rsid w:val="000739AF"/>
    <w:pPr>
      <w:keepNext/>
      <w:keepLines/>
      <w:spacing w:before="40" w:after="0"/>
      <w:outlineLvl w:val="6"/>
    </w:pPr>
    <w:rPr>
      <w:rFonts w:eastAsiaTheme="majorEastAsia" w:cstheme="majorBidi"/>
      <w:color w:val="595959" w:themeColor="text1" w:themeTint="A6"/>
    </w:rPr>
  </w:style>
  <w:style w:type="paragraph" w:styleId="Rubrik8">
    <w:name w:val="heading 8"/>
    <w:basedOn w:val="Normal"/>
    <w:next w:val="Normal"/>
    <w:link w:val="Rubrik8Char"/>
    <w:uiPriority w:val="9"/>
    <w:semiHidden/>
    <w:unhideWhenUsed/>
    <w:qFormat/>
    <w:rsid w:val="000739AF"/>
    <w:pPr>
      <w:keepNext/>
      <w:keepLines/>
      <w:spacing w:after="0"/>
      <w:outlineLvl w:val="7"/>
    </w:pPr>
    <w:rPr>
      <w:rFonts w:eastAsiaTheme="majorEastAsia" w:cstheme="majorBidi"/>
      <w:i/>
      <w:iCs/>
      <w:color w:val="272727" w:themeColor="text1" w:themeTint="D8"/>
    </w:rPr>
  </w:style>
  <w:style w:type="paragraph" w:styleId="Rubrik9">
    <w:name w:val="heading 9"/>
    <w:basedOn w:val="Normal"/>
    <w:next w:val="Normal"/>
    <w:link w:val="Rubrik9Char"/>
    <w:uiPriority w:val="9"/>
    <w:semiHidden/>
    <w:unhideWhenUsed/>
    <w:qFormat/>
    <w:rsid w:val="000739AF"/>
    <w:pPr>
      <w:keepNext/>
      <w:keepLines/>
      <w:spacing w:after="0"/>
      <w:outlineLvl w:val="8"/>
    </w:pPr>
    <w:rPr>
      <w:rFonts w:eastAsiaTheme="majorEastAsia" w:cstheme="majorBidi"/>
      <w:color w:val="272727" w:themeColor="text1" w:themeTint="D8"/>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1Char">
    <w:name w:val="Rubrik 1 Char"/>
    <w:basedOn w:val="Standardstycketeckensnitt"/>
    <w:link w:val="Rubrik1"/>
    <w:uiPriority w:val="9"/>
    <w:rsid w:val="000739AF"/>
    <w:rPr>
      <w:rFonts w:asciiTheme="majorHAnsi" w:eastAsiaTheme="majorEastAsia" w:hAnsiTheme="majorHAnsi" w:cstheme="majorBidi"/>
      <w:color w:val="2F5496" w:themeColor="accent1" w:themeShade="BF"/>
      <w:sz w:val="40"/>
      <w:szCs w:val="40"/>
    </w:rPr>
  </w:style>
  <w:style w:type="character" w:customStyle="1" w:styleId="Rubrik2Char">
    <w:name w:val="Rubrik 2 Char"/>
    <w:basedOn w:val="Standardstycketeckensnitt"/>
    <w:link w:val="Rubrik2"/>
    <w:uiPriority w:val="9"/>
    <w:rsid w:val="000739AF"/>
    <w:rPr>
      <w:rFonts w:asciiTheme="majorHAnsi" w:eastAsiaTheme="majorEastAsia" w:hAnsiTheme="majorHAnsi" w:cstheme="majorBidi"/>
      <w:color w:val="2F5496" w:themeColor="accent1" w:themeShade="BF"/>
      <w:sz w:val="32"/>
      <w:szCs w:val="32"/>
    </w:rPr>
  </w:style>
  <w:style w:type="character" w:customStyle="1" w:styleId="Rubrik3Char">
    <w:name w:val="Rubrik 3 Char"/>
    <w:basedOn w:val="Standardstycketeckensnitt"/>
    <w:link w:val="Rubrik3"/>
    <w:uiPriority w:val="9"/>
    <w:rsid w:val="000739AF"/>
    <w:rPr>
      <w:rFonts w:eastAsiaTheme="majorEastAsia" w:cstheme="majorBidi"/>
      <w:color w:val="2F5496" w:themeColor="accent1" w:themeShade="BF"/>
      <w:sz w:val="28"/>
      <w:szCs w:val="28"/>
    </w:rPr>
  </w:style>
  <w:style w:type="character" w:customStyle="1" w:styleId="Rubrik4Char">
    <w:name w:val="Rubrik 4 Char"/>
    <w:basedOn w:val="Standardstycketeckensnitt"/>
    <w:link w:val="Rubrik4"/>
    <w:uiPriority w:val="9"/>
    <w:semiHidden/>
    <w:rsid w:val="000739AF"/>
    <w:rPr>
      <w:rFonts w:eastAsiaTheme="majorEastAsia" w:cstheme="majorBidi"/>
      <w:i/>
      <w:iCs/>
      <w:color w:val="2F5496" w:themeColor="accent1" w:themeShade="BF"/>
    </w:rPr>
  </w:style>
  <w:style w:type="character" w:customStyle="1" w:styleId="Rubrik5Char">
    <w:name w:val="Rubrik 5 Char"/>
    <w:basedOn w:val="Standardstycketeckensnitt"/>
    <w:link w:val="Rubrik5"/>
    <w:uiPriority w:val="9"/>
    <w:semiHidden/>
    <w:rsid w:val="000739AF"/>
    <w:rPr>
      <w:rFonts w:eastAsiaTheme="majorEastAsia" w:cstheme="majorBidi"/>
      <w:color w:val="2F5496" w:themeColor="accent1" w:themeShade="BF"/>
    </w:rPr>
  </w:style>
  <w:style w:type="character" w:customStyle="1" w:styleId="Rubrik6Char">
    <w:name w:val="Rubrik 6 Char"/>
    <w:basedOn w:val="Standardstycketeckensnitt"/>
    <w:link w:val="Rubrik6"/>
    <w:uiPriority w:val="9"/>
    <w:semiHidden/>
    <w:rsid w:val="000739AF"/>
    <w:rPr>
      <w:rFonts w:eastAsiaTheme="majorEastAsia" w:cstheme="majorBidi"/>
      <w:i/>
      <w:iCs/>
      <w:color w:val="595959" w:themeColor="text1" w:themeTint="A6"/>
    </w:rPr>
  </w:style>
  <w:style w:type="character" w:customStyle="1" w:styleId="Rubrik7Char">
    <w:name w:val="Rubrik 7 Char"/>
    <w:basedOn w:val="Standardstycketeckensnitt"/>
    <w:link w:val="Rubrik7"/>
    <w:uiPriority w:val="9"/>
    <w:semiHidden/>
    <w:rsid w:val="000739AF"/>
    <w:rPr>
      <w:rFonts w:eastAsiaTheme="majorEastAsia" w:cstheme="majorBidi"/>
      <w:color w:val="595959" w:themeColor="text1" w:themeTint="A6"/>
    </w:rPr>
  </w:style>
  <w:style w:type="character" w:customStyle="1" w:styleId="Rubrik8Char">
    <w:name w:val="Rubrik 8 Char"/>
    <w:basedOn w:val="Standardstycketeckensnitt"/>
    <w:link w:val="Rubrik8"/>
    <w:uiPriority w:val="9"/>
    <w:semiHidden/>
    <w:rsid w:val="000739AF"/>
    <w:rPr>
      <w:rFonts w:eastAsiaTheme="majorEastAsia" w:cstheme="majorBidi"/>
      <w:i/>
      <w:iCs/>
      <w:color w:val="272727" w:themeColor="text1" w:themeTint="D8"/>
    </w:rPr>
  </w:style>
  <w:style w:type="character" w:customStyle="1" w:styleId="Rubrik9Char">
    <w:name w:val="Rubrik 9 Char"/>
    <w:basedOn w:val="Standardstycketeckensnitt"/>
    <w:link w:val="Rubrik9"/>
    <w:uiPriority w:val="9"/>
    <w:semiHidden/>
    <w:rsid w:val="000739AF"/>
    <w:rPr>
      <w:rFonts w:eastAsiaTheme="majorEastAsia" w:cstheme="majorBidi"/>
      <w:color w:val="272727" w:themeColor="text1" w:themeTint="D8"/>
    </w:rPr>
  </w:style>
  <w:style w:type="paragraph" w:styleId="Rubrik">
    <w:name w:val="Title"/>
    <w:basedOn w:val="Normal"/>
    <w:next w:val="Normal"/>
    <w:link w:val="RubrikChar"/>
    <w:uiPriority w:val="10"/>
    <w:qFormat/>
    <w:rsid w:val="000739A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rsid w:val="000739AF"/>
    <w:rPr>
      <w:rFonts w:asciiTheme="majorHAnsi" w:eastAsiaTheme="majorEastAsia" w:hAnsiTheme="majorHAnsi" w:cstheme="majorBidi"/>
      <w:spacing w:val="-10"/>
      <w:kern w:val="28"/>
      <w:sz w:val="56"/>
      <w:szCs w:val="56"/>
    </w:rPr>
  </w:style>
  <w:style w:type="paragraph" w:styleId="Underrubrik">
    <w:name w:val="Subtitle"/>
    <w:basedOn w:val="Normal"/>
    <w:next w:val="Normal"/>
    <w:link w:val="UnderrubrikChar"/>
    <w:uiPriority w:val="11"/>
    <w:qFormat/>
    <w:rsid w:val="000739AF"/>
    <w:pPr>
      <w:numPr>
        <w:ilvl w:val="1"/>
      </w:numPr>
    </w:pPr>
    <w:rPr>
      <w:rFonts w:eastAsiaTheme="majorEastAsia" w:cstheme="majorBidi"/>
      <w:color w:val="595959" w:themeColor="text1" w:themeTint="A6"/>
      <w:spacing w:val="15"/>
      <w:sz w:val="28"/>
      <w:szCs w:val="28"/>
    </w:rPr>
  </w:style>
  <w:style w:type="character" w:customStyle="1" w:styleId="UnderrubrikChar">
    <w:name w:val="Underrubrik Char"/>
    <w:basedOn w:val="Standardstycketeckensnitt"/>
    <w:link w:val="Underrubrik"/>
    <w:uiPriority w:val="11"/>
    <w:rsid w:val="000739AF"/>
    <w:rPr>
      <w:rFonts w:eastAsiaTheme="majorEastAsia" w:cstheme="majorBidi"/>
      <w:color w:val="595959" w:themeColor="text1" w:themeTint="A6"/>
      <w:spacing w:val="15"/>
      <w:sz w:val="28"/>
      <w:szCs w:val="28"/>
    </w:rPr>
  </w:style>
  <w:style w:type="paragraph" w:styleId="Citat">
    <w:name w:val="Quote"/>
    <w:basedOn w:val="Normal"/>
    <w:next w:val="Normal"/>
    <w:link w:val="CitatChar"/>
    <w:uiPriority w:val="29"/>
    <w:qFormat/>
    <w:rsid w:val="000739AF"/>
    <w:pPr>
      <w:spacing w:before="160"/>
      <w:jc w:val="center"/>
    </w:pPr>
    <w:rPr>
      <w:i/>
      <w:iCs/>
      <w:color w:val="404040" w:themeColor="text1" w:themeTint="BF"/>
    </w:rPr>
  </w:style>
  <w:style w:type="character" w:customStyle="1" w:styleId="CitatChar">
    <w:name w:val="Citat Char"/>
    <w:basedOn w:val="Standardstycketeckensnitt"/>
    <w:link w:val="Citat"/>
    <w:uiPriority w:val="29"/>
    <w:rsid w:val="000739AF"/>
    <w:rPr>
      <w:i/>
      <w:iCs/>
      <w:color w:val="404040" w:themeColor="text1" w:themeTint="BF"/>
    </w:rPr>
  </w:style>
  <w:style w:type="paragraph" w:styleId="Liststycke">
    <w:name w:val="List Paragraph"/>
    <w:basedOn w:val="Normal"/>
    <w:uiPriority w:val="34"/>
    <w:qFormat/>
    <w:rsid w:val="000739AF"/>
    <w:pPr>
      <w:ind w:left="720"/>
      <w:contextualSpacing/>
    </w:pPr>
  </w:style>
  <w:style w:type="character" w:styleId="Starkbetoning">
    <w:name w:val="Intense Emphasis"/>
    <w:basedOn w:val="Standardstycketeckensnitt"/>
    <w:uiPriority w:val="21"/>
    <w:qFormat/>
    <w:rsid w:val="000739AF"/>
    <w:rPr>
      <w:i/>
      <w:iCs/>
      <w:color w:val="2F5496" w:themeColor="accent1" w:themeShade="BF"/>
    </w:rPr>
  </w:style>
  <w:style w:type="paragraph" w:styleId="Starktcitat">
    <w:name w:val="Intense Quote"/>
    <w:basedOn w:val="Normal"/>
    <w:next w:val="Normal"/>
    <w:link w:val="StarktcitatChar"/>
    <w:uiPriority w:val="30"/>
    <w:qFormat/>
    <w:rsid w:val="000739A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StarktcitatChar">
    <w:name w:val="Starkt citat Char"/>
    <w:basedOn w:val="Standardstycketeckensnitt"/>
    <w:link w:val="Starktcitat"/>
    <w:uiPriority w:val="30"/>
    <w:rsid w:val="000739AF"/>
    <w:rPr>
      <w:i/>
      <w:iCs/>
      <w:color w:val="2F5496" w:themeColor="accent1" w:themeShade="BF"/>
    </w:rPr>
  </w:style>
  <w:style w:type="character" w:styleId="Starkreferens">
    <w:name w:val="Intense Reference"/>
    <w:basedOn w:val="Standardstycketeckensnitt"/>
    <w:uiPriority w:val="32"/>
    <w:qFormat/>
    <w:rsid w:val="000739AF"/>
    <w:rPr>
      <w:b/>
      <w:bCs/>
      <w:smallCaps/>
      <w:color w:val="2F5496" w:themeColor="accent1" w:themeShade="BF"/>
      <w:spacing w:val="5"/>
    </w:rPr>
  </w:style>
  <w:style w:type="paragraph" w:styleId="Normalwebb">
    <w:name w:val="Normal (Web)"/>
    <w:basedOn w:val="Normal"/>
    <w:uiPriority w:val="99"/>
    <w:unhideWhenUsed/>
    <w:rsid w:val="00C32FD9"/>
    <w:pPr>
      <w:spacing w:before="100" w:beforeAutospacing="1" w:after="100" w:afterAutospacing="1" w:line="240" w:lineRule="auto"/>
    </w:pPr>
    <w:rPr>
      <w:rFonts w:ascii="Times New Roman" w:eastAsia="Times New Roman" w:hAnsi="Times New Roman" w:cs="Times New Roman"/>
      <w:sz w:val="24"/>
      <w:szCs w:val="24"/>
      <w:lang w:eastAsia="sv-SE"/>
    </w:rPr>
  </w:style>
  <w:style w:type="character" w:styleId="Hyperlnk">
    <w:name w:val="Hyperlink"/>
    <w:basedOn w:val="Standardstycketeckensnitt"/>
    <w:uiPriority w:val="99"/>
    <w:unhideWhenUsed/>
    <w:rsid w:val="001B2C4C"/>
    <w:rPr>
      <w:color w:val="0563C1" w:themeColor="hyperlink"/>
      <w:u w:val="single"/>
    </w:rPr>
  </w:style>
  <w:style w:type="character" w:styleId="Olstomnmnande">
    <w:name w:val="Unresolved Mention"/>
    <w:basedOn w:val="Standardstycketeckensnitt"/>
    <w:uiPriority w:val="99"/>
    <w:semiHidden/>
    <w:unhideWhenUsed/>
    <w:rsid w:val="001B2C4C"/>
    <w:rPr>
      <w:color w:val="605E5C"/>
      <w:shd w:val="clear" w:color="auto" w:fill="E1DFDD"/>
    </w:rPr>
  </w:style>
  <w:style w:type="character" w:customStyle="1" w:styleId="whitespace-normal">
    <w:name w:val="whitespace-normal"/>
    <w:basedOn w:val="Standardstycketeckensnitt"/>
    <w:rsid w:val="00C124A7"/>
  </w:style>
  <w:style w:type="character" w:styleId="Stark">
    <w:name w:val="Strong"/>
    <w:basedOn w:val="Standardstycketeckensnitt"/>
    <w:uiPriority w:val="22"/>
    <w:qFormat/>
    <w:rsid w:val="008963A8"/>
    <w:rPr>
      <w:b/>
      <w:bCs/>
    </w:rPr>
  </w:style>
  <w:style w:type="paragraph" w:styleId="HTML-frformaterad">
    <w:name w:val="HTML Preformatted"/>
    <w:basedOn w:val="Normal"/>
    <w:link w:val="HTML-frformateradChar"/>
    <w:uiPriority w:val="99"/>
    <w:semiHidden/>
    <w:unhideWhenUsed/>
    <w:rsid w:val="006B1E58"/>
    <w:pPr>
      <w:spacing w:after="0" w:line="240" w:lineRule="auto"/>
    </w:pPr>
    <w:rPr>
      <w:rFonts w:ascii="Consolas" w:hAnsi="Consolas"/>
      <w:sz w:val="20"/>
      <w:szCs w:val="20"/>
    </w:rPr>
  </w:style>
  <w:style w:type="character" w:customStyle="1" w:styleId="HTML-frformateradChar">
    <w:name w:val="HTML - förformaterad Char"/>
    <w:basedOn w:val="Standardstycketeckensnitt"/>
    <w:link w:val="HTML-frformaterad"/>
    <w:uiPriority w:val="99"/>
    <w:semiHidden/>
    <w:rsid w:val="006B1E58"/>
    <w:rPr>
      <w:rFonts w:ascii="Consolas" w:hAnsi="Consolas"/>
      <w:sz w:val="20"/>
      <w:szCs w:val="20"/>
    </w:rPr>
  </w:style>
  <w:style w:type="paragraph" w:customStyle="1" w:styleId="nuc-modal-bodycitation-content">
    <w:name w:val="nuc-modal-body__citation-content"/>
    <w:basedOn w:val="Normal"/>
    <w:rsid w:val="005E76AE"/>
    <w:pPr>
      <w:spacing w:before="100" w:beforeAutospacing="1" w:after="100" w:afterAutospacing="1" w:line="240" w:lineRule="auto"/>
    </w:pPr>
    <w:rPr>
      <w:rFonts w:ascii="Times New Roman" w:eastAsia="Times New Roman" w:hAnsi="Times New Roman" w:cs="Times New Roman"/>
      <w:sz w:val="24"/>
      <w:szCs w:val="24"/>
      <w:lang w:eastAsia="sv-SE"/>
    </w:rPr>
  </w:style>
  <w:style w:type="character" w:customStyle="1" w:styleId="bzpyqfadein">
    <w:name w:val="bz_pyq_fadein"/>
    <w:basedOn w:val="Standardstycketeckensnitt"/>
    <w:rsid w:val="00CF4880"/>
  </w:style>
  <w:style w:type="paragraph" w:styleId="Sidhuvud">
    <w:name w:val="header"/>
    <w:basedOn w:val="Normal"/>
    <w:link w:val="SidhuvudChar"/>
    <w:uiPriority w:val="99"/>
    <w:unhideWhenUsed/>
    <w:rsid w:val="00FA6783"/>
    <w:pPr>
      <w:tabs>
        <w:tab w:val="center" w:pos="4536"/>
        <w:tab w:val="right" w:pos="9072"/>
      </w:tabs>
      <w:spacing w:after="0" w:line="240" w:lineRule="auto"/>
    </w:pPr>
  </w:style>
  <w:style w:type="character" w:customStyle="1" w:styleId="SidhuvudChar">
    <w:name w:val="Sidhuvud Char"/>
    <w:basedOn w:val="Standardstycketeckensnitt"/>
    <w:link w:val="Sidhuvud"/>
    <w:uiPriority w:val="99"/>
    <w:rsid w:val="00FA6783"/>
    <w:rPr>
      <w:lang w:val="en-GB"/>
    </w:rPr>
  </w:style>
  <w:style w:type="paragraph" w:styleId="Sidfot">
    <w:name w:val="footer"/>
    <w:basedOn w:val="Normal"/>
    <w:link w:val="SidfotChar"/>
    <w:uiPriority w:val="99"/>
    <w:unhideWhenUsed/>
    <w:rsid w:val="00FA6783"/>
    <w:pPr>
      <w:tabs>
        <w:tab w:val="center" w:pos="4536"/>
        <w:tab w:val="right" w:pos="9072"/>
      </w:tabs>
      <w:spacing w:after="0" w:line="240" w:lineRule="auto"/>
    </w:pPr>
  </w:style>
  <w:style w:type="character" w:customStyle="1" w:styleId="SidfotChar">
    <w:name w:val="Sidfot Char"/>
    <w:basedOn w:val="Standardstycketeckensnitt"/>
    <w:link w:val="Sidfot"/>
    <w:uiPriority w:val="99"/>
    <w:rsid w:val="00FA6783"/>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91/1478088706qp063oa" TargetMode="External"/><Relationship Id="rId18" Type="http://schemas.openxmlformats.org/officeDocument/2006/relationships/hyperlink" Target="https://doi.org/10.14221/ajte.2018v43n5.1" TargetMode="External"/><Relationship Id="rId26" Type="http://schemas.openxmlformats.org/officeDocument/2006/relationships/hyperlink" Target="https://doi.org/10.1080/13814788.2017.1375092" TargetMode="External"/><Relationship Id="rId39" Type="http://schemas.openxmlformats.org/officeDocument/2006/relationships/hyperlink" Target="https://doi.org/10.1386/adch_00082_1" TargetMode="External"/><Relationship Id="rId21" Type="http://schemas.openxmlformats.org/officeDocument/2006/relationships/hyperlink" Target="https://doi.org/10.5590/JOSC.2018.10.1.02" TargetMode="External"/><Relationship Id="rId34" Type="http://schemas.openxmlformats.org/officeDocument/2006/relationships/hyperlink" Target="https://doi.org/10.1787/059ce467-en" TargetMode="External"/><Relationship Id="rId42" Type="http://schemas.openxmlformats.org/officeDocument/2006/relationships/hyperlink" Target="https://www.riksdagen.se/sv/dokument-och-lagar/dokument/svensk-forfattningssamling/skollag-2010800_sfs-2010-800/" TargetMode="External"/><Relationship Id="rId47" Type="http://schemas.openxmlformats.org/officeDocument/2006/relationships/hyperlink" Target="https://doi.org/10.1080/10508406.2018.1522258" TargetMode="External"/><Relationship Id="rId50" Type="http://schemas.openxmlformats.org/officeDocument/2006/relationships/hyperlink" Target="https://doi.org/10.30831/akukeg.1004155" TargetMode="External"/><Relationship Id="rId7" Type="http://schemas.openxmlformats.org/officeDocument/2006/relationships/hyperlink" Target="https://doi.org/10.1002/jac5.1441" TargetMode="External"/><Relationship Id="rId2" Type="http://schemas.openxmlformats.org/officeDocument/2006/relationships/styles" Target="styles.xml"/><Relationship Id="rId16" Type="http://schemas.openxmlformats.org/officeDocument/2006/relationships/hyperlink" Target="https://doi.org/10.1177/0011000006287390" TargetMode="External"/><Relationship Id="rId29" Type="http://schemas.openxmlformats.org/officeDocument/2006/relationships/hyperlink" Target="https://doi.org/10.1080/02188791.2016.1216827" TargetMode="External"/><Relationship Id="rId11" Type="http://schemas.openxmlformats.org/officeDocument/2006/relationships/hyperlink" Target="https://www.bera.ac.uk/publication/ethical-guidelines-for-educational-research-fifth-edition-2024-online" TargetMode="External"/><Relationship Id="rId24" Type="http://schemas.openxmlformats.org/officeDocument/2006/relationships/hyperlink" Target="https://doi.org/10.1016/j.lindif.2024.102488" TargetMode="External"/><Relationship Id="rId32" Type="http://schemas.openxmlformats.org/officeDocument/2006/relationships/hyperlink" Target="https://doi.org/10.1080/14681366.2023.2298441" TargetMode="External"/><Relationship Id="rId37" Type="http://schemas.openxmlformats.org/officeDocument/2006/relationships/hyperlink" Target="https://doi.org/10.1007/s10648-021-09636-3" TargetMode="External"/><Relationship Id="rId40" Type="http://schemas.openxmlformats.org/officeDocument/2006/relationships/hyperlink" Target="https://doi.org/10.1080/09571736.2022.2042366" TargetMode="External"/><Relationship Id="rId45" Type="http://schemas.openxmlformats.org/officeDocument/2006/relationships/hyperlink" Target="https://doi.org/10.1080/10901027.2025.2591098" TargetMode="External"/><Relationship Id="rId53"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hyperlink" Target="https://doi.org/10.1007/s10654-021-00839-0" TargetMode="External"/><Relationship Id="rId19" Type="http://schemas.openxmlformats.org/officeDocument/2006/relationships/hyperlink" Target="https://doi.org/10.1177/00317217251405525" TargetMode="External"/><Relationship Id="rId31" Type="http://schemas.openxmlformats.org/officeDocument/2006/relationships/hyperlink" Target="https://doi.org/10.1177/0261429418824110" TargetMode="External"/><Relationship Id="rId44" Type="http://schemas.openxmlformats.org/officeDocument/2006/relationships/hyperlink" Target="https://doi.org/10.1177/14697874251356242" TargetMode="External"/><Relationship Id="rId5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1080/13664530.2024.2365720" TargetMode="External"/><Relationship Id="rId14" Type="http://schemas.openxmlformats.org/officeDocument/2006/relationships/hyperlink" Target="https://doi.org/10.1177/0021886305277275" TargetMode="External"/><Relationship Id="rId22" Type="http://schemas.openxmlformats.org/officeDocument/2006/relationships/hyperlink" Target="https://doi.org/10.2458/jslat.7415" TargetMode="External"/><Relationship Id="rId27" Type="http://schemas.openxmlformats.org/officeDocument/2006/relationships/hyperlink" Target="https://doi.org/10.1111/modl.12816" TargetMode="External"/><Relationship Id="rId30" Type="http://schemas.openxmlformats.org/officeDocument/2006/relationships/hyperlink" Target="https://doi.org/10.1007/s11165-018-9814-8" TargetMode="External"/><Relationship Id="rId35" Type="http://schemas.openxmlformats.org/officeDocument/2006/relationships/hyperlink" Target="https://doi.org/10.3138/lst-25392-udeshini" TargetMode="External"/><Relationship Id="rId43" Type="http://schemas.openxmlformats.org/officeDocument/2006/relationships/hyperlink" Target="https://doi.org/10.1162/desi_a_00722" TargetMode="External"/><Relationship Id="rId48" Type="http://schemas.openxmlformats.org/officeDocument/2006/relationships/hyperlink" Target="https://doi.org/10.3390/su132413977" TargetMode="External"/><Relationship Id="rId8" Type="http://schemas.openxmlformats.org/officeDocument/2006/relationships/hyperlink" Target="https://doi.org/10.1007/s11135-024-02022-5" TargetMode="External"/><Relationship Id="rId51" Type="http://schemas.openxmlformats.org/officeDocument/2006/relationships/header" Target="header1.xml"/><Relationship Id="rId3" Type="http://schemas.openxmlformats.org/officeDocument/2006/relationships/settings" Target="settings.xml"/><Relationship Id="rId12" Type="http://schemas.openxmlformats.org/officeDocument/2006/relationships/hyperlink" Target="https://doi.org/10.1007/978-3-030-48415-6" TargetMode="External"/><Relationship Id="rId17" Type="http://schemas.openxmlformats.org/officeDocument/2006/relationships/hyperlink" Target="https://doi.org/10.1007/s10805-024-09540-9" TargetMode="External"/><Relationship Id="rId25" Type="http://schemas.openxmlformats.org/officeDocument/2006/relationships/hyperlink" Target="https://doi.org/10.1558/lst.38916" TargetMode="External"/><Relationship Id="rId33" Type="http://schemas.openxmlformats.org/officeDocument/2006/relationships/hyperlink" Target="https://doi.org/10.1177/09731849241253398" TargetMode="External"/><Relationship Id="rId38" Type="http://schemas.openxmlformats.org/officeDocument/2006/relationships/hyperlink" Target="https://doi.org/10.1007/s13187-022-02180-w" TargetMode="External"/><Relationship Id="rId46" Type="http://schemas.openxmlformats.org/officeDocument/2006/relationships/hyperlink" Target="https://doi.org/10.1080/2331186X.2019.1571289" TargetMode="External"/><Relationship Id="rId20" Type="http://schemas.openxmlformats.org/officeDocument/2006/relationships/hyperlink" Target="https://doi.org/10.1080/00131857.2017.1421941" TargetMode="External"/><Relationship Id="rId41" Type="http://schemas.openxmlformats.org/officeDocument/2006/relationships/hyperlink" Target="https://www.skolverket.se/undervisning/grundskolan/laroplan-lgr22-for-grundskolan-samt-for-forskoleklassen-och-fritidshemmet"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doi.org/10.46743/2160-3715/2009.2856" TargetMode="External"/><Relationship Id="rId23" Type="http://schemas.openxmlformats.org/officeDocument/2006/relationships/hyperlink" Target="https://doi.org/10.1007/s10648-025-09999-x" TargetMode="External"/><Relationship Id="rId28" Type="http://schemas.openxmlformats.org/officeDocument/2006/relationships/hyperlink" Target="https://doi.org/10.1177/14413582241264619" TargetMode="External"/><Relationship Id="rId36" Type="http://schemas.openxmlformats.org/officeDocument/2006/relationships/hyperlink" Target="https://doi.org/10.1111/ijal.12444" TargetMode="External"/><Relationship Id="rId49" Type="http://schemas.openxmlformats.org/officeDocument/2006/relationships/hyperlink" Target="https://doi.org/10.1177/01614681221140963"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33067</TotalTime>
  <Pages>20</Pages>
  <Words>7304</Words>
  <Characters>38715</Characters>
  <Application>Microsoft Office Word</Application>
  <DocSecurity>0</DocSecurity>
  <Lines>322</Lines>
  <Paragraphs>91</Paragraphs>
  <ScaleCrop>false</ScaleCrop>
  <HeadingPairs>
    <vt:vector size="2" baseType="variant">
      <vt:variant>
        <vt:lpstr>Rubrik</vt:lpstr>
      </vt:variant>
      <vt:variant>
        <vt:i4>1</vt:i4>
      </vt:variant>
    </vt:vector>
  </HeadingPairs>
  <TitlesOfParts>
    <vt:vector size="1" baseType="lpstr">
      <vt:lpstr/>
    </vt:vector>
  </TitlesOfParts>
  <Company>BUF</Company>
  <LinksUpToDate>false</LinksUpToDate>
  <CharactersWithSpaces>45928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Arthur Nkalubo</dc:creator>
  <cp:keywords/>
  <dc:description/>
  <cp:lastModifiedBy>Arthur Nkalubo</cp:lastModifiedBy>
  <cp:revision>1761</cp:revision>
  <dcterms:created xsi:type="dcterms:W3CDTF">2026-02-15T18:51:00Z</dcterms:created>
  <dcterms:modified xsi:type="dcterms:W3CDTF">2026-05-17T10:04:00Z</dcterms:modified>
</cp:coreProperties>
</file>