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24751806"/>
        <w:docPartObj>
          <w:docPartGallery w:val="Cover Pages"/>
          <w:docPartUnique/>
        </w:docPartObj>
      </w:sdtPr>
      <w:sdtEndPr>
        <w:rPr>
          <w:rFonts w:ascii="Times New Roman" w:hAnsi="Times New Roman" w:cs="Times New Roman"/>
          <w:b/>
          <w:bCs/>
          <w:color w:val="215E99" w:themeColor="text2" w:themeTint="BF"/>
        </w:rPr>
      </w:sdtEndPr>
      <w:sdtContent>
        <w:p w14:paraId="4FCE4EE3" w14:textId="14B3BE49" w:rsidR="000A39FE" w:rsidRDefault="000A39FE">
          <w:r>
            <w:rPr>
              <w:noProof/>
            </w:rPr>
            <mc:AlternateContent>
              <mc:Choice Requires="wps">
                <w:drawing>
                  <wp:anchor distT="0" distB="0" distL="114300" distR="114300" simplePos="0" relativeHeight="251660288" behindDoc="0" locked="0" layoutInCell="1" allowOverlap="1" wp14:anchorId="33B487D1" wp14:editId="5731BDFC">
                    <wp:simplePos x="0" y="0"/>
                    <wp:positionH relativeFrom="page">
                      <wp:posOffset>4146550</wp:posOffset>
                    </wp:positionH>
                    <wp:positionV relativeFrom="page">
                      <wp:posOffset>215900</wp:posOffset>
                    </wp:positionV>
                    <wp:extent cx="3195955" cy="9655810"/>
                    <wp:effectExtent l="0" t="0" r="4445" b="381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95955"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48"/>
                                    <w:szCs w:val="48"/>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8515A3F" w14:textId="0B41E085" w:rsidR="000A39FE" w:rsidRPr="000A39FE" w:rsidRDefault="000A39FE">
                                    <w:pPr>
                                      <w:pStyle w:val="Subtitle"/>
                                      <w:rPr>
                                        <w:rFonts w:ascii="Times New Roman" w:hAnsi="Times New Roman" w:cs="Times New Roman"/>
                                        <w:color w:val="FFFFFF" w:themeColor="background1"/>
                                        <w:sz w:val="48"/>
                                        <w:szCs w:val="48"/>
                                      </w:rPr>
                                    </w:pPr>
                                    <w:r w:rsidRPr="000A39FE">
                                      <w:rPr>
                                        <w:rFonts w:ascii="Times New Roman" w:hAnsi="Times New Roman" w:cs="Times New Roman"/>
                                        <w:b/>
                                        <w:bCs/>
                                        <w:color w:val="FFFFFF" w:themeColor="background1"/>
                                        <w:sz w:val="48"/>
                                        <w:szCs w:val="48"/>
                                      </w:rPr>
                                      <w:t>Opportunities and Threats to Social Enterprise</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33B487D1" id="Rectangle 268" o:spid="_x0000_s1026" style="position:absolute;margin-left:326.5pt;margin-top:17pt;width:251.6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" fillcolor="#0e2841 [3215]" stroked="f" strokeweight="1pt">
                    <v:textbox inset="14.4pt,,14.4pt">
                      <w:txbxContent>
                        <w:sdt>
                          <w:sdtPr>
                            <w:rPr>
                              <w:rFonts w:ascii="Times New Roman" w:hAnsi="Times New Roman" w:cs="Times New Roman"/>
                              <w:b/>
                              <w:bCs/>
                              <w:color w:val="FFFFFF" w:themeColor="background1"/>
                              <w:sz w:val="48"/>
                              <w:szCs w:val="48"/>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8515A3F" w14:textId="0B41E085" w:rsidR="000A39FE" w:rsidRPr="000A39FE" w:rsidRDefault="000A39FE">
                              <w:pPr>
                                <w:pStyle w:val="Subtitle"/>
                                <w:rPr>
                                  <w:rFonts w:ascii="Times New Roman" w:hAnsi="Times New Roman" w:cs="Times New Roman"/>
                                  <w:color w:val="FFFFFF" w:themeColor="background1"/>
                                  <w:sz w:val="48"/>
                                  <w:szCs w:val="48"/>
                                </w:rPr>
                              </w:pPr>
                              <w:r w:rsidRPr="000A39FE">
                                <w:rPr>
                                  <w:rFonts w:ascii="Times New Roman" w:hAnsi="Times New Roman" w:cs="Times New Roman"/>
                                  <w:b/>
                                  <w:bCs/>
                                  <w:color w:val="FFFFFF" w:themeColor="background1"/>
                                  <w:sz w:val="48"/>
                                  <w:szCs w:val="48"/>
                                </w:rPr>
                                <w:t>Opportunities and Threats to Social Enterprise</w:t>
                              </w:r>
                            </w:p>
                          </w:sdtContent>
                        </w:sdt>
                      </w:txbxContent>
                    </v:textbox>
                    <w10:wrap anchorx="page" anchory="page"/>
                  </v:rect>
                </w:pict>
              </mc:Fallback>
            </mc:AlternateContent>
          </w:r>
        </w:p>
        <w:p w14:paraId="5B97C2E3" w14:textId="4C806665" w:rsidR="000A39FE" w:rsidRPr="008E1105" w:rsidRDefault="000A39FE" w:rsidP="000A39FE">
          <w:pPr>
            <w:rPr>
              <w:rFonts w:ascii="Times New Roman" w:hAnsi="Times New Roman" w:cs="Times New Roman"/>
            </w:rPr>
          </w:pPr>
          <w:r w:rsidRPr="008E1105">
            <w:rPr>
              <w:rFonts w:ascii="Times New Roman" w:hAnsi="Times New Roman" w:cs="Times New Roman"/>
            </w:rPr>
            <w:t>Student name:</w:t>
          </w:r>
          <w:r w:rsidR="008E1105" w:rsidRPr="008E1105">
            <w:rPr>
              <w:rFonts w:ascii="Times New Roman" w:hAnsi="Times New Roman" w:cs="Times New Roman"/>
            </w:rPr>
            <w:t xml:space="preserve"> Emil Danut Malutan</w:t>
          </w:r>
          <w:r w:rsidRPr="008E1105">
            <w:rPr>
              <w:rFonts w:ascii="Times New Roman" w:hAnsi="Times New Roman" w:cs="Times New Roman"/>
            </w:rPr>
            <w:tab/>
            <w:t xml:space="preserve">     </w:t>
          </w:r>
        </w:p>
        <w:p w14:paraId="681C736D" w14:textId="003E4B82" w:rsidR="000A39FE" w:rsidRPr="008E1105" w:rsidRDefault="008E1105" w:rsidP="000A39FE">
          <w:pPr>
            <w:rPr>
              <w:rFonts w:ascii="Times New Roman" w:hAnsi="Times New Roman" w:cs="Times New Roman"/>
            </w:rPr>
          </w:pPr>
          <w:r w:rsidRPr="008E1105">
            <w:rPr>
              <w:rFonts w:ascii="Times New Roman" w:hAnsi="Times New Roman" w:cs="Times New Roman"/>
            </w:rPr>
            <w:t>Student number: 2327335</w:t>
          </w:r>
        </w:p>
        <w:p w14:paraId="26850B32" w14:textId="6CAE03F7" w:rsidR="000A39FE" w:rsidRPr="008E1105" w:rsidRDefault="000A39FE" w:rsidP="000A39FE">
          <w:pPr>
            <w:rPr>
              <w:rFonts w:ascii="Times New Roman" w:hAnsi="Times New Roman" w:cs="Times New Roman"/>
            </w:rPr>
          </w:pPr>
          <w:r w:rsidRPr="008E1105">
            <w:rPr>
              <w:rFonts w:ascii="Times New Roman" w:hAnsi="Times New Roman" w:cs="Times New Roman"/>
            </w:rPr>
            <w:t>Module:</w:t>
          </w:r>
          <w:r w:rsidRPr="008E1105">
            <w:rPr>
              <w:rFonts w:ascii="Times New Roman" w:hAnsi="Times New Roman" w:cs="Times New Roman"/>
            </w:rPr>
            <w:t xml:space="preserve"> </w:t>
          </w:r>
          <w:r w:rsidRPr="008E1105">
            <w:rPr>
              <w:rFonts w:ascii="Times New Roman" w:hAnsi="Times New Roman" w:cs="Times New Roman"/>
            </w:rPr>
            <w:t>Social Enterprise: Theory and Practise</w:t>
          </w:r>
        </w:p>
        <w:p w14:paraId="38B536C7" w14:textId="590B3489" w:rsidR="000A39FE" w:rsidRPr="008E1105" w:rsidRDefault="000A39FE" w:rsidP="000A39FE">
          <w:pPr>
            <w:rPr>
              <w:rFonts w:ascii="Times New Roman" w:hAnsi="Times New Roman" w:cs="Times New Roman"/>
            </w:rPr>
          </w:pPr>
          <w:r w:rsidRPr="008E1105">
            <w:rPr>
              <w:rFonts w:ascii="Times New Roman" w:hAnsi="Times New Roman" w:cs="Times New Roman"/>
            </w:rPr>
            <w:t>Module code:</w:t>
          </w:r>
          <w:r w:rsidRPr="008E1105">
            <w:rPr>
              <w:rFonts w:ascii="Times New Roman" w:hAnsi="Times New Roman" w:cs="Times New Roman"/>
            </w:rPr>
            <w:tab/>
            <w:t>BMSE4009D</w:t>
          </w:r>
        </w:p>
        <w:p w14:paraId="3A2A3883" w14:textId="1FB94921" w:rsidR="000A39FE" w:rsidRDefault="000A39FE">
          <w:pPr>
            <w:rPr>
              <w:rFonts w:ascii="Times New Roman" w:hAnsi="Times New Roman" w:cs="Times New Roman"/>
              <w:b/>
              <w:bCs/>
              <w:color w:val="215E99" w:themeColor="text2" w:themeTint="BF"/>
            </w:rPr>
          </w:pPr>
          <w:r>
            <w:rPr>
              <w:rFonts w:ascii="Times New Roman" w:hAnsi="Times New Roman" w:cs="Times New Roman"/>
              <w:b/>
              <w:bCs/>
              <w:color w:val="215E99" w:themeColor="text2" w:themeTint="BF"/>
            </w:rPr>
            <w:br w:type="page"/>
          </w:r>
        </w:p>
      </w:sdtContent>
    </w:sdt>
    <w:p w14:paraId="57F0297B" w14:textId="38629CE8" w:rsidR="000A39FE" w:rsidRPr="000A39FE" w:rsidRDefault="000A39FE" w:rsidP="000A39FE">
      <w:pPr>
        <w:jc w:val="both"/>
        <w:rPr>
          <w:rFonts w:ascii="Times New Roman" w:hAnsi="Times New Roman" w:cs="Times New Roman"/>
          <w:b/>
          <w:bCs/>
          <w:color w:val="215E99" w:themeColor="text2" w:themeTint="BF"/>
        </w:rPr>
      </w:pPr>
      <w:r w:rsidRPr="000A39FE">
        <w:rPr>
          <w:rFonts w:ascii="Times New Roman" w:hAnsi="Times New Roman" w:cs="Times New Roman"/>
          <w:b/>
          <w:bCs/>
          <w:color w:val="215E99" w:themeColor="text2" w:themeTint="BF"/>
        </w:rPr>
        <w:lastRenderedPageBreak/>
        <w:t xml:space="preserve">Introduction </w:t>
      </w:r>
    </w:p>
    <w:p w14:paraId="0B61ED15" w14:textId="77777777" w:rsidR="000A39FE" w:rsidRDefault="000A39FE" w:rsidP="000A39FE">
      <w:pPr>
        <w:jc w:val="both"/>
        <w:rPr>
          <w:rFonts w:ascii="Times New Roman" w:hAnsi="Times New Roman" w:cs="Times New Roman"/>
        </w:rPr>
      </w:pPr>
    </w:p>
    <w:p w14:paraId="5E8AB95C" w14:textId="7713EB57" w:rsidR="000A39FE" w:rsidRDefault="008C08DF" w:rsidP="000A39FE">
      <w:pPr>
        <w:spacing w:line="480" w:lineRule="auto"/>
        <w:jc w:val="both"/>
        <w:rPr>
          <w:rFonts w:ascii="Times New Roman" w:hAnsi="Times New Roman" w:cs="Times New Roman"/>
        </w:rPr>
      </w:pPr>
      <w:r w:rsidRPr="008C08DF">
        <w:rPr>
          <w:rFonts w:ascii="Times New Roman" w:hAnsi="Times New Roman" w:cs="Times New Roman"/>
        </w:rPr>
        <w:t xml:space="preserve">Social enterprises have emerged as innovative solutions that combine entrepreneurial enthusiasm with a dedication to social good in an era when societal concerns are becoming more complex and multidimensional. </w:t>
      </w:r>
      <w:r w:rsidR="000A39FE" w:rsidRPr="000A39FE">
        <w:rPr>
          <w:rFonts w:ascii="Times New Roman" w:hAnsi="Times New Roman" w:cs="Times New Roman"/>
        </w:rPr>
        <w:t xml:space="preserve">These organisations work to address societal concerns while being financially viable, resulting in a distinct organisational paradigm. This essay applies a SWOT analysis (Strengths, Weaknesses, Opportunities, and Threats) to investigate the multifaceted opportunities and problems that social entrepreneurs confront today. The analysis sheds light on the dynamic environment in which social </w:t>
      </w:r>
      <w:r w:rsidR="000A39FE" w:rsidRPr="000A39FE">
        <w:rPr>
          <w:rFonts w:ascii="Times New Roman" w:hAnsi="Times New Roman" w:cs="Times New Roman"/>
        </w:rPr>
        <w:t>entrepreneurs’</w:t>
      </w:r>
      <w:r w:rsidR="000A39FE" w:rsidRPr="000A39FE">
        <w:rPr>
          <w:rFonts w:ascii="Times New Roman" w:hAnsi="Times New Roman" w:cs="Times New Roman"/>
        </w:rPr>
        <w:t xml:space="preserve"> function by including important academic theories and industrial examples.</w:t>
      </w:r>
    </w:p>
    <w:p w14:paraId="18A683C7" w14:textId="77777777" w:rsidR="000A39FE" w:rsidRDefault="000A39FE" w:rsidP="000A39FE">
      <w:pPr>
        <w:spacing w:line="480" w:lineRule="auto"/>
        <w:jc w:val="both"/>
        <w:rPr>
          <w:rFonts w:ascii="Times New Roman" w:hAnsi="Times New Roman" w:cs="Times New Roman"/>
        </w:rPr>
      </w:pPr>
    </w:p>
    <w:p w14:paraId="4F58A88A" w14:textId="77777777" w:rsidR="000A39FE" w:rsidRDefault="000A39FE" w:rsidP="000A39FE">
      <w:pPr>
        <w:spacing w:line="480" w:lineRule="auto"/>
        <w:jc w:val="both"/>
        <w:rPr>
          <w:rFonts w:ascii="Times New Roman" w:hAnsi="Times New Roman" w:cs="Times New Roman"/>
        </w:rPr>
      </w:pPr>
    </w:p>
    <w:p w14:paraId="0B4FDB23" w14:textId="77777777" w:rsidR="000A39FE" w:rsidRDefault="000A39FE" w:rsidP="000A39FE">
      <w:pPr>
        <w:spacing w:line="480" w:lineRule="auto"/>
        <w:jc w:val="both"/>
        <w:rPr>
          <w:rFonts w:ascii="Times New Roman" w:hAnsi="Times New Roman" w:cs="Times New Roman"/>
        </w:rPr>
      </w:pPr>
    </w:p>
    <w:p w14:paraId="582E8C38" w14:textId="77777777" w:rsidR="000A39FE" w:rsidRDefault="000A39FE" w:rsidP="000A39FE">
      <w:pPr>
        <w:spacing w:line="480" w:lineRule="auto"/>
        <w:jc w:val="both"/>
        <w:rPr>
          <w:rFonts w:ascii="Times New Roman" w:hAnsi="Times New Roman" w:cs="Times New Roman"/>
        </w:rPr>
      </w:pPr>
    </w:p>
    <w:p w14:paraId="27F2A2B8" w14:textId="77777777" w:rsidR="000A39FE" w:rsidRDefault="000A39FE" w:rsidP="000A39FE">
      <w:pPr>
        <w:spacing w:line="480" w:lineRule="auto"/>
        <w:jc w:val="both"/>
        <w:rPr>
          <w:rFonts w:ascii="Times New Roman" w:hAnsi="Times New Roman" w:cs="Times New Roman"/>
        </w:rPr>
      </w:pPr>
    </w:p>
    <w:p w14:paraId="55F69960" w14:textId="77777777" w:rsidR="000A39FE" w:rsidRDefault="000A39FE" w:rsidP="000A39FE">
      <w:pPr>
        <w:spacing w:line="480" w:lineRule="auto"/>
        <w:jc w:val="both"/>
        <w:rPr>
          <w:rFonts w:ascii="Times New Roman" w:hAnsi="Times New Roman" w:cs="Times New Roman"/>
        </w:rPr>
      </w:pPr>
    </w:p>
    <w:p w14:paraId="341504D1" w14:textId="77777777" w:rsidR="000A39FE" w:rsidRDefault="000A39FE" w:rsidP="000A39FE">
      <w:pPr>
        <w:spacing w:line="480" w:lineRule="auto"/>
        <w:jc w:val="both"/>
        <w:rPr>
          <w:rFonts w:ascii="Times New Roman" w:hAnsi="Times New Roman" w:cs="Times New Roman"/>
        </w:rPr>
      </w:pPr>
    </w:p>
    <w:p w14:paraId="6B7985FA" w14:textId="77777777" w:rsidR="000A39FE" w:rsidRDefault="000A39FE" w:rsidP="000A39FE">
      <w:pPr>
        <w:spacing w:line="480" w:lineRule="auto"/>
        <w:jc w:val="both"/>
        <w:rPr>
          <w:rFonts w:ascii="Times New Roman" w:hAnsi="Times New Roman" w:cs="Times New Roman"/>
        </w:rPr>
      </w:pPr>
    </w:p>
    <w:p w14:paraId="4ECF9E1E" w14:textId="77777777" w:rsidR="000A39FE" w:rsidRDefault="000A39FE" w:rsidP="000A39FE">
      <w:pPr>
        <w:spacing w:line="480" w:lineRule="auto"/>
        <w:jc w:val="both"/>
        <w:rPr>
          <w:rFonts w:ascii="Times New Roman" w:hAnsi="Times New Roman" w:cs="Times New Roman"/>
        </w:rPr>
      </w:pPr>
    </w:p>
    <w:p w14:paraId="0C43A073" w14:textId="77777777" w:rsidR="000A39FE" w:rsidRDefault="000A39FE" w:rsidP="000A39FE">
      <w:pPr>
        <w:spacing w:line="480" w:lineRule="auto"/>
        <w:jc w:val="both"/>
        <w:rPr>
          <w:rFonts w:ascii="Times New Roman" w:hAnsi="Times New Roman" w:cs="Times New Roman"/>
        </w:rPr>
      </w:pPr>
    </w:p>
    <w:p w14:paraId="1E01ED12" w14:textId="77777777" w:rsidR="000A39FE" w:rsidRDefault="000A39FE" w:rsidP="000A39FE">
      <w:pPr>
        <w:spacing w:line="480" w:lineRule="auto"/>
        <w:jc w:val="both"/>
        <w:rPr>
          <w:rFonts w:ascii="Times New Roman" w:hAnsi="Times New Roman" w:cs="Times New Roman"/>
        </w:rPr>
      </w:pPr>
    </w:p>
    <w:p w14:paraId="7892DB7B" w14:textId="2C038494"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b/>
          <w:bCs/>
          <w:color w:val="215E99" w:themeColor="text2" w:themeTint="BF"/>
        </w:rPr>
        <w:lastRenderedPageBreak/>
        <w:t>Strengths</w:t>
      </w:r>
      <w:r w:rsidRPr="000A39FE">
        <w:rPr>
          <w:rFonts w:ascii="Times New Roman" w:hAnsi="Times New Roman" w:cs="Times New Roman"/>
        </w:rPr>
        <w:br/>
      </w:r>
      <w:r w:rsidRPr="000A39FE">
        <w:rPr>
          <w:rFonts w:ascii="Times New Roman" w:hAnsi="Times New Roman" w:cs="Times New Roman"/>
        </w:rPr>
        <w:br/>
        <w:t>One of the most significant qualities of social enterprises is its dual-bottom-line approach, which combines financial performance and social impact. This method is based on the Social Entrepreneurship idea, which states that integrating entrepreneurial processes with social goals might result in novel solutions to long-standing societal problems (Mair &amp; Marti, 2006). TOMS Shoes, for example, exemplifies this concept with its "One for One" effort, which involves donating a pair of shoes to someone in need with every purchase. This not only fulfils a social objective, but it also boosts brand loyalty and uniqueness in a competitive marketplace.</w:t>
      </w:r>
    </w:p>
    <w:p w14:paraId="315F09D1" w14:textId="0E128C09"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Furthermore, social enterprises frequently profit from a strong mission-oriented culture. According to Stakeholder Theory (Freeman, 1984), organisations that prioritise the demands of all stakeholders—including employees, customers, communities, and the environment—have a higher level of commitment and satisfaction. This inclusive strategy can lead to increased employee motivation and retention, as evidenced by Patagonia, which incorporates environmental stewardship into its fundamental business practices, attracting employees who are passionate about sustainability.</w:t>
      </w:r>
    </w:p>
    <w:p w14:paraId="645AAD35" w14:textId="77777777"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Another asset is the capacity to attract niche markets and ethically conscientious customers. As society becomes more aware of social and environmental issues, consumers prefer brands that share their beliefs. Ben &amp; Jerry's, for example, uses its dedication to social justice and environmental sustainability to cultivate a loyal consumer base, gaining a competitive advantage.</w:t>
      </w:r>
    </w:p>
    <w:p w14:paraId="78376C01" w14:textId="77777777" w:rsidR="000A39FE" w:rsidRPr="000A39FE" w:rsidRDefault="000A39FE" w:rsidP="000A39FE">
      <w:pPr>
        <w:spacing w:line="480" w:lineRule="auto"/>
        <w:jc w:val="both"/>
        <w:rPr>
          <w:rFonts w:ascii="Times New Roman" w:hAnsi="Times New Roman" w:cs="Times New Roman"/>
          <w:b/>
          <w:bCs/>
          <w:color w:val="215E99" w:themeColor="text2" w:themeTint="BF"/>
        </w:rPr>
      </w:pPr>
      <w:r w:rsidRPr="000A39FE">
        <w:rPr>
          <w:rFonts w:ascii="Times New Roman" w:hAnsi="Times New Roman" w:cs="Times New Roman"/>
          <w:b/>
          <w:bCs/>
          <w:color w:val="215E99" w:themeColor="text2" w:themeTint="BF"/>
        </w:rPr>
        <w:t>Weaknesses</w:t>
      </w:r>
    </w:p>
    <w:p w14:paraId="350E75F4" w14:textId="77777777"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 xml:space="preserve">Regardless of their strengths, social enterprises have many inherent flaws that might stymie their growth and viability. A major issue is the possible clash between social goals and financial </w:t>
      </w:r>
      <w:r w:rsidRPr="000A39FE">
        <w:rPr>
          <w:rFonts w:ascii="Times New Roman" w:hAnsi="Times New Roman" w:cs="Times New Roman"/>
        </w:rPr>
        <w:lastRenderedPageBreak/>
        <w:t xml:space="preserve">performance. The Mission Drift phenomenon, in which organisations gradually move their attention away from their social mission </w:t>
      </w:r>
      <w:r w:rsidRPr="000A39FE">
        <w:rPr>
          <w:rFonts w:ascii="Times New Roman" w:hAnsi="Times New Roman" w:cs="Times New Roman"/>
        </w:rPr>
        <w:t>to</w:t>
      </w:r>
      <w:r w:rsidRPr="000A39FE">
        <w:rPr>
          <w:rFonts w:ascii="Times New Roman" w:hAnsi="Times New Roman" w:cs="Times New Roman"/>
        </w:rPr>
        <w:t xml:space="preserve"> maximise financial profits, can weaken their fundamental purpose (</w:t>
      </w:r>
      <w:proofErr w:type="spellStart"/>
      <w:r w:rsidRPr="000A39FE">
        <w:rPr>
          <w:rFonts w:ascii="Times New Roman" w:hAnsi="Times New Roman" w:cs="Times New Roman"/>
        </w:rPr>
        <w:t>Anheier</w:t>
      </w:r>
      <w:proofErr w:type="spellEnd"/>
      <w:r w:rsidRPr="000A39FE">
        <w:rPr>
          <w:rFonts w:ascii="Times New Roman" w:hAnsi="Times New Roman" w:cs="Times New Roman"/>
        </w:rPr>
        <w:t xml:space="preserve">, 2014). A social enterprise, for example, may prioritise revenue generation </w:t>
      </w:r>
      <w:r w:rsidRPr="000A39FE">
        <w:rPr>
          <w:rFonts w:ascii="Times New Roman" w:hAnsi="Times New Roman" w:cs="Times New Roman"/>
        </w:rPr>
        <w:t>to</w:t>
      </w:r>
      <w:r w:rsidRPr="000A39FE">
        <w:rPr>
          <w:rFonts w:ascii="Times New Roman" w:hAnsi="Times New Roman" w:cs="Times New Roman"/>
        </w:rPr>
        <w:t xml:space="preserve"> maintain financial stability, while jeopardising its social objectives.</w:t>
      </w:r>
    </w:p>
    <w:p w14:paraId="2F2ADFA8" w14:textId="77777777"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In addition, social firms frequently have resource limits. Limited access to cash and investment can limit their ability to grow and develop. Unlike regular firms that may attract venture capital or private equity, social enterprises may struggle to obtain finance due to the perceived risk associated with balancing profit and purpose. Grameen Bank, while successful in its objective of alleviating poverty through microfinance, has struggled to expand its reach due to funding constraints.</w:t>
      </w:r>
    </w:p>
    <w:p w14:paraId="09662B39" w14:textId="77777777"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 xml:space="preserve">Another flaw is the difficulty of quantifying social impact. Unlike financial measures, social outcomes are generally multidimensional and diverse, making proper performance assessment challenging. This ambiguity can impede strategic decision-making and diminish responsibility. </w:t>
      </w:r>
      <w:r w:rsidRPr="000A39FE">
        <w:rPr>
          <w:rFonts w:ascii="Times New Roman" w:hAnsi="Times New Roman" w:cs="Times New Roman"/>
        </w:rPr>
        <w:t>To</w:t>
      </w:r>
      <w:r w:rsidRPr="000A39FE">
        <w:rPr>
          <w:rFonts w:ascii="Times New Roman" w:hAnsi="Times New Roman" w:cs="Times New Roman"/>
        </w:rPr>
        <w:t xml:space="preserve"> demonstrate their effectiveness to stakeholders and investors, social entrepreneurs must traverse several measurement obstacles.</w:t>
      </w:r>
    </w:p>
    <w:p w14:paraId="01962540" w14:textId="77777777" w:rsidR="000A39FE" w:rsidRPr="000A39FE" w:rsidRDefault="000A39FE" w:rsidP="000A39FE">
      <w:pPr>
        <w:spacing w:line="480" w:lineRule="auto"/>
        <w:jc w:val="both"/>
        <w:rPr>
          <w:rFonts w:ascii="Times New Roman" w:hAnsi="Times New Roman" w:cs="Times New Roman"/>
          <w:b/>
          <w:bCs/>
          <w:color w:val="215E99" w:themeColor="text2" w:themeTint="BF"/>
        </w:rPr>
      </w:pPr>
      <w:r w:rsidRPr="000A39FE">
        <w:rPr>
          <w:rFonts w:ascii="Times New Roman" w:hAnsi="Times New Roman" w:cs="Times New Roman"/>
          <w:b/>
          <w:bCs/>
          <w:color w:val="215E99" w:themeColor="text2" w:themeTint="BF"/>
        </w:rPr>
        <w:t>Opportunities</w:t>
      </w:r>
    </w:p>
    <w:p w14:paraId="1343D441" w14:textId="77777777"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 xml:space="preserve">The landscape for social companies is rife with opportunity, thanks to shifting cultural trends and favourable governmental regimes. Growing consumer demand for ethical and environmental products presents a big potential. The advent of the Conscious Consumer represents a shift in purchase decisions that </w:t>
      </w:r>
      <w:r w:rsidRPr="000A39FE">
        <w:rPr>
          <w:rFonts w:ascii="Times New Roman" w:hAnsi="Times New Roman" w:cs="Times New Roman"/>
        </w:rPr>
        <w:t>consider</w:t>
      </w:r>
      <w:r w:rsidRPr="000A39FE">
        <w:rPr>
          <w:rFonts w:ascii="Times New Roman" w:hAnsi="Times New Roman" w:cs="Times New Roman"/>
        </w:rPr>
        <w:t xml:space="preserve"> ethical implications, environmental sustainability, and social responsibility. Eileen Fisher and other social entrepreneurs have capitalised on this trend by providing sustainable fashion, so tapping into a market segment that values ethical consumption.</w:t>
      </w:r>
    </w:p>
    <w:p w14:paraId="7B06DEF9" w14:textId="77777777"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lastRenderedPageBreak/>
        <w:t xml:space="preserve">Technological improvements also </w:t>
      </w:r>
      <w:r w:rsidRPr="000A39FE">
        <w:rPr>
          <w:rFonts w:ascii="Times New Roman" w:hAnsi="Times New Roman" w:cs="Times New Roman"/>
        </w:rPr>
        <w:t>open</w:t>
      </w:r>
      <w:r w:rsidRPr="000A39FE">
        <w:rPr>
          <w:rFonts w:ascii="Times New Roman" w:hAnsi="Times New Roman" w:cs="Times New Roman"/>
        </w:rPr>
        <w:t xml:space="preserve"> opportunities for creativity and efficiency. Social companies can use digital platforms to increase their impact, reach larger audiences, and streamline operations. Kiva, a microfinance platform, uses technology to link lenders and borrowers all around the world, promoting financial inclusion and economic growth.</w:t>
      </w:r>
    </w:p>
    <w:p w14:paraId="14FA8887" w14:textId="77777777"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 xml:space="preserve">Furthermore, the rising integration of Corporate Social Responsibility (CSR) into mainstream firms </w:t>
      </w:r>
      <w:r w:rsidRPr="000A39FE">
        <w:rPr>
          <w:rFonts w:ascii="Times New Roman" w:hAnsi="Times New Roman" w:cs="Times New Roman"/>
        </w:rPr>
        <w:t>opens</w:t>
      </w:r>
      <w:r w:rsidRPr="000A39FE">
        <w:rPr>
          <w:rFonts w:ascii="Times New Roman" w:hAnsi="Times New Roman" w:cs="Times New Roman"/>
        </w:rPr>
        <w:t xml:space="preserve"> new avenues for collaboration. Traditional firms are forming alliances with social enterprises to strengthen their CSR operations, giving finance, knowledge, and market access. Unilever's Sustainable Living Plan engagement with social entrepreneurs shows how such partnerships can generate mutual benefits while also amplifying social impact.</w:t>
      </w:r>
    </w:p>
    <w:p w14:paraId="681BBCBB" w14:textId="77777777"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Policy developments also promote the creation of social enterprises. Governments and international organisations are increasingly acknowledging the significance of social enterprises in tackling societal issues, resulting in supportive regulations, grants, and incentives. The Social Enterprise Mark in the United Kingdom, and similar projects around the world, provide frameworks and legitimacy, promoting market entry and consumer trust.</w:t>
      </w:r>
    </w:p>
    <w:p w14:paraId="74EFEA65" w14:textId="77777777" w:rsidR="000A39FE" w:rsidRPr="000A39FE" w:rsidRDefault="000A39FE" w:rsidP="000A39FE">
      <w:pPr>
        <w:spacing w:line="480" w:lineRule="auto"/>
        <w:jc w:val="both"/>
        <w:rPr>
          <w:rFonts w:ascii="Times New Roman" w:hAnsi="Times New Roman" w:cs="Times New Roman"/>
          <w:b/>
          <w:bCs/>
          <w:color w:val="215E99" w:themeColor="text2" w:themeTint="BF"/>
        </w:rPr>
      </w:pPr>
      <w:r w:rsidRPr="000A39FE">
        <w:rPr>
          <w:rFonts w:ascii="Times New Roman" w:hAnsi="Times New Roman" w:cs="Times New Roman"/>
          <w:b/>
          <w:bCs/>
          <w:color w:val="215E99" w:themeColor="text2" w:themeTint="BF"/>
        </w:rPr>
        <w:t>Threat</w:t>
      </w:r>
      <w:r w:rsidRPr="000A39FE">
        <w:rPr>
          <w:rFonts w:ascii="Times New Roman" w:hAnsi="Times New Roman" w:cs="Times New Roman"/>
          <w:b/>
          <w:bCs/>
          <w:color w:val="215E99" w:themeColor="text2" w:themeTint="BF"/>
        </w:rPr>
        <w:t>s</w:t>
      </w:r>
    </w:p>
    <w:p w14:paraId="20D47011" w14:textId="77777777"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Despite the potential opportunities, social companies must navigate a complex landscape plagued with dangers to their long-term viability and effect. Competitive pressure from both traditional corporations and other social enterprises poses a significant danger. As the social entrepreneurship sector expands, it becomes more difficult to distinguish oneself, especially when larger corporations implement social responsibility activities that may overwhelm smaller, mission-driven organisations.</w:t>
      </w:r>
    </w:p>
    <w:p w14:paraId="0799FBDB" w14:textId="77777777"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 xml:space="preserve">Economic insecurity is yet another serious threat. During economic downturns, funding and consumer spending on socially responsible items may fall as organisations and individuals </w:t>
      </w:r>
      <w:r w:rsidRPr="000A39FE">
        <w:rPr>
          <w:rFonts w:ascii="Times New Roman" w:hAnsi="Times New Roman" w:cs="Times New Roman"/>
        </w:rPr>
        <w:lastRenderedPageBreak/>
        <w:t>prioritise critical expenses. This financial instability has the potential to disrupt the operations of social companies, which frequently operate on tight margins and with minimal reserves.</w:t>
      </w:r>
    </w:p>
    <w:p w14:paraId="08F28F1E" w14:textId="47C8F130"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 xml:space="preserve">Regulatory issues are also significant. Navigating legal and regulatory systems across many regions can be difficult and time-consuming. Social companies must follow both commercial regulations and mission-specific standards, such as transparency in reporting social effect. Fair Trade organisations, for example, must adhere to high standards </w:t>
      </w:r>
      <w:r w:rsidRPr="000A39FE">
        <w:rPr>
          <w:rFonts w:ascii="Times New Roman" w:hAnsi="Times New Roman" w:cs="Times New Roman"/>
        </w:rPr>
        <w:t>to</w:t>
      </w:r>
      <w:r w:rsidRPr="000A39FE">
        <w:rPr>
          <w:rFonts w:ascii="Times New Roman" w:hAnsi="Times New Roman" w:cs="Times New Roman"/>
        </w:rPr>
        <w:t xml:space="preserve"> maintain their certifications, which can be difficult for small businesses.</w:t>
      </w:r>
    </w:p>
    <w:p w14:paraId="7572A04D" w14:textId="77777777"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Furthermore, the potential of greenwashing—in which organisations deceptively portray their products or operations as environmentally friendly—can destroy trust in the industry. To protect their brand and credibility, social companies must remain authentic and transparent. Any deviation from their declared objective can result in a loss of stakeholder trust and support, as evidenced by situations when firms have been exposed for failing to meet their stated social obligations.</w:t>
      </w:r>
    </w:p>
    <w:p w14:paraId="72EFCBD3" w14:textId="77777777" w:rsidR="000A39FE" w:rsidRPr="000A39FE" w:rsidRDefault="000A39FE" w:rsidP="000A39FE">
      <w:pPr>
        <w:spacing w:line="480" w:lineRule="auto"/>
        <w:jc w:val="both"/>
        <w:rPr>
          <w:rFonts w:ascii="Times New Roman" w:hAnsi="Times New Roman" w:cs="Times New Roman"/>
          <w:b/>
          <w:bCs/>
          <w:color w:val="215E99" w:themeColor="text2" w:themeTint="BF"/>
        </w:rPr>
      </w:pPr>
      <w:r w:rsidRPr="000A39FE">
        <w:rPr>
          <w:rFonts w:ascii="Times New Roman" w:hAnsi="Times New Roman" w:cs="Times New Roman"/>
          <w:b/>
          <w:bCs/>
          <w:color w:val="215E99" w:themeColor="text2" w:themeTint="BF"/>
        </w:rPr>
        <w:t>Including Theories in the SWOT Framework</w:t>
      </w:r>
    </w:p>
    <w:p w14:paraId="7654B6E2" w14:textId="2C1F57A8"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 xml:space="preserve">The interplay of strengths, weaknesses, opportunities, and threats for social enterprises can be better understood using Institutional Theory (DiMaggio &amp; Powell, 1983), which investigates how organisations conform to the norms and rules of their institutional environment </w:t>
      </w:r>
      <w:r w:rsidRPr="000A39FE">
        <w:rPr>
          <w:rFonts w:ascii="Times New Roman" w:hAnsi="Times New Roman" w:cs="Times New Roman"/>
        </w:rPr>
        <w:t>to</w:t>
      </w:r>
      <w:r w:rsidRPr="000A39FE">
        <w:rPr>
          <w:rFonts w:ascii="Times New Roman" w:hAnsi="Times New Roman" w:cs="Times New Roman"/>
        </w:rPr>
        <w:t xml:space="preserve"> gain legitimacy and resources. Social businesses use their assets, such as a mission-driven culture and ethical practices, to fit with social ideals and gain stakeholder support. However, they must also deal with institutional constraints that may conflict with their dual goals, exemplifying the obstacles highlighted in the SWOT analysis.</w:t>
      </w:r>
    </w:p>
    <w:p w14:paraId="633C5182" w14:textId="77777777"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 xml:space="preserve">The Resource-Based View (RBV) thesis explains the internal capacities that make up social enterprises' strengths and shortcomings. According to RBV (Barney, 1991), organisations have resources and capabilities that can create competitive advantages. Social enterprises' distinct </w:t>
      </w:r>
      <w:r w:rsidRPr="000A39FE">
        <w:rPr>
          <w:rFonts w:ascii="Times New Roman" w:hAnsi="Times New Roman" w:cs="Times New Roman"/>
        </w:rPr>
        <w:lastRenderedPageBreak/>
        <w:t>resources—such as social capital, creative business models, and dedicated human resources—are critical to their success. However, as mentioned in the disadvantages section, resource constraints may restrict their capacity to fully leverage these advantages.</w:t>
      </w:r>
    </w:p>
    <w:p w14:paraId="23C89586" w14:textId="77777777" w:rsidR="000A39FE" w:rsidRDefault="000A39FE" w:rsidP="000A39FE">
      <w:pPr>
        <w:spacing w:line="480" w:lineRule="auto"/>
        <w:jc w:val="both"/>
        <w:rPr>
          <w:rFonts w:ascii="Times New Roman" w:hAnsi="Times New Roman" w:cs="Times New Roman"/>
        </w:rPr>
      </w:pPr>
    </w:p>
    <w:p w14:paraId="2D79F195" w14:textId="77777777" w:rsidR="000A39FE" w:rsidRDefault="000A39FE" w:rsidP="000A39FE">
      <w:pPr>
        <w:spacing w:line="480" w:lineRule="auto"/>
        <w:jc w:val="both"/>
        <w:rPr>
          <w:rFonts w:ascii="Times New Roman" w:hAnsi="Times New Roman" w:cs="Times New Roman"/>
        </w:rPr>
      </w:pPr>
    </w:p>
    <w:p w14:paraId="3A35CF0F" w14:textId="77777777" w:rsidR="000A39FE" w:rsidRDefault="000A39FE" w:rsidP="000A39FE">
      <w:pPr>
        <w:spacing w:line="480" w:lineRule="auto"/>
        <w:jc w:val="both"/>
        <w:rPr>
          <w:rFonts w:ascii="Times New Roman" w:hAnsi="Times New Roman" w:cs="Times New Roman"/>
        </w:rPr>
      </w:pPr>
    </w:p>
    <w:p w14:paraId="0CB8806B" w14:textId="77777777" w:rsidR="000A39FE" w:rsidRDefault="000A39FE" w:rsidP="000A39FE">
      <w:pPr>
        <w:spacing w:line="480" w:lineRule="auto"/>
        <w:jc w:val="both"/>
        <w:rPr>
          <w:rFonts w:ascii="Times New Roman" w:hAnsi="Times New Roman" w:cs="Times New Roman"/>
        </w:rPr>
      </w:pPr>
    </w:p>
    <w:p w14:paraId="6EF98F88" w14:textId="77777777" w:rsidR="000A39FE" w:rsidRDefault="000A39FE" w:rsidP="000A39FE">
      <w:pPr>
        <w:spacing w:line="480" w:lineRule="auto"/>
        <w:jc w:val="both"/>
        <w:rPr>
          <w:rFonts w:ascii="Times New Roman" w:hAnsi="Times New Roman" w:cs="Times New Roman"/>
        </w:rPr>
      </w:pPr>
    </w:p>
    <w:p w14:paraId="7A6E4A97" w14:textId="77777777" w:rsidR="000A39FE" w:rsidRDefault="000A39FE" w:rsidP="000A39FE">
      <w:pPr>
        <w:spacing w:line="480" w:lineRule="auto"/>
        <w:jc w:val="both"/>
        <w:rPr>
          <w:rFonts w:ascii="Times New Roman" w:hAnsi="Times New Roman" w:cs="Times New Roman"/>
        </w:rPr>
      </w:pPr>
    </w:p>
    <w:p w14:paraId="03B92CDB" w14:textId="77777777" w:rsidR="000A39FE" w:rsidRDefault="000A39FE" w:rsidP="000A39FE">
      <w:pPr>
        <w:spacing w:line="480" w:lineRule="auto"/>
        <w:jc w:val="both"/>
        <w:rPr>
          <w:rFonts w:ascii="Times New Roman" w:hAnsi="Times New Roman" w:cs="Times New Roman"/>
        </w:rPr>
      </w:pPr>
    </w:p>
    <w:p w14:paraId="326E855B" w14:textId="77777777" w:rsidR="000A39FE" w:rsidRDefault="000A39FE" w:rsidP="000A39FE">
      <w:pPr>
        <w:spacing w:line="480" w:lineRule="auto"/>
        <w:jc w:val="both"/>
        <w:rPr>
          <w:rFonts w:ascii="Times New Roman" w:hAnsi="Times New Roman" w:cs="Times New Roman"/>
        </w:rPr>
      </w:pPr>
    </w:p>
    <w:p w14:paraId="4D47CC92" w14:textId="77777777" w:rsidR="000A39FE" w:rsidRDefault="000A39FE" w:rsidP="000A39FE">
      <w:pPr>
        <w:spacing w:line="480" w:lineRule="auto"/>
        <w:jc w:val="both"/>
        <w:rPr>
          <w:rFonts w:ascii="Times New Roman" w:hAnsi="Times New Roman" w:cs="Times New Roman"/>
        </w:rPr>
      </w:pPr>
    </w:p>
    <w:p w14:paraId="04BBE0E0" w14:textId="77777777" w:rsidR="000A39FE" w:rsidRDefault="000A39FE" w:rsidP="000A39FE">
      <w:pPr>
        <w:spacing w:line="480" w:lineRule="auto"/>
        <w:jc w:val="both"/>
        <w:rPr>
          <w:rFonts w:ascii="Times New Roman" w:hAnsi="Times New Roman" w:cs="Times New Roman"/>
        </w:rPr>
      </w:pPr>
    </w:p>
    <w:p w14:paraId="64D4926B" w14:textId="77777777" w:rsidR="000A39FE" w:rsidRDefault="000A39FE" w:rsidP="000A39FE">
      <w:pPr>
        <w:spacing w:line="480" w:lineRule="auto"/>
        <w:jc w:val="both"/>
        <w:rPr>
          <w:rFonts w:ascii="Times New Roman" w:hAnsi="Times New Roman" w:cs="Times New Roman"/>
        </w:rPr>
      </w:pPr>
    </w:p>
    <w:p w14:paraId="487B016D" w14:textId="77777777" w:rsidR="000A39FE" w:rsidRDefault="000A39FE" w:rsidP="000A39FE">
      <w:pPr>
        <w:spacing w:line="480" w:lineRule="auto"/>
        <w:jc w:val="both"/>
        <w:rPr>
          <w:rFonts w:ascii="Times New Roman" w:hAnsi="Times New Roman" w:cs="Times New Roman"/>
        </w:rPr>
      </w:pPr>
    </w:p>
    <w:p w14:paraId="3F7B87F3" w14:textId="77777777" w:rsidR="000A39FE" w:rsidRDefault="000A39FE" w:rsidP="000A39FE">
      <w:pPr>
        <w:spacing w:line="480" w:lineRule="auto"/>
        <w:jc w:val="both"/>
        <w:rPr>
          <w:rFonts w:ascii="Times New Roman" w:hAnsi="Times New Roman" w:cs="Times New Roman"/>
        </w:rPr>
      </w:pPr>
    </w:p>
    <w:p w14:paraId="0D66DE37" w14:textId="77777777" w:rsidR="000A39FE" w:rsidRDefault="000A39FE" w:rsidP="000A39FE">
      <w:pPr>
        <w:spacing w:line="480" w:lineRule="auto"/>
        <w:jc w:val="both"/>
        <w:rPr>
          <w:rFonts w:ascii="Times New Roman" w:hAnsi="Times New Roman" w:cs="Times New Roman"/>
        </w:rPr>
      </w:pPr>
    </w:p>
    <w:p w14:paraId="27D6B8EB" w14:textId="77777777" w:rsidR="000A39FE" w:rsidRDefault="000A39FE" w:rsidP="000A39FE">
      <w:pPr>
        <w:spacing w:line="480" w:lineRule="auto"/>
        <w:jc w:val="both"/>
        <w:rPr>
          <w:rFonts w:ascii="Times New Roman" w:hAnsi="Times New Roman" w:cs="Times New Roman"/>
        </w:rPr>
      </w:pPr>
    </w:p>
    <w:p w14:paraId="2B696297" w14:textId="77777777" w:rsidR="000A39FE" w:rsidRDefault="000A39FE" w:rsidP="000A39FE">
      <w:pPr>
        <w:spacing w:line="480" w:lineRule="auto"/>
        <w:jc w:val="both"/>
        <w:rPr>
          <w:rFonts w:ascii="Times New Roman" w:hAnsi="Times New Roman" w:cs="Times New Roman"/>
        </w:rPr>
      </w:pPr>
    </w:p>
    <w:p w14:paraId="77BA503C" w14:textId="77777777"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b/>
          <w:bCs/>
          <w:color w:val="215E99" w:themeColor="text2" w:themeTint="BF"/>
        </w:rPr>
        <w:lastRenderedPageBreak/>
        <w:t>Conclusion</w:t>
      </w:r>
      <w:r w:rsidRPr="000A39FE">
        <w:rPr>
          <w:rFonts w:ascii="Times New Roman" w:hAnsi="Times New Roman" w:cs="Times New Roman"/>
        </w:rPr>
        <w:br/>
      </w:r>
      <w:r w:rsidRPr="000A39FE">
        <w:rPr>
          <w:rFonts w:ascii="Times New Roman" w:hAnsi="Times New Roman" w:cs="Times New Roman"/>
        </w:rPr>
        <w:br/>
        <w:t>Social enterprises play a unique and increasingly important role in the global economy, attempting to balance profit generating and social effect. This essay conducted a thorough SWOT analysis to investigate the inherent strengths, such as purpose-driven culture and ethical distinctiveness, as well as the weaknesses, such as resource restrictions and potential mission drift. The opportunities afforded by changing consumer tastes, technical breakthroughs, and supportive regulations provide potential for growth and greater influence. Threats from competitive pressure, economic instability, regulatory difficulties, and reputational hazards, on the other hand, provide significant hurdles.</w:t>
      </w:r>
    </w:p>
    <w:p w14:paraId="70FEE832" w14:textId="739E2D2D" w:rsidR="000A39FE" w:rsidRDefault="000A39FE" w:rsidP="000A39FE">
      <w:pPr>
        <w:spacing w:line="480" w:lineRule="auto"/>
        <w:jc w:val="both"/>
        <w:rPr>
          <w:rFonts w:ascii="Times New Roman" w:hAnsi="Times New Roman" w:cs="Times New Roman"/>
        </w:rPr>
      </w:pPr>
      <w:r w:rsidRPr="000A39FE">
        <w:rPr>
          <w:rFonts w:ascii="Times New Roman" w:hAnsi="Times New Roman" w:cs="Times New Roman"/>
        </w:rPr>
        <w:t xml:space="preserve">Integrating academic ideas such as Social Entrepreneurship, Stakeholder Theory, Institutional Theory, and the Resource-Based View improves the study and leads to a better understanding of the dynamics at work. As social enterprises negotiate this complicated landscape, they will need to strategically leverage their strengths and opportunities while also managing their vulnerabilities and dangers </w:t>
      </w:r>
      <w:r w:rsidRPr="000A39FE">
        <w:rPr>
          <w:rFonts w:ascii="Times New Roman" w:hAnsi="Times New Roman" w:cs="Times New Roman"/>
        </w:rPr>
        <w:t>to</w:t>
      </w:r>
      <w:r w:rsidRPr="000A39FE">
        <w:rPr>
          <w:rFonts w:ascii="Times New Roman" w:hAnsi="Times New Roman" w:cs="Times New Roman"/>
        </w:rPr>
        <w:t xml:space="preserve"> satisfy their dual mandate of financial viability and societal impact. The ability of social enterprises to innovate, adapt, and stick to their social missions in the face of an ever-changing global setting is critical to their future success.</w:t>
      </w:r>
    </w:p>
    <w:p w14:paraId="5BCE08F4" w14:textId="77777777" w:rsidR="008E1105" w:rsidRDefault="008E1105" w:rsidP="000A39FE">
      <w:pPr>
        <w:spacing w:line="480" w:lineRule="auto"/>
        <w:jc w:val="both"/>
        <w:rPr>
          <w:rFonts w:ascii="Times New Roman" w:hAnsi="Times New Roman" w:cs="Times New Roman"/>
        </w:rPr>
      </w:pPr>
    </w:p>
    <w:p w14:paraId="7CD6AF32" w14:textId="77777777" w:rsidR="008E1105" w:rsidRDefault="008E1105" w:rsidP="000A39FE">
      <w:pPr>
        <w:spacing w:line="480" w:lineRule="auto"/>
        <w:jc w:val="both"/>
        <w:rPr>
          <w:rFonts w:ascii="Times New Roman" w:hAnsi="Times New Roman" w:cs="Times New Roman"/>
        </w:rPr>
      </w:pPr>
    </w:p>
    <w:p w14:paraId="0DBBBAA9" w14:textId="77777777" w:rsidR="008E1105" w:rsidRDefault="008E1105" w:rsidP="000A39FE">
      <w:pPr>
        <w:spacing w:line="480" w:lineRule="auto"/>
        <w:jc w:val="both"/>
        <w:rPr>
          <w:rFonts w:ascii="Times New Roman" w:hAnsi="Times New Roman" w:cs="Times New Roman"/>
        </w:rPr>
      </w:pPr>
    </w:p>
    <w:p w14:paraId="46AFF11E" w14:textId="77777777" w:rsidR="008E1105" w:rsidRDefault="008E1105" w:rsidP="000A39FE">
      <w:pPr>
        <w:spacing w:line="480" w:lineRule="auto"/>
        <w:jc w:val="both"/>
        <w:rPr>
          <w:rFonts w:ascii="Times New Roman" w:hAnsi="Times New Roman" w:cs="Times New Roman"/>
        </w:rPr>
      </w:pPr>
    </w:p>
    <w:p w14:paraId="3A2C7796" w14:textId="77777777" w:rsidR="008E1105" w:rsidRDefault="008E1105" w:rsidP="000A39FE">
      <w:pPr>
        <w:spacing w:line="480" w:lineRule="auto"/>
        <w:jc w:val="both"/>
        <w:rPr>
          <w:rFonts w:ascii="Times New Roman" w:hAnsi="Times New Roman" w:cs="Times New Roman"/>
        </w:rPr>
      </w:pPr>
    </w:p>
    <w:p w14:paraId="00C96EEF" w14:textId="77777777" w:rsidR="008E1105" w:rsidRDefault="008E1105" w:rsidP="000A39FE">
      <w:pPr>
        <w:spacing w:line="480" w:lineRule="auto"/>
        <w:jc w:val="both"/>
        <w:rPr>
          <w:rFonts w:ascii="Times New Roman" w:hAnsi="Times New Roman" w:cs="Times New Roman"/>
        </w:rPr>
      </w:pPr>
    </w:p>
    <w:p w14:paraId="12EA8D77" w14:textId="1F31F69B" w:rsidR="008E1105" w:rsidRDefault="008E1105" w:rsidP="000A39FE">
      <w:pPr>
        <w:spacing w:line="480" w:lineRule="auto"/>
        <w:jc w:val="both"/>
        <w:rPr>
          <w:rFonts w:ascii="Times New Roman" w:hAnsi="Times New Roman" w:cs="Times New Roman"/>
          <w:b/>
          <w:bCs/>
          <w:color w:val="215E99" w:themeColor="text2" w:themeTint="BF"/>
        </w:rPr>
      </w:pPr>
      <w:r w:rsidRPr="008C08DF">
        <w:rPr>
          <w:rFonts w:ascii="Times New Roman" w:hAnsi="Times New Roman" w:cs="Times New Roman"/>
          <w:b/>
          <w:bCs/>
          <w:color w:val="215E99" w:themeColor="text2" w:themeTint="BF"/>
        </w:rPr>
        <w:lastRenderedPageBreak/>
        <w:t xml:space="preserve">References list </w:t>
      </w:r>
    </w:p>
    <w:p w14:paraId="57229581" w14:textId="77777777" w:rsidR="008C08DF" w:rsidRPr="008C08DF" w:rsidRDefault="008C08DF" w:rsidP="000A39FE">
      <w:pPr>
        <w:spacing w:line="480" w:lineRule="auto"/>
        <w:jc w:val="both"/>
        <w:rPr>
          <w:rFonts w:ascii="Times New Roman" w:hAnsi="Times New Roman" w:cs="Times New Roman"/>
          <w:b/>
          <w:bCs/>
          <w:color w:val="215E99" w:themeColor="text2" w:themeTint="BF"/>
        </w:rPr>
      </w:pPr>
    </w:p>
    <w:p w14:paraId="48E5EE44" w14:textId="77777777" w:rsidR="008E1105" w:rsidRPr="008E1105" w:rsidRDefault="008E1105" w:rsidP="008E1105">
      <w:pPr>
        <w:spacing w:line="480" w:lineRule="auto"/>
        <w:jc w:val="both"/>
        <w:rPr>
          <w:rFonts w:ascii="Times New Roman" w:hAnsi="Times New Roman" w:cs="Times New Roman"/>
        </w:rPr>
      </w:pPr>
      <w:proofErr w:type="spellStart"/>
      <w:r w:rsidRPr="008E1105">
        <w:rPr>
          <w:rFonts w:ascii="Times New Roman" w:hAnsi="Times New Roman" w:cs="Times New Roman"/>
        </w:rPr>
        <w:t>Anheier</w:t>
      </w:r>
      <w:proofErr w:type="spellEnd"/>
      <w:r w:rsidRPr="008E1105">
        <w:rPr>
          <w:rFonts w:ascii="Times New Roman" w:hAnsi="Times New Roman" w:cs="Times New Roman"/>
        </w:rPr>
        <w:t xml:space="preserve">, H. K. (2014). </w:t>
      </w:r>
      <w:r w:rsidRPr="008E1105">
        <w:rPr>
          <w:rFonts w:ascii="Times New Roman" w:hAnsi="Times New Roman" w:cs="Times New Roman"/>
          <w:i/>
          <w:iCs/>
        </w:rPr>
        <w:t>Social Entrepreneurship: An Introduction</w:t>
      </w:r>
      <w:r w:rsidRPr="008E1105">
        <w:rPr>
          <w:rFonts w:ascii="Times New Roman" w:hAnsi="Times New Roman" w:cs="Times New Roman"/>
        </w:rPr>
        <w:t>. London: Routledge.</w:t>
      </w:r>
    </w:p>
    <w:p w14:paraId="6F7ECC0B" w14:textId="77777777" w:rsidR="008E1105" w:rsidRPr="008E1105" w:rsidRDefault="008E1105" w:rsidP="008E1105">
      <w:pPr>
        <w:spacing w:line="480" w:lineRule="auto"/>
        <w:jc w:val="both"/>
        <w:rPr>
          <w:rFonts w:ascii="Times New Roman" w:hAnsi="Times New Roman" w:cs="Times New Roman"/>
        </w:rPr>
      </w:pPr>
      <w:r w:rsidRPr="008E1105">
        <w:rPr>
          <w:rFonts w:ascii="Times New Roman" w:hAnsi="Times New Roman" w:cs="Times New Roman"/>
        </w:rPr>
        <w:t xml:space="preserve">Barney, J. (1991). Firm resources and sustained competitive advantage. </w:t>
      </w:r>
      <w:r w:rsidRPr="008E1105">
        <w:rPr>
          <w:rFonts w:ascii="Times New Roman" w:hAnsi="Times New Roman" w:cs="Times New Roman"/>
          <w:i/>
          <w:iCs/>
        </w:rPr>
        <w:t>Journal of Management, 17</w:t>
      </w:r>
      <w:r w:rsidRPr="008E1105">
        <w:rPr>
          <w:rFonts w:ascii="Times New Roman" w:hAnsi="Times New Roman" w:cs="Times New Roman"/>
        </w:rPr>
        <w:t>(1), 99-120.</w:t>
      </w:r>
    </w:p>
    <w:p w14:paraId="731E9F59" w14:textId="77777777" w:rsidR="008E1105" w:rsidRPr="008E1105" w:rsidRDefault="008E1105" w:rsidP="008E1105">
      <w:pPr>
        <w:spacing w:line="480" w:lineRule="auto"/>
        <w:jc w:val="both"/>
        <w:rPr>
          <w:rFonts w:ascii="Times New Roman" w:hAnsi="Times New Roman" w:cs="Times New Roman"/>
        </w:rPr>
      </w:pPr>
      <w:r w:rsidRPr="008E1105">
        <w:rPr>
          <w:rFonts w:ascii="Times New Roman" w:hAnsi="Times New Roman" w:cs="Times New Roman"/>
        </w:rPr>
        <w:t xml:space="preserve">DiMaggio, P. J., &amp; Powell, W. W. (1983). The iron cage revisited: Institutional isomorphism and collective rationality in organizational fields. </w:t>
      </w:r>
      <w:r w:rsidRPr="008E1105">
        <w:rPr>
          <w:rFonts w:ascii="Times New Roman" w:hAnsi="Times New Roman" w:cs="Times New Roman"/>
          <w:i/>
          <w:iCs/>
        </w:rPr>
        <w:t>American Sociological Review, 48</w:t>
      </w:r>
      <w:r w:rsidRPr="008E1105">
        <w:rPr>
          <w:rFonts w:ascii="Times New Roman" w:hAnsi="Times New Roman" w:cs="Times New Roman"/>
        </w:rPr>
        <w:t>(2), 147-160.</w:t>
      </w:r>
    </w:p>
    <w:p w14:paraId="77B71E9F" w14:textId="77777777" w:rsidR="008E1105" w:rsidRDefault="008E1105" w:rsidP="008E1105">
      <w:pPr>
        <w:spacing w:line="480" w:lineRule="auto"/>
        <w:jc w:val="both"/>
        <w:rPr>
          <w:rFonts w:ascii="Times New Roman" w:hAnsi="Times New Roman" w:cs="Times New Roman"/>
        </w:rPr>
      </w:pPr>
      <w:r w:rsidRPr="008E1105">
        <w:rPr>
          <w:rFonts w:ascii="Times New Roman" w:hAnsi="Times New Roman" w:cs="Times New Roman"/>
        </w:rPr>
        <w:t xml:space="preserve">Freeman, R. E. (1984). </w:t>
      </w:r>
      <w:r w:rsidRPr="008E1105">
        <w:rPr>
          <w:rFonts w:ascii="Times New Roman" w:hAnsi="Times New Roman" w:cs="Times New Roman"/>
          <w:i/>
          <w:iCs/>
        </w:rPr>
        <w:t>Strategic Management: A Stakeholder Approach</w:t>
      </w:r>
      <w:r w:rsidRPr="008E1105">
        <w:rPr>
          <w:rFonts w:ascii="Times New Roman" w:hAnsi="Times New Roman" w:cs="Times New Roman"/>
        </w:rPr>
        <w:t>. Boston: Pitman.</w:t>
      </w:r>
    </w:p>
    <w:p w14:paraId="2FB0973C" w14:textId="4B30F950" w:rsidR="008C08DF" w:rsidRDefault="008C08DF" w:rsidP="008C08DF">
      <w:pPr>
        <w:spacing w:line="480" w:lineRule="auto"/>
        <w:jc w:val="both"/>
        <w:rPr>
          <w:rFonts w:ascii="Times New Roman" w:hAnsi="Times New Roman" w:cs="Times New Roman"/>
        </w:rPr>
      </w:pPr>
      <w:proofErr w:type="spellStart"/>
      <w:r w:rsidRPr="008C08DF">
        <w:rPr>
          <w:rFonts w:ascii="Times New Roman" w:hAnsi="Times New Roman" w:cs="Times New Roman"/>
        </w:rPr>
        <w:t>Hagedoorn</w:t>
      </w:r>
      <w:proofErr w:type="spellEnd"/>
      <w:r w:rsidRPr="008C08DF">
        <w:rPr>
          <w:rFonts w:ascii="Times New Roman" w:hAnsi="Times New Roman" w:cs="Times New Roman"/>
        </w:rPr>
        <w:t xml:space="preserve">, J., Haugh, H., Robson, P., &amp; Sugar, K. (2022). </w:t>
      </w:r>
      <w:r w:rsidRPr="008C08DF">
        <w:rPr>
          <w:rFonts w:ascii="Times New Roman" w:hAnsi="Times New Roman" w:cs="Times New Roman"/>
          <w:i/>
          <w:iCs/>
        </w:rPr>
        <w:t>Social innovation, goal orientation, and openness: Insights from social enterprise hybrids.</w:t>
      </w:r>
      <w:r w:rsidRPr="008C08DF">
        <w:rPr>
          <w:rFonts w:ascii="Times New Roman" w:hAnsi="Times New Roman" w:cs="Times New Roman"/>
        </w:rPr>
        <w:t xml:space="preserve"> Small Business Economics. </w:t>
      </w:r>
      <w:hyperlink r:id="rId4" w:history="1">
        <w:r w:rsidRPr="008006A0">
          <w:rPr>
            <w:rStyle w:val="Hyperlink"/>
            <w:rFonts w:ascii="Times New Roman" w:hAnsi="Times New Roman" w:cs="Times New Roman"/>
          </w:rPr>
          <w:t>https://doi.org/10.1007/s11187-022-00643-4</w:t>
        </w:r>
      </w:hyperlink>
    </w:p>
    <w:p w14:paraId="36574404" w14:textId="420E0A5E" w:rsidR="008C08DF" w:rsidRDefault="008C08DF" w:rsidP="008C08DF">
      <w:pPr>
        <w:spacing w:line="480" w:lineRule="auto"/>
        <w:jc w:val="both"/>
        <w:rPr>
          <w:rFonts w:ascii="Times New Roman" w:hAnsi="Times New Roman" w:cs="Times New Roman"/>
        </w:rPr>
      </w:pPr>
      <w:r w:rsidRPr="008C08DF">
        <w:rPr>
          <w:rFonts w:ascii="Times New Roman" w:hAnsi="Times New Roman" w:cs="Times New Roman"/>
        </w:rPr>
        <w:t xml:space="preserve">Halsall, J. P., Oberoi, R., &amp; Snowden, M. (2022a). Social enterprise, social innovation and sustainable future: A driver for policy change. In F. </w:t>
      </w:r>
      <w:proofErr w:type="spellStart"/>
      <w:r w:rsidRPr="008C08DF">
        <w:rPr>
          <w:rFonts w:ascii="Times New Roman" w:hAnsi="Times New Roman" w:cs="Times New Roman"/>
        </w:rPr>
        <w:t>Quoquab</w:t>
      </w:r>
      <w:proofErr w:type="spellEnd"/>
      <w:r w:rsidRPr="008C08DF">
        <w:rPr>
          <w:rFonts w:ascii="Times New Roman" w:hAnsi="Times New Roman" w:cs="Times New Roman"/>
        </w:rPr>
        <w:t xml:space="preserve"> &amp; D. Crowther (Eds.), </w:t>
      </w:r>
      <w:r w:rsidRPr="008C08DF">
        <w:rPr>
          <w:rFonts w:ascii="Times New Roman" w:hAnsi="Times New Roman" w:cs="Times New Roman"/>
          <w:i/>
          <w:iCs/>
        </w:rPr>
        <w:t>Social entrepreneurs: Mobilisers of social change</w:t>
      </w:r>
      <w:r w:rsidRPr="008C08DF">
        <w:rPr>
          <w:rFonts w:ascii="Times New Roman" w:hAnsi="Times New Roman" w:cs="Times New Roman"/>
        </w:rPr>
        <w:t xml:space="preserve"> (Chapter 2, pp. 13–28). Bingley, UK: Emerald Publishing Limited.</w:t>
      </w:r>
    </w:p>
    <w:p w14:paraId="6A25295A" w14:textId="5D8B9047" w:rsidR="008C08DF" w:rsidRDefault="008C08DF" w:rsidP="008C08DF">
      <w:pPr>
        <w:spacing w:line="480" w:lineRule="auto"/>
        <w:jc w:val="both"/>
        <w:rPr>
          <w:rFonts w:ascii="Times New Roman" w:hAnsi="Times New Roman" w:cs="Times New Roman"/>
        </w:rPr>
      </w:pPr>
      <w:r w:rsidRPr="008C08DF">
        <w:rPr>
          <w:rFonts w:ascii="Times New Roman" w:hAnsi="Times New Roman" w:cs="Times New Roman"/>
        </w:rPr>
        <w:t xml:space="preserve">Lumpkin, G. T., Moss, T. W., Gras, D. M., Kato, S., &amp; Amezcua, A. S. (2013). Entrepreneurial processes in social contexts: How are they different, if at all? </w:t>
      </w:r>
      <w:r w:rsidRPr="008C08DF">
        <w:rPr>
          <w:rFonts w:ascii="Times New Roman" w:hAnsi="Times New Roman" w:cs="Times New Roman"/>
          <w:i/>
          <w:iCs/>
        </w:rPr>
        <w:t>Small Business Economics, 40</w:t>
      </w:r>
      <w:r w:rsidRPr="008C08DF">
        <w:rPr>
          <w:rFonts w:ascii="Times New Roman" w:hAnsi="Times New Roman" w:cs="Times New Roman"/>
        </w:rPr>
        <w:t xml:space="preserve">(3), 761–783. </w:t>
      </w:r>
      <w:hyperlink r:id="rId5" w:history="1">
        <w:r w:rsidRPr="008006A0">
          <w:rPr>
            <w:rStyle w:val="Hyperlink"/>
            <w:rFonts w:ascii="Times New Roman" w:hAnsi="Times New Roman" w:cs="Times New Roman"/>
          </w:rPr>
          <w:t>https://doi.org/10.1007/s11187-012-9395-5</w:t>
        </w:r>
      </w:hyperlink>
    </w:p>
    <w:p w14:paraId="23707A66" w14:textId="698F3249" w:rsidR="008C08DF" w:rsidRDefault="008C08DF" w:rsidP="008E1105">
      <w:pPr>
        <w:spacing w:line="480" w:lineRule="auto"/>
        <w:jc w:val="both"/>
        <w:rPr>
          <w:rFonts w:ascii="Times New Roman" w:hAnsi="Times New Roman" w:cs="Times New Roman"/>
        </w:rPr>
      </w:pPr>
      <w:r w:rsidRPr="008C08DF">
        <w:rPr>
          <w:rFonts w:ascii="Times New Roman" w:hAnsi="Times New Roman" w:cs="Times New Roman"/>
        </w:rPr>
        <w:t xml:space="preserve">Lyon, F., &amp; Fernandez, H. (2012). Strategies for scaling up social enterprise: Lessons from early years providers. </w:t>
      </w:r>
      <w:r w:rsidRPr="008C08DF">
        <w:rPr>
          <w:rFonts w:ascii="Times New Roman" w:hAnsi="Times New Roman" w:cs="Times New Roman"/>
          <w:i/>
          <w:iCs/>
        </w:rPr>
        <w:t>Social Enterprise Journal, 8</w:t>
      </w:r>
      <w:r w:rsidRPr="008C08DF">
        <w:rPr>
          <w:rFonts w:ascii="Times New Roman" w:hAnsi="Times New Roman" w:cs="Times New Roman"/>
        </w:rPr>
        <w:t xml:space="preserve">(1), 63–77. </w:t>
      </w:r>
      <w:hyperlink r:id="rId6" w:history="1">
        <w:r w:rsidRPr="008006A0">
          <w:rPr>
            <w:rStyle w:val="Hyperlink"/>
            <w:rFonts w:ascii="Times New Roman" w:hAnsi="Times New Roman" w:cs="Times New Roman"/>
          </w:rPr>
          <w:t>https://doi.org/10.1108/17508601211244125</w:t>
        </w:r>
      </w:hyperlink>
    </w:p>
    <w:p w14:paraId="3A772A93" w14:textId="5F4CE16A" w:rsidR="008E1105" w:rsidRDefault="008E1105" w:rsidP="008E1105">
      <w:pPr>
        <w:spacing w:line="480" w:lineRule="auto"/>
        <w:jc w:val="both"/>
        <w:rPr>
          <w:rFonts w:ascii="Times New Roman" w:hAnsi="Times New Roman" w:cs="Times New Roman"/>
        </w:rPr>
      </w:pPr>
      <w:r w:rsidRPr="008E1105">
        <w:rPr>
          <w:rFonts w:ascii="Times New Roman" w:hAnsi="Times New Roman" w:cs="Times New Roman"/>
        </w:rPr>
        <w:lastRenderedPageBreak/>
        <w:t xml:space="preserve">Mair, J., &amp; Marti, I. (2006). Social entrepreneurship research: A source of explanation, prediction, and delight. </w:t>
      </w:r>
      <w:r w:rsidRPr="008E1105">
        <w:rPr>
          <w:rFonts w:ascii="Times New Roman" w:hAnsi="Times New Roman" w:cs="Times New Roman"/>
          <w:i/>
          <w:iCs/>
        </w:rPr>
        <w:t>Journal of World Business, 41</w:t>
      </w:r>
      <w:r w:rsidRPr="008E1105">
        <w:rPr>
          <w:rFonts w:ascii="Times New Roman" w:hAnsi="Times New Roman" w:cs="Times New Roman"/>
        </w:rPr>
        <w:t>(1), 36-44.</w:t>
      </w:r>
    </w:p>
    <w:p w14:paraId="7C09332D" w14:textId="213A1B7D" w:rsidR="008C08DF" w:rsidRDefault="008C08DF" w:rsidP="008E1105">
      <w:pPr>
        <w:spacing w:line="480" w:lineRule="auto"/>
        <w:jc w:val="both"/>
        <w:rPr>
          <w:rFonts w:ascii="Times New Roman" w:hAnsi="Times New Roman" w:cs="Times New Roman"/>
        </w:rPr>
      </w:pPr>
      <w:r w:rsidRPr="008C08DF">
        <w:rPr>
          <w:rFonts w:ascii="Times New Roman" w:hAnsi="Times New Roman" w:cs="Times New Roman"/>
        </w:rPr>
        <w:t xml:space="preserve">Porter, M. E., &amp; Kramer, M. R. (2011). Creating shared value. </w:t>
      </w:r>
      <w:r w:rsidRPr="008C08DF">
        <w:rPr>
          <w:rFonts w:ascii="Times New Roman" w:hAnsi="Times New Roman" w:cs="Times New Roman"/>
          <w:i/>
          <w:iCs/>
        </w:rPr>
        <w:t>Harvard Business Review, 89</w:t>
      </w:r>
      <w:r w:rsidRPr="008C08DF">
        <w:rPr>
          <w:rFonts w:ascii="Times New Roman" w:hAnsi="Times New Roman" w:cs="Times New Roman"/>
        </w:rPr>
        <w:t>(1–2), 62–77.</w:t>
      </w:r>
    </w:p>
    <w:p w14:paraId="7F17C2F9" w14:textId="77777777" w:rsidR="000A39FE" w:rsidRPr="000A39FE" w:rsidRDefault="000A39FE" w:rsidP="000A39FE">
      <w:pPr>
        <w:spacing w:line="480" w:lineRule="auto"/>
        <w:jc w:val="both"/>
        <w:rPr>
          <w:rFonts w:ascii="Times New Roman" w:hAnsi="Times New Roman" w:cs="Times New Roman"/>
        </w:rPr>
      </w:pPr>
    </w:p>
    <w:p w14:paraId="79AEEB41" w14:textId="77777777" w:rsidR="002B4CFB" w:rsidRPr="002B4CFB" w:rsidRDefault="002B4CFB" w:rsidP="002B4CFB">
      <w:pPr>
        <w:jc w:val="both"/>
        <w:rPr>
          <w:rFonts w:ascii="Times New Roman" w:hAnsi="Times New Roman" w:cs="Times New Roman"/>
        </w:rPr>
      </w:pPr>
    </w:p>
    <w:sectPr w:rsidR="002B4CFB" w:rsidRPr="002B4CFB" w:rsidSect="000A39F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CFB"/>
    <w:rsid w:val="000A39FE"/>
    <w:rsid w:val="002B4CFB"/>
    <w:rsid w:val="008C08DF"/>
    <w:rsid w:val="008E1105"/>
    <w:rsid w:val="00930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4E713"/>
  <w15:chartTrackingRefBased/>
  <w15:docId w15:val="{766E1103-2AEA-46E4-828A-D86B588F9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C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4C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4C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4C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4C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4C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C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C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C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C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4C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4C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4C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4C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4C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C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C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CFB"/>
    <w:rPr>
      <w:rFonts w:eastAsiaTheme="majorEastAsia" w:cstheme="majorBidi"/>
      <w:color w:val="272727" w:themeColor="text1" w:themeTint="D8"/>
    </w:rPr>
  </w:style>
  <w:style w:type="paragraph" w:styleId="Title">
    <w:name w:val="Title"/>
    <w:basedOn w:val="Normal"/>
    <w:next w:val="Normal"/>
    <w:link w:val="TitleChar"/>
    <w:uiPriority w:val="10"/>
    <w:qFormat/>
    <w:rsid w:val="002B4C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C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C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C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CFB"/>
    <w:pPr>
      <w:spacing w:before="160"/>
      <w:jc w:val="center"/>
    </w:pPr>
    <w:rPr>
      <w:i/>
      <w:iCs/>
      <w:color w:val="404040" w:themeColor="text1" w:themeTint="BF"/>
    </w:rPr>
  </w:style>
  <w:style w:type="character" w:customStyle="1" w:styleId="QuoteChar">
    <w:name w:val="Quote Char"/>
    <w:basedOn w:val="DefaultParagraphFont"/>
    <w:link w:val="Quote"/>
    <w:uiPriority w:val="29"/>
    <w:rsid w:val="002B4CFB"/>
    <w:rPr>
      <w:i/>
      <w:iCs/>
      <w:color w:val="404040" w:themeColor="text1" w:themeTint="BF"/>
    </w:rPr>
  </w:style>
  <w:style w:type="paragraph" w:styleId="ListParagraph">
    <w:name w:val="List Paragraph"/>
    <w:basedOn w:val="Normal"/>
    <w:uiPriority w:val="34"/>
    <w:qFormat/>
    <w:rsid w:val="002B4CFB"/>
    <w:pPr>
      <w:ind w:left="720"/>
      <w:contextualSpacing/>
    </w:pPr>
  </w:style>
  <w:style w:type="character" w:styleId="IntenseEmphasis">
    <w:name w:val="Intense Emphasis"/>
    <w:basedOn w:val="DefaultParagraphFont"/>
    <w:uiPriority w:val="21"/>
    <w:qFormat/>
    <w:rsid w:val="002B4CFB"/>
    <w:rPr>
      <w:i/>
      <w:iCs/>
      <w:color w:val="0F4761" w:themeColor="accent1" w:themeShade="BF"/>
    </w:rPr>
  </w:style>
  <w:style w:type="paragraph" w:styleId="IntenseQuote">
    <w:name w:val="Intense Quote"/>
    <w:basedOn w:val="Normal"/>
    <w:next w:val="Normal"/>
    <w:link w:val="IntenseQuoteChar"/>
    <w:uiPriority w:val="30"/>
    <w:qFormat/>
    <w:rsid w:val="002B4C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4CFB"/>
    <w:rPr>
      <w:i/>
      <w:iCs/>
      <w:color w:val="0F4761" w:themeColor="accent1" w:themeShade="BF"/>
    </w:rPr>
  </w:style>
  <w:style w:type="character" w:styleId="IntenseReference">
    <w:name w:val="Intense Reference"/>
    <w:basedOn w:val="DefaultParagraphFont"/>
    <w:uiPriority w:val="32"/>
    <w:qFormat/>
    <w:rsid w:val="002B4CFB"/>
    <w:rPr>
      <w:b/>
      <w:bCs/>
      <w:smallCaps/>
      <w:color w:val="0F4761" w:themeColor="accent1" w:themeShade="BF"/>
      <w:spacing w:val="5"/>
    </w:rPr>
  </w:style>
  <w:style w:type="character" w:styleId="Hyperlink">
    <w:name w:val="Hyperlink"/>
    <w:basedOn w:val="DefaultParagraphFont"/>
    <w:uiPriority w:val="99"/>
    <w:unhideWhenUsed/>
    <w:rsid w:val="008C08DF"/>
    <w:rPr>
      <w:color w:val="467886" w:themeColor="hyperlink"/>
      <w:u w:val="single"/>
    </w:rPr>
  </w:style>
  <w:style w:type="character" w:styleId="UnresolvedMention">
    <w:name w:val="Unresolved Mention"/>
    <w:basedOn w:val="DefaultParagraphFont"/>
    <w:uiPriority w:val="99"/>
    <w:semiHidden/>
    <w:unhideWhenUsed/>
    <w:rsid w:val="008C08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889309">
      <w:bodyDiv w:val="1"/>
      <w:marLeft w:val="0"/>
      <w:marRight w:val="0"/>
      <w:marTop w:val="0"/>
      <w:marBottom w:val="0"/>
      <w:divBdr>
        <w:top w:val="none" w:sz="0" w:space="0" w:color="auto"/>
        <w:left w:val="none" w:sz="0" w:space="0" w:color="auto"/>
        <w:bottom w:val="none" w:sz="0" w:space="0" w:color="auto"/>
        <w:right w:val="none" w:sz="0" w:space="0" w:color="auto"/>
      </w:divBdr>
    </w:div>
    <w:div w:id="1329820465">
      <w:bodyDiv w:val="1"/>
      <w:marLeft w:val="0"/>
      <w:marRight w:val="0"/>
      <w:marTop w:val="0"/>
      <w:marBottom w:val="0"/>
      <w:divBdr>
        <w:top w:val="none" w:sz="0" w:space="0" w:color="auto"/>
        <w:left w:val="none" w:sz="0" w:space="0" w:color="auto"/>
        <w:bottom w:val="none" w:sz="0" w:space="0" w:color="auto"/>
        <w:right w:val="none" w:sz="0" w:space="0" w:color="auto"/>
      </w:divBdr>
    </w:div>
    <w:div w:id="1834182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08/17508601211244125" TargetMode="External"/><Relationship Id="rId5" Type="http://schemas.openxmlformats.org/officeDocument/2006/relationships/hyperlink" Target="https://doi.org/10.1007/s11187-012-9395-5" TargetMode="External"/><Relationship Id="rId4" Type="http://schemas.openxmlformats.org/officeDocument/2006/relationships/hyperlink" Target="https://doi.org/10.1007/s11187-022-0064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215</TotalTime>
  <Pages>10</Pages>
  <Words>1786</Words>
  <Characters>10184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Opportunities and Threats to Social Enterprise</dc:subject>
  <dc:creator>Mirabela Voican (1907947)</dc:creator>
  <cp:keywords/>
  <dc:description/>
  <cp:lastModifiedBy>Mirabela Voican (1907947)</cp:lastModifiedBy>
  <cp:revision>1</cp:revision>
  <dcterms:created xsi:type="dcterms:W3CDTF">2024-11-04T20:31:00Z</dcterms:created>
  <dcterms:modified xsi:type="dcterms:W3CDTF">2024-11-05T00:09:00Z</dcterms:modified>
</cp:coreProperties>
</file>