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ABDC3" w14:textId="01E38FA8" w:rsidR="00A32713" w:rsidRDefault="0067628D" w:rsidP="0067628D">
      <w:pPr>
        <w:jc w:val="right"/>
      </w:pPr>
      <w:r>
        <w:rPr>
          <w:noProof/>
        </w:rPr>
        <w:drawing>
          <wp:inline distT="0" distB="0" distL="0" distR="0" wp14:anchorId="2C5F1B2D" wp14:editId="3546A371">
            <wp:extent cx="1482090" cy="51816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82090" cy="518160"/>
                    </a:xfrm>
                    <a:prstGeom prst="rect">
                      <a:avLst/>
                    </a:prstGeom>
                    <a:noFill/>
                    <a:ln>
                      <a:noFill/>
                    </a:ln>
                  </pic:spPr>
                </pic:pic>
              </a:graphicData>
            </a:graphic>
          </wp:inline>
        </w:drawing>
      </w:r>
    </w:p>
    <w:p w14:paraId="125D5F1D" w14:textId="0BCCD032" w:rsidR="00A44C74" w:rsidRPr="00A44C74" w:rsidRDefault="00A44C74" w:rsidP="00A44C74">
      <w:pPr>
        <w:jc w:val="left"/>
        <w:rPr>
          <w:b/>
          <w:bCs/>
          <w:sz w:val="32"/>
          <w:szCs w:val="28"/>
        </w:rPr>
      </w:pPr>
      <w:r w:rsidRPr="00A44C74">
        <w:rPr>
          <w:b/>
          <w:bCs/>
          <w:sz w:val="32"/>
          <w:szCs w:val="28"/>
        </w:rPr>
        <w:t xml:space="preserve">Programme: BA (Hons) Leadership and Management Skills for the Workplace </w:t>
      </w:r>
    </w:p>
    <w:p w14:paraId="120AC44D" w14:textId="5B32ADCC" w:rsidR="0067628D" w:rsidRPr="00A44C74" w:rsidRDefault="00A44C74" w:rsidP="00A44C74">
      <w:pPr>
        <w:jc w:val="left"/>
        <w:rPr>
          <w:b/>
          <w:bCs/>
          <w:sz w:val="32"/>
          <w:szCs w:val="28"/>
        </w:rPr>
      </w:pPr>
      <w:r w:rsidRPr="00A44C74">
        <w:rPr>
          <w:b/>
          <w:bCs/>
          <w:sz w:val="32"/>
          <w:szCs w:val="28"/>
        </w:rPr>
        <w:t xml:space="preserve">Module Code and Title: LCLM5002 Developing and Managing Individuals and Teams </w:t>
      </w:r>
    </w:p>
    <w:p w14:paraId="42425F8D" w14:textId="31589703" w:rsidR="00A44C74" w:rsidRPr="00A44C74" w:rsidRDefault="00A44C74" w:rsidP="00A44C74">
      <w:pPr>
        <w:jc w:val="left"/>
        <w:rPr>
          <w:b/>
          <w:bCs/>
          <w:sz w:val="32"/>
          <w:szCs w:val="28"/>
        </w:rPr>
      </w:pPr>
      <w:r w:rsidRPr="00A44C74">
        <w:rPr>
          <w:b/>
          <w:bCs/>
          <w:sz w:val="32"/>
          <w:szCs w:val="28"/>
        </w:rPr>
        <w:t>Assignment Title: Component 2- Individual Report</w:t>
      </w:r>
    </w:p>
    <w:p w14:paraId="1D597D23" w14:textId="77777777" w:rsidR="00A44C74" w:rsidRDefault="00A44C74" w:rsidP="00A44C74">
      <w:pPr>
        <w:jc w:val="left"/>
      </w:pPr>
    </w:p>
    <w:p w14:paraId="6E1E2E01" w14:textId="16D7D094" w:rsidR="00A32713" w:rsidRDefault="00A32713"/>
    <w:p w14:paraId="70698D1D" w14:textId="05ECFDE6" w:rsidR="00A32713" w:rsidRPr="00FE4C44" w:rsidRDefault="00A44C74">
      <w:pPr>
        <w:rPr>
          <w:b/>
          <w:bCs/>
          <w:lang w:val="it-IT"/>
        </w:rPr>
      </w:pPr>
      <w:r w:rsidRPr="00FE4C44">
        <w:rPr>
          <w:b/>
          <w:bCs/>
          <w:lang w:val="it-IT"/>
        </w:rPr>
        <w:t>Student Name:</w:t>
      </w:r>
      <w:r w:rsidR="00FE4C44" w:rsidRPr="00FE4C44">
        <w:rPr>
          <w:b/>
          <w:bCs/>
          <w:lang w:val="it-IT"/>
        </w:rPr>
        <w:t xml:space="preserve"> Mari-Elena La</w:t>
      </w:r>
      <w:r w:rsidR="00FE4C44">
        <w:rPr>
          <w:b/>
          <w:bCs/>
          <w:lang w:val="it-IT"/>
        </w:rPr>
        <w:t>catus</w:t>
      </w:r>
      <w:r w:rsidR="00FE4C44">
        <w:rPr>
          <w:b/>
          <w:bCs/>
          <w:lang w:val="it-IT"/>
        </w:rPr>
        <w:tab/>
      </w:r>
    </w:p>
    <w:p w14:paraId="6A4EEAB3" w14:textId="36CC76C7" w:rsidR="00A44C74" w:rsidRPr="00FE4C44" w:rsidRDefault="00A44C74">
      <w:pPr>
        <w:rPr>
          <w:b/>
          <w:bCs/>
          <w:lang w:val="nl-NL"/>
        </w:rPr>
      </w:pPr>
      <w:r w:rsidRPr="00FE4C44">
        <w:rPr>
          <w:b/>
          <w:bCs/>
          <w:lang w:val="nl-NL"/>
        </w:rPr>
        <w:t>Student ID:</w:t>
      </w:r>
      <w:r w:rsidR="00FE4C44">
        <w:rPr>
          <w:b/>
          <w:bCs/>
          <w:lang w:val="nl-NL"/>
        </w:rPr>
        <w:t xml:space="preserve"> 2410249</w:t>
      </w:r>
    </w:p>
    <w:p w14:paraId="528C8295" w14:textId="77777777" w:rsidR="00A44C74" w:rsidRPr="00FE4C44" w:rsidRDefault="00A44C74">
      <w:pPr>
        <w:rPr>
          <w:lang w:val="nl-NL"/>
        </w:rPr>
      </w:pPr>
    </w:p>
    <w:p w14:paraId="62CD1C07" w14:textId="71B92CFB" w:rsidR="00A32713" w:rsidRPr="00FE4C44" w:rsidRDefault="00A32713">
      <w:pPr>
        <w:rPr>
          <w:lang w:val="nl-NL"/>
        </w:rPr>
      </w:pPr>
    </w:p>
    <w:p w14:paraId="67FF7D5C" w14:textId="4F792D14" w:rsidR="00A32713" w:rsidRPr="00FE4C44" w:rsidRDefault="00A32713">
      <w:pPr>
        <w:rPr>
          <w:lang w:val="nl-NL"/>
        </w:rPr>
      </w:pPr>
    </w:p>
    <w:p w14:paraId="76C33F5D" w14:textId="3B62D097" w:rsidR="00A32713" w:rsidRPr="00FE4C44" w:rsidRDefault="00A32713">
      <w:pPr>
        <w:rPr>
          <w:lang w:val="nl-NL"/>
        </w:rPr>
      </w:pPr>
    </w:p>
    <w:p w14:paraId="58E909CB" w14:textId="7F29A1E2" w:rsidR="00A32713" w:rsidRPr="00FE4C44" w:rsidRDefault="00A32713">
      <w:pPr>
        <w:rPr>
          <w:lang w:val="nl-NL"/>
        </w:rPr>
      </w:pPr>
    </w:p>
    <w:p w14:paraId="7B3465F1" w14:textId="2437BEB8" w:rsidR="00A32713" w:rsidRPr="00FE4C44" w:rsidRDefault="00A32713">
      <w:pPr>
        <w:rPr>
          <w:lang w:val="nl-NL"/>
        </w:rPr>
      </w:pPr>
    </w:p>
    <w:p w14:paraId="099C6F8A" w14:textId="516FBAAD" w:rsidR="00A32713" w:rsidRPr="00FE4C44" w:rsidRDefault="00A32713">
      <w:pPr>
        <w:rPr>
          <w:lang w:val="nl-NL"/>
        </w:rPr>
      </w:pPr>
    </w:p>
    <w:p w14:paraId="46596BDE" w14:textId="6F8C0880" w:rsidR="00A32713" w:rsidRPr="00FE4C44" w:rsidRDefault="00A32713">
      <w:pPr>
        <w:rPr>
          <w:lang w:val="nl-NL"/>
        </w:rPr>
      </w:pPr>
    </w:p>
    <w:p w14:paraId="6A2F0312" w14:textId="2895AB06" w:rsidR="00A32713" w:rsidRPr="00FE4C44" w:rsidRDefault="00A32713">
      <w:pPr>
        <w:rPr>
          <w:lang w:val="nl-NL"/>
        </w:rPr>
      </w:pPr>
    </w:p>
    <w:p w14:paraId="10CEC4B9" w14:textId="675DA1E1" w:rsidR="00A32713" w:rsidRPr="00FE4C44" w:rsidRDefault="00A32713">
      <w:pPr>
        <w:rPr>
          <w:lang w:val="nl-NL"/>
        </w:rPr>
      </w:pPr>
    </w:p>
    <w:p w14:paraId="2D834FC7" w14:textId="62CD5CAF" w:rsidR="00A32713" w:rsidRPr="00FE4C44" w:rsidRDefault="00A32713">
      <w:pPr>
        <w:rPr>
          <w:lang w:val="nl-NL"/>
        </w:rPr>
      </w:pPr>
    </w:p>
    <w:p w14:paraId="7B698CAC" w14:textId="77777777" w:rsidR="00556F03" w:rsidRPr="00FE4C44" w:rsidRDefault="00556F03">
      <w:pPr>
        <w:rPr>
          <w:lang w:val="nl-NL"/>
        </w:rPr>
      </w:pPr>
    </w:p>
    <w:p w14:paraId="0801DD19" w14:textId="77777777" w:rsidR="008070F0" w:rsidRPr="008070F0" w:rsidRDefault="008070F0" w:rsidP="008070F0">
      <w:pPr>
        <w:rPr>
          <w:b/>
          <w:u w:val="single"/>
        </w:rPr>
      </w:pPr>
      <w:r w:rsidRPr="008070F0">
        <w:rPr>
          <w:b/>
          <w:u w:val="single"/>
        </w:rPr>
        <w:lastRenderedPageBreak/>
        <w:t>AI Acknowledgement</w:t>
      </w:r>
    </w:p>
    <w:p w14:paraId="4A8BC9CB" w14:textId="0CF78DA0" w:rsidR="008070F0" w:rsidRPr="008070F0" w:rsidRDefault="008070F0" w:rsidP="008070F0">
      <w:r w:rsidRPr="008070F0">
        <w:t xml:space="preserve">I acknowledge the use of the AI tool (Chatgpt) to find any grammatical mistakes in my essay from </w:t>
      </w:r>
      <w:r>
        <w:t>20</w:t>
      </w:r>
      <w:r w:rsidRPr="008070F0">
        <w:rPr>
          <w:vertAlign w:val="superscript"/>
        </w:rPr>
        <w:t>th</w:t>
      </w:r>
      <w:r w:rsidRPr="008070F0">
        <w:t xml:space="preserve"> </w:t>
      </w:r>
      <w:r>
        <w:t>February</w:t>
      </w:r>
      <w:r w:rsidRPr="008070F0">
        <w:t xml:space="preserve"> 202</w:t>
      </w:r>
      <w:r>
        <w:t>6</w:t>
      </w:r>
      <w:r w:rsidRPr="008070F0">
        <w:t xml:space="preserve"> to </w:t>
      </w:r>
      <w:r>
        <w:t>22</w:t>
      </w:r>
      <w:r>
        <w:rPr>
          <w:vertAlign w:val="superscript"/>
        </w:rPr>
        <w:t>nd</w:t>
      </w:r>
      <w:r w:rsidRPr="008070F0">
        <w:t xml:space="preserve"> </w:t>
      </w:r>
      <w:r>
        <w:t>February</w:t>
      </w:r>
      <w:r w:rsidRPr="008070F0">
        <w:t xml:space="preserve"> 202</w:t>
      </w:r>
      <w:r>
        <w:t>6</w:t>
      </w:r>
      <w:r w:rsidRPr="008070F0">
        <w:t xml:space="preserve"> with the following prompt. </w:t>
      </w:r>
    </w:p>
    <w:p w14:paraId="6FC9560C" w14:textId="77777777" w:rsidR="008070F0" w:rsidRPr="008070F0" w:rsidRDefault="008070F0" w:rsidP="008070F0">
      <w:pPr>
        <w:numPr>
          <w:ilvl w:val="0"/>
          <w:numId w:val="4"/>
        </w:numPr>
      </w:pPr>
      <w:r w:rsidRPr="008070F0">
        <w:t>Please look through my paper and find any grammatical mistakes that can be observed.</w:t>
      </w:r>
    </w:p>
    <w:p w14:paraId="19F6FA61" w14:textId="77777777" w:rsidR="008070F0" w:rsidRPr="008070F0" w:rsidRDefault="008070F0" w:rsidP="008070F0">
      <w:r w:rsidRPr="008070F0">
        <w:t>However, I confirm that no AI-generated text is incorporated throughout the report, and I have properly cited all sources.</w:t>
      </w:r>
    </w:p>
    <w:p w14:paraId="32F023FF" w14:textId="77777777" w:rsidR="008070F0" w:rsidRPr="008070F0" w:rsidRDefault="008070F0" w:rsidP="008070F0">
      <w:r w:rsidRPr="008070F0">
        <w:t xml:space="preserve"> </w:t>
      </w:r>
    </w:p>
    <w:p w14:paraId="4B68A153" w14:textId="1000E255" w:rsidR="008070F0" w:rsidRDefault="008070F0"/>
    <w:p w14:paraId="0CF79AFE" w14:textId="1201BA06" w:rsidR="008070F0" w:rsidRDefault="008070F0"/>
    <w:p w14:paraId="674A310C" w14:textId="24489465" w:rsidR="008070F0" w:rsidRDefault="008070F0"/>
    <w:p w14:paraId="0F71A3E9" w14:textId="15A9E47C" w:rsidR="008070F0" w:rsidRDefault="008070F0"/>
    <w:p w14:paraId="31AF1D6C" w14:textId="260890CD" w:rsidR="008070F0" w:rsidRDefault="008070F0"/>
    <w:p w14:paraId="31A7D6C6" w14:textId="0EE73CA7" w:rsidR="008070F0" w:rsidRDefault="008070F0"/>
    <w:p w14:paraId="580E9A86" w14:textId="434AE7F0" w:rsidR="008070F0" w:rsidRDefault="008070F0"/>
    <w:p w14:paraId="2BB0B330" w14:textId="34D6F97A" w:rsidR="008070F0" w:rsidRDefault="008070F0"/>
    <w:p w14:paraId="362D8A46" w14:textId="0C1E67D0" w:rsidR="008070F0" w:rsidRDefault="008070F0"/>
    <w:p w14:paraId="05815BE0" w14:textId="4EAE5486" w:rsidR="008070F0" w:rsidRDefault="008070F0"/>
    <w:p w14:paraId="10ED82B5" w14:textId="02BC0E0F" w:rsidR="008070F0" w:rsidRDefault="008070F0"/>
    <w:p w14:paraId="037400B0" w14:textId="144B0C00" w:rsidR="008070F0" w:rsidRDefault="008070F0"/>
    <w:p w14:paraId="1E181EFB" w14:textId="1E693640" w:rsidR="008070F0" w:rsidRDefault="008070F0"/>
    <w:p w14:paraId="4552F3C7" w14:textId="6B9BDEB1" w:rsidR="008070F0" w:rsidRDefault="008070F0"/>
    <w:p w14:paraId="55BB1B1E" w14:textId="060C409E" w:rsidR="00F32064" w:rsidRDefault="00F32064"/>
    <w:p w14:paraId="1F17A466" w14:textId="690A9CF7" w:rsidR="00F32064" w:rsidRDefault="00F32064"/>
    <w:p w14:paraId="5734AD9C" w14:textId="77777777" w:rsidR="00F32064" w:rsidRDefault="00F32064"/>
    <w:p w14:paraId="48169BC0" w14:textId="77777777" w:rsidR="008070F0" w:rsidRDefault="008070F0"/>
    <w:sdt>
      <w:sdtPr>
        <w:rPr>
          <w:rFonts w:ascii="Times New Roman" w:eastAsiaTheme="minorHAnsi" w:hAnsi="Times New Roman" w:cstheme="minorBidi"/>
          <w:color w:val="auto"/>
          <w:sz w:val="24"/>
          <w:szCs w:val="22"/>
        </w:rPr>
        <w:id w:val="-1432346464"/>
        <w:docPartObj>
          <w:docPartGallery w:val="Table of Contents"/>
          <w:docPartUnique/>
        </w:docPartObj>
      </w:sdtPr>
      <w:sdtEndPr>
        <w:rPr>
          <w:rFonts w:ascii="Arial" w:hAnsi="Arial"/>
          <w:b/>
          <w:bCs/>
          <w:noProof/>
          <w:sz w:val="22"/>
        </w:rPr>
      </w:sdtEndPr>
      <w:sdtContent>
        <w:p w14:paraId="5A0419BD" w14:textId="77EC5FBE" w:rsidR="00A32713" w:rsidRDefault="00A32713">
          <w:pPr>
            <w:pStyle w:val="TOCHeading"/>
          </w:pPr>
          <w:r>
            <w:t>Table of Contents</w:t>
          </w:r>
        </w:p>
        <w:p w14:paraId="5495F6CB" w14:textId="63EF96C2" w:rsidR="00CE56D4" w:rsidRDefault="0004149C">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2573585" w:history="1">
            <w:r w:rsidR="00CE56D4" w:rsidRPr="006631B9">
              <w:rPr>
                <w:rStyle w:val="Hyperlink"/>
                <w:noProof/>
              </w:rPr>
              <w:t>Introduction</w:t>
            </w:r>
            <w:r w:rsidR="00CE56D4">
              <w:rPr>
                <w:noProof/>
                <w:webHidden/>
              </w:rPr>
              <w:tab/>
            </w:r>
            <w:r w:rsidR="00CE56D4">
              <w:rPr>
                <w:noProof/>
                <w:webHidden/>
              </w:rPr>
              <w:fldChar w:fldCharType="begin"/>
            </w:r>
            <w:r w:rsidR="00CE56D4">
              <w:rPr>
                <w:noProof/>
                <w:webHidden/>
              </w:rPr>
              <w:instrText xml:space="preserve"> PAGEREF _Toc222573585 \h </w:instrText>
            </w:r>
            <w:r w:rsidR="00CE56D4">
              <w:rPr>
                <w:noProof/>
                <w:webHidden/>
              </w:rPr>
            </w:r>
            <w:r w:rsidR="00CE56D4">
              <w:rPr>
                <w:noProof/>
                <w:webHidden/>
              </w:rPr>
              <w:fldChar w:fldCharType="separate"/>
            </w:r>
            <w:r w:rsidR="00CE56D4">
              <w:rPr>
                <w:noProof/>
                <w:webHidden/>
              </w:rPr>
              <w:t>1</w:t>
            </w:r>
            <w:r w:rsidR="00CE56D4">
              <w:rPr>
                <w:noProof/>
                <w:webHidden/>
              </w:rPr>
              <w:fldChar w:fldCharType="end"/>
            </w:r>
          </w:hyperlink>
        </w:p>
        <w:p w14:paraId="1829A10A" w14:textId="5856CBF7" w:rsidR="00CE56D4" w:rsidRDefault="00CE56D4">
          <w:pPr>
            <w:pStyle w:val="TOC1"/>
            <w:tabs>
              <w:tab w:val="right" w:leader="dot" w:pos="9350"/>
            </w:tabs>
            <w:rPr>
              <w:rFonts w:asciiTheme="minorHAnsi" w:eastAsiaTheme="minorEastAsia" w:hAnsiTheme="minorHAnsi"/>
              <w:noProof/>
            </w:rPr>
          </w:pPr>
          <w:hyperlink w:anchor="_Toc222573586" w:history="1">
            <w:r w:rsidRPr="006631B9">
              <w:rPr>
                <w:rStyle w:val="Hyperlink"/>
                <w:noProof/>
              </w:rPr>
              <w:t>Key HR Factors Affecting Organisations</w:t>
            </w:r>
            <w:r>
              <w:rPr>
                <w:noProof/>
                <w:webHidden/>
              </w:rPr>
              <w:tab/>
            </w:r>
            <w:r>
              <w:rPr>
                <w:noProof/>
                <w:webHidden/>
              </w:rPr>
              <w:fldChar w:fldCharType="begin"/>
            </w:r>
            <w:r>
              <w:rPr>
                <w:noProof/>
                <w:webHidden/>
              </w:rPr>
              <w:instrText xml:space="preserve"> PAGEREF _Toc222573586 \h </w:instrText>
            </w:r>
            <w:r>
              <w:rPr>
                <w:noProof/>
                <w:webHidden/>
              </w:rPr>
            </w:r>
            <w:r>
              <w:rPr>
                <w:noProof/>
                <w:webHidden/>
              </w:rPr>
              <w:fldChar w:fldCharType="separate"/>
            </w:r>
            <w:r>
              <w:rPr>
                <w:noProof/>
                <w:webHidden/>
              </w:rPr>
              <w:t>2</w:t>
            </w:r>
            <w:r>
              <w:rPr>
                <w:noProof/>
                <w:webHidden/>
              </w:rPr>
              <w:fldChar w:fldCharType="end"/>
            </w:r>
          </w:hyperlink>
        </w:p>
        <w:p w14:paraId="1013C790" w14:textId="44C631A6" w:rsidR="00CE56D4" w:rsidRDefault="00CE56D4">
          <w:pPr>
            <w:pStyle w:val="TOC2"/>
            <w:tabs>
              <w:tab w:val="right" w:leader="dot" w:pos="9350"/>
            </w:tabs>
            <w:rPr>
              <w:rFonts w:asciiTheme="minorHAnsi" w:eastAsiaTheme="minorEastAsia" w:hAnsiTheme="minorHAnsi"/>
              <w:noProof/>
            </w:rPr>
          </w:pPr>
          <w:hyperlink w:anchor="_Toc222573587" w:history="1">
            <w:r w:rsidRPr="006631B9">
              <w:rPr>
                <w:rStyle w:val="Hyperlink"/>
                <w:noProof/>
              </w:rPr>
              <w:t>Technological Advancement</w:t>
            </w:r>
            <w:r>
              <w:rPr>
                <w:noProof/>
                <w:webHidden/>
              </w:rPr>
              <w:tab/>
            </w:r>
            <w:r>
              <w:rPr>
                <w:noProof/>
                <w:webHidden/>
              </w:rPr>
              <w:fldChar w:fldCharType="begin"/>
            </w:r>
            <w:r>
              <w:rPr>
                <w:noProof/>
                <w:webHidden/>
              </w:rPr>
              <w:instrText xml:space="preserve"> PAGEREF _Toc222573587 \h </w:instrText>
            </w:r>
            <w:r>
              <w:rPr>
                <w:noProof/>
                <w:webHidden/>
              </w:rPr>
            </w:r>
            <w:r>
              <w:rPr>
                <w:noProof/>
                <w:webHidden/>
              </w:rPr>
              <w:fldChar w:fldCharType="separate"/>
            </w:r>
            <w:r>
              <w:rPr>
                <w:noProof/>
                <w:webHidden/>
              </w:rPr>
              <w:t>2</w:t>
            </w:r>
            <w:r>
              <w:rPr>
                <w:noProof/>
                <w:webHidden/>
              </w:rPr>
              <w:fldChar w:fldCharType="end"/>
            </w:r>
          </w:hyperlink>
        </w:p>
        <w:p w14:paraId="61DBAB5D" w14:textId="4E02DB15" w:rsidR="00CE56D4" w:rsidRDefault="00CE56D4">
          <w:pPr>
            <w:pStyle w:val="TOC2"/>
            <w:tabs>
              <w:tab w:val="right" w:leader="dot" w:pos="9350"/>
            </w:tabs>
            <w:rPr>
              <w:rFonts w:asciiTheme="minorHAnsi" w:eastAsiaTheme="minorEastAsia" w:hAnsiTheme="minorHAnsi"/>
              <w:noProof/>
            </w:rPr>
          </w:pPr>
          <w:hyperlink w:anchor="_Toc222573588" w:history="1">
            <w:r w:rsidRPr="006631B9">
              <w:rPr>
                <w:rStyle w:val="Hyperlink"/>
                <w:noProof/>
              </w:rPr>
              <w:t>Talent Acquisition and Retention</w:t>
            </w:r>
            <w:r>
              <w:rPr>
                <w:noProof/>
                <w:webHidden/>
              </w:rPr>
              <w:tab/>
            </w:r>
            <w:r>
              <w:rPr>
                <w:noProof/>
                <w:webHidden/>
              </w:rPr>
              <w:fldChar w:fldCharType="begin"/>
            </w:r>
            <w:r>
              <w:rPr>
                <w:noProof/>
                <w:webHidden/>
              </w:rPr>
              <w:instrText xml:space="preserve"> PAGEREF _Toc222573588 \h </w:instrText>
            </w:r>
            <w:r>
              <w:rPr>
                <w:noProof/>
                <w:webHidden/>
              </w:rPr>
            </w:r>
            <w:r>
              <w:rPr>
                <w:noProof/>
                <w:webHidden/>
              </w:rPr>
              <w:fldChar w:fldCharType="separate"/>
            </w:r>
            <w:r>
              <w:rPr>
                <w:noProof/>
                <w:webHidden/>
              </w:rPr>
              <w:t>2</w:t>
            </w:r>
            <w:r>
              <w:rPr>
                <w:noProof/>
                <w:webHidden/>
              </w:rPr>
              <w:fldChar w:fldCharType="end"/>
            </w:r>
          </w:hyperlink>
        </w:p>
        <w:p w14:paraId="4349F6A3" w14:textId="5A7BA659" w:rsidR="00CE56D4" w:rsidRDefault="00CE56D4">
          <w:pPr>
            <w:pStyle w:val="TOC2"/>
            <w:tabs>
              <w:tab w:val="right" w:leader="dot" w:pos="9350"/>
            </w:tabs>
            <w:rPr>
              <w:rFonts w:asciiTheme="minorHAnsi" w:eastAsiaTheme="minorEastAsia" w:hAnsiTheme="minorHAnsi"/>
              <w:noProof/>
            </w:rPr>
          </w:pPr>
          <w:hyperlink w:anchor="_Toc222573589" w:history="1">
            <w:r w:rsidRPr="006631B9">
              <w:rPr>
                <w:rStyle w:val="Hyperlink"/>
                <w:noProof/>
              </w:rPr>
              <w:t>Diversity, Equity, and Inclusion (DEI)</w:t>
            </w:r>
            <w:r>
              <w:rPr>
                <w:noProof/>
                <w:webHidden/>
              </w:rPr>
              <w:tab/>
            </w:r>
            <w:r>
              <w:rPr>
                <w:noProof/>
                <w:webHidden/>
              </w:rPr>
              <w:fldChar w:fldCharType="begin"/>
            </w:r>
            <w:r>
              <w:rPr>
                <w:noProof/>
                <w:webHidden/>
              </w:rPr>
              <w:instrText xml:space="preserve"> PAGEREF _Toc222573589 \h </w:instrText>
            </w:r>
            <w:r>
              <w:rPr>
                <w:noProof/>
                <w:webHidden/>
              </w:rPr>
            </w:r>
            <w:r>
              <w:rPr>
                <w:noProof/>
                <w:webHidden/>
              </w:rPr>
              <w:fldChar w:fldCharType="separate"/>
            </w:r>
            <w:r>
              <w:rPr>
                <w:noProof/>
                <w:webHidden/>
              </w:rPr>
              <w:t>3</w:t>
            </w:r>
            <w:r>
              <w:rPr>
                <w:noProof/>
                <w:webHidden/>
              </w:rPr>
              <w:fldChar w:fldCharType="end"/>
            </w:r>
          </w:hyperlink>
        </w:p>
        <w:p w14:paraId="07879B9E" w14:textId="5CA651E4" w:rsidR="00CE56D4" w:rsidRDefault="00CE56D4">
          <w:pPr>
            <w:pStyle w:val="TOC1"/>
            <w:tabs>
              <w:tab w:val="right" w:leader="dot" w:pos="9350"/>
            </w:tabs>
            <w:rPr>
              <w:rFonts w:asciiTheme="minorHAnsi" w:eastAsiaTheme="minorEastAsia" w:hAnsiTheme="minorHAnsi"/>
              <w:noProof/>
            </w:rPr>
          </w:pPr>
          <w:hyperlink w:anchor="_Toc222573590" w:history="1">
            <w:r w:rsidRPr="006631B9">
              <w:rPr>
                <w:rStyle w:val="Hyperlink"/>
                <w:noProof/>
              </w:rPr>
              <w:t>Evaluation of Contemporary HR Practices</w:t>
            </w:r>
            <w:r>
              <w:rPr>
                <w:noProof/>
                <w:webHidden/>
              </w:rPr>
              <w:tab/>
            </w:r>
            <w:r>
              <w:rPr>
                <w:noProof/>
                <w:webHidden/>
              </w:rPr>
              <w:fldChar w:fldCharType="begin"/>
            </w:r>
            <w:r>
              <w:rPr>
                <w:noProof/>
                <w:webHidden/>
              </w:rPr>
              <w:instrText xml:space="preserve"> PAGEREF _Toc222573590 \h </w:instrText>
            </w:r>
            <w:r>
              <w:rPr>
                <w:noProof/>
                <w:webHidden/>
              </w:rPr>
            </w:r>
            <w:r>
              <w:rPr>
                <w:noProof/>
                <w:webHidden/>
              </w:rPr>
              <w:fldChar w:fldCharType="separate"/>
            </w:r>
            <w:r>
              <w:rPr>
                <w:noProof/>
                <w:webHidden/>
              </w:rPr>
              <w:t>5</w:t>
            </w:r>
            <w:r>
              <w:rPr>
                <w:noProof/>
                <w:webHidden/>
              </w:rPr>
              <w:fldChar w:fldCharType="end"/>
            </w:r>
          </w:hyperlink>
        </w:p>
        <w:p w14:paraId="7869AC0D" w14:textId="3ED757E5" w:rsidR="00CE56D4" w:rsidRDefault="00CE56D4">
          <w:pPr>
            <w:pStyle w:val="TOC2"/>
            <w:tabs>
              <w:tab w:val="right" w:leader="dot" w:pos="9350"/>
            </w:tabs>
            <w:rPr>
              <w:rFonts w:asciiTheme="minorHAnsi" w:eastAsiaTheme="minorEastAsia" w:hAnsiTheme="minorHAnsi"/>
              <w:noProof/>
            </w:rPr>
          </w:pPr>
          <w:hyperlink w:anchor="_Toc222573591" w:history="1">
            <w:r w:rsidRPr="006631B9">
              <w:rPr>
                <w:rStyle w:val="Hyperlink"/>
                <w:noProof/>
              </w:rPr>
              <w:t>Technological Advancement Practises</w:t>
            </w:r>
            <w:r>
              <w:rPr>
                <w:noProof/>
                <w:webHidden/>
              </w:rPr>
              <w:tab/>
            </w:r>
            <w:r>
              <w:rPr>
                <w:noProof/>
                <w:webHidden/>
              </w:rPr>
              <w:fldChar w:fldCharType="begin"/>
            </w:r>
            <w:r>
              <w:rPr>
                <w:noProof/>
                <w:webHidden/>
              </w:rPr>
              <w:instrText xml:space="preserve"> PAGEREF _Toc222573591 \h </w:instrText>
            </w:r>
            <w:r>
              <w:rPr>
                <w:noProof/>
                <w:webHidden/>
              </w:rPr>
            </w:r>
            <w:r>
              <w:rPr>
                <w:noProof/>
                <w:webHidden/>
              </w:rPr>
              <w:fldChar w:fldCharType="separate"/>
            </w:r>
            <w:r>
              <w:rPr>
                <w:noProof/>
                <w:webHidden/>
              </w:rPr>
              <w:t>5</w:t>
            </w:r>
            <w:r>
              <w:rPr>
                <w:noProof/>
                <w:webHidden/>
              </w:rPr>
              <w:fldChar w:fldCharType="end"/>
            </w:r>
          </w:hyperlink>
        </w:p>
        <w:p w14:paraId="08FA5CA5" w14:textId="263DD185" w:rsidR="00CE56D4" w:rsidRDefault="00CE56D4">
          <w:pPr>
            <w:pStyle w:val="TOC2"/>
            <w:tabs>
              <w:tab w:val="right" w:leader="dot" w:pos="9350"/>
            </w:tabs>
            <w:rPr>
              <w:rFonts w:asciiTheme="minorHAnsi" w:eastAsiaTheme="minorEastAsia" w:hAnsiTheme="minorHAnsi"/>
              <w:noProof/>
            </w:rPr>
          </w:pPr>
          <w:hyperlink w:anchor="_Toc222573592" w:history="1">
            <w:r w:rsidRPr="006631B9">
              <w:rPr>
                <w:rStyle w:val="Hyperlink"/>
                <w:noProof/>
              </w:rPr>
              <w:t>Best Practises to Enhance Talent Acquisition and Retention</w:t>
            </w:r>
            <w:r>
              <w:rPr>
                <w:noProof/>
                <w:webHidden/>
              </w:rPr>
              <w:tab/>
            </w:r>
            <w:r>
              <w:rPr>
                <w:noProof/>
                <w:webHidden/>
              </w:rPr>
              <w:fldChar w:fldCharType="begin"/>
            </w:r>
            <w:r>
              <w:rPr>
                <w:noProof/>
                <w:webHidden/>
              </w:rPr>
              <w:instrText xml:space="preserve"> PAGEREF _Toc222573592 \h </w:instrText>
            </w:r>
            <w:r>
              <w:rPr>
                <w:noProof/>
                <w:webHidden/>
              </w:rPr>
            </w:r>
            <w:r>
              <w:rPr>
                <w:noProof/>
                <w:webHidden/>
              </w:rPr>
              <w:fldChar w:fldCharType="separate"/>
            </w:r>
            <w:r>
              <w:rPr>
                <w:noProof/>
                <w:webHidden/>
              </w:rPr>
              <w:t>5</w:t>
            </w:r>
            <w:r>
              <w:rPr>
                <w:noProof/>
                <w:webHidden/>
              </w:rPr>
              <w:fldChar w:fldCharType="end"/>
            </w:r>
          </w:hyperlink>
        </w:p>
        <w:p w14:paraId="07C0EB67" w14:textId="79BC6FC2" w:rsidR="00CE56D4" w:rsidRDefault="00CE56D4">
          <w:pPr>
            <w:pStyle w:val="TOC2"/>
            <w:tabs>
              <w:tab w:val="right" w:leader="dot" w:pos="9350"/>
            </w:tabs>
            <w:rPr>
              <w:rFonts w:asciiTheme="minorHAnsi" w:eastAsiaTheme="minorEastAsia" w:hAnsiTheme="minorHAnsi"/>
              <w:noProof/>
            </w:rPr>
          </w:pPr>
          <w:hyperlink w:anchor="_Toc222573593" w:history="1">
            <w:r w:rsidRPr="006631B9">
              <w:rPr>
                <w:rStyle w:val="Hyperlink"/>
                <w:noProof/>
              </w:rPr>
              <w:t>Practices Supporting DEI</w:t>
            </w:r>
            <w:r>
              <w:rPr>
                <w:noProof/>
                <w:webHidden/>
              </w:rPr>
              <w:tab/>
            </w:r>
            <w:r>
              <w:rPr>
                <w:noProof/>
                <w:webHidden/>
              </w:rPr>
              <w:fldChar w:fldCharType="begin"/>
            </w:r>
            <w:r>
              <w:rPr>
                <w:noProof/>
                <w:webHidden/>
              </w:rPr>
              <w:instrText xml:space="preserve"> PAGEREF _Toc222573593 \h </w:instrText>
            </w:r>
            <w:r>
              <w:rPr>
                <w:noProof/>
                <w:webHidden/>
              </w:rPr>
            </w:r>
            <w:r>
              <w:rPr>
                <w:noProof/>
                <w:webHidden/>
              </w:rPr>
              <w:fldChar w:fldCharType="separate"/>
            </w:r>
            <w:r>
              <w:rPr>
                <w:noProof/>
                <w:webHidden/>
              </w:rPr>
              <w:t>6</w:t>
            </w:r>
            <w:r>
              <w:rPr>
                <w:noProof/>
                <w:webHidden/>
              </w:rPr>
              <w:fldChar w:fldCharType="end"/>
            </w:r>
          </w:hyperlink>
        </w:p>
        <w:p w14:paraId="0F139082" w14:textId="61B9A049" w:rsidR="00CE56D4" w:rsidRDefault="00CE56D4">
          <w:pPr>
            <w:pStyle w:val="TOC1"/>
            <w:tabs>
              <w:tab w:val="right" w:leader="dot" w:pos="9350"/>
            </w:tabs>
            <w:rPr>
              <w:rFonts w:asciiTheme="minorHAnsi" w:eastAsiaTheme="minorEastAsia" w:hAnsiTheme="minorHAnsi"/>
              <w:noProof/>
            </w:rPr>
          </w:pPr>
          <w:hyperlink w:anchor="_Toc222573594" w:history="1">
            <w:r w:rsidRPr="006631B9">
              <w:rPr>
                <w:rStyle w:val="Hyperlink"/>
                <w:noProof/>
              </w:rPr>
              <w:t>Critical Evaluation of Managerial Implementation</w:t>
            </w:r>
            <w:r>
              <w:rPr>
                <w:noProof/>
                <w:webHidden/>
              </w:rPr>
              <w:tab/>
            </w:r>
            <w:r>
              <w:rPr>
                <w:noProof/>
                <w:webHidden/>
              </w:rPr>
              <w:fldChar w:fldCharType="begin"/>
            </w:r>
            <w:r>
              <w:rPr>
                <w:noProof/>
                <w:webHidden/>
              </w:rPr>
              <w:instrText xml:space="preserve"> PAGEREF _Toc222573594 \h </w:instrText>
            </w:r>
            <w:r>
              <w:rPr>
                <w:noProof/>
                <w:webHidden/>
              </w:rPr>
            </w:r>
            <w:r>
              <w:rPr>
                <w:noProof/>
                <w:webHidden/>
              </w:rPr>
              <w:fldChar w:fldCharType="separate"/>
            </w:r>
            <w:r>
              <w:rPr>
                <w:noProof/>
                <w:webHidden/>
              </w:rPr>
              <w:t>7</w:t>
            </w:r>
            <w:r>
              <w:rPr>
                <w:noProof/>
                <w:webHidden/>
              </w:rPr>
              <w:fldChar w:fldCharType="end"/>
            </w:r>
          </w:hyperlink>
        </w:p>
        <w:p w14:paraId="7C9B86A4" w14:textId="0B8BF267" w:rsidR="00CE56D4" w:rsidRDefault="00CE56D4">
          <w:pPr>
            <w:pStyle w:val="TOC2"/>
            <w:tabs>
              <w:tab w:val="right" w:leader="dot" w:pos="9350"/>
            </w:tabs>
            <w:rPr>
              <w:rFonts w:asciiTheme="minorHAnsi" w:eastAsiaTheme="minorEastAsia" w:hAnsiTheme="minorHAnsi"/>
              <w:noProof/>
            </w:rPr>
          </w:pPr>
          <w:hyperlink w:anchor="_Toc222573595" w:history="1">
            <w:r w:rsidRPr="006631B9">
              <w:rPr>
                <w:rStyle w:val="Hyperlink"/>
                <w:noProof/>
              </w:rPr>
              <w:t>Role of Departmental Managers</w:t>
            </w:r>
            <w:r>
              <w:rPr>
                <w:noProof/>
                <w:webHidden/>
              </w:rPr>
              <w:tab/>
            </w:r>
            <w:r>
              <w:rPr>
                <w:noProof/>
                <w:webHidden/>
              </w:rPr>
              <w:fldChar w:fldCharType="begin"/>
            </w:r>
            <w:r>
              <w:rPr>
                <w:noProof/>
                <w:webHidden/>
              </w:rPr>
              <w:instrText xml:space="preserve"> PAGEREF _Toc222573595 \h </w:instrText>
            </w:r>
            <w:r>
              <w:rPr>
                <w:noProof/>
                <w:webHidden/>
              </w:rPr>
            </w:r>
            <w:r>
              <w:rPr>
                <w:noProof/>
                <w:webHidden/>
              </w:rPr>
              <w:fldChar w:fldCharType="separate"/>
            </w:r>
            <w:r>
              <w:rPr>
                <w:noProof/>
                <w:webHidden/>
              </w:rPr>
              <w:t>7</w:t>
            </w:r>
            <w:r>
              <w:rPr>
                <w:noProof/>
                <w:webHidden/>
              </w:rPr>
              <w:fldChar w:fldCharType="end"/>
            </w:r>
          </w:hyperlink>
        </w:p>
        <w:p w14:paraId="7589435A" w14:textId="369D0173" w:rsidR="00CE56D4" w:rsidRDefault="00CE56D4">
          <w:pPr>
            <w:pStyle w:val="TOC2"/>
            <w:tabs>
              <w:tab w:val="right" w:leader="dot" w:pos="9350"/>
            </w:tabs>
            <w:rPr>
              <w:rFonts w:asciiTheme="minorHAnsi" w:eastAsiaTheme="minorEastAsia" w:hAnsiTheme="minorHAnsi"/>
              <w:noProof/>
            </w:rPr>
          </w:pPr>
          <w:hyperlink w:anchor="_Toc222573596" w:history="1">
            <w:r w:rsidRPr="006631B9">
              <w:rPr>
                <w:rStyle w:val="Hyperlink"/>
                <w:noProof/>
              </w:rPr>
              <w:t>Ensuring Urgent Implementation</w:t>
            </w:r>
            <w:r>
              <w:rPr>
                <w:noProof/>
                <w:webHidden/>
              </w:rPr>
              <w:tab/>
            </w:r>
            <w:r>
              <w:rPr>
                <w:noProof/>
                <w:webHidden/>
              </w:rPr>
              <w:fldChar w:fldCharType="begin"/>
            </w:r>
            <w:r>
              <w:rPr>
                <w:noProof/>
                <w:webHidden/>
              </w:rPr>
              <w:instrText xml:space="preserve"> PAGEREF _Toc222573596 \h </w:instrText>
            </w:r>
            <w:r>
              <w:rPr>
                <w:noProof/>
                <w:webHidden/>
              </w:rPr>
            </w:r>
            <w:r>
              <w:rPr>
                <w:noProof/>
                <w:webHidden/>
              </w:rPr>
              <w:fldChar w:fldCharType="separate"/>
            </w:r>
            <w:r>
              <w:rPr>
                <w:noProof/>
                <w:webHidden/>
              </w:rPr>
              <w:t>7</w:t>
            </w:r>
            <w:r>
              <w:rPr>
                <w:noProof/>
                <w:webHidden/>
              </w:rPr>
              <w:fldChar w:fldCharType="end"/>
            </w:r>
          </w:hyperlink>
        </w:p>
        <w:p w14:paraId="2DE9C49D" w14:textId="7A52772F" w:rsidR="00CE56D4" w:rsidRDefault="00CE56D4">
          <w:pPr>
            <w:pStyle w:val="TOC2"/>
            <w:tabs>
              <w:tab w:val="right" w:leader="dot" w:pos="9350"/>
            </w:tabs>
            <w:rPr>
              <w:rFonts w:asciiTheme="minorHAnsi" w:eastAsiaTheme="minorEastAsia" w:hAnsiTheme="minorHAnsi"/>
              <w:noProof/>
            </w:rPr>
          </w:pPr>
          <w:hyperlink w:anchor="_Toc222573597" w:history="1">
            <w:r w:rsidRPr="006631B9">
              <w:rPr>
                <w:rStyle w:val="Hyperlink"/>
                <w:noProof/>
              </w:rPr>
              <w:t>Barriers and Risks</w:t>
            </w:r>
            <w:r>
              <w:rPr>
                <w:noProof/>
                <w:webHidden/>
              </w:rPr>
              <w:tab/>
            </w:r>
            <w:r>
              <w:rPr>
                <w:noProof/>
                <w:webHidden/>
              </w:rPr>
              <w:fldChar w:fldCharType="begin"/>
            </w:r>
            <w:r>
              <w:rPr>
                <w:noProof/>
                <w:webHidden/>
              </w:rPr>
              <w:instrText xml:space="preserve"> PAGEREF _Toc222573597 \h </w:instrText>
            </w:r>
            <w:r>
              <w:rPr>
                <w:noProof/>
                <w:webHidden/>
              </w:rPr>
            </w:r>
            <w:r>
              <w:rPr>
                <w:noProof/>
                <w:webHidden/>
              </w:rPr>
              <w:fldChar w:fldCharType="separate"/>
            </w:r>
            <w:r>
              <w:rPr>
                <w:noProof/>
                <w:webHidden/>
              </w:rPr>
              <w:t>7</w:t>
            </w:r>
            <w:r>
              <w:rPr>
                <w:noProof/>
                <w:webHidden/>
              </w:rPr>
              <w:fldChar w:fldCharType="end"/>
            </w:r>
          </w:hyperlink>
        </w:p>
        <w:p w14:paraId="7C288AAE" w14:textId="55149B17" w:rsidR="00CE56D4" w:rsidRDefault="00CE56D4">
          <w:pPr>
            <w:pStyle w:val="TOC2"/>
            <w:tabs>
              <w:tab w:val="right" w:leader="dot" w:pos="9350"/>
            </w:tabs>
            <w:rPr>
              <w:rFonts w:asciiTheme="minorHAnsi" w:eastAsiaTheme="minorEastAsia" w:hAnsiTheme="minorHAnsi"/>
              <w:noProof/>
            </w:rPr>
          </w:pPr>
          <w:hyperlink w:anchor="_Toc222573598" w:history="1">
            <w:r w:rsidRPr="006631B9">
              <w:rPr>
                <w:rStyle w:val="Hyperlink"/>
                <w:noProof/>
              </w:rPr>
              <w:t>Suggestions to successful Implementation</w:t>
            </w:r>
            <w:r>
              <w:rPr>
                <w:noProof/>
                <w:webHidden/>
              </w:rPr>
              <w:tab/>
            </w:r>
            <w:r>
              <w:rPr>
                <w:noProof/>
                <w:webHidden/>
              </w:rPr>
              <w:fldChar w:fldCharType="begin"/>
            </w:r>
            <w:r>
              <w:rPr>
                <w:noProof/>
                <w:webHidden/>
              </w:rPr>
              <w:instrText xml:space="preserve"> PAGEREF _Toc222573598 \h </w:instrText>
            </w:r>
            <w:r>
              <w:rPr>
                <w:noProof/>
                <w:webHidden/>
              </w:rPr>
            </w:r>
            <w:r>
              <w:rPr>
                <w:noProof/>
                <w:webHidden/>
              </w:rPr>
              <w:fldChar w:fldCharType="separate"/>
            </w:r>
            <w:r>
              <w:rPr>
                <w:noProof/>
                <w:webHidden/>
              </w:rPr>
              <w:t>8</w:t>
            </w:r>
            <w:r>
              <w:rPr>
                <w:noProof/>
                <w:webHidden/>
              </w:rPr>
              <w:fldChar w:fldCharType="end"/>
            </w:r>
          </w:hyperlink>
        </w:p>
        <w:p w14:paraId="3A5D38A3" w14:textId="4BD53657" w:rsidR="00CE56D4" w:rsidRDefault="00CE56D4">
          <w:pPr>
            <w:pStyle w:val="TOC1"/>
            <w:tabs>
              <w:tab w:val="right" w:leader="dot" w:pos="9350"/>
            </w:tabs>
            <w:rPr>
              <w:rFonts w:asciiTheme="minorHAnsi" w:eastAsiaTheme="minorEastAsia" w:hAnsiTheme="minorHAnsi"/>
              <w:noProof/>
            </w:rPr>
          </w:pPr>
          <w:hyperlink w:anchor="_Toc222573599" w:history="1">
            <w:r w:rsidRPr="006631B9">
              <w:rPr>
                <w:rStyle w:val="Hyperlink"/>
                <w:noProof/>
              </w:rPr>
              <w:t>Recommendations</w:t>
            </w:r>
            <w:r>
              <w:rPr>
                <w:noProof/>
                <w:webHidden/>
              </w:rPr>
              <w:tab/>
            </w:r>
            <w:r>
              <w:rPr>
                <w:noProof/>
                <w:webHidden/>
              </w:rPr>
              <w:fldChar w:fldCharType="begin"/>
            </w:r>
            <w:r>
              <w:rPr>
                <w:noProof/>
                <w:webHidden/>
              </w:rPr>
              <w:instrText xml:space="preserve"> PAGEREF _Toc222573599 \h </w:instrText>
            </w:r>
            <w:r>
              <w:rPr>
                <w:noProof/>
                <w:webHidden/>
              </w:rPr>
            </w:r>
            <w:r>
              <w:rPr>
                <w:noProof/>
                <w:webHidden/>
              </w:rPr>
              <w:fldChar w:fldCharType="separate"/>
            </w:r>
            <w:r>
              <w:rPr>
                <w:noProof/>
                <w:webHidden/>
              </w:rPr>
              <w:t>9</w:t>
            </w:r>
            <w:r>
              <w:rPr>
                <w:noProof/>
                <w:webHidden/>
              </w:rPr>
              <w:fldChar w:fldCharType="end"/>
            </w:r>
          </w:hyperlink>
        </w:p>
        <w:p w14:paraId="25528FC5" w14:textId="246AAE79" w:rsidR="00CE56D4" w:rsidRDefault="00CE56D4">
          <w:pPr>
            <w:pStyle w:val="TOC1"/>
            <w:tabs>
              <w:tab w:val="right" w:leader="dot" w:pos="9350"/>
            </w:tabs>
            <w:rPr>
              <w:rFonts w:asciiTheme="minorHAnsi" w:eastAsiaTheme="minorEastAsia" w:hAnsiTheme="minorHAnsi"/>
              <w:noProof/>
            </w:rPr>
          </w:pPr>
          <w:hyperlink w:anchor="_Toc222573600" w:history="1">
            <w:r w:rsidRPr="006631B9">
              <w:rPr>
                <w:rStyle w:val="Hyperlink"/>
                <w:noProof/>
              </w:rPr>
              <w:t>Conclusion</w:t>
            </w:r>
            <w:r>
              <w:rPr>
                <w:noProof/>
                <w:webHidden/>
              </w:rPr>
              <w:tab/>
            </w:r>
            <w:r>
              <w:rPr>
                <w:noProof/>
                <w:webHidden/>
              </w:rPr>
              <w:fldChar w:fldCharType="begin"/>
            </w:r>
            <w:r>
              <w:rPr>
                <w:noProof/>
                <w:webHidden/>
              </w:rPr>
              <w:instrText xml:space="preserve"> PAGEREF _Toc222573600 \h </w:instrText>
            </w:r>
            <w:r>
              <w:rPr>
                <w:noProof/>
                <w:webHidden/>
              </w:rPr>
            </w:r>
            <w:r>
              <w:rPr>
                <w:noProof/>
                <w:webHidden/>
              </w:rPr>
              <w:fldChar w:fldCharType="separate"/>
            </w:r>
            <w:r>
              <w:rPr>
                <w:noProof/>
                <w:webHidden/>
              </w:rPr>
              <w:t>10</w:t>
            </w:r>
            <w:r>
              <w:rPr>
                <w:noProof/>
                <w:webHidden/>
              </w:rPr>
              <w:fldChar w:fldCharType="end"/>
            </w:r>
          </w:hyperlink>
        </w:p>
        <w:p w14:paraId="6B624823" w14:textId="7B92C7B4" w:rsidR="00CE56D4" w:rsidRDefault="00CE56D4">
          <w:pPr>
            <w:pStyle w:val="TOC1"/>
            <w:tabs>
              <w:tab w:val="right" w:leader="dot" w:pos="9350"/>
            </w:tabs>
            <w:rPr>
              <w:rFonts w:asciiTheme="minorHAnsi" w:eastAsiaTheme="minorEastAsia" w:hAnsiTheme="minorHAnsi"/>
              <w:noProof/>
            </w:rPr>
          </w:pPr>
          <w:hyperlink w:anchor="_Toc222573601" w:history="1">
            <w:r w:rsidRPr="006631B9">
              <w:rPr>
                <w:rStyle w:val="Hyperlink"/>
                <w:noProof/>
              </w:rPr>
              <w:t>References</w:t>
            </w:r>
            <w:r>
              <w:rPr>
                <w:noProof/>
                <w:webHidden/>
              </w:rPr>
              <w:tab/>
            </w:r>
            <w:r>
              <w:rPr>
                <w:noProof/>
                <w:webHidden/>
              </w:rPr>
              <w:fldChar w:fldCharType="begin"/>
            </w:r>
            <w:r>
              <w:rPr>
                <w:noProof/>
                <w:webHidden/>
              </w:rPr>
              <w:instrText xml:space="preserve"> PAGEREF _Toc222573601 \h </w:instrText>
            </w:r>
            <w:r>
              <w:rPr>
                <w:noProof/>
                <w:webHidden/>
              </w:rPr>
            </w:r>
            <w:r>
              <w:rPr>
                <w:noProof/>
                <w:webHidden/>
              </w:rPr>
              <w:fldChar w:fldCharType="separate"/>
            </w:r>
            <w:r>
              <w:rPr>
                <w:noProof/>
                <w:webHidden/>
              </w:rPr>
              <w:t>11</w:t>
            </w:r>
            <w:r>
              <w:rPr>
                <w:noProof/>
                <w:webHidden/>
              </w:rPr>
              <w:fldChar w:fldCharType="end"/>
            </w:r>
          </w:hyperlink>
        </w:p>
        <w:p w14:paraId="6A5C482A" w14:textId="3476632C" w:rsidR="00A32713" w:rsidRDefault="0004149C">
          <w:r>
            <w:rPr>
              <w:b/>
              <w:bCs/>
              <w:noProof/>
            </w:rPr>
            <w:fldChar w:fldCharType="end"/>
          </w:r>
        </w:p>
      </w:sdtContent>
    </w:sdt>
    <w:p w14:paraId="6CDFB486" w14:textId="74076400" w:rsidR="00A32713" w:rsidRDefault="00A32713"/>
    <w:p w14:paraId="5A94472A" w14:textId="057AF725" w:rsidR="00A32713" w:rsidRDefault="00A32713"/>
    <w:p w14:paraId="5967F499" w14:textId="041F673B" w:rsidR="00A32713" w:rsidRDefault="00A32713"/>
    <w:p w14:paraId="43C7E726" w14:textId="66FB76CB" w:rsidR="00A32713" w:rsidRDefault="00A32713"/>
    <w:p w14:paraId="5809295A" w14:textId="72845934" w:rsidR="00A32713" w:rsidRDefault="00A32713"/>
    <w:p w14:paraId="5A5F153A" w14:textId="0CBE3D4C" w:rsidR="00A32713" w:rsidRDefault="00A32713"/>
    <w:p w14:paraId="301226A9" w14:textId="77777777" w:rsidR="0024539D" w:rsidRDefault="0024539D" w:rsidP="00A32713">
      <w:pPr>
        <w:pStyle w:val="Heading1"/>
        <w:sectPr w:rsidR="0024539D" w:rsidSect="0024539D">
          <w:footerReference w:type="default" r:id="rId10"/>
          <w:pgSz w:w="12240" w:h="15840"/>
          <w:pgMar w:top="1440" w:right="1440" w:bottom="1440" w:left="1440" w:header="720" w:footer="720" w:gutter="0"/>
          <w:pgNumType w:fmt="lowerRoman" w:start="1"/>
          <w:cols w:space="720"/>
          <w:titlePg/>
          <w:docGrid w:linePitch="360"/>
        </w:sectPr>
      </w:pPr>
    </w:p>
    <w:p w14:paraId="776D2D61" w14:textId="1BF56436" w:rsidR="00A32713" w:rsidRDefault="00A32713" w:rsidP="00A32713">
      <w:pPr>
        <w:pStyle w:val="Heading1"/>
      </w:pPr>
      <w:bookmarkStart w:id="0" w:name="_Toc222573585"/>
      <w:r>
        <w:lastRenderedPageBreak/>
        <w:t>Introduction</w:t>
      </w:r>
      <w:bookmarkEnd w:id="0"/>
    </w:p>
    <w:p w14:paraId="5398567D" w14:textId="215572E9" w:rsidR="00A32713" w:rsidRDefault="006E1EDA" w:rsidP="006E1EDA">
      <w:r>
        <w:t>Rapid technological progress, high demand on skilled labour force, and the increasing demands of diversity and inclusion are becoming a challenge to UK organisations. Strategic human resource (HR) planning is thus necessary to remain viable in terms of workforce and business performance over a long period. The report is devoted to the J Sainsbury plc</w:t>
      </w:r>
      <w:r w:rsidR="00C624C0">
        <w:t>,</w:t>
      </w:r>
      <w:r>
        <w:t xml:space="preserve"> which is one of the largest UK-based retailers with more than 148,000 colleagues who work in supermarkets and convenience stores</w:t>
      </w:r>
      <w:r w:rsidR="001E07A1">
        <w:t xml:space="preserve"> </w:t>
      </w:r>
      <w:r w:rsidR="001E07A1" w:rsidRPr="001E07A1">
        <w:t>(J Sainsbury, 2025)</w:t>
      </w:r>
      <w:r>
        <w:t>. This report aims to examine essential HR issues, consider modern HR practises, and evaluate the managerial role in the successful implementation in accordance with the module learning outcomes.</w:t>
      </w:r>
    </w:p>
    <w:p w14:paraId="13495EAF" w14:textId="00C2208B" w:rsidR="00C618D2" w:rsidRDefault="00C618D2" w:rsidP="00A32713"/>
    <w:p w14:paraId="3267141E" w14:textId="377B8F67" w:rsidR="00C618D2" w:rsidRDefault="00C618D2" w:rsidP="00A32713"/>
    <w:p w14:paraId="1A3932DB" w14:textId="1F60C1D8" w:rsidR="00C618D2" w:rsidRDefault="00C618D2" w:rsidP="00A32713"/>
    <w:p w14:paraId="5DF93D7B" w14:textId="3DB8727F" w:rsidR="00C618D2" w:rsidRDefault="00C618D2" w:rsidP="00A32713"/>
    <w:p w14:paraId="680D51AB" w14:textId="6202FDA9" w:rsidR="00C618D2" w:rsidRDefault="00C618D2" w:rsidP="00A32713"/>
    <w:p w14:paraId="27CA35DB" w14:textId="1380D6E5" w:rsidR="00C618D2" w:rsidRDefault="00C618D2" w:rsidP="00A32713"/>
    <w:p w14:paraId="50C0DBD8" w14:textId="11BEC058" w:rsidR="00C618D2" w:rsidRDefault="00C618D2" w:rsidP="00A32713"/>
    <w:p w14:paraId="5DE59F66" w14:textId="4D20E512" w:rsidR="00C618D2" w:rsidRDefault="00C618D2" w:rsidP="00A32713"/>
    <w:p w14:paraId="0200B54A" w14:textId="703791E0" w:rsidR="00C618D2" w:rsidRDefault="00C618D2" w:rsidP="00A32713"/>
    <w:p w14:paraId="1EE42ED9" w14:textId="32E5F79A" w:rsidR="00C618D2" w:rsidRDefault="00C618D2" w:rsidP="00A32713"/>
    <w:p w14:paraId="3B588E56" w14:textId="4F594658" w:rsidR="00C618D2" w:rsidRDefault="00C618D2" w:rsidP="00A32713"/>
    <w:p w14:paraId="2EEC744A" w14:textId="4035F7F3" w:rsidR="00C618D2" w:rsidRDefault="00C618D2" w:rsidP="00A32713"/>
    <w:p w14:paraId="7176008A" w14:textId="56FF911D" w:rsidR="00C618D2" w:rsidRDefault="00C618D2" w:rsidP="00A32713"/>
    <w:p w14:paraId="256EDD6E" w14:textId="29317AE9" w:rsidR="00C618D2" w:rsidRDefault="00C618D2" w:rsidP="00A32713"/>
    <w:p w14:paraId="3E9CE041" w14:textId="10E2AEAA" w:rsidR="00A97293" w:rsidRDefault="00A97293" w:rsidP="008B7309">
      <w:pPr>
        <w:pStyle w:val="Heading1"/>
      </w:pPr>
      <w:bookmarkStart w:id="1" w:name="_Toc222573586"/>
      <w:r w:rsidRPr="00A97293">
        <w:lastRenderedPageBreak/>
        <w:t>Key HR Factors Affecting Organisations</w:t>
      </w:r>
      <w:bookmarkEnd w:id="1"/>
    </w:p>
    <w:p w14:paraId="63535824" w14:textId="65243D35" w:rsidR="00A97293" w:rsidRDefault="00A97293" w:rsidP="00A97293">
      <w:pPr>
        <w:pStyle w:val="Heading2"/>
      </w:pPr>
      <w:bookmarkStart w:id="2" w:name="_Toc222573587"/>
      <w:r w:rsidRPr="00A97293">
        <w:t>Technological Advancement</w:t>
      </w:r>
      <w:bookmarkEnd w:id="2"/>
    </w:p>
    <w:p w14:paraId="39DDBC84" w14:textId="5A6D0EC6" w:rsidR="004E3E4D" w:rsidRDefault="004E3E4D" w:rsidP="004E3E4D">
      <w:r>
        <w:t xml:space="preserve">Digital transformation is one of the forces that </w:t>
      </w:r>
      <w:r w:rsidR="007313DD">
        <w:t>has</w:t>
      </w:r>
      <w:r>
        <w:t xml:space="preserve"> taken a new shape in contemporary human resource management</w:t>
      </w:r>
      <w:r w:rsidR="00EA5A42">
        <w:t xml:space="preserve"> </w:t>
      </w:r>
      <w:r w:rsidR="00EA5A42" w:rsidRPr="00EA5A42">
        <w:t>(Rieki Indra Bratamanggala, 2023)</w:t>
      </w:r>
      <w:r>
        <w:t xml:space="preserve">. </w:t>
      </w:r>
      <w:r w:rsidR="00EA5A42">
        <w:t>Automation</w:t>
      </w:r>
      <w:r>
        <w:t>, artificial intelligence (AI), and HR analytics are becoming more and more commonly used in organisations to simplify recruitment, workforce planning, and performance management. Digital capability is becoming faster in the UK retail sector; in recent years, UK retailers have been spending more on technology at an annual rate of more than 4 percent</w:t>
      </w:r>
      <w:r w:rsidR="007313DD">
        <w:t xml:space="preserve"> </w:t>
      </w:r>
      <w:r w:rsidR="007313DD" w:rsidRPr="007313DD">
        <w:t>(Wadud, Liang and Polkinghorne, 2025)</w:t>
      </w:r>
      <w:r>
        <w:t>. In the case of J Sainsbury plc, technological advancement is an opportunity as well as structural challenge.</w:t>
      </w:r>
    </w:p>
    <w:p w14:paraId="7A8B629F" w14:textId="06FE35E0" w:rsidR="0016458B" w:rsidRDefault="004E3E4D" w:rsidP="004E3E4D">
      <w:r>
        <w:t>Sainsbury has a multichannel system, i.e., online grocery and Argos integration, which demands advanced workforce planning and digital capabilities</w:t>
      </w:r>
      <w:r w:rsidR="007313DD">
        <w:t xml:space="preserve"> </w:t>
      </w:r>
      <w:r w:rsidR="007313DD" w:rsidRPr="007313DD">
        <w:t>(Globaldata, 2023)</w:t>
      </w:r>
      <w:r>
        <w:t>. The automation of warehousing and self-checkout systems eliminates part of the routine jobs and, at the same time, creates more jobs in the field of data analysts, digital engineers, and omnichannel specialists. This change causes an issue of rebalancing skills: the current employees might have insufficient skills to operate in digital advanced retailing.</w:t>
      </w:r>
    </w:p>
    <w:p w14:paraId="79C04EBC" w14:textId="3F96EC3E" w:rsidR="007E545E" w:rsidRDefault="007E545E" w:rsidP="007E545E">
      <w:pPr>
        <w:pStyle w:val="Heading2"/>
      </w:pPr>
      <w:bookmarkStart w:id="3" w:name="_Toc222573588"/>
      <w:r>
        <w:t>Talent Acquisition and Retention</w:t>
      </w:r>
      <w:bookmarkEnd w:id="3"/>
    </w:p>
    <w:p w14:paraId="5861438F" w14:textId="5FDCFBAC" w:rsidR="007E545E" w:rsidRDefault="007E545E" w:rsidP="007E545E">
      <w:r>
        <w:t>The labour market in the UK is very tight</w:t>
      </w:r>
      <w:r w:rsidR="004447D7">
        <w:t>,</w:t>
      </w:r>
      <w:r>
        <w:t xml:space="preserve"> especially in the customer-related industries. According to the Office for National Statistics, the level of vacancies in retail and hospitality has been continually high after the pandemic, whereas voluntary turnover has grown in service occupations. Sainsbury has a workforce of more than 148, 000 employees, which means that it is under constant pressure to recruit and retain competent employees in large numbers</w:t>
      </w:r>
      <w:r w:rsidR="00650E46">
        <w:t xml:space="preserve"> </w:t>
      </w:r>
      <w:r w:rsidR="00650E46" w:rsidRPr="00650E46">
        <w:t>(Reynolds et al., 2015)</w:t>
      </w:r>
      <w:r>
        <w:t>.</w:t>
      </w:r>
    </w:p>
    <w:p w14:paraId="3BAFE37B" w14:textId="5E3C1D2F" w:rsidR="00304778" w:rsidRDefault="00304778" w:rsidP="00304778">
      <w:pPr>
        <w:jc w:val="center"/>
      </w:pPr>
      <w:r w:rsidRPr="00304778">
        <w:rPr>
          <w:noProof/>
        </w:rPr>
        <w:lastRenderedPageBreak/>
        <w:drawing>
          <wp:inline distT="0" distB="0" distL="0" distR="0" wp14:anchorId="45D6B417" wp14:editId="6E4F12AA">
            <wp:extent cx="3792563" cy="2209800"/>
            <wp:effectExtent l="0" t="0" r="0" b="0"/>
            <wp:docPr id="5" name="Picture 5" descr="Talent acquisition vs talent retention – What's more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lent acquisition vs talent retention – What's more importa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0337" cy="2214329"/>
                    </a:xfrm>
                    <a:prstGeom prst="rect">
                      <a:avLst/>
                    </a:prstGeom>
                    <a:noFill/>
                    <a:ln>
                      <a:noFill/>
                    </a:ln>
                  </pic:spPr>
                </pic:pic>
              </a:graphicData>
            </a:graphic>
          </wp:inline>
        </w:drawing>
      </w:r>
    </w:p>
    <w:p w14:paraId="43387A94" w14:textId="06793503" w:rsidR="00304778" w:rsidRDefault="00304778" w:rsidP="00304778">
      <w:pPr>
        <w:jc w:val="center"/>
      </w:pPr>
      <w:r>
        <w:t xml:space="preserve">Image </w:t>
      </w:r>
      <w:r w:rsidR="00CE56D4">
        <w:t>1</w:t>
      </w:r>
      <w:r>
        <w:t xml:space="preserve">: </w:t>
      </w:r>
      <w:r w:rsidRPr="00304778">
        <w:t>Talent Acquisition and Retention</w:t>
      </w:r>
    </w:p>
    <w:p w14:paraId="3C70A364" w14:textId="08BCA1F8" w:rsidR="007E545E" w:rsidRDefault="007E545E" w:rsidP="007E545E">
      <w:r>
        <w:t xml:space="preserve">Retail employment is frequently typified by comparatively low </w:t>
      </w:r>
      <w:r w:rsidR="004447D7">
        <w:t>increases</w:t>
      </w:r>
      <w:r>
        <w:t xml:space="preserve"> in wages, unfriendly hours, and diminished career development, all of which lead to retention issues. According to industry statistics, turnover of employees in the frontline positions can be as high as 30 percent every year in the UK retail industry. High churn not only adds recruiting expenses, </w:t>
      </w:r>
      <w:r w:rsidR="004447D7">
        <w:t xml:space="preserve">but </w:t>
      </w:r>
      <w:r>
        <w:t xml:space="preserve">it </w:t>
      </w:r>
      <w:r w:rsidR="004447D7">
        <w:t xml:space="preserve">also </w:t>
      </w:r>
      <w:r>
        <w:t xml:space="preserve">interferes with the </w:t>
      </w:r>
      <w:r w:rsidR="00D621A2">
        <w:t>quality-of-service</w:t>
      </w:r>
      <w:r>
        <w:t xml:space="preserve"> provision and puts </w:t>
      </w:r>
      <w:r w:rsidR="004447D7">
        <w:t xml:space="preserve">an </w:t>
      </w:r>
      <w:r>
        <w:t>extra burden on HR departments</w:t>
      </w:r>
      <w:r w:rsidR="00650E46">
        <w:t xml:space="preserve"> </w:t>
      </w:r>
      <w:r w:rsidR="00650E46" w:rsidRPr="00650E46">
        <w:t>(Al-Suraihi et al., 2021)</w:t>
      </w:r>
      <w:r>
        <w:t>.</w:t>
      </w:r>
    </w:p>
    <w:p w14:paraId="741F47FD" w14:textId="656CAEEE" w:rsidR="00F12CC7" w:rsidRDefault="007E545E" w:rsidP="007E545E">
      <w:r>
        <w:t>Employer branding and employee value proposition (EVP) are thus emerging as important strategic tools. Sainsbury has been investing in colleague wellbeing programmes and internal career development routes but the threat of competition by logistics companies and gig-economy employers has been growing. Flexibility, development prospects, and purposeful employment are the most important to younger workers in particular.</w:t>
      </w:r>
      <w:r w:rsidR="0016458B">
        <w:t xml:space="preserve"> </w:t>
      </w:r>
    </w:p>
    <w:p w14:paraId="2520E268" w14:textId="40F22E2C" w:rsidR="007E545E" w:rsidRDefault="007E545E" w:rsidP="007E545E">
      <w:pPr>
        <w:pStyle w:val="Heading2"/>
      </w:pPr>
      <w:bookmarkStart w:id="4" w:name="_Toc222573589"/>
      <w:r>
        <w:t>Diversity, Equity</w:t>
      </w:r>
      <w:r w:rsidR="00E171EE">
        <w:t>,</w:t>
      </w:r>
      <w:r>
        <w:t xml:space="preserve"> and Inclusion (DEI)</w:t>
      </w:r>
      <w:bookmarkEnd w:id="4"/>
    </w:p>
    <w:p w14:paraId="3B974BEE" w14:textId="3DDBF801" w:rsidR="00FE7FCB" w:rsidRDefault="007E545E" w:rsidP="00FE7FCB">
      <w:r>
        <w:t>Diversity, Equity</w:t>
      </w:r>
      <w:r w:rsidR="00E171EE">
        <w:t>,</w:t>
      </w:r>
      <w:r>
        <w:t xml:space="preserve"> and Inclusion (DEI) has ceased being a compliance concern and has emerged as a strategic performance driver in organisations in the UK. Employers are legally bound to adhere to the Equality Act 2010</w:t>
      </w:r>
      <w:r w:rsidR="00D51887">
        <w:t xml:space="preserve"> </w:t>
      </w:r>
      <w:r w:rsidR="00D51887" w:rsidRPr="00D51887">
        <w:t>(NHS England, 2023)</w:t>
      </w:r>
      <w:r>
        <w:t xml:space="preserve">. Studies by McKinsey have always indicated that businesses that rank in the top four </w:t>
      </w:r>
      <w:r w:rsidR="00E171EE">
        <w:t>quartiles</w:t>
      </w:r>
      <w:r>
        <w:t xml:space="preserve"> in terms of ethnic and gender diversity are more likely to perform better than those that do not, which supports the business case of DEI</w:t>
      </w:r>
      <w:r w:rsidR="00D51887">
        <w:t xml:space="preserve"> </w:t>
      </w:r>
      <w:r w:rsidR="00D51887" w:rsidRPr="00D51887">
        <w:t>(Dixon-Fyle et al., 2020)</w:t>
      </w:r>
      <w:r>
        <w:t>.</w:t>
      </w:r>
    </w:p>
    <w:p w14:paraId="7989FCAB" w14:textId="623229B2" w:rsidR="007E545E" w:rsidRDefault="007E545E" w:rsidP="007E545E">
      <w:r>
        <w:t xml:space="preserve">In large firms such as Sainsbury, the diversity of the workforce is comparatively high </w:t>
      </w:r>
      <w:r w:rsidR="00E171EE">
        <w:t>in</w:t>
      </w:r>
      <w:r>
        <w:t xml:space="preserve"> entry-level positions</w:t>
      </w:r>
      <w:r w:rsidR="00E171EE">
        <w:t>,</w:t>
      </w:r>
      <w:r>
        <w:t xml:space="preserve"> but in the top management pipelines, this balance is frequently lower. In HR management, the challenge is no longer on policy statements but on quantifiable outcomes of </w:t>
      </w:r>
      <w:r>
        <w:lastRenderedPageBreak/>
        <w:t xml:space="preserve">inclusion. This encompasses the inclusion of objective recruitment procedures, open promotion guidelines and integrative leadership </w:t>
      </w:r>
      <w:r w:rsidR="00E171EE">
        <w:t>skills</w:t>
      </w:r>
      <w:r>
        <w:t>. Otherwise, it may result in reputational damage, a lack of employee engagement, and legal liability.</w:t>
      </w:r>
    </w:p>
    <w:p w14:paraId="41AA57E5" w14:textId="0D71C8B7" w:rsidR="00FE7FCB" w:rsidRDefault="00FE7FCB" w:rsidP="00FE7FCB">
      <w:pPr>
        <w:jc w:val="center"/>
      </w:pPr>
      <w:r>
        <w:rPr>
          <w:noProof/>
        </w:rPr>
        <w:drawing>
          <wp:inline distT="0" distB="0" distL="0" distR="0" wp14:anchorId="03F5069F" wp14:editId="3953CE75">
            <wp:extent cx="4627245" cy="24142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7245" cy="2414270"/>
                    </a:xfrm>
                    <a:prstGeom prst="rect">
                      <a:avLst/>
                    </a:prstGeom>
                    <a:noFill/>
                  </pic:spPr>
                </pic:pic>
              </a:graphicData>
            </a:graphic>
          </wp:inline>
        </w:drawing>
      </w:r>
    </w:p>
    <w:p w14:paraId="612DC0FC" w14:textId="00A7CE07" w:rsidR="00FE7FCB" w:rsidRDefault="00FE7FCB" w:rsidP="00FE7FCB">
      <w:pPr>
        <w:jc w:val="center"/>
      </w:pPr>
      <w:r>
        <w:t xml:space="preserve">Image </w:t>
      </w:r>
      <w:r w:rsidR="00CE56D4">
        <w:t>2</w:t>
      </w:r>
      <w:r>
        <w:t xml:space="preserve">: </w:t>
      </w:r>
      <w:r w:rsidRPr="00FE7FCB">
        <w:t>Diversity, Equity, and Inclusion (DEI)</w:t>
      </w:r>
      <w:r>
        <w:t xml:space="preserve"> </w:t>
      </w:r>
      <w:r w:rsidRPr="00FE7FCB">
        <w:t>(Dixon-Fyle et al., 2020)</w:t>
      </w:r>
    </w:p>
    <w:p w14:paraId="5533EEAA" w14:textId="44A32409" w:rsidR="004E3E4D" w:rsidRPr="00A97293" w:rsidRDefault="007E545E" w:rsidP="007E545E">
      <w:r>
        <w:t xml:space="preserve">DEI initiatives that are implemented in the most strategic way, however, have the potential to build employer brand and increase innovation based on cognitive diversity and customer alignment in a multicultural UK market. Therefore, DEI needs to become a part of sustainable HR planning, and not a separate compliance practise. </w:t>
      </w:r>
    </w:p>
    <w:p w14:paraId="65E47ED9" w14:textId="77777777" w:rsidR="00A97293" w:rsidRDefault="00A97293" w:rsidP="008B7309">
      <w:pPr>
        <w:pStyle w:val="Heading1"/>
      </w:pPr>
    </w:p>
    <w:p w14:paraId="6BC8D7B8" w14:textId="77777777" w:rsidR="00A97293" w:rsidRDefault="00A97293" w:rsidP="008B7309">
      <w:pPr>
        <w:pStyle w:val="Heading1"/>
      </w:pPr>
    </w:p>
    <w:p w14:paraId="205991AE" w14:textId="696BCB02" w:rsidR="00FE7FCB" w:rsidRDefault="00FE7FCB" w:rsidP="003B19A4"/>
    <w:p w14:paraId="6757F7B2" w14:textId="40979160" w:rsidR="00FE7FCB" w:rsidRDefault="00FE7FCB" w:rsidP="003B19A4"/>
    <w:p w14:paraId="11B0D783" w14:textId="48486E0B" w:rsidR="00CE56D4" w:rsidRDefault="00CE56D4" w:rsidP="003B19A4"/>
    <w:p w14:paraId="1DB27158" w14:textId="3837EC9D" w:rsidR="00CE56D4" w:rsidRDefault="00CE56D4" w:rsidP="003B19A4"/>
    <w:p w14:paraId="547D2245" w14:textId="77777777" w:rsidR="00CE56D4" w:rsidRPr="003B19A4" w:rsidRDefault="00CE56D4" w:rsidP="003B19A4"/>
    <w:p w14:paraId="6A450E17" w14:textId="32CCEF91" w:rsidR="00C618D2" w:rsidRDefault="008B7309" w:rsidP="008B7309">
      <w:pPr>
        <w:pStyle w:val="Heading1"/>
      </w:pPr>
      <w:bookmarkStart w:id="5" w:name="_Toc222573590"/>
      <w:r w:rsidRPr="008B7309">
        <w:lastRenderedPageBreak/>
        <w:t>Evaluation of Contemporary HR Practices</w:t>
      </w:r>
      <w:bookmarkEnd w:id="5"/>
    </w:p>
    <w:p w14:paraId="01B13A11" w14:textId="1C1ECE50" w:rsidR="003C688C" w:rsidRDefault="003C688C" w:rsidP="003C688C">
      <w:pPr>
        <w:pStyle w:val="Heading2"/>
      </w:pPr>
      <w:bookmarkStart w:id="6" w:name="_Toc222573591"/>
      <w:r>
        <w:t>Technological Advancement Practises</w:t>
      </w:r>
      <w:bookmarkEnd w:id="6"/>
    </w:p>
    <w:p w14:paraId="224D8483" w14:textId="4AE5A014" w:rsidR="003C688C" w:rsidRDefault="003C688C" w:rsidP="003C688C">
      <w:r>
        <w:t xml:space="preserve">In order to address the urgent digitalisation, J Sainsbury plc, along with other UK retailers, </w:t>
      </w:r>
      <w:r w:rsidR="000F19CF">
        <w:t>is</w:t>
      </w:r>
      <w:r>
        <w:t xml:space="preserve"> turning to HR analytics, e-HRM services, and systematised reskilling initiatives. HR analytics will allow making evidence-based workforce planning through the analysis of turnover, productivity, and skills gaps. According to studies in the industry, organisations with advanced people analytics are able to enhance their recruitment effectiveness by up to 20 percent, which means that it has a high potential value</w:t>
      </w:r>
      <w:r w:rsidR="00E44479">
        <w:t xml:space="preserve"> </w:t>
      </w:r>
      <w:r w:rsidR="00E44479" w:rsidRPr="00E44479">
        <w:t>(Danielle, 2025)</w:t>
      </w:r>
      <w:r>
        <w:t>. In the case of Sainsbury, analytics are used to predict its workforce of more than 148,000 employees (stores, logistics, and online).</w:t>
      </w:r>
    </w:p>
    <w:p w14:paraId="47A212BA" w14:textId="3D7542BB" w:rsidR="00F12CC7" w:rsidRDefault="003C688C" w:rsidP="003C688C">
      <w:r>
        <w:t xml:space="preserve">E-HRM systems also simplify the HR procedures of recruitment, performance management, </w:t>
      </w:r>
      <w:r w:rsidR="000F19CF">
        <w:t>and</w:t>
      </w:r>
      <w:r>
        <w:t xml:space="preserve"> employee self-service. Such systems decrease the workload of the administration and enhance data precision. The issue of upskilling and reskilling programmes is particularly urgent due to the increased automation. Sainsbury has been investing in the development of digital capability associated with its omnichannel strategy. The UK retail industry demonstrates that the internal mobility of companies that invest steadily in reskilling is up to 30 percent higher</w:t>
      </w:r>
      <w:r w:rsidR="00E44479">
        <w:t xml:space="preserve"> </w:t>
      </w:r>
      <w:r w:rsidR="00E44479" w:rsidRPr="00E44479">
        <w:t>(VBeyond Corporation, 2025)</w:t>
      </w:r>
      <w:r>
        <w:t xml:space="preserve">. However, the effectiveness of training requires the involvement of the employees and the support of the managers. </w:t>
      </w:r>
    </w:p>
    <w:p w14:paraId="78D128D5" w14:textId="20EE3EAF" w:rsidR="003C688C" w:rsidRDefault="003C688C" w:rsidP="003C688C">
      <w:pPr>
        <w:pStyle w:val="Heading2"/>
      </w:pPr>
      <w:bookmarkStart w:id="7" w:name="_Toc222573592"/>
      <w:r>
        <w:t>Best Practises to Enhance Talent Acquisition and Retention</w:t>
      </w:r>
      <w:bookmarkEnd w:id="7"/>
    </w:p>
    <w:p w14:paraId="43F74E39" w14:textId="0A9EBD6D" w:rsidR="003C688C" w:rsidRDefault="003C688C" w:rsidP="003C688C">
      <w:r>
        <w:t>In modern HR practise, there is a heavy emphasis on employer branding, flexible working, engagement programmes</w:t>
      </w:r>
      <w:r w:rsidR="000F19CF">
        <w:t>,</w:t>
      </w:r>
      <w:r>
        <w:t xml:space="preserve"> and total rewards programmes in an attempt to battle high turnover in retail. Sainsbury has reinforced its employer value proposition by means of wellbeing support, colleague discounts, and career step structure. This is in line with broader evidence in the UK</w:t>
      </w:r>
      <w:r w:rsidR="000F19CF">
        <w:t>,</w:t>
      </w:r>
      <w:r>
        <w:t xml:space="preserve"> which reveals that organisations with good employer brands can save up to 50 on cost-per-hire.</w:t>
      </w:r>
      <w:r w:rsidR="00F12CC7">
        <w:t xml:space="preserve"> </w:t>
      </w:r>
    </w:p>
    <w:p w14:paraId="4C5CDC74" w14:textId="223F161A" w:rsidR="00F12CC7" w:rsidRDefault="003C688C" w:rsidP="003C688C">
      <w:r>
        <w:t xml:space="preserve">The flexible working policies have gained specific power after the pandemic. Store chains with predictable schedules and flexibility in part-time also record better retention with younger employees and parents. </w:t>
      </w:r>
      <w:r w:rsidR="00D030DB">
        <w:t xml:space="preserve"> </w:t>
      </w:r>
      <w:r>
        <w:t xml:space="preserve">The most common methods of enhancing morale are employee engagement efforts, which can be in the form of frequent pulse surveys and reward programmes. </w:t>
      </w:r>
      <w:r w:rsidR="00F26F33">
        <w:t>H</w:t>
      </w:r>
      <w:r>
        <w:t>ighly engaged teams are able to provide 21% greater profitability</w:t>
      </w:r>
      <w:r w:rsidR="00C70BF9">
        <w:t xml:space="preserve"> </w:t>
      </w:r>
      <w:r w:rsidR="00C70BF9" w:rsidRPr="00C70BF9">
        <w:t>(Gallup, 2025)</w:t>
      </w:r>
      <w:r>
        <w:t>. However, occasionally the engagement programmes have the problem of survey fatigue and lack of visible follow-through, and it can cause lack of confidence when the feedback is not converted into action.</w:t>
      </w:r>
    </w:p>
    <w:p w14:paraId="58C24B91" w14:textId="6F57FD2D" w:rsidR="003C688C" w:rsidRDefault="003C688C" w:rsidP="003C688C">
      <w:pPr>
        <w:pStyle w:val="Heading2"/>
      </w:pPr>
      <w:bookmarkStart w:id="8" w:name="_Toc222573593"/>
      <w:r>
        <w:lastRenderedPageBreak/>
        <w:t>Practices Supporting DEI</w:t>
      </w:r>
      <w:bookmarkEnd w:id="8"/>
    </w:p>
    <w:p w14:paraId="31744B07" w14:textId="6DDFA0F9" w:rsidR="003C688C" w:rsidRDefault="003C688C" w:rsidP="003C688C">
      <w:r>
        <w:t>In a bid to enhance Diversity, Equity</w:t>
      </w:r>
      <w:r w:rsidR="000F19CF">
        <w:t>,</w:t>
      </w:r>
      <w:r>
        <w:t xml:space="preserve"> and Inclusion (DEI), large employers like Sainsbury are adopting more and more inclusive recruitment, bias-free selection methods, diversity training</w:t>
      </w:r>
      <w:r w:rsidR="000F19CF">
        <w:t>,</w:t>
      </w:r>
      <w:r>
        <w:t xml:space="preserve"> and employee resource groups (ERGs). According to investigations by the UK Chartered</w:t>
      </w:r>
      <w:r w:rsidR="00F12CC7">
        <w:t xml:space="preserve"> </w:t>
      </w:r>
      <w:r>
        <w:t>Institute</w:t>
      </w:r>
      <w:r w:rsidR="00F12CC7">
        <w:t xml:space="preserve"> </w:t>
      </w:r>
      <w:r>
        <w:t>of</w:t>
      </w:r>
      <w:r w:rsidR="00F12CC7">
        <w:t xml:space="preserve"> </w:t>
      </w:r>
      <w:r>
        <w:t>Personnel</w:t>
      </w:r>
      <w:r w:rsidR="00F12CC7">
        <w:t xml:space="preserve"> </w:t>
      </w:r>
      <w:r>
        <w:t>and</w:t>
      </w:r>
      <w:r w:rsidR="00F12CC7">
        <w:t xml:space="preserve"> </w:t>
      </w:r>
      <w:r>
        <w:t>Development, shortlisting fairness is likely to increase by about 30% when anonymised recruitment is used</w:t>
      </w:r>
      <w:r w:rsidR="00E7526D">
        <w:t xml:space="preserve"> </w:t>
      </w:r>
      <w:r w:rsidR="00E7526D" w:rsidRPr="00E7526D">
        <w:t>(GOV.UK, 2025)</w:t>
      </w:r>
      <w:r>
        <w:t>.</w:t>
      </w:r>
    </w:p>
    <w:p w14:paraId="2441CF0B" w14:textId="58991B9E" w:rsidR="003C688C" w:rsidRDefault="003C688C" w:rsidP="003C688C">
      <w:r>
        <w:t>Inclusive leadership training programmes, as well as bias-awareness training programmes</w:t>
      </w:r>
      <w:r w:rsidR="000F19CF">
        <w:t>,</w:t>
      </w:r>
      <w:r>
        <w:t xml:space="preserve"> are also common. Such efforts may enhance managerial sensitivity and psychological safety, but there are indications that a one-off training does not have long-term behavioural effects except when supported by accountability measures and leadership exemplification.</w:t>
      </w:r>
      <w:r w:rsidR="00F12CC7">
        <w:t xml:space="preserve"> </w:t>
      </w:r>
    </w:p>
    <w:p w14:paraId="714E1164" w14:textId="004F573B" w:rsidR="003C688C" w:rsidRDefault="003C688C" w:rsidP="003C688C">
      <w:r>
        <w:t>Irrespective of these strengths, DEI initiatives are usually associated with measurement problems. Representation that is not culturally changing can result in compliance instead of inclusion. Also, the frontline retail setting may find it difficult to allow employees to train and take part.</w:t>
      </w:r>
    </w:p>
    <w:p w14:paraId="37D6FE95" w14:textId="5AFE12AD" w:rsidR="00963C95" w:rsidRPr="00963C95" w:rsidRDefault="003C688C" w:rsidP="003C688C">
      <w:r>
        <w:t>Thus, modern DEI practises offer a solid structural basis but their effectiveness would be limited to a long-term commitment of leaders, open metrics, and incorporated into the core HR and operational decision-making.</w:t>
      </w:r>
    </w:p>
    <w:p w14:paraId="3B626C7B" w14:textId="49E87563" w:rsidR="00C618D2" w:rsidRDefault="00C618D2" w:rsidP="00A32713"/>
    <w:p w14:paraId="46EFE40B" w14:textId="67194461" w:rsidR="00C618D2" w:rsidRDefault="00C618D2" w:rsidP="00A32713"/>
    <w:p w14:paraId="4F61362C" w14:textId="5F681644" w:rsidR="00D030DB" w:rsidRDefault="00D030DB" w:rsidP="00A32713"/>
    <w:p w14:paraId="372B1834" w14:textId="66834F43" w:rsidR="00D030DB" w:rsidRDefault="00D030DB" w:rsidP="00A32713"/>
    <w:p w14:paraId="568497DA" w14:textId="77777777" w:rsidR="00B53465" w:rsidRDefault="00B53465" w:rsidP="00A32713"/>
    <w:p w14:paraId="0A1E542A" w14:textId="145F80FA" w:rsidR="00D030DB" w:rsidRDefault="00D030DB" w:rsidP="00A32713"/>
    <w:p w14:paraId="2EE3B34A" w14:textId="7061E7C2" w:rsidR="004B00DC" w:rsidRDefault="004B00DC" w:rsidP="00A32713"/>
    <w:p w14:paraId="7705016C" w14:textId="77777777" w:rsidR="004B00DC" w:rsidRDefault="004B00DC" w:rsidP="00A32713"/>
    <w:p w14:paraId="02EA2889" w14:textId="40371AD4" w:rsidR="00C618D2" w:rsidRDefault="007A0134" w:rsidP="007A0134">
      <w:pPr>
        <w:pStyle w:val="Heading1"/>
      </w:pPr>
      <w:bookmarkStart w:id="9" w:name="_Toc222573594"/>
      <w:r w:rsidRPr="007A0134">
        <w:lastRenderedPageBreak/>
        <w:t>Critical Evaluation of Managerial Implementation</w:t>
      </w:r>
      <w:bookmarkEnd w:id="9"/>
    </w:p>
    <w:p w14:paraId="1D0D0D8F" w14:textId="59EFCAB6" w:rsidR="007A0134" w:rsidRDefault="00376296" w:rsidP="00376296">
      <w:pPr>
        <w:pStyle w:val="Heading2"/>
      </w:pPr>
      <w:bookmarkStart w:id="10" w:name="_Toc222573595"/>
      <w:r w:rsidRPr="00376296">
        <w:t>Role of Departmental Managers</w:t>
      </w:r>
      <w:bookmarkEnd w:id="10"/>
    </w:p>
    <w:p w14:paraId="3F2D6414" w14:textId="4503705B" w:rsidR="0060170C" w:rsidRDefault="0060170C" w:rsidP="00D70FA5">
      <w:r>
        <w:t>In J Sainsbury plc, the departmental managers have a central role of converting the corporate HR strategy into day-to-day operation. As the HR establishes the direction of policy, line managers determine the employee experience in terms of scheduling, performance discussions and team development. It has been shown in the evidence of CIPD that up to 70% of the outcomes of employee engagement depend on the line managers, which indicates that they are strategic</w:t>
      </w:r>
      <w:r w:rsidR="00805FD0">
        <w:t xml:space="preserve"> </w:t>
      </w:r>
      <w:r w:rsidR="00805FD0" w:rsidRPr="00805FD0">
        <w:t>(CIPD, 2021)</w:t>
      </w:r>
      <w:r>
        <w:t>.</w:t>
      </w:r>
    </w:p>
    <w:p w14:paraId="018C0CFD" w14:textId="3AF6A5CE" w:rsidR="0060170C" w:rsidRDefault="0060170C" w:rsidP="00D70FA5">
      <w:r>
        <w:t>It needs a high level of managerial accountability to be implemented. Managers should not be familiar with HR initiatives, like digital upskilling or inclusive recruitment, but should also be the ones to integrate them into the store and logistics operations. The important capabilities are therefore communication and change leadership. In an organisation with over 140,000 colleagues, messaging inconsistency or poor local leadership can destroy HR programmes centrally designed within a very short period of time. Therefore, the departmental managers will have to be operational leaders and people champions.</w:t>
      </w:r>
    </w:p>
    <w:p w14:paraId="74DAED18" w14:textId="65936856" w:rsidR="0060170C" w:rsidRDefault="0060170C" w:rsidP="00D70FA5">
      <w:pPr>
        <w:pStyle w:val="Heading2"/>
      </w:pPr>
      <w:bookmarkStart w:id="11" w:name="_Toc222573596"/>
      <w:r>
        <w:t>Ensuring Urgent Implementation</w:t>
      </w:r>
      <w:bookmarkEnd w:id="11"/>
    </w:p>
    <w:p w14:paraId="1AA1A814" w14:textId="68C8679F" w:rsidR="0060170C" w:rsidRDefault="0060170C" w:rsidP="00D70FA5">
      <w:r>
        <w:t>In order to achieve timely implementation, organisations normally use performance management systems that are associated with explicit KPIs. In Sainsbury, the employee turnover, absence rates, diversity representation, and training completion can be integrated into the managerial scorecards. Studies have shown that organisations that relate HR measures to managerial performance evaluations have up to 25 percent quicker implementation of people initiatives</w:t>
      </w:r>
      <w:r w:rsidR="00AA7066">
        <w:t xml:space="preserve"> </w:t>
      </w:r>
      <w:r w:rsidR="00AA7066" w:rsidRPr="00AA7066">
        <w:t>(Tessema, Yang and Chen, 2025)</w:t>
      </w:r>
      <w:r>
        <w:t>.</w:t>
      </w:r>
      <w:r w:rsidR="00D70FA5">
        <w:t xml:space="preserve"> </w:t>
      </w:r>
    </w:p>
    <w:p w14:paraId="17BB4869" w14:textId="6538C926" w:rsidR="0060170C" w:rsidRDefault="0060170C" w:rsidP="00D70FA5">
      <w:r>
        <w:t>Urgency is also dependent on culture and commitment of senior leadership. When store managers are seen to be prioritising wellbeing, inclusion and skill development, the adoption of these measures at the frontline is enhanced. In the absence of this overt sponsorship, HR efforts will be seen as administrative and not strategic priorities.</w:t>
      </w:r>
    </w:p>
    <w:p w14:paraId="06D5A7BC" w14:textId="3BB33659" w:rsidR="0060170C" w:rsidRDefault="0060170C" w:rsidP="00D70FA5">
      <w:pPr>
        <w:pStyle w:val="Heading2"/>
      </w:pPr>
      <w:bookmarkStart w:id="12" w:name="_Toc222573597"/>
      <w:r>
        <w:t>Barriers and Risks</w:t>
      </w:r>
      <w:bookmarkEnd w:id="12"/>
    </w:p>
    <w:p w14:paraId="3C3CEA35" w14:textId="4A9E281D" w:rsidR="0060170C" w:rsidRDefault="0060170C" w:rsidP="00D70FA5">
      <w:r>
        <w:t>In spite of the obvious frameworks, there are multiple obstacles that can be used to prevent the successful implementation. The issue of resistance to change is still prevalent in the retail industry</w:t>
      </w:r>
      <w:r w:rsidR="008D0E39">
        <w:t>,</w:t>
      </w:r>
      <w:r>
        <w:t xml:space="preserve"> especially among long term employees who have been used to traditional working </w:t>
      </w:r>
      <w:r>
        <w:lastRenderedPageBreak/>
        <w:t>practises. The increasing pace of digitalisation and automation of processes may be an additional cause of anxiety over employment.</w:t>
      </w:r>
    </w:p>
    <w:p w14:paraId="64C51CED" w14:textId="35E500FC" w:rsidR="00166FE2" w:rsidRDefault="0060170C" w:rsidP="00D70FA5">
      <w:r>
        <w:t>Another significant threat is the lack of resources. Grocery retail in UK is on low margins-2-4% operating profit- that constrains managerial time and training budgets</w:t>
      </w:r>
      <w:r w:rsidR="00166FE2">
        <w:t xml:space="preserve"> </w:t>
      </w:r>
      <w:r w:rsidR="00166FE2" w:rsidRPr="00166FE2">
        <w:t>(Sayad, 2022)</w:t>
      </w:r>
      <w:r>
        <w:t xml:space="preserve">. </w:t>
      </w:r>
      <w:r w:rsidR="00437441">
        <w:t xml:space="preserve"> </w:t>
      </w:r>
      <w:r>
        <w:t xml:space="preserve">There are also skill gaps amongst the managers. There is a great number of retail line managers who are offered promotion based on operational prowess and not on people management expertise. According to the CIPD surveys, approximately 40 percent of the line managers in the UK state that they lack training on managing performance and inclusion. When </w:t>
      </w:r>
      <w:r w:rsidR="00B91738">
        <w:t>short-term</w:t>
      </w:r>
      <w:r>
        <w:t xml:space="preserve"> sales goals take over the decision-making, the </w:t>
      </w:r>
      <w:r w:rsidR="003C6D2E">
        <w:t>long-term</w:t>
      </w:r>
      <w:r>
        <w:t xml:space="preserve"> HR objectives will be sidelined.</w:t>
      </w:r>
      <w:r w:rsidR="00166FE2">
        <w:t xml:space="preserve"> </w:t>
      </w:r>
    </w:p>
    <w:p w14:paraId="23E9E8EB" w14:textId="2C1E692B" w:rsidR="0060170C" w:rsidRDefault="0060170C" w:rsidP="00D70FA5">
      <w:pPr>
        <w:pStyle w:val="Heading2"/>
      </w:pPr>
      <w:bookmarkStart w:id="13" w:name="_Toc222573598"/>
      <w:r>
        <w:t>Suggestions to successful Implementation</w:t>
      </w:r>
      <w:bookmarkEnd w:id="13"/>
    </w:p>
    <w:p w14:paraId="656623E8" w14:textId="14194DDD" w:rsidR="00C618D2" w:rsidRDefault="0060170C" w:rsidP="00A32713">
      <w:r>
        <w:t xml:space="preserve">There are a number of practical actions </w:t>
      </w:r>
      <w:r w:rsidR="00B91738">
        <w:t>that</w:t>
      </w:r>
      <w:r>
        <w:t xml:space="preserve"> are suggested to enhance implementation. To start with, Sainsbury should incorporate people-oriented KPIs, including engagement rates and diversity indicators, in the managerial performance review, and hold individuals responsible at the store and regional levels. Second, there should be an increase in a structured capability programme of line managers that is based on digital literacy, inclusive leadership, and data-driven decision-making.</w:t>
      </w:r>
      <w:r w:rsidR="003C6D2E">
        <w:t xml:space="preserve"> </w:t>
      </w:r>
      <w:r>
        <w:t xml:space="preserve">Third, there should be increased governance mechanisms. It can be provided by regular executive control (with the help of real-time HR dashboards) to detect problematic areas. </w:t>
      </w:r>
      <w:r w:rsidR="003C6D2E">
        <w:t xml:space="preserve"> </w:t>
      </w:r>
      <w:r>
        <w:t xml:space="preserve">Lastly, there should be a continuous improvement strategy. It will be beneficial to have feedback loops between employees and managers, pulse surveys and listening forums, which will aid in refining implementation in the long term. The integration of a high level of managerial ownership, effective monitoring, and continuous capability building can enable Sainsbury to speed up the process of </w:t>
      </w:r>
      <w:r w:rsidR="00730DA2">
        <w:t>transforming</w:t>
      </w:r>
      <w:r>
        <w:t xml:space="preserve"> HR strategy into sustainable organisational performance. </w:t>
      </w:r>
    </w:p>
    <w:p w14:paraId="29CCCCB6" w14:textId="30D62927" w:rsidR="00E72BF6" w:rsidRDefault="00E72BF6" w:rsidP="00A32713"/>
    <w:p w14:paraId="22F57823" w14:textId="22C7AB1A" w:rsidR="00E72BF6" w:rsidRDefault="00E72BF6" w:rsidP="00A32713"/>
    <w:p w14:paraId="60FBC94D" w14:textId="0774E241" w:rsidR="00E72BF6" w:rsidRDefault="00E72BF6" w:rsidP="00A32713"/>
    <w:p w14:paraId="2A1897FA" w14:textId="448CCDED" w:rsidR="00E72BF6" w:rsidRDefault="00E72BF6" w:rsidP="00A32713"/>
    <w:p w14:paraId="68C4D0F1" w14:textId="77777777" w:rsidR="00E72BF6" w:rsidRDefault="00E72BF6" w:rsidP="00A32713"/>
    <w:p w14:paraId="53EB6EDE" w14:textId="64C92D42" w:rsidR="00D70FA5" w:rsidRDefault="00D70FA5" w:rsidP="00D70FA5">
      <w:pPr>
        <w:pStyle w:val="Heading1"/>
      </w:pPr>
      <w:bookmarkStart w:id="14" w:name="_Toc222573599"/>
      <w:r>
        <w:lastRenderedPageBreak/>
        <w:t>Recommendations</w:t>
      </w:r>
      <w:bookmarkEnd w:id="14"/>
    </w:p>
    <w:p w14:paraId="2FE88BC7" w14:textId="08B7E2DF" w:rsidR="00C618D2" w:rsidRDefault="00D70FA5" w:rsidP="00D70FA5">
      <w:r>
        <w:t xml:space="preserve">Integrated digital HR systems should be a priority at </w:t>
      </w:r>
      <w:r w:rsidR="00C317DD">
        <w:t>Sainsbury</w:t>
      </w:r>
      <w:r>
        <w:t xml:space="preserve"> to enhance workforce analytics and allow </w:t>
      </w:r>
      <w:r w:rsidR="00C317DD">
        <w:t>for</w:t>
      </w:r>
      <w:r>
        <w:t xml:space="preserve"> quicker and more evidence-based. Structured upskilling and reskilling programmes need to be invested in in order to bridge the capabilities gaps that automation causes. To increase retention, the company needs to increase employee value proposition by offering flexibility in working, better total rewards and better career paths. The DEI should improve at a faster pace through bias-free recruitment technology and quantifiable diversity objectives. Lastly, enhanced line-manager competency and accountability pegged on KPI will provide uniform implementation. These steps will help in making the workforce resilient, </w:t>
      </w:r>
      <w:r w:rsidR="00D8216D">
        <w:t>enhancing</w:t>
      </w:r>
      <w:r>
        <w:t xml:space="preserve"> engagement and sustainable organisational performance in the long run.</w:t>
      </w:r>
    </w:p>
    <w:p w14:paraId="4FAD9044" w14:textId="50845AB1" w:rsidR="00C618D2" w:rsidRDefault="00C618D2" w:rsidP="00A32713"/>
    <w:p w14:paraId="009817EA" w14:textId="65DA16CA" w:rsidR="00C618D2" w:rsidRDefault="00C618D2" w:rsidP="00A32713"/>
    <w:p w14:paraId="7AA938B8" w14:textId="48F1E161" w:rsidR="00C618D2" w:rsidRDefault="00C618D2" w:rsidP="00A32713"/>
    <w:p w14:paraId="02602DDE" w14:textId="3ECC5924" w:rsidR="00C618D2" w:rsidRDefault="00C618D2" w:rsidP="00A32713"/>
    <w:p w14:paraId="40849C76" w14:textId="3A73384E" w:rsidR="00C618D2" w:rsidRDefault="00C618D2" w:rsidP="00A32713"/>
    <w:p w14:paraId="7143CF37" w14:textId="51716ABD" w:rsidR="00C618D2" w:rsidRDefault="00C618D2" w:rsidP="00A32713"/>
    <w:p w14:paraId="0718B4F2" w14:textId="59E26B0C" w:rsidR="00C618D2" w:rsidRDefault="00C618D2" w:rsidP="00A32713"/>
    <w:p w14:paraId="5E31A1F8" w14:textId="311F958A" w:rsidR="00C618D2" w:rsidRDefault="00C618D2" w:rsidP="00A32713"/>
    <w:p w14:paraId="23B89EEF" w14:textId="472432B6" w:rsidR="00C618D2" w:rsidRDefault="00C618D2" w:rsidP="00A32713"/>
    <w:p w14:paraId="52BA4B01" w14:textId="57F262EA" w:rsidR="00D8216D" w:rsidRDefault="00D8216D" w:rsidP="00A32713"/>
    <w:p w14:paraId="08C98453" w14:textId="35E62B69" w:rsidR="00437441" w:rsidRDefault="00437441" w:rsidP="00A32713"/>
    <w:p w14:paraId="5A1C2B04" w14:textId="6ED00F5C" w:rsidR="00437441" w:rsidRDefault="00437441" w:rsidP="00A32713"/>
    <w:p w14:paraId="3EEA3701" w14:textId="3A4D017F" w:rsidR="00730DA2" w:rsidRDefault="00730DA2" w:rsidP="00A32713"/>
    <w:p w14:paraId="373F40B3" w14:textId="10A1EB85" w:rsidR="00730DA2" w:rsidRDefault="00730DA2" w:rsidP="00A32713"/>
    <w:p w14:paraId="12872F47" w14:textId="77777777" w:rsidR="00437441" w:rsidRDefault="00437441" w:rsidP="00A32713"/>
    <w:p w14:paraId="6B7350CA" w14:textId="77777777" w:rsidR="00D70FA5" w:rsidRDefault="00D70FA5" w:rsidP="00D70FA5">
      <w:pPr>
        <w:pStyle w:val="Heading1"/>
      </w:pPr>
      <w:bookmarkStart w:id="15" w:name="_Toc222573600"/>
      <w:r>
        <w:lastRenderedPageBreak/>
        <w:t>Conclusion</w:t>
      </w:r>
      <w:bookmarkEnd w:id="15"/>
      <w:r>
        <w:t xml:space="preserve"> </w:t>
      </w:r>
    </w:p>
    <w:p w14:paraId="6C7CA007" w14:textId="6F2E1E78" w:rsidR="00C618D2" w:rsidRDefault="00D70FA5" w:rsidP="00D70FA5">
      <w:r>
        <w:t xml:space="preserve">This report has critically analysed the main HR issues that have impacted </w:t>
      </w:r>
      <w:r w:rsidR="00C317DD">
        <w:t>Sainsbury</w:t>
      </w:r>
      <w:r>
        <w:t xml:space="preserve">, such as technological progress, acquisition and retention of talent, and Diversity, Equity and Inclusion (DEI). As the analysis reveals, the speed of digitalisation, the stringent labour market situation in the UK, and the increasing demands on </w:t>
      </w:r>
      <w:r w:rsidR="00C317DD">
        <w:t xml:space="preserve">an </w:t>
      </w:r>
      <w:r>
        <w:t>inclusive workplace are transforming the strategic HR priorities. Modern HR practises (HR analytics, flexible work, inclusive hiring, and others) have quantifiable advantages yet need powerful management implementation. In general, contemporary HR competence is no longer a support but a business driver of sustainable performance in the highly competitive UK retail industry.</w:t>
      </w:r>
    </w:p>
    <w:p w14:paraId="1184957C" w14:textId="3C7E9A7B" w:rsidR="00C618D2" w:rsidRDefault="00C618D2" w:rsidP="00A32713"/>
    <w:p w14:paraId="5FF92D55" w14:textId="754D0F1C" w:rsidR="00D70FA5" w:rsidRDefault="00D70FA5" w:rsidP="00A32713"/>
    <w:p w14:paraId="2849A154" w14:textId="2BBEEC9B" w:rsidR="00D70FA5" w:rsidRDefault="00D70FA5" w:rsidP="00A32713"/>
    <w:p w14:paraId="5687CF06" w14:textId="331DF56B" w:rsidR="00D70FA5" w:rsidRDefault="00D70FA5" w:rsidP="00A32713"/>
    <w:p w14:paraId="1F5CD45A" w14:textId="474B494D" w:rsidR="00D70FA5" w:rsidRDefault="00D70FA5" w:rsidP="00A32713"/>
    <w:p w14:paraId="2E47E930" w14:textId="17C9A497" w:rsidR="00D70FA5" w:rsidRDefault="00D70FA5" w:rsidP="00A32713"/>
    <w:p w14:paraId="2DBBF9A4" w14:textId="1F64D8AE" w:rsidR="00D70FA5" w:rsidRDefault="00D70FA5" w:rsidP="00A32713"/>
    <w:p w14:paraId="7AD9455A" w14:textId="7C468C19" w:rsidR="00D70FA5" w:rsidRDefault="00D70FA5" w:rsidP="00A32713"/>
    <w:p w14:paraId="39798568" w14:textId="05FFB709" w:rsidR="00D70FA5" w:rsidRDefault="00D70FA5" w:rsidP="00A32713"/>
    <w:p w14:paraId="3E1D75FD" w14:textId="0B443AB6" w:rsidR="00D70FA5" w:rsidRDefault="00D70FA5" w:rsidP="00A32713"/>
    <w:p w14:paraId="538D1CC0" w14:textId="6794DA46" w:rsidR="00D70FA5" w:rsidRDefault="00D70FA5" w:rsidP="00A32713"/>
    <w:p w14:paraId="5486982E" w14:textId="4A88F401" w:rsidR="00D70FA5" w:rsidRDefault="00D70FA5" w:rsidP="00A32713"/>
    <w:p w14:paraId="0305954C" w14:textId="083D2A4D" w:rsidR="00D70FA5" w:rsidRDefault="00D70FA5" w:rsidP="00A32713"/>
    <w:p w14:paraId="2D8C8D77" w14:textId="701045DF" w:rsidR="00D70FA5" w:rsidRDefault="00D70FA5" w:rsidP="00A32713"/>
    <w:p w14:paraId="3B556057" w14:textId="77777777" w:rsidR="00730DA2" w:rsidRDefault="00730DA2" w:rsidP="00A32713"/>
    <w:p w14:paraId="6C38FDF5" w14:textId="1C2E01C0" w:rsidR="00C618D2" w:rsidRDefault="00C618D2" w:rsidP="00A32713"/>
    <w:p w14:paraId="2C05E91C" w14:textId="77777777" w:rsidR="00730DA2" w:rsidRDefault="00730DA2" w:rsidP="00A32713"/>
    <w:bookmarkStart w:id="16" w:name="_Toc222573601" w:displacedByCustomXml="next"/>
    <w:sdt>
      <w:sdtPr>
        <w:rPr>
          <w:rFonts w:eastAsiaTheme="minorHAnsi" w:cstheme="minorBidi"/>
          <w:b w:val="0"/>
          <w:sz w:val="24"/>
          <w:szCs w:val="22"/>
        </w:rPr>
        <w:id w:val="-2133773399"/>
        <w:docPartObj>
          <w:docPartGallery w:val="Bibliographies"/>
          <w:docPartUnique/>
        </w:docPartObj>
      </w:sdtPr>
      <w:sdtEndPr>
        <w:rPr>
          <w:sz w:val="22"/>
        </w:rPr>
      </w:sdtEndPr>
      <w:sdtContent>
        <w:p w14:paraId="7F5CB7BF" w14:textId="2F8FF2F9" w:rsidR="00C618D2" w:rsidRDefault="00C618D2">
          <w:pPr>
            <w:pStyle w:val="Heading1"/>
          </w:pPr>
          <w:r>
            <w:t>References</w:t>
          </w:r>
          <w:bookmarkEnd w:id="16"/>
        </w:p>
        <w:sdt>
          <w:sdtPr>
            <w:id w:val="-573587230"/>
            <w:bibliography/>
          </w:sdtPr>
          <w:sdtContent>
            <w:p w14:paraId="725164BC" w14:textId="7BD5097B" w:rsidR="00E447EA" w:rsidRPr="00E447EA" w:rsidRDefault="00E447EA" w:rsidP="00E447EA">
              <w:r w:rsidRPr="00E447EA">
                <w:t xml:space="preserve">Al-Suraihi, W.A., Samikon, S.A., Al-Suraihi, A.-H.A. and Ibrahim, I. (2021) ‘Employee turnover: causes, importance and retention strategies’, </w:t>
              </w:r>
              <w:r w:rsidRPr="00E447EA">
                <w:rPr>
                  <w:i/>
                  <w:iCs/>
                </w:rPr>
                <w:t>European Journal of Business and Management Research</w:t>
              </w:r>
              <w:r w:rsidRPr="00E447EA">
                <w:t xml:space="preserve">, 6(3), pp. 1–10. Available at: </w:t>
              </w:r>
              <w:hyperlink r:id="rId13" w:tgtFrame="_new" w:history="1">
                <w:r w:rsidRPr="00E447EA">
                  <w:rPr>
                    <w:rStyle w:val="Hyperlink"/>
                  </w:rPr>
                  <w:t>https://www.researchgate.net/publication/352390912_Employee_Turnover_Causes_Importance_and_Retention_Strategies</w:t>
                </w:r>
              </w:hyperlink>
              <w:r w:rsidRPr="00E447EA">
                <w:t xml:space="preserve"> (Accessed: 2</w:t>
              </w:r>
              <w:r w:rsidR="005B2D4B">
                <w:t>0</w:t>
              </w:r>
              <w:r w:rsidRPr="00E447EA">
                <w:t xml:space="preserve"> February 2026).</w:t>
              </w:r>
            </w:p>
            <w:p w14:paraId="37927662" w14:textId="77777777" w:rsidR="00E447EA" w:rsidRPr="00E447EA" w:rsidRDefault="00E447EA" w:rsidP="00E447EA">
              <w:r w:rsidRPr="00E447EA">
                <w:t xml:space="preserve">CIPD (2021) </w:t>
              </w:r>
              <w:r w:rsidRPr="00E447EA">
                <w:rPr>
                  <w:i/>
                  <w:iCs/>
                </w:rPr>
                <w:t>Employee engagement</w:t>
              </w:r>
              <w:r w:rsidRPr="00E447EA">
                <w:t xml:space="preserve">. Available at: </w:t>
              </w:r>
              <w:hyperlink r:id="rId14" w:tgtFrame="_new" w:history="1">
                <w:r w:rsidRPr="00E447EA">
                  <w:rPr>
                    <w:rStyle w:val="Hyperlink"/>
                  </w:rPr>
                  <w:t>https://www.cipd.org/globalassets/media/knowledge/knowledge-hub/evidence-reviews/employee-engagement-scientific-summary-1_tcm18-89565.pdf</w:t>
                </w:r>
              </w:hyperlink>
              <w:r w:rsidRPr="00E447EA">
                <w:t xml:space="preserve"> (Accessed: 21 February 2026).</w:t>
              </w:r>
            </w:p>
            <w:p w14:paraId="08D471A2" w14:textId="77777777" w:rsidR="00E447EA" w:rsidRPr="00E447EA" w:rsidRDefault="00E447EA" w:rsidP="00E447EA">
              <w:r w:rsidRPr="00E447EA">
                <w:t xml:space="preserve">Danielle, J. (2025) ‘Leveraging the power of human resource analytics for enhanced decision making: opportunities and challenges’, </w:t>
              </w:r>
              <w:r w:rsidRPr="00E447EA">
                <w:rPr>
                  <w:i/>
                  <w:iCs/>
                </w:rPr>
                <w:t>International Journal of Research in Business and Social Science (2147-4478)</w:t>
              </w:r>
              <w:r w:rsidRPr="00E447EA">
                <w:t xml:space="preserve">, 14(6), pp. 53–69. Available at: </w:t>
              </w:r>
              <w:hyperlink r:id="rId15" w:tgtFrame="_new" w:history="1">
                <w:r w:rsidRPr="00E447EA">
                  <w:rPr>
                    <w:rStyle w:val="Hyperlink"/>
                  </w:rPr>
                  <w:t>https://doi.org/10.20525/ijrbs.v14i6.4276</w:t>
                </w:r>
              </w:hyperlink>
            </w:p>
            <w:p w14:paraId="59181A22" w14:textId="580AC651" w:rsidR="00E447EA" w:rsidRPr="00E447EA" w:rsidRDefault="00E447EA" w:rsidP="00E447EA">
              <w:r w:rsidRPr="00E447EA">
                <w:t xml:space="preserve">Dixon-Fyle, S., Dolan, K., Hunt, V. and Prince, S. (2020) </w:t>
              </w:r>
              <w:r w:rsidRPr="00E447EA">
                <w:rPr>
                  <w:i/>
                  <w:iCs/>
                </w:rPr>
                <w:t>Diversity wins: how inclusion matters</w:t>
              </w:r>
              <w:r w:rsidRPr="00E447EA">
                <w:t xml:space="preserve">. McKinsey &amp; Company. Available at: </w:t>
              </w:r>
              <w:hyperlink r:id="rId16" w:tgtFrame="_new" w:history="1">
                <w:r w:rsidRPr="00E447EA">
                  <w:rPr>
                    <w:rStyle w:val="Hyperlink"/>
                  </w:rPr>
                  <w:t>https://www.mckinsey.com/featured-insights/diversity-and-inclusion/diversity-wins-how-inclusion-matters</w:t>
                </w:r>
              </w:hyperlink>
              <w:r w:rsidRPr="00E447EA">
                <w:t xml:space="preserve"> (Accessed: 2</w:t>
              </w:r>
              <w:r w:rsidR="005B2D4B">
                <w:t>0</w:t>
              </w:r>
              <w:r w:rsidRPr="00E447EA">
                <w:t xml:space="preserve"> February 2026).</w:t>
              </w:r>
            </w:p>
            <w:p w14:paraId="0CAF72BB" w14:textId="7AE5D8A2" w:rsidR="00E447EA" w:rsidRPr="00E447EA" w:rsidRDefault="00E447EA" w:rsidP="00E447EA">
              <w:r w:rsidRPr="00E447EA">
                <w:t xml:space="preserve">Gallup (2025) </w:t>
              </w:r>
              <w:r w:rsidRPr="00E447EA">
                <w:rPr>
                  <w:i/>
                  <w:iCs/>
                </w:rPr>
                <w:t>How to improve employee engagement in the workplace</w:t>
              </w:r>
              <w:r w:rsidRPr="00E447EA">
                <w:t xml:space="preserve">. Available at: </w:t>
              </w:r>
              <w:hyperlink r:id="rId17" w:tgtFrame="_new" w:history="1">
                <w:r w:rsidRPr="00E447EA">
                  <w:rPr>
                    <w:rStyle w:val="Hyperlink"/>
                  </w:rPr>
                  <w:t>https://www.gallup.com/workplace/285674/improve-employee-engagement-workplace.aspx</w:t>
                </w:r>
              </w:hyperlink>
              <w:r w:rsidRPr="00E447EA">
                <w:t xml:space="preserve"> (Accessed: 2</w:t>
              </w:r>
              <w:r w:rsidR="005B2D4B">
                <w:t>0</w:t>
              </w:r>
              <w:r w:rsidRPr="00E447EA">
                <w:t xml:space="preserve"> February 2026).</w:t>
              </w:r>
            </w:p>
            <w:p w14:paraId="41D12462" w14:textId="77777777" w:rsidR="00E447EA" w:rsidRPr="00E447EA" w:rsidRDefault="00E447EA" w:rsidP="00E447EA">
              <w:r w:rsidRPr="00E447EA">
                <w:t xml:space="preserve">GlobalData (2023) </w:t>
              </w:r>
              <w:r w:rsidRPr="00E447EA">
                <w:rPr>
                  <w:i/>
                  <w:iCs/>
                </w:rPr>
                <w:t>J Sainsbury plc – digital transformation strategies</w:t>
              </w:r>
              <w:r w:rsidRPr="00E447EA">
                <w:t xml:space="preserve">. Available at: </w:t>
              </w:r>
              <w:hyperlink r:id="rId18" w:tgtFrame="_new" w:history="1">
                <w:r w:rsidRPr="00E447EA">
                  <w:rPr>
                    <w:rStyle w:val="Hyperlink"/>
                  </w:rPr>
                  <w:t>https://www.globaldata.com/store/report/j-sainsbury-plc-enterprise-tech-analysis/</w:t>
                </w:r>
              </w:hyperlink>
              <w:r w:rsidRPr="00E447EA">
                <w:t xml:space="preserve"> (Accessed: 21 February 2026).</w:t>
              </w:r>
            </w:p>
            <w:p w14:paraId="0F6DA323" w14:textId="77777777" w:rsidR="00E447EA" w:rsidRPr="00E447EA" w:rsidRDefault="00E447EA" w:rsidP="00E447EA">
              <w:r w:rsidRPr="00E447EA">
                <w:t xml:space="preserve">GOV.UK (2025) </w:t>
              </w:r>
              <w:r w:rsidRPr="00E447EA">
                <w:rPr>
                  <w:i/>
                  <w:iCs/>
                </w:rPr>
                <w:t>How to improve gender equality in the workplace: actions for employers</w:t>
              </w:r>
              <w:r w:rsidRPr="00E447EA">
                <w:t xml:space="preserve">. Available at: </w:t>
              </w:r>
              <w:hyperlink r:id="rId19" w:tgtFrame="_new" w:history="1">
                <w:r w:rsidRPr="00E447EA">
                  <w:rPr>
                    <w:rStyle w:val="Hyperlink"/>
                  </w:rPr>
                  <w:t>https://www.gov.uk/government/publications/how-to-improve-gender-equality-in-the-workplace-actions-for-employers/how-to-improve-gender-equality-in-the-workplace-actions-for-employers</w:t>
                </w:r>
              </w:hyperlink>
              <w:r w:rsidRPr="00E447EA">
                <w:t xml:space="preserve"> (Accessed: 21 February 2026).</w:t>
              </w:r>
            </w:p>
            <w:p w14:paraId="7C183FE4" w14:textId="57EFA3CC" w:rsidR="00E447EA" w:rsidRPr="00E447EA" w:rsidRDefault="00E447EA" w:rsidP="00E447EA">
              <w:r w:rsidRPr="00E447EA">
                <w:t xml:space="preserve">J Sainsbury plc (2025) </w:t>
              </w:r>
              <w:r w:rsidRPr="00E447EA">
                <w:rPr>
                  <w:i/>
                  <w:iCs/>
                </w:rPr>
                <w:t>About us – J Sainsbury plc</w:t>
              </w:r>
              <w:r w:rsidRPr="00E447EA">
                <w:t xml:space="preserve">. Available at: </w:t>
              </w:r>
              <w:hyperlink r:id="rId20" w:tgtFrame="_new" w:history="1">
                <w:r w:rsidRPr="00E447EA">
                  <w:rPr>
                    <w:rStyle w:val="Hyperlink"/>
                  </w:rPr>
                  <w:t>https://corporate.sainsburys.co.uk/media/tyxkubai/j-sainsbury-plc-preliminary-results-2324-factsheet.pdf</w:t>
                </w:r>
              </w:hyperlink>
              <w:r w:rsidRPr="00E447EA">
                <w:t xml:space="preserve"> (Accessed: 2</w:t>
              </w:r>
              <w:r w:rsidR="005B2D4B">
                <w:t>0</w:t>
              </w:r>
              <w:r w:rsidRPr="00E447EA">
                <w:t xml:space="preserve"> February 2026).</w:t>
              </w:r>
            </w:p>
            <w:p w14:paraId="49580749" w14:textId="77777777" w:rsidR="00E447EA" w:rsidRPr="00E447EA" w:rsidRDefault="00E447EA" w:rsidP="00E447EA">
              <w:r w:rsidRPr="00E447EA">
                <w:lastRenderedPageBreak/>
                <w:t xml:space="preserve">NHS England (2023) </w:t>
              </w:r>
              <w:r w:rsidRPr="00E447EA">
                <w:rPr>
                  <w:i/>
                  <w:iCs/>
                </w:rPr>
                <w:t>NHS equality, diversity and inclusion improvement plan</w:t>
              </w:r>
              <w:r w:rsidRPr="00E447EA">
                <w:t xml:space="preserve">. Available at: </w:t>
              </w:r>
              <w:hyperlink r:id="rId21" w:tgtFrame="_new" w:history="1">
                <w:r w:rsidRPr="00E447EA">
                  <w:rPr>
                    <w:rStyle w:val="Hyperlink"/>
                  </w:rPr>
                  <w:t>https://www.england.nhs.uk/long-read/nhs-equality-diversity-and-inclusion-improvement-plan/</w:t>
                </w:r>
              </w:hyperlink>
              <w:r w:rsidRPr="00E447EA">
                <w:t xml:space="preserve"> (Accessed: 21 February 2026).</w:t>
              </w:r>
            </w:p>
            <w:p w14:paraId="511C664B" w14:textId="77777777" w:rsidR="00E447EA" w:rsidRPr="00E447EA" w:rsidRDefault="00E447EA" w:rsidP="00E447EA">
              <w:r w:rsidRPr="00E447EA">
                <w:t xml:space="preserve">Reynolds, J., Howard, E., Dragun, D., Rosewell, B. and Ormerod, P. (2015) ‘Assessing the productivity of the UK retail sector’, </w:t>
              </w:r>
              <w:r w:rsidRPr="00E447EA">
                <w:rPr>
                  <w:i/>
                  <w:iCs/>
                </w:rPr>
                <w:t>The International Review of Retail, Distribution and Consumer Research</w:t>
              </w:r>
              <w:r w:rsidRPr="00E447EA">
                <w:t xml:space="preserve">, 15(3), pp. 237–280. Available at: </w:t>
              </w:r>
              <w:hyperlink r:id="rId22" w:tgtFrame="_new" w:history="1">
                <w:r w:rsidRPr="00E447EA">
                  <w:rPr>
                    <w:rStyle w:val="Hyperlink"/>
                  </w:rPr>
                  <w:t>https://doi.org/10.1080/09593960500119416</w:t>
                </w:r>
              </w:hyperlink>
            </w:p>
            <w:p w14:paraId="498D1EDE" w14:textId="77777777" w:rsidR="00E447EA" w:rsidRPr="00E447EA" w:rsidRDefault="00E447EA" w:rsidP="00E447EA">
              <w:r w:rsidRPr="00E447EA">
                <w:t xml:space="preserve">Rieki Indra Bratamanggala (2023) ‘Digital transformation in human resource management: a systematic literature review’, </w:t>
              </w:r>
              <w:r w:rsidRPr="00E447EA">
                <w:rPr>
                  <w:i/>
                  <w:iCs/>
                </w:rPr>
                <w:t>Siber International Journal of Education Technology (SIJET)</w:t>
              </w:r>
              <w:r w:rsidRPr="00E447EA">
                <w:t xml:space="preserve">, 1(2), pp. 57–64. Available at: </w:t>
              </w:r>
              <w:hyperlink r:id="rId23" w:tgtFrame="_new" w:history="1">
                <w:r w:rsidRPr="00E447EA">
                  <w:rPr>
                    <w:rStyle w:val="Hyperlink"/>
                  </w:rPr>
                  <w:t>https://doi.org/10.38035/sijet.v1i2.57</w:t>
                </w:r>
              </w:hyperlink>
            </w:p>
            <w:p w14:paraId="45E5F966" w14:textId="77777777" w:rsidR="00E447EA" w:rsidRPr="00E447EA" w:rsidRDefault="00E447EA" w:rsidP="00E447EA">
              <w:r w:rsidRPr="00E447EA">
                <w:t xml:space="preserve">Sayad, S.E. (2022) ‘Delineation of UK retail sector: an actor-network perspective’, </w:t>
              </w:r>
              <w:r w:rsidRPr="00E447EA">
                <w:rPr>
                  <w:i/>
                  <w:iCs/>
                </w:rPr>
                <w:t>Academic Journal of Interdisciplinary Studies</w:t>
              </w:r>
              <w:r w:rsidRPr="00E447EA">
                <w:t xml:space="preserve">, 11(2), p. 83. Available at: </w:t>
              </w:r>
              <w:hyperlink r:id="rId24" w:tgtFrame="_new" w:history="1">
                <w:r w:rsidRPr="00E447EA">
                  <w:rPr>
                    <w:rStyle w:val="Hyperlink"/>
                  </w:rPr>
                  <w:t>https://doi.org/10.36941/ajis-2022-0037</w:t>
                </w:r>
              </w:hyperlink>
            </w:p>
            <w:p w14:paraId="229D9439" w14:textId="77777777" w:rsidR="00E447EA" w:rsidRPr="00E447EA" w:rsidRDefault="00E447EA" w:rsidP="00E447EA">
              <w:r w:rsidRPr="00E447EA">
                <w:t xml:space="preserve">Tessema, S.A., Yang, S. and Chen, C. (2025) ‘The effect of human resource analytics on organizational performance: insights from Ethiopia’, </w:t>
              </w:r>
              <w:r w:rsidRPr="00E447EA">
                <w:rPr>
                  <w:i/>
                  <w:iCs/>
                </w:rPr>
                <w:t>Systems</w:t>
              </w:r>
              <w:r w:rsidRPr="00E447EA">
                <w:t xml:space="preserve">, 13(2), p. 134. Available at: </w:t>
              </w:r>
              <w:hyperlink r:id="rId25" w:tgtFrame="_new" w:history="1">
                <w:r w:rsidRPr="00E447EA">
                  <w:rPr>
                    <w:rStyle w:val="Hyperlink"/>
                  </w:rPr>
                  <w:t>https://doi.org/10.3390/systems13020134</w:t>
                </w:r>
              </w:hyperlink>
            </w:p>
            <w:p w14:paraId="124C2434" w14:textId="3E702EC9" w:rsidR="00E447EA" w:rsidRPr="00E447EA" w:rsidRDefault="00E447EA" w:rsidP="00E447EA">
              <w:r w:rsidRPr="00E447EA">
                <w:t xml:space="preserve">VBeyond Corporation (2025) </w:t>
              </w:r>
              <w:r w:rsidRPr="00E447EA">
                <w:rPr>
                  <w:i/>
                  <w:iCs/>
                </w:rPr>
                <w:t>Internal mobility &amp; upskilling: key strategies for talent retention in 2025</w:t>
              </w:r>
              <w:r w:rsidRPr="00E447EA">
                <w:t xml:space="preserve">. Available at: </w:t>
              </w:r>
              <w:hyperlink r:id="rId26" w:tgtFrame="_new" w:history="1">
                <w:r w:rsidRPr="00E447EA">
                  <w:rPr>
                    <w:rStyle w:val="Hyperlink"/>
                  </w:rPr>
                  <w:t>https://www.vbeyond.com/blog/internal-mobility-upskilling-retention-strategy-in-a-skills-scarce-world/</w:t>
                </w:r>
              </w:hyperlink>
              <w:r w:rsidRPr="00E447EA">
                <w:t xml:space="preserve"> (Accessed: </w:t>
              </w:r>
              <w:r w:rsidR="005B2D4B">
                <w:t>19</w:t>
              </w:r>
              <w:r w:rsidRPr="00E447EA">
                <w:t xml:space="preserve"> February 2026).</w:t>
              </w:r>
            </w:p>
            <w:p w14:paraId="0E159C09" w14:textId="77777777" w:rsidR="00E447EA" w:rsidRPr="00E447EA" w:rsidRDefault="00E447EA" w:rsidP="00E447EA">
              <w:r w:rsidRPr="00E447EA">
                <w:t xml:space="preserve">Wadud, I., Liang, Y.D. and Polkinghorne, M. (2025) ‘Digital transformation in the UK retail sector’, </w:t>
              </w:r>
              <w:r w:rsidRPr="00E447EA">
                <w:rPr>
                  <w:i/>
                  <w:iCs/>
                </w:rPr>
                <w:t>Encyclopedia</w:t>
              </w:r>
              <w:r w:rsidRPr="00E447EA">
                <w:t xml:space="preserve">, 5(3), p. 142. Available at: </w:t>
              </w:r>
              <w:hyperlink r:id="rId27" w:tgtFrame="_new" w:history="1">
                <w:r w:rsidRPr="00E447EA">
                  <w:rPr>
                    <w:rStyle w:val="Hyperlink"/>
                  </w:rPr>
                  <w:t>https://doi.org/10.3390/encyclopedia5030142</w:t>
                </w:r>
              </w:hyperlink>
            </w:p>
            <w:p w14:paraId="4921F618" w14:textId="521E0450" w:rsidR="00730DA2" w:rsidRDefault="00E447EA">
              <w:r>
                <w:t xml:space="preserve"> </w:t>
              </w:r>
            </w:p>
            <w:p w14:paraId="6C15CFAD" w14:textId="77777777" w:rsidR="00730DA2" w:rsidRDefault="00730DA2"/>
            <w:p w14:paraId="23020E87" w14:textId="36EAE311" w:rsidR="00C618D2" w:rsidRDefault="00000000"/>
          </w:sdtContent>
        </w:sdt>
      </w:sdtContent>
    </w:sdt>
    <w:p w14:paraId="27B6F264" w14:textId="307DA99D" w:rsidR="00C618D2" w:rsidRDefault="00C618D2" w:rsidP="00A32713"/>
    <w:p w14:paraId="5FE0CA38" w14:textId="4DBAAC8C" w:rsidR="00C618D2" w:rsidRDefault="00C618D2" w:rsidP="00A32713"/>
    <w:p w14:paraId="0D7A4769" w14:textId="77777777" w:rsidR="00C618D2" w:rsidRPr="00A32713" w:rsidRDefault="00C618D2" w:rsidP="00A32713"/>
    <w:sectPr w:rsidR="00C618D2" w:rsidRPr="00A32713" w:rsidSect="0024539D">
      <w:footerReference w:type="first" r:id="rId2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49079" w14:textId="77777777" w:rsidR="00513B3B" w:rsidRDefault="00513B3B" w:rsidP="0024539D">
      <w:pPr>
        <w:spacing w:after="0" w:line="240" w:lineRule="auto"/>
      </w:pPr>
      <w:r>
        <w:separator/>
      </w:r>
    </w:p>
  </w:endnote>
  <w:endnote w:type="continuationSeparator" w:id="0">
    <w:p w14:paraId="69F8D596" w14:textId="77777777" w:rsidR="00513B3B" w:rsidRDefault="00513B3B" w:rsidP="0024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047898"/>
      <w:docPartObj>
        <w:docPartGallery w:val="Page Numbers (Bottom of Page)"/>
        <w:docPartUnique/>
      </w:docPartObj>
    </w:sdtPr>
    <w:sdtEndPr>
      <w:rPr>
        <w:noProof/>
      </w:rPr>
    </w:sdtEndPr>
    <w:sdtContent>
      <w:p w14:paraId="2B30D0B9" w14:textId="1F706CD4" w:rsidR="0024539D" w:rsidRDefault="002453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76641B" w14:textId="77777777" w:rsidR="0024539D" w:rsidRDefault="00245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9A10" w14:textId="77777777" w:rsidR="0024539D" w:rsidRDefault="00245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98E9" w14:textId="77777777" w:rsidR="00513B3B" w:rsidRDefault="00513B3B" w:rsidP="0024539D">
      <w:pPr>
        <w:spacing w:after="0" w:line="240" w:lineRule="auto"/>
      </w:pPr>
      <w:r>
        <w:separator/>
      </w:r>
    </w:p>
  </w:footnote>
  <w:footnote w:type="continuationSeparator" w:id="0">
    <w:p w14:paraId="50BDC303" w14:textId="77777777" w:rsidR="00513B3B" w:rsidRDefault="00513B3B" w:rsidP="00245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CAA"/>
    <w:multiLevelType w:val="multilevel"/>
    <w:tmpl w:val="CCC2EE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D2850A9"/>
    <w:multiLevelType w:val="multilevel"/>
    <w:tmpl w:val="FFE49AF2"/>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ascii="Times New Roman" w:hAnsi="Times New Roman" w:hint="default"/>
      </w:rPr>
    </w:lvl>
    <w:lvl w:ilvl="2">
      <w:start w:val="1"/>
      <w:numFmt w:val="decimal"/>
      <w:suff w:val="space"/>
      <w:lvlText w:val="%1.%2.%3"/>
      <w:lvlJc w:val="left"/>
      <w:pPr>
        <w:ind w:left="792" w:hanging="792"/>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47FD7210"/>
    <w:multiLevelType w:val="hybridMultilevel"/>
    <w:tmpl w:val="58A8A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1909005">
    <w:abstractNumId w:val="1"/>
  </w:num>
  <w:num w:numId="2" w16cid:durableId="1766337097">
    <w:abstractNumId w:val="1"/>
  </w:num>
  <w:num w:numId="3" w16cid:durableId="1776902904">
    <w:abstractNumId w:val="0"/>
  </w:num>
  <w:num w:numId="4" w16cid:durableId="1834836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5014"/>
    <w:rsid w:val="0004149C"/>
    <w:rsid w:val="00080235"/>
    <w:rsid w:val="000F19CF"/>
    <w:rsid w:val="0016458B"/>
    <w:rsid w:val="00166FE2"/>
    <w:rsid w:val="00185014"/>
    <w:rsid w:val="00186851"/>
    <w:rsid w:val="001E07A1"/>
    <w:rsid w:val="0024539D"/>
    <w:rsid w:val="0027711E"/>
    <w:rsid w:val="002848A5"/>
    <w:rsid w:val="002B6E4B"/>
    <w:rsid w:val="00304778"/>
    <w:rsid w:val="00367A6C"/>
    <w:rsid w:val="00376296"/>
    <w:rsid w:val="003B19A4"/>
    <w:rsid w:val="003C688C"/>
    <w:rsid w:val="003C6D2E"/>
    <w:rsid w:val="00437441"/>
    <w:rsid w:val="004447D7"/>
    <w:rsid w:val="00446CAE"/>
    <w:rsid w:val="004B00DC"/>
    <w:rsid w:val="004E3E4D"/>
    <w:rsid w:val="00513B3B"/>
    <w:rsid w:val="00556F03"/>
    <w:rsid w:val="0056342B"/>
    <w:rsid w:val="005A4B12"/>
    <w:rsid w:val="005B2D4B"/>
    <w:rsid w:val="005D52DD"/>
    <w:rsid w:val="005F7F3D"/>
    <w:rsid w:val="0060170C"/>
    <w:rsid w:val="006377B3"/>
    <w:rsid w:val="00650E46"/>
    <w:rsid w:val="00661B13"/>
    <w:rsid w:val="0067628D"/>
    <w:rsid w:val="006E1EDA"/>
    <w:rsid w:val="00730DA2"/>
    <w:rsid w:val="007313DD"/>
    <w:rsid w:val="007A0134"/>
    <w:rsid w:val="007E545E"/>
    <w:rsid w:val="00805FD0"/>
    <w:rsid w:val="008070F0"/>
    <w:rsid w:val="00866C13"/>
    <w:rsid w:val="008B7309"/>
    <w:rsid w:val="008D0E39"/>
    <w:rsid w:val="0093020C"/>
    <w:rsid w:val="00952B82"/>
    <w:rsid w:val="00963C95"/>
    <w:rsid w:val="00A32713"/>
    <w:rsid w:val="00A44C74"/>
    <w:rsid w:val="00A93DC1"/>
    <w:rsid w:val="00A97293"/>
    <w:rsid w:val="00AA7066"/>
    <w:rsid w:val="00AB46D1"/>
    <w:rsid w:val="00AC11E7"/>
    <w:rsid w:val="00AE024E"/>
    <w:rsid w:val="00B53465"/>
    <w:rsid w:val="00B91738"/>
    <w:rsid w:val="00BD6C19"/>
    <w:rsid w:val="00C07972"/>
    <w:rsid w:val="00C21AFD"/>
    <w:rsid w:val="00C317DD"/>
    <w:rsid w:val="00C31FD2"/>
    <w:rsid w:val="00C618D2"/>
    <w:rsid w:val="00C624C0"/>
    <w:rsid w:val="00C70BF9"/>
    <w:rsid w:val="00CB00B1"/>
    <w:rsid w:val="00CE56D4"/>
    <w:rsid w:val="00D030DB"/>
    <w:rsid w:val="00D14FF8"/>
    <w:rsid w:val="00D51887"/>
    <w:rsid w:val="00D621A2"/>
    <w:rsid w:val="00D70FA5"/>
    <w:rsid w:val="00D7132D"/>
    <w:rsid w:val="00D8216D"/>
    <w:rsid w:val="00E171EE"/>
    <w:rsid w:val="00E44479"/>
    <w:rsid w:val="00E447EA"/>
    <w:rsid w:val="00E72BF6"/>
    <w:rsid w:val="00E7526D"/>
    <w:rsid w:val="00EA5A42"/>
    <w:rsid w:val="00EB33BF"/>
    <w:rsid w:val="00F12CC7"/>
    <w:rsid w:val="00F26F33"/>
    <w:rsid w:val="00F32064"/>
    <w:rsid w:val="00F364BC"/>
    <w:rsid w:val="00FD10F9"/>
    <w:rsid w:val="00FE4C44"/>
    <w:rsid w:val="00FE7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B5DE"/>
  <w15:docId w15:val="{3B13C399-9F9A-4AC5-B8AA-D6F204167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2DD"/>
    <w:pPr>
      <w:spacing w:line="360" w:lineRule="auto"/>
      <w:jc w:val="both"/>
    </w:pPr>
    <w:rPr>
      <w:rFonts w:ascii="Arial" w:hAnsi="Arial"/>
    </w:rPr>
  </w:style>
  <w:style w:type="paragraph" w:styleId="Heading1">
    <w:name w:val="heading 1"/>
    <w:basedOn w:val="Normal"/>
    <w:next w:val="Normal"/>
    <w:link w:val="Heading1Char"/>
    <w:uiPriority w:val="9"/>
    <w:qFormat/>
    <w:rsid w:val="00C31FD2"/>
    <w:pPr>
      <w:keepNext/>
      <w:keepLines/>
      <w:spacing w:before="120" w:after="0"/>
      <w:jc w:val="left"/>
      <w:outlineLvl w:val="0"/>
    </w:pPr>
    <w:rPr>
      <w:rFonts w:eastAsiaTheme="majorEastAsia" w:cstheme="majorBidi"/>
      <w:b/>
      <w:sz w:val="32"/>
      <w:szCs w:val="32"/>
    </w:rPr>
  </w:style>
  <w:style w:type="paragraph" w:styleId="Heading2">
    <w:name w:val="heading 2"/>
    <w:basedOn w:val="Normal"/>
    <w:next w:val="NoSpacing"/>
    <w:link w:val="Heading2Char"/>
    <w:autoRedefine/>
    <w:uiPriority w:val="9"/>
    <w:unhideWhenUsed/>
    <w:qFormat/>
    <w:rsid w:val="00963C95"/>
    <w:pPr>
      <w:keepNext/>
      <w:keepLines/>
      <w:spacing w:before="200" w:after="60"/>
      <w:outlineLvl w:val="1"/>
    </w:pPr>
    <w:rPr>
      <w:rFonts w:eastAsia="Times New Roman" w:cstheme="majorBidi"/>
      <w:b/>
      <w:sz w:val="26"/>
    </w:rPr>
  </w:style>
  <w:style w:type="paragraph" w:styleId="Heading3">
    <w:name w:val="heading 3"/>
    <w:basedOn w:val="Normal"/>
    <w:next w:val="Normal"/>
    <w:link w:val="Heading3Char"/>
    <w:uiPriority w:val="9"/>
    <w:unhideWhenUsed/>
    <w:qFormat/>
    <w:rsid w:val="00C31FD2"/>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FD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63C95"/>
    <w:rPr>
      <w:rFonts w:ascii="Times New Roman" w:eastAsia="Times New Roman" w:hAnsi="Times New Roman" w:cstheme="majorBidi"/>
      <w:b/>
      <w:sz w:val="26"/>
    </w:rPr>
  </w:style>
  <w:style w:type="character" w:customStyle="1" w:styleId="Heading3Char">
    <w:name w:val="Heading 3 Char"/>
    <w:basedOn w:val="DefaultParagraphFont"/>
    <w:link w:val="Heading3"/>
    <w:uiPriority w:val="9"/>
    <w:rsid w:val="00C31FD2"/>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56342B"/>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6342B"/>
    <w:rPr>
      <w:rFonts w:ascii="Arial" w:eastAsiaTheme="majorEastAsia" w:hAnsi="Arial" w:cstheme="majorBidi"/>
      <w:b/>
      <w:spacing w:val="-10"/>
      <w:kern w:val="28"/>
      <w:sz w:val="56"/>
      <w:szCs w:val="56"/>
    </w:rPr>
  </w:style>
  <w:style w:type="paragraph" w:styleId="NoSpacing">
    <w:name w:val="No Spacing"/>
    <w:uiPriority w:val="1"/>
    <w:qFormat/>
    <w:rsid w:val="00F364BC"/>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A32713"/>
    <w:pPr>
      <w:spacing w:before="240" w:line="259" w:lineRule="auto"/>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245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39D"/>
    <w:rPr>
      <w:rFonts w:ascii="Times New Roman" w:hAnsi="Times New Roman"/>
      <w:sz w:val="24"/>
    </w:rPr>
  </w:style>
  <w:style w:type="paragraph" w:styleId="Footer">
    <w:name w:val="footer"/>
    <w:basedOn w:val="Normal"/>
    <w:link w:val="FooterChar"/>
    <w:uiPriority w:val="99"/>
    <w:unhideWhenUsed/>
    <w:rsid w:val="00245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39D"/>
    <w:rPr>
      <w:rFonts w:ascii="Times New Roman" w:hAnsi="Times New Roman"/>
      <w:sz w:val="24"/>
    </w:rPr>
  </w:style>
  <w:style w:type="paragraph" w:styleId="TOC1">
    <w:name w:val="toc 1"/>
    <w:basedOn w:val="Normal"/>
    <w:next w:val="Normal"/>
    <w:autoRedefine/>
    <w:uiPriority w:val="39"/>
    <w:unhideWhenUsed/>
    <w:rsid w:val="008070F0"/>
    <w:pPr>
      <w:spacing w:after="100"/>
    </w:pPr>
  </w:style>
  <w:style w:type="paragraph" w:styleId="TOC2">
    <w:name w:val="toc 2"/>
    <w:basedOn w:val="Normal"/>
    <w:next w:val="Normal"/>
    <w:autoRedefine/>
    <w:uiPriority w:val="39"/>
    <w:unhideWhenUsed/>
    <w:rsid w:val="008070F0"/>
    <w:pPr>
      <w:spacing w:after="100"/>
      <w:ind w:left="240"/>
    </w:pPr>
  </w:style>
  <w:style w:type="character" w:styleId="Hyperlink">
    <w:name w:val="Hyperlink"/>
    <w:basedOn w:val="DefaultParagraphFont"/>
    <w:uiPriority w:val="99"/>
    <w:unhideWhenUsed/>
    <w:rsid w:val="008070F0"/>
    <w:rPr>
      <w:color w:val="0563C1" w:themeColor="hyperlink"/>
      <w:u w:val="single"/>
    </w:rPr>
  </w:style>
  <w:style w:type="paragraph" w:styleId="NormalWeb">
    <w:name w:val="Normal (Web)"/>
    <w:basedOn w:val="Normal"/>
    <w:uiPriority w:val="99"/>
    <w:semiHidden/>
    <w:unhideWhenUsed/>
    <w:rsid w:val="00E447E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44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995917">
      <w:bodyDiv w:val="1"/>
      <w:marLeft w:val="0"/>
      <w:marRight w:val="0"/>
      <w:marTop w:val="0"/>
      <w:marBottom w:val="0"/>
      <w:divBdr>
        <w:top w:val="none" w:sz="0" w:space="0" w:color="auto"/>
        <w:left w:val="none" w:sz="0" w:space="0" w:color="auto"/>
        <w:bottom w:val="none" w:sz="0" w:space="0" w:color="auto"/>
        <w:right w:val="none" w:sz="0" w:space="0" w:color="auto"/>
      </w:divBdr>
    </w:div>
    <w:div w:id="2023622292">
      <w:bodyDiv w:val="1"/>
      <w:marLeft w:val="0"/>
      <w:marRight w:val="0"/>
      <w:marTop w:val="0"/>
      <w:marBottom w:val="0"/>
      <w:divBdr>
        <w:top w:val="none" w:sz="0" w:space="0" w:color="auto"/>
        <w:left w:val="none" w:sz="0" w:space="0" w:color="auto"/>
        <w:bottom w:val="none" w:sz="0" w:space="0" w:color="auto"/>
        <w:right w:val="none" w:sz="0" w:space="0" w:color="auto"/>
      </w:divBdr>
    </w:div>
    <w:div w:id="2127656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52390912_Employee_Turnover_Causes_Importance_and_Retention_Strategies" TargetMode="External"/><Relationship Id="rId18" Type="http://schemas.openxmlformats.org/officeDocument/2006/relationships/hyperlink" Target="https://www.globaldata.com/store/report/j-sainsbury-plc-enterprise-tech-analysis/" TargetMode="External"/><Relationship Id="rId26" Type="http://schemas.openxmlformats.org/officeDocument/2006/relationships/hyperlink" Target="https://www.vbeyond.com/blog/internal-mobility-upskilling-retention-strategy-in-a-skills-scarce-world/" TargetMode="External"/><Relationship Id="rId3" Type="http://schemas.openxmlformats.org/officeDocument/2006/relationships/styles" Target="styles.xml"/><Relationship Id="rId21" Type="http://schemas.openxmlformats.org/officeDocument/2006/relationships/hyperlink" Target="https://www.england.nhs.uk/long-read/nhs-equality-diversity-and-inclusion-improvement-plan/"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allup.com/workplace/285674/improve-employee-engagement-workplace.aspx" TargetMode="External"/><Relationship Id="rId25" Type="http://schemas.openxmlformats.org/officeDocument/2006/relationships/hyperlink" Target="https://doi.org/10.3390/systems13020134" TargetMode="External"/><Relationship Id="rId2" Type="http://schemas.openxmlformats.org/officeDocument/2006/relationships/numbering" Target="numbering.xml"/><Relationship Id="rId16" Type="http://schemas.openxmlformats.org/officeDocument/2006/relationships/hyperlink" Target="https://www.mckinsey.com/featured-insights/diversity-and-inclusion/diversity-wins-how-inclusion-matters" TargetMode="External"/><Relationship Id="rId20" Type="http://schemas.openxmlformats.org/officeDocument/2006/relationships/hyperlink" Target="https://corporate.sainsburys.co.uk/media/tyxkubai/j-sainsbury-plc-preliminary-results-2324-factsheet.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36941/ajis-2022-0037" TargetMode="External"/><Relationship Id="rId5" Type="http://schemas.openxmlformats.org/officeDocument/2006/relationships/webSettings" Target="webSettings.xml"/><Relationship Id="rId15" Type="http://schemas.openxmlformats.org/officeDocument/2006/relationships/hyperlink" Target="https://doi.org/10.20525/ijrbs.v14i6.4276" TargetMode="External"/><Relationship Id="rId23" Type="http://schemas.openxmlformats.org/officeDocument/2006/relationships/hyperlink" Target="https://doi.org/10.38035/sijet.v1i2.57" TargetMode="External"/><Relationship Id="rId28"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www.gov.uk/government/publications/how-to-improve-gender-equality-in-the-workplace-actions-for-employers/how-to-improve-gender-equality-in-the-workplace-actions-for-employer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cipd.org/globalassets/media/knowledge/knowledge-hub/evidence-reviews/employee-engagement-scientific-summary-1_tcm18-89565.pdf" TargetMode="External"/><Relationship Id="rId22" Type="http://schemas.openxmlformats.org/officeDocument/2006/relationships/hyperlink" Target="https://doi.org/10.1080/09593960500119416" TargetMode="External"/><Relationship Id="rId27" Type="http://schemas.openxmlformats.org/officeDocument/2006/relationships/hyperlink" Target="https://doi.org/10.3390/encyclopedia503014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EC57F-0EA0-4204-8346-B39BC43CB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3335</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 Elena Lacatus (2410249)</cp:lastModifiedBy>
  <cp:revision>2</cp:revision>
  <dcterms:created xsi:type="dcterms:W3CDTF">2025-12-05T05:33:00Z</dcterms:created>
  <dcterms:modified xsi:type="dcterms:W3CDTF">2026-03-01T10:06:00Z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849f80eb-2799-4a73-8322-e4645c18c15b</vt:lpwstr>
  </property>
</Properties>
</file>