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A622E27" w14:textId="2E41DF1A" w:rsidR="00DF2F27" w:rsidRDefault="00DF2F27" w:rsidP="00184CB0">
      <w:pPr>
        <w:spacing w:after="240"/>
        <w:jc w:val="center"/>
        <w:rPr>
          <w:b/>
          <w:bCs/>
          <w:u w:val="single"/>
        </w:rPr>
      </w:pPr>
      <w:r>
        <w:rPr>
          <w:b/>
          <w:bCs/>
          <w:u w:val="single"/>
        </w:rPr>
        <w:t>Towards an understanding of Chinese tourists dining choice on holiday: An application of Berry’s Four-Fold Model of Acculturation</w:t>
      </w:r>
    </w:p>
    <w:p w14:paraId="57859EA7" w14:textId="76458D3C" w:rsidR="00822158" w:rsidRDefault="00822158" w:rsidP="00C445D2">
      <w:pPr>
        <w:spacing w:after="240"/>
      </w:pPr>
      <w:r>
        <w:t>In this essay I aim to understand the applicability of Berry’s four-fold model of acculturation</w:t>
      </w:r>
      <w:r w:rsidR="00307F31">
        <w:t xml:space="preserve"> and how culture shock can be understood, in reference to</w:t>
      </w:r>
      <w:r w:rsidR="00812F25">
        <w:t xml:space="preserve"> Chinese</w:t>
      </w:r>
      <w:r w:rsidR="00307F31">
        <w:t xml:space="preserve"> tourists</w:t>
      </w:r>
      <w:r w:rsidR="00812F25">
        <w:t xml:space="preserve"> in Australia.</w:t>
      </w:r>
      <w:r w:rsidR="00307F31">
        <w:t xml:space="preserve"> </w:t>
      </w:r>
      <w:r w:rsidR="00812F25">
        <w:t>This will be understood through the</w:t>
      </w:r>
      <w:r w:rsidR="00307F31">
        <w:t xml:space="preserve"> food they choose to eat when on holiday</w:t>
      </w:r>
      <w:r w:rsidR="00812F25">
        <w:t xml:space="preserve"> and where they choose to eat on holiday in Australia</w:t>
      </w:r>
      <w:r w:rsidR="00307F31">
        <w:t xml:space="preserve">. I will first attempt to outline the definitions of culture and tourists that I will be using within my essay. From there I will explain the </w:t>
      </w:r>
      <w:r w:rsidR="00722BE2">
        <w:t xml:space="preserve">sample I have chosen to work with in order to apply and understand Berry’s model of acculturation. </w:t>
      </w:r>
      <w:r w:rsidR="00A23887">
        <w:t xml:space="preserve">Next I will refer to culture shock and some of Furnham’s (2019) work in reference to the sample I have chosen. I will then quickly move on to </w:t>
      </w:r>
      <w:r w:rsidR="005D275C">
        <w:t xml:space="preserve">provide a definition for acculturation as well as definitions for the typologies involved whilst applying them to Chang’s </w:t>
      </w:r>
      <w:r w:rsidR="001340F4">
        <w:t xml:space="preserve">(2010) study. I will then review and critically analyse </w:t>
      </w:r>
      <w:r w:rsidR="00536CE8">
        <w:t>Berry’s</w:t>
      </w:r>
      <w:r w:rsidR="001340F4">
        <w:t xml:space="preserve"> four-fold model and conclude its effectiveness in application towards Chang’s study and whether this could be further improved upon.</w:t>
      </w:r>
    </w:p>
    <w:p w14:paraId="0091EEC9" w14:textId="77777777" w:rsidR="007E13C2" w:rsidRPr="007E13C2" w:rsidRDefault="007E13C2" w:rsidP="00C445D2">
      <w:pPr>
        <w:spacing w:after="240"/>
        <w:rPr>
          <w:u w:val="single"/>
        </w:rPr>
      </w:pPr>
      <w:r>
        <w:rPr>
          <w:u w:val="single"/>
        </w:rPr>
        <w:t>Towards a Definition of Culture and of Tourists</w:t>
      </w:r>
    </w:p>
    <w:p w14:paraId="79824844" w14:textId="77777777" w:rsidR="00C847F3" w:rsidRDefault="00CE7067" w:rsidP="00C445D2">
      <w:pPr>
        <w:spacing w:after="240"/>
      </w:pPr>
      <w:r>
        <w:t>For the purpose of this essay it is imperative that I explain what definition of culture</w:t>
      </w:r>
      <w:r w:rsidR="007E13C2">
        <w:t xml:space="preserve"> and what definition of tourism</w:t>
      </w:r>
      <w:r>
        <w:t xml:space="preserve"> I intend to use when describing food culture. </w:t>
      </w:r>
      <w:r w:rsidR="00C445D2">
        <w:t>I will be drawing from Blumenthal’s definition, as it must be applicable and able to incorporate the culture of food. His definition is as follows, “culture is a complex (necessarily a complicated one) (1) in which a group (usually a large one) of human beings give expression to their major cultural activities” (Blumenthal, 1940:583). Food culture is an expressive cultural activity, from the harvesting of ingredients, to the production of food right down to the way people eat and the what they choose to eat. These factors and food culture itself is usually understood to have “a geographical area in which it predominates” (Blumenthal, 1940:583). So a location in the world in which that production of food, that consumption of food originates and is mostly present, its local.</w:t>
      </w:r>
      <w:r w:rsidR="007E13C2">
        <w:t xml:space="preserve"> Tourism can be understood simply that the act of being a tourist “should involve various sensescapes” (Quan, 2003:303).</w:t>
      </w:r>
      <w:r w:rsidR="009326B8">
        <w:t xml:space="preserve"> Tourism is understood through the explorations of one’s senses and surroundings, through the smells, tastes and many sensory experiences. Sensory ethnographies are important narratives for Anthropologists to understand and explore another culture (Pink, 2015).</w:t>
      </w:r>
    </w:p>
    <w:p w14:paraId="161B6233" w14:textId="77777777" w:rsidR="00C445D2" w:rsidRDefault="00585AB5">
      <w:r>
        <w:t>Finally, before delving into this essay it is important to highlight why I felt as though food culture was an important area to look at when exploring Berry’s acculturation model and understanding culture shock. The answer to that is rather simple, “food is an essential aspect in understanding the culture of a society, and an important medium for cultural expression”</w:t>
      </w:r>
      <w:r w:rsidR="00B36FFA">
        <w:t xml:space="preserve"> (Chang, 989:2010)</w:t>
      </w:r>
      <w:r>
        <w:t>. It is an important means to understand cultural norms and values within a dining experience. And tourists experience that for a brief moment. They face a cultural shock and have to decide whether they adjust to this new culture for a brief period of time or stick to what they know and are used to.</w:t>
      </w:r>
    </w:p>
    <w:p w14:paraId="33930988" w14:textId="77777777" w:rsidR="0000040D" w:rsidRPr="0000040D" w:rsidRDefault="0000040D">
      <w:pPr>
        <w:rPr>
          <w:u w:val="single"/>
        </w:rPr>
      </w:pPr>
      <w:r w:rsidRPr="0000040D">
        <w:rPr>
          <w:u w:val="single"/>
        </w:rPr>
        <w:t>Chinese Tourists in Australia</w:t>
      </w:r>
    </w:p>
    <w:p w14:paraId="2AE1796E" w14:textId="77777777" w:rsidR="00AC6F0A" w:rsidRDefault="00AC6F0A">
      <w:r>
        <w:t xml:space="preserve">Chang conducted a study back in 2010, aiming to find out where Chinese tourists would choose to dine and consume their food and what kind of food they would choose to eat when on holiday in other countries, specifically in Australia. By utilising qualitative research methods involving participant observations and interviews with Chinese tourist in which he received feedback such as </w:t>
      </w:r>
    </w:p>
    <w:p w14:paraId="26FC2E54" w14:textId="77777777" w:rsidR="00AC6F0A" w:rsidRDefault="00AC6F0A" w:rsidP="005D51C8">
      <w:pPr>
        <w:spacing w:before="240" w:after="240"/>
        <w:ind w:left="567" w:right="567"/>
      </w:pPr>
      <w:r>
        <w:lastRenderedPageBreak/>
        <w:t>““… I won’t miss the chance to try it [Australian local food] out… but soon, I’ll miss Chinese food again. It’s a long trip. How could I eat local food every day? I’ll definitely be drawn back to my original dietary habit (sic…)”” (Chang, 997:2010).</w:t>
      </w:r>
    </w:p>
    <w:p w14:paraId="338A1D4A" w14:textId="751725D4" w:rsidR="00AC6F0A" w:rsidRDefault="00AC6F0A" w:rsidP="005175EF">
      <w:pPr>
        <w:tabs>
          <w:tab w:val="left" w:pos="8080"/>
        </w:tabs>
        <w:ind w:right="946"/>
      </w:pPr>
      <w:r>
        <w:t xml:space="preserve">Thus it is possible to conclude from this information that Chinese tourist, although drawn to the local cuisine of their holiday location, specifically Australia. They will eventually be drawn back to their own </w:t>
      </w:r>
      <w:r w:rsidR="005175EF">
        <w:t>cultures’</w:t>
      </w:r>
      <w:r>
        <w:t xml:space="preserve"> food, due to how comforting and used to the food</w:t>
      </w:r>
      <w:r w:rsidR="005175EF">
        <w:t xml:space="preserve"> and the style of eating that they are. Therefore Chang’s research has revealed “that Chinese food culture exerted significant influence on the dining behaviors of the Chinese participants, supporting that cultural influence is a key determinant affecting tourist food preferences.” (Chang, 1008:2010).</w:t>
      </w:r>
      <w:r w:rsidR="00B93055">
        <w:t xml:space="preserve"> And that, although Chinese tourists would be willing to try the local Australian foods, they would eventually fall back into habit of wanting to consume their own cultural </w:t>
      </w:r>
      <w:r w:rsidR="00EF7ACC">
        <w:t>foods or attempt to eat something</w:t>
      </w:r>
      <w:r w:rsidR="00B93055">
        <w:t xml:space="preserve"> as close to their original cuisine as they could possibly get.</w:t>
      </w:r>
    </w:p>
    <w:p w14:paraId="14133552" w14:textId="07E427BE" w:rsidR="00F90697" w:rsidRDefault="00A045CB" w:rsidP="005175EF">
      <w:pPr>
        <w:tabs>
          <w:tab w:val="left" w:pos="8080"/>
        </w:tabs>
        <w:ind w:right="946"/>
        <w:rPr>
          <w:u w:val="single"/>
        </w:rPr>
      </w:pPr>
      <w:r>
        <w:rPr>
          <w:u w:val="single"/>
        </w:rPr>
        <w:t xml:space="preserve">The Effects of </w:t>
      </w:r>
      <w:r w:rsidR="00F90697">
        <w:rPr>
          <w:u w:val="single"/>
        </w:rPr>
        <w:t>Culture Shock</w:t>
      </w:r>
    </w:p>
    <w:p w14:paraId="516CC716" w14:textId="0E0BF076" w:rsidR="00112797" w:rsidRPr="00F90697" w:rsidRDefault="00716285" w:rsidP="005175EF">
      <w:pPr>
        <w:tabs>
          <w:tab w:val="left" w:pos="8080"/>
        </w:tabs>
        <w:ind w:right="946"/>
      </w:pPr>
      <w:r>
        <w:t xml:space="preserve">Although I may be focusing on Berry’s </w:t>
      </w:r>
      <w:r w:rsidR="006F4898">
        <w:t>four-fold</w:t>
      </w:r>
      <w:r>
        <w:t xml:space="preserve"> model of acculturation in this essay, I believe it is still important to </w:t>
      </w:r>
      <w:r w:rsidR="00B029B4">
        <w:t>give a nod to the effects that culture shock may have on an individual that is involved with a new dominant culture</w:t>
      </w:r>
      <w:r w:rsidR="002B6787">
        <w:t>. Culture shock</w:t>
      </w:r>
      <w:r w:rsidR="00F82D63">
        <w:t xml:space="preserve">, which is term </w:t>
      </w:r>
      <w:r w:rsidR="00440E31">
        <w:t>that Dutton (2011) has found to date back to even before Oberg’s (1966) study, back as far as 1929</w:t>
      </w:r>
      <w:r w:rsidR="0027480A">
        <w:t xml:space="preserve">. It was originally understood to have described the experience immigrants had when immigrating from one place to the next, culture shock was even comparable to that of shell shock at the time. However, it was Oberg </w:t>
      </w:r>
      <w:r w:rsidR="000766E5">
        <w:t xml:space="preserve">(1966) that first </w:t>
      </w:r>
      <w:r w:rsidR="002C0B5B">
        <w:t xml:space="preserve">made the decision to delve deeper into the concept and </w:t>
      </w:r>
      <w:r w:rsidR="002B19AC">
        <w:t xml:space="preserve">defined </w:t>
      </w:r>
      <w:r w:rsidR="00D5307D">
        <w:t>what we perceive as</w:t>
      </w:r>
      <w:r w:rsidR="002C0B5B">
        <w:t xml:space="preserve"> culture shock today.</w:t>
      </w:r>
      <w:r w:rsidR="00673408">
        <w:t xml:space="preserve"> Oberg states that “culture shock is precipitated by the anxiety that results from losing all our familiar signs and symbols of social intercourse.” (Oberg, 1966:179).</w:t>
      </w:r>
      <w:r w:rsidR="00112797">
        <w:t xml:space="preserve"> Furnham himself has stated that “Most people even experience some sort of culture shock when they go on holiday.” (Furnham, 2019:1833).</w:t>
      </w:r>
      <w:r w:rsidR="00D53750">
        <w:t xml:space="preserve"> This affect of culture shock may influence the way they feel causing feelings of homesickness</w:t>
      </w:r>
      <w:r w:rsidR="0058391C">
        <w:t xml:space="preserve"> (Wierzback, 1988). Therefore this may lead to the way in which they interact with their individual culture and the dominant culture</w:t>
      </w:r>
      <w:r w:rsidR="002558FC">
        <w:t xml:space="preserve">. Even still, every </w:t>
      </w:r>
      <w:r w:rsidR="00057EF5">
        <w:t>individual’s</w:t>
      </w:r>
      <w:r w:rsidR="002558FC">
        <w:t xml:space="preserve"> </w:t>
      </w:r>
      <w:r w:rsidR="001A7C49">
        <w:t xml:space="preserve">interaction with culture shock differs, for example some may </w:t>
      </w:r>
      <w:r w:rsidR="002558FC">
        <w:t>“attempt to minimize contact with the locals/natives, others revel in the prospect of eating new food at different times of day” (Furnham, 2019:1833).</w:t>
      </w:r>
      <w:r w:rsidR="00057EF5">
        <w:t xml:space="preserve"> Overall culture shock, although not the focus of topic in this discussion, it may have an affect on the way an individual is involved with dominant cultures on holiday. This is dependent upon demographic factor</w:t>
      </w:r>
      <w:r w:rsidR="00713100">
        <w:t>s and that “the more they travel the less the shock” (Furnham, 2019:1833).</w:t>
      </w:r>
    </w:p>
    <w:p w14:paraId="55DD0CC7" w14:textId="54F42386" w:rsidR="00163207" w:rsidRPr="00163207" w:rsidRDefault="00163207" w:rsidP="005175EF">
      <w:pPr>
        <w:tabs>
          <w:tab w:val="left" w:pos="8080"/>
        </w:tabs>
        <w:ind w:right="946"/>
      </w:pPr>
      <w:r>
        <w:rPr>
          <w:u w:val="single"/>
        </w:rPr>
        <w:t>Applying Acculturation Theory</w:t>
      </w:r>
    </w:p>
    <w:p w14:paraId="54927261" w14:textId="4E0D5E0C" w:rsidR="0000040D" w:rsidRDefault="00713100" w:rsidP="005175EF">
      <w:pPr>
        <w:tabs>
          <w:tab w:val="left" w:pos="8080"/>
        </w:tabs>
        <w:ind w:right="946"/>
      </w:pPr>
      <w:r>
        <w:t xml:space="preserve">Moving on from culture shock, </w:t>
      </w:r>
      <w:r w:rsidR="0000040D">
        <w:t xml:space="preserve">if we were to apply this to </w:t>
      </w:r>
      <w:r w:rsidR="00BF6E31">
        <w:t xml:space="preserve">what is understood as psychological </w:t>
      </w:r>
      <w:r w:rsidR="00264587">
        <w:t>acculturation,</w:t>
      </w:r>
      <w:r w:rsidR="00BF6E31">
        <w:t xml:space="preserve"> we might be able to explore an understanding of what phenomenon happens when people traverse cultures.</w:t>
      </w:r>
      <w:r w:rsidR="001844B4">
        <w:t xml:space="preserve"> In this essay </w:t>
      </w:r>
      <w:r w:rsidR="00264587">
        <w:t>I will</w:t>
      </w:r>
      <w:r w:rsidR="001844B4">
        <w:t xml:space="preserve"> be using Berry’s </w:t>
      </w:r>
      <w:r w:rsidR="00D72593">
        <w:t>four-fold</w:t>
      </w:r>
      <w:r w:rsidR="00085BDF">
        <w:t xml:space="preserve"> </w:t>
      </w:r>
      <w:r w:rsidR="001844B4">
        <w:t>model of acculturation</w:t>
      </w:r>
      <w:r w:rsidR="00264587">
        <w:t>.</w:t>
      </w:r>
      <w:r w:rsidR="001844B4">
        <w:t xml:space="preserve"> </w:t>
      </w:r>
      <w:r w:rsidR="00264587">
        <w:t>H</w:t>
      </w:r>
      <w:r w:rsidR="001844B4">
        <w:t>owever before expanding on his understanding of acculturation</w:t>
      </w:r>
      <w:r w:rsidR="00E401D0">
        <w:t xml:space="preserve"> it is </w:t>
      </w:r>
      <w:r w:rsidR="00264587">
        <w:t>important,</w:t>
      </w:r>
      <w:r w:rsidR="00E401D0">
        <w:t xml:space="preserve"> I give a nod to Grave</w:t>
      </w:r>
      <w:r w:rsidR="00264587">
        <w:t>s’</w:t>
      </w:r>
      <w:r w:rsidR="00601DA8">
        <w:t xml:space="preserve"> (1967)</w:t>
      </w:r>
      <w:r w:rsidR="00264587">
        <w:t xml:space="preserve"> work, in which he introduced an understanding of psychological acculturation. </w:t>
      </w:r>
      <w:r w:rsidR="00ED6ED9">
        <w:t>He understood this as something that</w:t>
      </w:r>
      <w:r w:rsidR="00A961AE">
        <w:t xml:space="preserve"> infers changes in an individual who participates in a culture contact </w:t>
      </w:r>
      <w:r w:rsidR="00C706FE">
        <w:t>which in turn affects their individual culture through the external culture that they are experiencing</w:t>
      </w:r>
      <w:r w:rsidR="00601DA8">
        <w:t>.</w:t>
      </w:r>
      <w:r w:rsidR="00FF2253">
        <w:t xml:space="preserve"> But it is </w:t>
      </w:r>
      <w:r w:rsidR="00FF2253">
        <w:lastRenderedPageBreak/>
        <w:t xml:space="preserve">important that we delve deeper into an understanding of acculturation, using a more modern understanding, henceforth </w:t>
      </w:r>
      <w:r w:rsidR="003D38CC">
        <w:t>I will be, as previously stated, using Berry’s</w:t>
      </w:r>
      <w:r w:rsidR="00C40EC3">
        <w:t xml:space="preserve"> definition.</w:t>
      </w:r>
      <w:r w:rsidR="00E74A00">
        <w:t xml:space="preserve"> </w:t>
      </w:r>
      <w:r w:rsidR="0000040D">
        <w:t xml:space="preserve">Berry’s </w:t>
      </w:r>
      <w:r w:rsidR="00D72593">
        <w:t>four-fold</w:t>
      </w:r>
      <w:r w:rsidR="00085BDF">
        <w:t xml:space="preserve"> </w:t>
      </w:r>
      <w:r w:rsidR="0000040D">
        <w:t>model of acculturation being understood as “the dual process of cultural and psychological change that takes place as a result of contact between two or more cultural groups and their individual members.” (Berry, 698:2005).</w:t>
      </w:r>
      <w:r w:rsidR="00960E71">
        <w:t xml:space="preserve"> We could interpret the results from Chang’s research to fit into 1 of 3 categories, of Berry’s </w:t>
      </w:r>
      <w:r w:rsidR="00D72593">
        <w:t>four-fold</w:t>
      </w:r>
      <w:r w:rsidR="00085BDF">
        <w:t xml:space="preserve"> </w:t>
      </w:r>
      <w:r w:rsidR="00960E71">
        <w:t>model of acculturation, dependent on how you address and examine the results of the research.</w:t>
      </w:r>
      <w:r w:rsidR="00FB11D5">
        <w:t xml:space="preserve"> But regardless of which category we find the tourists to fit into</w:t>
      </w:r>
      <w:r w:rsidR="00AF2259">
        <w:t>, through this definition It can be found that, “</w:t>
      </w:r>
      <w:r w:rsidR="009A5B92">
        <w:t>acculturation is seen</w:t>
      </w:r>
      <w:r w:rsidR="004361F0">
        <w:t xml:space="preserve"> as one aspect of the broader concept of culture change (that which results from intercultural contact) and is considered to generate change in “either or both groups”” (Berry, 2005:701)</w:t>
      </w:r>
    </w:p>
    <w:p w14:paraId="20039D09" w14:textId="732B27DD" w:rsidR="00957064" w:rsidRDefault="00957064" w:rsidP="005175EF">
      <w:pPr>
        <w:tabs>
          <w:tab w:val="left" w:pos="8080"/>
        </w:tabs>
        <w:ind w:right="946"/>
      </w:pPr>
      <w:r>
        <w:t>First, we could assume that</w:t>
      </w:r>
      <w:r w:rsidR="00470263">
        <w:t xml:space="preserve"> since the Chinese tour</w:t>
      </w:r>
      <w:r w:rsidR="0074041E">
        <w:t>ists</w:t>
      </w:r>
      <w:r w:rsidR="007A0EE8">
        <w:t xml:space="preserve"> chose to begin eating at the local Australian restaurants and consuming Australian food on their holiday that they chose to assimilate within the culture they </w:t>
      </w:r>
      <w:r w:rsidR="0066740E">
        <w:t xml:space="preserve">have chosen to surround themselves with. </w:t>
      </w:r>
      <w:r w:rsidR="007C28AE">
        <w:t>Assimilation by definition is written by Berry to be, “When individuals do not wish to maintain their cultural identity and seek daily interaction with other cultures” (Berry, 1997:9).</w:t>
      </w:r>
      <w:r w:rsidR="000375B7">
        <w:t xml:space="preserve"> In this instance</w:t>
      </w:r>
      <w:r w:rsidR="00D84AD5">
        <w:t xml:space="preserve"> </w:t>
      </w:r>
      <w:r w:rsidR="00597601">
        <w:t>the Chinese tourists have made the decision to no longer consume</w:t>
      </w:r>
      <w:r w:rsidR="00E91006">
        <w:t xml:space="preserve"> their own food and in turn no longer consume food in the way they used to through their learned table etiquette</w:t>
      </w:r>
      <w:r w:rsidR="00344205">
        <w:t xml:space="preserve"> dispersing from their original culture</w:t>
      </w:r>
      <w:r w:rsidR="00E91006">
        <w:t>. Instead, they have chosen to eat the local food</w:t>
      </w:r>
      <w:r w:rsidR="005D2ABC">
        <w:t xml:space="preserve"> </w:t>
      </w:r>
      <w:r w:rsidR="00BF7890">
        <w:t>and in turn use the same table mannerisms as a means to enrich their cultural experience</w:t>
      </w:r>
      <w:r w:rsidR="00344205">
        <w:t xml:space="preserve"> and endorse the external culture.</w:t>
      </w:r>
    </w:p>
    <w:p w14:paraId="0D7F79F7" w14:textId="3430297B" w:rsidR="00845A15" w:rsidRDefault="00F3083E" w:rsidP="005175EF">
      <w:pPr>
        <w:tabs>
          <w:tab w:val="left" w:pos="8080"/>
        </w:tabs>
        <w:ind w:right="946"/>
      </w:pPr>
      <w:r>
        <w:t>However</w:t>
      </w:r>
      <w:r w:rsidR="003C33F4">
        <w:t>,</w:t>
      </w:r>
      <w:r w:rsidR="00175FA9">
        <w:t xml:space="preserve"> </w:t>
      </w:r>
      <w:r w:rsidR="005C27AA">
        <w:t>as previously stated,</w:t>
      </w:r>
      <w:r w:rsidR="006369F8">
        <w:t xml:space="preserve"> overtime</w:t>
      </w:r>
      <w:r w:rsidR="005C27AA">
        <w:t xml:space="preserve"> the study shows that Chinese tourists chose to begin eating in Chinese restaurants.</w:t>
      </w:r>
      <w:r w:rsidR="00C724AC">
        <w:t xml:space="preserve"> Therefore, they are no longer found to be assimilating rather it could be argued that</w:t>
      </w:r>
      <w:r w:rsidR="00344205">
        <w:t xml:space="preserve"> they have separated from the external culture. This is understood through Berry as, “when individuals place a value on holding on to their original culture, and at the same time wish to avoid interaction with others” (Berry, 1997:9).</w:t>
      </w:r>
      <w:r w:rsidR="006E673E">
        <w:t xml:space="preserve"> The Chinese tourists have chosen to separate from the external culture, choosing not to eat the local foods anymore and no longer follow the food cultural norms and values. Rather, instead they seek to pursue their original cultures food cultural norms and values, by means of finding Chinese restaurants that serve food they know from home</w:t>
      </w:r>
      <w:r w:rsidR="00845A15">
        <w:t xml:space="preserve"> in the way that they know. This could be due to the fact that they long for home and miss the culture that they know, understand and are able to embrace best. In a sense this is a form of homesickness.</w:t>
      </w:r>
      <w:r w:rsidR="00ED500A">
        <w:t xml:space="preserve"> J</w:t>
      </w:r>
      <w:r w:rsidR="00E00F26">
        <w:t>ust as other culture’s have their own words and own ways of expressing home sickness so too do Chinese tourists, through their cultural food experiences (Wierzbick, 1988).</w:t>
      </w:r>
    </w:p>
    <w:p w14:paraId="6A245B00" w14:textId="3AE54B6D" w:rsidR="00EE6CD2" w:rsidRDefault="00EE6CD2" w:rsidP="005175EF">
      <w:pPr>
        <w:tabs>
          <w:tab w:val="left" w:pos="8080"/>
        </w:tabs>
        <w:ind w:right="946"/>
      </w:pPr>
      <w:r>
        <w:t xml:space="preserve">It is understood that either one of these methods can lead to </w:t>
      </w:r>
      <w:r w:rsidR="00537B33">
        <w:t xml:space="preserve">increased psychological distress whereas, onto the final mode of acculturation </w:t>
      </w:r>
      <w:r w:rsidR="00845C25">
        <w:t>I will</w:t>
      </w:r>
      <w:r w:rsidR="00537B33">
        <w:t xml:space="preserve"> be talking about, integration, it has shown that it can lead to less psychological dist</w:t>
      </w:r>
      <w:r w:rsidR="00745AC7">
        <w:t xml:space="preserve">ress being experienced by individuals. </w:t>
      </w:r>
      <w:r w:rsidR="00745AC7" w:rsidRPr="00AE2D4F">
        <w:t>(</w:t>
      </w:r>
      <w:r w:rsidR="00F55883" w:rsidRPr="00AE2D4F">
        <w:t>L</w:t>
      </w:r>
      <w:r w:rsidR="003F1BFD" w:rsidRPr="00AE2D4F">
        <w:t>ópez, 2005).</w:t>
      </w:r>
      <w:r w:rsidR="00B67D8F">
        <w:t xml:space="preserve"> And increased levels of self esteem in the environments </w:t>
      </w:r>
      <w:r w:rsidR="00AE2D4F">
        <w:t>they are</w:t>
      </w:r>
      <w:r w:rsidR="00B67D8F">
        <w:t xml:space="preserve"> currently in (Berry, 2005).</w:t>
      </w:r>
    </w:p>
    <w:p w14:paraId="05671995" w14:textId="55657C9E" w:rsidR="003467B9" w:rsidRDefault="00737972" w:rsidP="005175EF">
      <w:pPr>
        <w:tabs>
          <w:tab w:val="left" w:pos="8080"/>
        </w:tabs>
        <w:ind w:right="946"/>
      </w:pPr>
      <w:r>
        <w:t xml:space="preserve">Nevertheless, there is one final way to analyse Chang’s study and apply it to Berry’s </w:t>
      </w:r>
      <w:r w:rsidR="00085BDF">
        <w:t xml:space="preserve">four-fold </w:t>
      </w:r>
      <w:r>
        <w:t>model of acculturation.</w:t>
      </w:r>
      <w:r w:rsidR="005C4EA4">
        <w:t xml:space="preserve"> </w:t>
      </w:r>
      <w:r w:rsidR="00EE65AC">
        <w:t xml:space="preserve">This is through Berry’s understanding of what is </w:t>
      </w:r>
      <w:r w:rsidR="00886800">
        <w:t>known</w:t>
      </w:r>
      <w:r w:rsidR="00EE65AC">
        <w:t xml:space="preserve"> as Integration</w:t>
      </w:r>
      <w:r w:rsidR="00886800">
        <w:t xml:space="preserve"> as mentioned earlier.</w:t>
      </w:r>
      <w:r w:rsidR="00EE65AC">
        <w:t xml:space="preserve"> </w:t>
      </w:r>
      <w:r w:rsidR="00886800">
        <w:t>Integration</w:t>
      </w:r>
      <w:r w:rsidR="00EE65AC">
        <w:t xml:space="preserve"> being</w:t>
      </w:r>
    </w:p>
    <w:p w14:paraId="18FC6A71" w14:textId="5F4D2299" w:rsidR="00F00E5C" w:rsidRDefault="00EE65AC" w:rsidP="005D51C8">
      <w:pPr>
        <w:tabs>
          <w:tab w:val="left" w:pos="8080"/>
        </w:tabs>
        <w:spacing w:before="240" w:after="240"/>
        <w:ind w:left="567" w:right="567"/>
      </w:pPr>
      <w:r>
        <w:lastRenderedPageBreak/>
        <w:t>“When there is an interest in both maintaining one’s original culture, while in daily interactions with other groups</w:t>
      </w:r>
      <w:r w:rsidR="000F0216">
        <w:t>, Integration is the option; here, there is some degree of cultural integrity maintained, while at the same time seeking to participate</w:t>
      </w:r>
      <w:r w:rsidR="004627B1">
        <w:t xml:space="preserve"> as an integral part of the larger social network.” (Berry, 1997:9).</w:t>
      </w:r>
    </w:p>
    <w:p w14:paraId="39908C4A" w14:textId="123A3015" w:rsidR="008773F8" w:rsidRDefault="005D51C8" w:rsidP="005175EF">
      <w:pPr>
        <w:tabs>
          <w:tab w:val="left" w:pos="8080"/>
        </w:tabs>
        <w:ind w:right="946"/>
      </w:pPr>
      <w:r>
        <w:t>Although,</w:t>
      </w:r>
      <w:r w:rsidR="00DA3668">
        <w:t xml:space="preserve"> integration can also be understood as biculturalism, termed by Schwartz and Zamboanga (200</w:t>
      </w:r>
      <w:r w:rsidR="009C2EC3">
        <w:t>7</w:t>
      </w:r>
      <w:r w:rsidR="00DA3668">
        <w:t xml:space="preserve">), the definition </w:t>
      </w:r>
      <w:r w:rsidR="00D700CA">
        <w:t>I will</w:t>
      </w:r>
      <w:r w:rsidR="00DA3668">
        <w:t xml:space="preserve"> be focusing on is Berry’s. </w:t>
      </w:r>
      <w:r w:rsidR="00ED250F">
        <w:t xml:space="preserve">The Chinese tourists may be applicable to have traversed from </w:t>
      </w:r>
      <w:r w:rsidR="007429C1">
        <w:t xml:space="preserve">assimilating into the external Australian food culture, to separating as a means to </w:t>
      </w:r>
      <w:r w:rsidR="00054486">
        <w:t>reduce the homesickness from their own culture.</w:t>
      </w:r>
      <w:r w:rsidR="00C863EA">
        <w:t xml:space="preserve"> Yet, since being a tourist means being surrounded by an external culture for a short frame of time it can be argued that they integrated. </w:t>
      </w:r>
      <w:r w:rsidR="00BA535F">
        <w:t>By embracing and experiencing both food cultures at different times they found a balance between the external culture and their own individual culture as a means to enrich their tourist experience.</w:t>
      </w:r>
      <w:r w:rsidR="00450CEE">
        <w:t xml:space="preserve"> </w:t>
      </w:r>
      <w:r w:rsidR="003C0155">
        <w:t>But</w:t>
      </w:r>
      <w:r w:rsidR="00450CEE">
        <w:t xml:space="preserve"> there is difficulty in attempting to </w:t>
      </w:r>
      <w:r w:rsidR="003C0155">
        <w:t xml:space="preserve">use acculturation to define all forms of culture, such as food culture, due to types of food being consumed one at a time. For example, you </w:t>
      </w:r>
      <w:r w:rsidR="008773F8">
        <w:t>would not</w:t>
      </w:r>
      <w:r w:rsidR="003C0155">
        <w:t xml:space="preserve"> consume an Indian curry alongside Welsh brand ice cream.</w:t>
      </w:r>
      <w:r w:rsidR="009F1C80">
        <w:t xml:space="preserve"> And food itself as an important cultural aspect to look at, as through Hjalagar and Richards (2002) work</w:t>
      </w:r>
      <w:r w:rsidR="00C51A1B">
        <w:t xml:space="preserve"> there is understanding that consuming and tasting local cuisine of tourist destinations is seen as an important aspect of the tourist experience. This can provide enriching insight into cultural activity as well as a means for enjoyment on holiday.</w:t>
      </w:r>
      <w:r w:rsidR="00B46631">
        <w:t xml:space="preserve"> Therefore looking at food culture is imperative to understanding culture, but Berry’s model is limited in its applicability toward this end.</w:t>
      </w:r>
    </w:p>
    <w:p w14:paraId="5D5344FB" w14:textId="2F636D6D" w:rsidR="007264AC" w:rsidRPr="007264AC" w:rsidRDefault="007264AC" w:rsidP="005175EF">
      <w:pPr>
        <w:tabs>
          <w:tab w:val="left" w:pos="8080"/>
        </w:tabs>
        <w:ind w:right="946"/>
        <w:rPr>
          <w:u w:val="single"/>
        </w:rPr>
      </w:pPr>
      <w:r>
        <w:rPr>
          <w:u w:val="single"/>
        </w:rPr>
        <w:t xml:space="preserve">A review of Berry’s </w:t>
      </w:r>
      <w:r w:rsidR="00D72593">
        <w:rPr>
          <w:u w:val="single"/>
        </w:rPr>
        <w:t>Four-fold</w:t>
      </w:r>
      <w:r>
        <w:rPr>
          <w:u w:val="single"/>
        </w:rPr>
        <w:t xml:space="preserve"> Acculturation model</w:t>
      </w:r>
    </w:p>
    <w:p w14:paraId="22EAEF81" w14:textId="03D3CD27" w:rsidR="00B46631" w:rsidRDefault="00FD4709" w:rsidP="005175EF">
      <w:pPr>
        <w:tabs>
          <w:tab w:val="left" w:pos="8080"/>
        </w:tabs>
        <w:ind w:right="946"/>
      </w:pPr>
      <w:r>
        <w:t xml:space="preserve">Before going into the limitations of Berry’s model of acculturation </w:t>
      </w:r>
      <w:r w:rsidR="006058A2">
        <w:t>it is important to highlight the fact that it does have its uses.</w:t>
      </w:r>
      <w:r w:rsidR="00032DA5">
        <w:t xml:space="preserve"> It is a fantastic model to be used as means to begin understanding the affects of acculture, as proven through its applicability</w:t>
      </w:r>
      <w:r w:rsidR="00BA1DA6">
        <w:t xml:space="preserve"> in Fox’s study (2013)</w:t>
      </w:r>
      <w:r w:rsidR="00A542B2">
        <w:t xml:space="preserve"> that they were able to find three of the four hypothesized typologies</w:t>
      </w:r>
      <w:r w:rsidR="00860B36">
        <w:t>.</w:t>
      </w:r>
      <w:r w:rsidR="0036502E">
        <w:t xml:space="preserve"> It also helps in aiding to define and find ways in which people apply themselves to the “Other” Culture</w:t>
      </w:r>
      <w:r w:rsidR="00813CE9">
        <w:t xml:space="preserve"> (Todorov,</w:t>
      </w:r>
      <w:r w:rsidR="00D668B8">
        <w:t xml:space="preserve"> 1996).</w:t>
      </w:r>
    </w:p>
    <w:p w14:paraId="6F720936" w14:textId="2D12F0E6" w:rsidR="00D655BA" w:rsidRDefault="00D655BA" w:rsidP="005175EF">
      <w:pPr>
        <w:tabs>
          <w:tab w:val="left" w:pos="8080"/>
        </w:tabs>
        <w:ind w:right="946"/>
      </w:pPr>
      <w:r>
        <w:t>In contrast to this</w:t>
      </w:r>
      <w:r w:rsidR="00B955F3">
        <w:t xml:space="preserve"> Schwartz and Zamboanga </w:t>
      </w:r>
      <w:r w:rsidR="00BA6F22">
        <w:t xml:space="preserve">(2008) as mentioned previously, shows that a sample of </w:t>
      </w:r>
      <w:r w:rsidR="00676B8F">
        <w:t>acculturation may not provide or extract all of the variants involved within Berry’s model of acculturation. This can be concluded to suggest that “not all of Berry’s categories may exist in a given sample or population and that some categories may have multiple subtypes</w:t>
      </w:r>
      <w:r w:rsidR="00C27537">
        <w:t>” (</w:t>
      </w:r>
      <w:r w:rsidR="00DD562A">
        <w:t>Schwartz, 2010:4)</w:t>
      </w:r>
      <w:r w:rsidR="00241D04">
        <w:t xml:space="preserve">. This presents the possibility that some of the categories involved may not be present in any </w:t>
      </w:r>
      <w:r w:rsidR="00E34A5C">
        <w:t>given culture and there may be more unseen categories yet to be classified.</w:t>
      </w:r>
      <w:r w:rsidR="00514B2E">
        <w:t xml:space="preserve"> </w:t>
      </w:r>
      <w:r w:rsidR="00465212">
        <w:t xml:space="preserve">Even Rudmin wrote about how “the International Association for Cross-Cultural Psychology hosted a conference symposium” (Rudmin, </w:t>
      </w:r>
      <w:r w:rsidR="00D7493E">
        <w:t>2003:</w:t>
      </w:r>
      <w:r w:rsidR="00465212">
        <w:t>4)</w:t>
      </w:r>
      <w:r w:rsidR="00BF7AF2">
        <w:t xml:space="preserve">. </w:t>
      </w:r>
      <w:r w:rsidR="00332710">
        <w:t xml:space="preserve">Critiquing Berry’s model for </w:t>
      </w:r>
      <w:r w:rsidR="001934AB">
        <w:t>its</w:t>
      </w:r>
      <w:r w:rsidR="00332710">
        <w:t xml:space="preserve"> ineffectiveness in exploring and</w:t>
      </w:r>
      <w:r w:rsidR="001934AB">
        <w:t xml:space="preserve"> expanding upon the differences between groups and individuals. Although It may give insight into</w:t>
      </w:r>
      <w:r w:rsidR="00584B1B">
        <w:t xml:space="preserve"> what happens when an individual goes on holiday such as the Chinese tourist and how they adapt to the dominant culture, it does not explain why</w:t>
      </w:r>
      <w:r w:rsidR="0030568B">
        <w:t xml:space="preserve"> and what occurs in detail when this happens. This therefore aligns with my previous point, that Berry’s model of acculturation </w:t>
      </w:r>
      <w:r w:rsidR="00C258C4">
        <w:t>is a fantastic start into looking at acculturation, but it lacks in providing an in-depth analysis of what goes on.</w:t>
      </w:r>
      <w:r w:rsidR="00D25FF0">
        <w:t xml:space="preserve"> Finally it </w:t>
      </w:r>
      <w:r w:rsidR="00A46DBE">
        <w:t>does not</w:t>
      </w:r>
      <w:r w:rsidR="00D25FF0">
        <w:t xml:space="preserve"> take into consideration individuals that exist outside of the four categories</w:t>
      </w:r>
      <w:r w:rsidR="002F59CE">
        <w:t xml:space="preserve">. For example what If one of the Chinese tourists were to reject the dominant cultures food (Australian food), as well as their own cultures food and instead went to an Italian restaurant. This in itself would align closely to what </w:t>
      </w:r>
      <w:r w:rsidR="002F59CE">
        <w:lastRenderedPageBreak/>
        <w:t>Berry understands as Marginalisation, “</w:t>
      </w:r>
      <w:r w:rsidR="003A4E7D">
        <w:t>when there is little possibility or interest in cultural maintenance (often for reasons of enforced cultural loss), and little interest in havin</w:t>
      </w:r>
      <w:r w:rsidR="00536CE8">
        <w:t>g</w:t>
      </w:r>
      <w:r w:rsidR="003A4E7D">
        <w:t xml:space="preserve"> relations with others (often for reasons of exclusion or discrimination).” (Berry, 1997:9). Yet, it would not explain why they would have chosen a third culture altogether, or </w:t>
      </w:r>
      <w:r w:rsidR="007264AC">
        <w:t>even still provide a category for an individual to fit into to further allow this model to work.</w:t>
      </w:r>
    </w:p>
    <w:p w14:paraId="04C2D06B" w14:textId="1E5E46B5" w:rsidR="004C1E63" w:rsidRDefault="004C1E63" w:rsidP="005175EF">
      <w:pPr>
        <w:tabs>
          <w:tab w:val="left" w:pos="8080"/>
        </w:tabs>
        <w:ind w:right="946"/>
        <w:rPr>
          <w:u w:val="single"/>
        </w:rPr>
      </w:pPr>
      <w:r>
        <w:rPr>
          <w:u w:val="single"/>
        </w:rPr>
        <w:t>Conclusion</w:t>
      </w:r>
    </w:p>
    <w:p w14:paraId="21CB44C1" w14:textId="31DBF6F3" w:rsidR="004C1E63" w:rsidRPr="004C1E63" w:rsidRDefault="00FB49E8" w:rsidP="005175EF">
      <w:pPr>
        <w:tabs>
          <w:tab w:val="left" w:pos="8080"/>
        </w:tabs>
        <w:ind w:right="946"/>
      </w:pPr>
      <w:r>
        <w:t>In conclusion</w:t>
      </w:r>
      <w:r w:rsidR="007D0856">
        <w:t xml:space="preserve"> I would further argue that </w:t>
      </w:r>
      <w:r w:rsidR="00EB7AAE">
        <w:t>Berry’s model of acculturation is useful and applicable to the sample I chose of Chinese tourists</w:t>
      </w:r>
      <w:r w:rsidR="008674C4">
        <w:t>, by portraying what happens to the tourists when their individual culture and the dominant culture collide. However, as stated earlier</w:t>
      </w:r>
      <w:r w:rsidR="00E31F61">
        <w:t xml:space="preserve"> through Rudmi</w:t>
      </w:r>
      <w:r w:rsidR="006407D9">
        <w:t>ns report (2003)</w:t>
      </w:r>
      <w:r w:rsidR="00A43BA0">
        <w:t xml:space="preserve"> the fourfold model is limited in how much qualitative data it can produce. There may be correlations and interesting quantitative data to be extracted from studies and samples</w:t>
      </w:r>
      <w:r w:rsidR="00A942A6">
        <w:t xml:space="preserve"> however, it </w:t>
      </w:r>
      <w:r w:rsidR="009F7BE8">
        <w:t>does not</w:t>
      </w:r>
      <w:r w:rsidR="00A942A6">
        <w:t xml:space="preserve"> provide enough analysis</w:t>
      </w:r>
      <w:r w:rsidR="009F7BE8">
        <w:t xml:space="preserve">. There is no way </w:t>
      </w:r>
      <w:r w:rsidR="00FA783E">
        <w:t>for</w:t>
      </w:r>
      <w:r w:rsidR="006F66F3">
        <w:t xml:space="preserve"> this</w:t>
      </w:r>
      <w:r w:rsidR="009F7BE8">
        <w:t xml:space="preserve"> model to</w:t>
      </w:r>
      <w:r w:rsidR="006F66F3">
        <w:t xml:space="preserve"> be used to</w:t>
      </w:r>
      <w:r w:rsidR="009F7BE8">
        <w:t xml:space="preserve"> further describe and analyse why individuals fit into and act the way they do in each category. Therefore, I conclude that whilst it was useful in analysing the ways in which Chinese tourists</w:t>
      </w:r>
      <w:r w:rsidR="00853151">
        <w:t xml:space="preserve"> approach food whilst on holiday, it </w:t>
      </w:r>
      <w:r w:rsidR="007264AC">
        <w:t>does not</w:t>
      </w:r>
      <w:r w:rsidR="00853151">
        <w:t xml:space="preserve"> allow for further exploration or understanding in the choices they make.</w:t>
      </w:r>
      <w:r w:rsidR="008E4002">
        <w:t xml:space="preserve"> As well as the fact that it does</w:t>
      </w:r>
      <w:r w:rsidR="00A0639A">
        <w:t xml:space="preserve"> no</w:t>
      </w:r>
      <w:r w:rsidR="008E4002">
        <w:t>t allow for categori</w:t>
      </w:r>
      <w:r w:rsidR="00A0639A">
        <w:t xml:space="preserve">sation of individuals who mix between categories and </w:t>
      </w:r>
      <w:r w:rsidR="00713100">
        <w:t>do not</w:t>
      </w:r>
      <w:r w:rsidR="00A0639A">
        <w:t xml:space="preserve"> particularly stay mobile or within the </w:t>
      </w:r>
      <w:r w:rsidR="00713100">
        <w:t>clear-cut</w:t>
      </w:r>
      <w:r w:rsidR="00A0639A">
        <w:t xml:space="preserve"> definitions outlined.</w:t>
      </w:r>
      <w:r w:rsidR="00713100">
        <w:t xml:space="preserve"> Nor does it </w:t>
      </w:r>
      <w:r w:rsidR="00A20610">
        <w:t>seem to approach an understanding o</w:t>
      </w:r>
      <w:bookmarkStart w:id="0" w:name="_GoBack"/>
      <w:bookmarkEnd w:id="0"/>
      <w:r w:rsidR="00A20610">
        <w:t>f what happens when involved with cultures alien to the individuals own cultures,</w:t>
      </w:r>
      <w:r w:rsidR="007A39B8">
        <w:t xml:space="preserve"> unlike culture shock.</w:t>
      </w:r>
    </w:p>
    <w:p w14:paraId="113ACC8E" w14:textId="77777777" w:rsidR="00C445D2" w:rsidRDefault="00C445D2" w:rsidP="00C445D2">
      <w:pPr>
        <w:jc w:val="center"/>
        <w:rPr>
          <w:b/>
          <w:bCs/>
          <w:u w:val="single"/>
        </w:rPr>
      </w:pPr>
      <w:r w:rsidRPr="00C445D2">
        <w:rPr>
          <w:b/>
          <w:bCs/>
          <w:u w:val="single"/>
        </w:rPr>
        <w:t>References</w:t>
      </w:r>
    </w:p>
    <w:p w14:paraId="42117B07" w14:textId="2D12B1A1" w:rsidR="004D1FF8" w:rsidRDefault="004D1FF8">
      <w:r>
        <w:t>Berry. J.W, (1997). ‘Immigration,</w:t>
      </w:r>
      <w:r w:rsidR="00713FB5">
        <w:t xml:space="preserve"> </w:t>
      </w:r>
      <w:r>
        <w:t xml:space="preserve">Acculturation, and Adaptation’, </w:t>
      </w:r>
      <w:r w:rsidRPr="002D5478">
        <w:rPr>
          <w:i/>
          <w:iCs/>
        </w:rPr>
        <w:t>International Associate of Applied Psychology</w:t>
      </w:r>
      <w:r w:rsidR="00713FB5">
        <w:t xml:space="preserve">. Vol: 46(1). Pp. 5-34. Accessed: 02/03/2020. (Available at: </w:t>
      </w:r>
      <w:hyperlink r:id="rId7" w:history="1">
        <w:r w:rsidR="00CD7FD8" w:rsidRPr="00A560B6">
          <w:rPr>
            <w:rStyle w:val="Hyperlink"/>
          </w:rPr>
          <w:t>http://www.ucd.ie/mcri/resources/Dermot%20Ryan%20Reading.pdf</w:t>
        </w:r>
      </w:hyperlink>
      <w:r w:rsidR="00CD7FD8">
        <w:t>)</w:t>
      </w:r>
    </w:p>
    <w:p w14:paraId="17C62AD8" w14:textId="1FB01B3B" w:rsidR="0000040D" w:rsidRDefault="0000040D">
      <w:r>
        <w:t xml:space="preserve">Berry. J.W, (2005), ‘Acculturation: Living successfully in two cultures’ </w:t>
      </w:r>
      <w:r w:rsidRPr="0000040D">
        <w:rPr>
          <w:i/>
          <w:iCs/>
        </w:rPr>
        <w:t>International Journal of Intercultural Relations</w:t>
      </w:r>
      <w:r>
        <w:t>. Vol: 29. Pp. 697-712. Accessed: 02/03/2020. (DOI: 10.1016/j.ijintrel.2005.07.013).</w:t>
      </w:r>
    </w:p>
    <w:p w14:paraId="28667058" w14:textId="77777777" w:rsidR="00C847F3" w:rsidRDefault="00C445D2">
      <w:r>
        <w:t xml:space="preserve">Blumenthal. A, (1940). ‘A New Definition of Culture’ </w:t>
      </w:r>
      <w:r w:rsidRPr="007E13C2">
        <w:rPr>
          <w:i/>
          <w:iCs/>
        </w:rPr>
        <w:t>American Anthropologist</w:t>
      </w:r>
      <w:r>
        <w:t>. Vol: 42(4). Pp. 571-586. Accessed: 03/03/2020. (Available at:</w:t>
      </w:r>
      <w:r w:rsidRPr="00C445D2">
        <w:t xml:space="preserve"> </w:t>
      </w:r>
      <w:hyperlink r:id="rId8" w:history="1">
        <w:r w:rsidRPr="00A560B6">
          <w:rPr>
            <w:rStyle w:val="Hyperlink"/>
          </w:rPr>
          <w:t>https://www.jstor.org/stable/pdf/663653.pdf?ab_segments=0%2Fbasic_SYC-5055%2Ftest&amp;refreqid=search%3Aa5cc2c5f5c13dd36387c871f3e2f8f00</w:t>
        </w:r>
      </w:hyperlink>
      <w:r>
        <w:t>)</w:t>
      </w:r>
    </w:p>
    <w:p w14:paraId="7CF0AB91" w14:textId="1D253F5B" w:rsidR="00B36FFA" w:rsidRDefault="00B36FFA">
      <w:r>
        <w:t xml:space="preserve">Chang. R.C.Y, Kivela. J and </w:t>
      </w:r>
      <w:proofErr w:type="spellStart"/>
      <w:r>
        <w:t>Mak</w:t>
      </w:r>
      <w:proofErr w:type="spellEnd"/>
      <w:r>
        <w:t xml:space="preserve">. A.H.N, (2010). ‘Food preferences of Chinese Tourists’, </w:t>
      </w:r>
      <w:r w:rsidRPr="0000040D">
        <w:rPr>
          <w:i/>
          <w:iCs/>
        </w:rPr>
        <w:t>Annals of Tourism Research</w:t>
      </w:r>
      <w:r>
        <w:t>. Vol: 37(4). Pp. 989-1011. Accessed: 02/03/2020. (DOI: 10.1016/</w:t>
      </w:r>
      <w:proofErr w:type="spellStart"/>
      <w:r>
        <w:t>j.annals</w:t>
      </w:r>
      <w:proofErr w:type="spellEnd"/>
      <w:r>
        <w:t>/2010/03/007)</w:t>
      </w:r>
      <w:r w:rsidR="00542AC8">
        <w:t>.</w:t>
      </w:r>
    </w:p>
    <w:p w14:paraId="38FC4406" w14:textId="6CC4F37E" w:rsidR="00542AC8" w:rsidRDefault="00542AC8">
      <w:r>
        <w:t>Dutton. E, (2011). ‘The Significance of British Columbia to the Origins of the concept of “Culture Shock”’. BC Studies</w:t>
      </w:r>
      <w:r w:rsidR="00095CC8">
        <w:t>. Vol: 171. Pp. 111-129. Accessed: 02/03/2020. (DOI: 10.14288/</w:t>
      </w:r>
      <w:proofErr w:type="gramStart"/>
      <w:r w:rsidR="00095CC8">
        <w:t>bcs.</w:t>
      </w:r>
      <w:r w:rsidR="0092121A">
        <w:t>v</w:t>
      </w:r>
      <w:proofErr w:type="gramEnd"/>
      <w:r w:rsidR="0092121A">
        <w:t>0i171.1987</w:t>
      </w:r>
      <w:r w:rsidR="00D94435">
        <w:t>).</w:t>
      </w:r>
    </w:p>
    <w:p w14:paraId="534BC2F3" w14:textId="273DE98A" w:rsidR="00045573" w:rsidRDefault="00EA7B70">
      <w:r>
        <w:t>Fox</w:t>
      </w:r>
      <w:r w:rsidR="00851DBA">
        <w:t>, R.S, Merz</w:t>
      </w:r>
      <w:r w:rsidR="00914CE7">
        <w:t>. E.L, Sol</w:t>
      </w:r>
      <w:r w:rsidR="002E0C53" w:rsidRPr="002E0C53">
        <w:t>ó</w:t>
      </w:r>
      <w:r w:rsidR="002E0C53">
        <w:t xml:space="preserve">rzano, M.T and </w:t>
      </w:r>
      <w:proofErr w:type="spellStart"/>
      <w:r w:rsidR="002E0C53">
        <w:t>Roesch</w:t>
      </w:r>
      <w:proofErr w:type="spellEnd"/>
      <w:r w:rsidR="002E0C53">
        <w:t>, S.C</w:t>
      </w:r>
      <w:r w:rsidR="00992DD9">
        <w:t xml:space="preserve">, (2013). </w:t>
      </w:r>
      <w:r w:rsidR="00992DD9" w:rsidRPr="00CC2348">
        <w:rPr>
          <w:i/>
          <w:iCs/>
        </w:rPr>
        <w:t>Further Examining Berry’s Model: The Applicability of Latent Profile Analysis to Acculturation</w:t>
      </w:r>
      <w:r w:rsidR="00992DD9">
        <w:t xml:space="preserve">, </w:t>
      </w:r>
      <w:r w:rsidR="00155665" w:rsidRPr="00CC2348">
        <w:rPr>
          <w:i/>
          <w:iCs/>
        </w:rPr>
        <w:t>October</w:t>
      </w:r>
      <w:r w:rsidR="00155665">
        <w:t xml:space="preserve">. </w:t>
      </w:r>
      <w:proofErr w:type="spellStart"/>
      <w:r w:rsidR="00155665">
        <w:t>Meas</w:t>
      </w:r>
      <w:proofErr w:type="spellEnd"/>
      <w:r w:rsidR="00155665">
        <w:t xml:space="preserve"> Eval </w:t>
      </w:r>
      <w:proofErr w:type="spellStart"/>
      <w:r w:rsidR="00155665">
        <w:t>Couns</w:t>
      </w:r>
      <w:proofErr w:type="spellEnd"/>
      <w:r w:rsidR="00155665">
        <w:t xml:space="preserve"> Dev. </w:t>
      </w:r>
      <w:r w:rsidR="004D617C">
        <w:t xml:space="preserve">DOI: 10/1177/0748175613497036. </w:t>
      </w:r>
      <w:r w:rsidR="00CC2348">
        <w:t>Location: San Diego State University.</w:t>
      </w:r>
    </w:p>
    <w:p w14:paraId="0D351BD1" w14:textId="21885ED5" w:rsidR="00112797" w:rsidRDefault="00112797">
      <w:r>
        <w:t xml:space="preserve">Furnham. A, (2019). </w:t>
      </w:r>
      <w:r w:rsidR="00D25ACF">
        <w:t>‘Culture Shock: A Review</w:t>
      </w:r>
      <w:r w:rsidR="00A4522D">
        <w:t xml:space="preserve"> of the Literature for Practitioners’. Scientific Research Publishing. Vol: 10. Pp. 1832</w:t>
      </w:r>
      <w:r w:rsidR="009B6E58">
        <w:t>-1855. Accessed: 27/02/2020. (DOI: 10.4236/psych.2019.1013119).</w:t>
      </w:r>
    </w:p>
    <w:p w14:paraId="1677939F" w14:textId="2A4A564E" w:rsidR="00601DA8" w:rsidRDefault="00601DA8">
      <w:r>
        <w:lastRenderedPageBreak/>
        <w:t>Graves. T, (1967). ‘Psychological Acculturation in a tri-ethnic community.’</w:t>
      </w:r>
      <w:r w:rsidR="00ED08B0">
        <w:t xml:space="preserve"> </w:t>
      </w:r>
      <w:r w:rsidR="00ED08B0" w:rsidRPr="002D5478">
        <w:rPr>
          <w:i/>
          <w:iCs/>
        </w:rPr>
        <w:t>South-Western Journal of Anthropology</w:t>
      </w:r>
      <w:r w:rsidR="00ED08B0">
        <w:t>.</w:t>
      </w:r>
      <w:r w:rsidR="00C45AF2">
        <w:t xml:space="preserve"> Vol: 23(4). Pp. 337-350.</w:t>
      </w:r>
      <w:r w:rsidR="00ED08B0">
        <w:t xml:space="preserve"> Accessed: 02/03/2020. (Available at: </w:t>
      </w:r>
      <w:hyperlink r:id="rId9" w:history="1">
        <w:r w:rsidR="002D5478" w:rsidRPr="00A560B6">
          <w:rPr>
            <w:rStyle w:val="Hyperlink"/>
          </w:rPr>
          <w:t>https://www.jstor.org/stable/pdf/3629450.pdf?refreqid=excelsior%3Aa5cde4c357855d4d0339ab6602ed0f0b</w:t>
        </w:r>
      </w:hyperlink>
      <w:r w:rsidR="002D5478">
        <w:t>)</w:t>
      </w:r>
    </w:p>
    <w:p w14:paraId="07D7F8FE" w14:textId="36A85E00" w:rsidR="002C7155" w:rsidRDefault="002C7155">
      <w:proofErr w:type="spellStart"/>
      <w:r>
        <w:t>Hjalagar</w:t>
      </w:r>
      <w:proofErr w:type="spellEnd"/>
      <w:r>
        <w:t xml:space="preserve">. A and Richards. G, (2011). </w:t>
      </w:r>
      <w:r w:rsidRPr="002C7155">
        <w:rPr>
          <w:i/>
          <w:iCs/>
        </w:rPr>
        <w:t>Tourism and Gastronomy</w:t>
      </w:r>
      <w:r>
        <w:t>. London: Routledge.</w:t>
      </w:r>
    </w:p>
    <w:p w14:paraId="742B02FC" w14:textId="772E09A8" w:rsidR="00C25DB2" w:rsidRDefault="00C25DB2">
      <w:r>
        <w:t>L</w:t>
      </w:r>
      <w:r w:rsidRPr="00C25DB2">
        <w:t>ó</w:t>
      </w:r>
      <w:r>
        <w:t>pez, I.R and Contreras, J.M, (2005). ‘The Best of Both Worlds: Biculturality, Acculturation, and Adjustment Among Young Mainland Puerto Rican Mothers</w:t>
      </w:r>
      <w:r w:rsidR="00AF51FA">
        <w:t>’, Journal of Cross-Cultural Psychology. Vol</w:t>
      </w:r>
      <w:r w:rsidR="001E0F02">
        <w:t xml:space="preserve">: 36(2). </w:t>
      </w:r>
      <w:r w:rsidR="004937B7">
        <w:t xml:space="preserve">Pp. 192-208. Accessed: 03/03/2020. (Available at: </w:t>
      </w:r>
      <w:hyperlink r:id="rId10" w:history="1">
        <w:r w:rsidR="00C45AF2" w:rsidRPr="00A560B6">
          <w:rPr>
            <w:rStyle w:val="Hyperlink"/>
          </w:rPr>
          <w:t>https://journals.sagepub.com/doi/pdf/10.1177/0022022104272901</w:t>
        </w:r>
      </w:hyperlink>
      <w:r w:rsidR="00C45AF2">
        <w:t>).</w:t>
      </w:r>
    </w:p>
    <w:p w14:paraId="3C3568DE" w14:textId="6E62F868" w:rsidR="00693CFD" w:rsidRDefault="00693CFD">
      <w:r>
        <w:t xml:space="preserve">Oberg. K, (1966). ‘Culture Shock: Adjustment to New Cultural Environments’. </w:t>
      </w:r>
      <w:r w:rsidRPr="00095CC8">
        <w:rPr>
          <w:i/>
          <w:iCs/>
        </w:rPr>
        <w:t>Practical Anthropology</w:t>
      </w:r>
      <w:r>
        <w:t>. Vol: 7. Pp. 177-182. Accessed: 02/03/2020/ (DOI: 10.1177/009182966000700405).</w:t>
      </w:r>
    </w:p>
    <w:p w14:paraId="37F2E472" w14:textId="77777777" w:rsidR="009326B8" w:rsidRDefault="009326B8">
      <w:r>
        <w:t>Pink. S, (2015)</w:t>
      </w:r>
      <w:r w:rsidR="0000040D">
        <w:t>.</w:t>
      </w:r>
      <w:r>
        <w:t xml:space="preserve"> </w:t>
      </w:r>
      <w:r w:rsidRPr="0000040D">
        <w:rPr>
          <w:i/>
          <w:iCs/>
        </w:rPr>
        <w:t>Doing Sensory Ethnography</w:t>
      </w:r>
      <w:r>
        <w:t>. 2</w:t>
      </w:r>
      <w:r w:rsidRPr="009326B8">
        <w:rPr>
          <w:vertAlign w:val="superscript"/>
        </w:rPr>
        <w:t>nd</w:t>
      </w:r>
      <w:r>
        <w:t xml:space="preserve"> ed. California: SAGE Publications.</w:t>
      </w:r>
    </w:p>
    <w:p w14:paraId="7C32AC2C" w14:textId="06279F95" w:rsidR="007E13C2" w:rsidRDefault="007E13C2">
      <w:r>
        <w:t xml:space="preserve">Quan. S and Wang. N, (2003). ‘Towards a structural model of the tourist experience: an illustration from food experiences in tourism’, </w:t>
      </w:r>
      <w:r w:rsidRPr="0000040D">
        <w:rPr>
          <w:i/>
          <w:iCs/>
        </w:rPr>
        <w:t>Tourism Management</w:t>
      </w:r>
      <w:r>
        <w:t xml:space="preserve">. Vol: 25. Pp. 297-305. Accessed on: 02/03/2020. (Available at: </w:t>
      </w:r>
      <w:hyperlink r:id="rId11" w:history="1">
        <w:r w:rsidRPr="00A560B6">
          <w:rPr>
            <w:rStyle w:val="Hyperlink"/>
          </w:rPr>
          <w:t>https://reader.elsevier.com/reader/sd/pii/S0261517703001304?token=1BBBA591DDC45FE36F1A7040990E75EBD3D13A537126C362490A946D33F09D36036B5B8E6E561FDA461BC6BB606E4B2F</w:t>
        </w:r>
      </w:hyperlink>
      <w:r>
        <w:t>)</w:t>
      </w:r>
    </w:p>
    <w:p w14:paraId="3921CB6E" w14:textId="051D495A" w:rsidR="00BF7AF2" w:rsidRDefault="00BF7AF2">
      <w:proofErr w:type="spellStart"/>
      <w:r>
        <w:t>Rudmin</w:t>
      </w:r>
      <w:proofErr w:type="spellEnd"/>
      <w:r>
        <w:t xml:space="preserve">. F.W, </w:t>
      </w:r>
      <w:r w:rsidR="0069147F">
        <w:t xml:space="preserve">(2003). ‘Critical History of the Acculturation Psychology of Assimilation, Separation, Integration, and Marginalization’ </w:t>
      </w:r>
      <w:r w:rsidR="0069147F" w:rsidRPr="00095CC8">
        <w:rPr>
          <w:i/>
          <w:iCs/>
        </w:rPr>
        <w:t xml:space="preserve">Review of </w:t>
      </w:r>
      <w:r w:rsidR="004050B4" w:rsidRPr="00095CC8">
        <w:rPr>
          <w:i/>
          <w:iCs/>
        </w:rPr>
        <w:t>General Psychology</w:t>
      </w:r>
      <w:r w:rsidR="004050B4">
        <w:t>. Vol: 7(1). Pp. 3-37.</w:t>
      </w:r>
      <w:r w:rsidR="00B14F92">
        <w:t xml:space="preserve"> Accessed: 03/03/2020. (DOI: 10.1037/10</w:t>
      </w:r>
      <w:r w:rsidR="00FF67DB">
        <w:t>89-2680.7.1.3).</w:t>
      </w:r>
    </w:p>
    <w:p w14:paraId="0810DF34" w14:textId="778168F9" w:rsidR="00D668B8" w:rsidRDefault="007035B2">
      <w:r>
        <w:t>Schwartz, S.J, Zamboanga, B.L, Rodriguez, L and Wang, S.C, (2007)</w:t>
      </w:r>
      <w:r w:rsidR="009C2EC3">
        <w:t>. ‘The Structure of Cultural Identity in an Ethnically Diverse Sample of Emerging Adults’</w:t>
      </w:r>
      <w:r w:rsidR="00CC76CB">
        <w:t xml:space="preserve">, </w:t>
      </w:r>
      <w:r w:rsidR="00CC76CB" w:rsidRPr="00860B8A">
        <w:rPr>
          <w:i/>
          <w:iCs/>
        </w:rPr>
        <w:t>Basic and Applied Social Psychology</w:t>
      </w:r>
      <w:r w:rsidR="00CC76CB">
        <w:t>. Vol: 29</w:t>
      </w:r>
      <w:r w:rsidR="00860B8A">
        <w:t>(2).</w:t>
      </w:r>
      <w:r w:rsidR="00167034">
        <w:t xml:space="preserve"> Pp. </w:t>
      </w:r>
      <w:r w:rsidR="004A3195">
        <w:t>275-285.</w:t>
      </w:r>
      <w:r w:rsidR="00860B8A">
        <w:t xml:space="preserve"> Accessed: 03/03/2020. (DOI: 10.1080/01973530701332229).</w:t>
      </w:r>
    </w:p>
    <w:p w14:paraId="3AA51969" w14:textId="2C693ECC" w:rsidR="00B30E6A" w:rsidRDefault="00B30E6A">
      <w:r>
        <w:t>Schwartz. S.J, Unger</w:t>
      </w:r>
      <w:r w:rsidR="00733B8A">
        <w:t xml:space="preserve">. J.B, Zamboanga, B.L and </w:t>
      </w:r>
      <w:proofErr w:type="spellStart"/>
      <w:r w:rsidR="00733B8A">
        <w:t>Szapocznik</w:t>
      </w:r>
      <w:proofErr w:type="spellEnd"/>
      <w:r w:rsidR="00733B8A">
        <w:t>. J</w:t>
      </w:r>
      <w:r w:rsidR="003D132A">
        <w:t>, (2010). ‘Rethinking the Concept of Acculturation’</w:t>
      </w:r>
      <w:r w:rsidR="00C876A7">
        <w:t xml:space="preserve">, </w:t>
      </w:r>
      <w:r w:rsidR="00555A8F">
        <w:t xml:space="preserve">Am Psychol. </w:t>
      </w:r>
      <w:r w:rsidR="00B22571">
        <w:t xml:space="preserve">DOI: 10.1037/a0019330. Location: </w:t>
      </w:r>
      <w:r w:rsidR="00C37BAA">
        <w:t>University of Miami.</w:t>
      </w:r>
    </w:p>
    <w:p w14:paraId="418E9F7C" w14:textId="05BAF420" w:rsidR="00E00F26" w:rsidRDefault="00E00F26">
      <w:proofErr w:type="spellStart"/>
      <w:r>
        <w:t>Wierzbicka</w:t>
      </w:r>
      <w:proofErr w:type="spellEnd"/>
      <w:r>
        <w:t>. A, (1988). ‘Emotions Across Culture: Similarities and Differences’. American Anthropologist. Vol: 90(4). Pp. 982-983. Accessed: 03/03/2020. (</w:t>
      </w:r>
      <w:proofErr w:type="spellStart"/>
      <w:r>
        <w:t>Availale</w:t>
      </w:r>
      <w:proofErr w:type="spellEnd"/>
      <w:r>
        <w:t xml:space="preserve"> at:</w:t>
      </w:r>
      <w:r w:rsidR="00C245C0">
        <w:t xml:space="preserve"> </w:t>
      </w:r>
      <w:hyperlink r:id="rId12" w:history="1">
        <w:r w:rsidR="00C245C0" w:rsidRPr="00A560B6">
          <w:rPr>
            <w:rStyle w:val="Hyperlink"/>
          </w:rPr>
          <w:t>https://www.jstor.org/stable/pdf/680782.pdf?ab_segments=0%2Fbasic_SYC-5055%2Ftest</w:t>
        </w:r>
      </w:hyperlink>
      <w:r w:rsidR="00C245C0">
        <w:t>).</w:t>
      </w:r>
    </w:p>
    <w:p w14:paraId="7034245F" w14:textId="4E179EA1" w:rsidR="005D253B" w:rsidRDefault="005D253B">
      <w:r>
        <w:t xml:space="preserve">Wokler. R, (1996). ‘Todorov’s Otherness’, New Literary History. Vol: 27(1). </w:t>
      </w:r>
      <w:r w:rsidR="00B676BA">
        <w:t>Pp. 43-55.</w:t>
      </w:r>
      <w:r w:rsidR="006B5509">
        <w:t xml:space="preserve"> Accessed: 03/03/2020. (Available at: </w:t>
      </w:r>
      <w:hyperlink r:id="rId13" w:history="1">
        <w:r w:rsidR="006B5509" w:rsidRPr="00A560B6">
          <w:rPr>
            <w:rStyle w:val="Hyperlink"/>
          </w:rPr>
          <w:t>https://www.jstor.org/stable/pdf/20057333.pdf?refreqid=excelsior%3Acf240567fcc896672b82c6b45779f799</w:t>
        </w:r>
      </w:hyperlink>
      <w:r w:rsidR="006B5509">
        <w:t>).</w:t>
      </w:r>
    </w:p>
    <w:sectPr w:rsidR="005D253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4E391" w14:textId="77777777" w:rsidR="006D3E3C" w:rsidRDefault="006D3E3C" w:rsidP="00BE02EA">
      <w:pPr>
        <w:spacing w:after="0" w:line="240" w:lineRule="auto"/>
      </w:pPr>
      <w:r>
        <w:separator/>
      </w:r>
    </w:p>
  </w:endnote>
  <w:endnote w:type="continuationSeparator" w:id="0">
    <w:p w14:paraId="649FCE7B" w14:textId="77777777" w:rsidR="006D3E3C" w:rsidRDefault="006D3E3C" w:rsidP="00BE0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A9994" w14:textId="170A56BE" w:rsidR="00B93EFC" w:rsidRDefault="00B93EFC">
    <w:pPr>
      <w:pStyle w:val="Footer"/>
    </w:pPr>
    <w:r>
      <w:t>By</w:t>
    </w:r>
  </w:p>
  <w:p w14:paraId="7523A030" w14:textId="3F542C1A" w:rsidR="00B93EFC" w:rsidRDefault="00B93EFC">
    <w:pPr>
      <w:pStyle w:val="Footer"/>
    </w:pPr>
    <w:r>
      <w:t>Sam Morgan</w:t>
    </w:r>
  </w:p>
  <w:p w14:paraId="1B2CACFA" w14:textId="37350D15" w:rsidR="00B93EFC" w:rsidRDefault="00B93EFC">
    <w:pPr>
      <w:pStyle w:val="Footer"/>
    </w:pPr>
    <w:r>
      <w:t>1701755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728AF" w14:textId="77777777" w:rsidR="006D3E3C" w:rsidRDefault="006D3E3C" w:rsidP="00BE02EA">
      <w:pPr>
        <w:spacing w:after="0" w:line="240" w:lineRule="auto"/>
      </w:pPr>
      <w:r>
        <w:separator/>
      </w:r>
    </w:p>
  </w:footnote>
  <w:footnote w:type="continuationSeparator" w:id="0">
    <w:p w14:paraId="73927842" w14:textId="77777777" w:rsidR="006D3E3C" w:rsidRDefault="006D3E3C" w:rsidP="00BE02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65E0D" w14:textId="1B544FD0" w:rsidR="00B93EFC" w:rsidRDefault="00B93EFC">
    <w:pPr>
      <w:pStyle w:val="Header"/>
    </w:pPr>
    <w:r>
      <w:t>HPAN5015                                                                                                                              Dr Ann Bevan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067"/>
    <w:rsid w:val="0000040D"/>
    <w:rsid w:val="00032DA5"/>
    <w:rsid w:val="000375B7"/>
    <w:rsid w:val="00045573"/>
    <w:rsid w:val="00054486"/>
    <w:rsid w:val="00057EF5"/>
    <w:rsid w:val="000766E5"/>
    <w:rsid w:val="00085BDF"/>
    <w:rsid w:val="00095CC8"/>
    <w:rsid w:val="000F0216"/>
    <w:rsid w:val="00112797"/>
    <w:rsid w:val="001340F4"/>
    <w:rsid w:val="00155665"/>
    <w:rsid w:val="00163207"/>
    <w:rsid w:val="00167034"/>
    <w:rsid w:val="00175FA9"/>
    <w:rsid w:val="001844B4"/>
    <w:rsid w:val="00184CB0"/>
    <w:rsid w:val="001934AB"/>
    <w:rsid w:val="001A7C49"/>
    <w:rsid w:val="001E0572"/>
    <w:rsid w:val="001E0F02"/>
    <w:rsid w:val="00241D04"/>
    <w:rsid w:val="002558FC"/>
    <w:rsid w:val="00264587"/>
    <w:rsid w:val="0027480A"/>
    <w:rsid w:val="002B19AC"/>
    <w:rsid w:val="002B6787"/>
    <w:rsid w:val="002C0B5B"/>
    <w:rsid w:val="002C7155"/>
    <w:rsid w:val="002D5478"/>
    <w:rsid w:val="002E0C53"/>
    <w:rsid w:val="002F59CE"/>
    <w:rsid w:val="0030568B"/>
    <w:rsid w:val="00307F31"/>
    <w:rsid w:val="00332710"/>
    <w:rsid w:val="00344205"/>
    <w:rsid w:val="003467B9"/>
    <w:rsid w:val="0036502E"/>
    <w:rsid w:val="00395F85"/>
    <w:rsid w:val="003A4E7D"/>
    <w:rsid w:val="003B3DA6"/>
    <w:rsid w:val="003C0155"/>
    <w:rsid w:val="003C33F4"/>
    <w:rsid w:val="003D132A"/>
    <w:rsid w:val="003D38CC"/>
    <w:rsid w:val="003E4708"/>
    <w:rsid w:val="003F1BFD"/>
    <w:rsid w:val="004050B4"/>
    <w:rsid w:val="0041665F"/>
    <w:rsid w:val="0042456C"/>
    <w:rsid w:val="004361F0"/>
    <w:rsid w:val="00440E31"/>
    <w:rsid w:val="00450CEE"/>
    <w:rsid w:val="004627B1"/>
    <w:rsid w:val="00465212"/>
    <w:rsid w:val="00470263"/>
    <w:rsid w:val="004937B7"/>
    <w:rsid w:val="004A3195"/>
    <w:rsid w:val="004C1E63"/>
    <w:rsid w:val="004D1FF8"/>
    <w:rsid w:val="004D617C"/>
    <w:rsid w:val="0050539C"/>
    <w:rsid w:val="00514B2E"/>
    <w:rsid w:val="005175EF"/>
    <w:rsid w:val="00536CE8"/>
    <w:rsid w:val="00537B33"/>
    <w:rsid w:val="00540BB3"/>
    <w:rsid w:val="00542AC8"/>
    <w:rsid w:val="00555A8F"/>
    <w:rsid w:val="0058391C"/>
    <w:rsid w:val="00584B1B"/>
    <w:rsid w:val="00585AB5"/>
    <w:rsid w:val="00597601"/>
    <w:rsid w:val="005A6246"/>
    <w:rsid w:val="005C27AA"/>
    <w:rsid w:val="005C4EA4"/>
    <w:rsid w:val="005D253B"/>
    <w:rsid w:val="005D275C"/>
    <w:rsid w:val="005D2ABC"/>
    <w:rsid w:val="005D51C8"/>
    <w:rsid w:val="005F25DC"/>
    <w:rsid w:val="00601DA8"/>
    <w:rsid w:val="006058A2"/>
    <w:rsid w:val="006369F8"/>
    <w:rsid w:val="006407D9"/>
    <w:rsid w:val="006636B3"/>
    <w:rsid w:val="0066740E"/>
    <w:rsid w:val="00673408"/>
    <w:rsid w:val="00676B8F"/>
    <w:rsid w:val="0069147F"/>
    <w:rsid w:val="00693CFD"/>
    <w:rsid w:val="006B5509"/>
    <w:rsid w:val="006C791C"/>
    <w:rsid w:val="006D375E"/>
    <w:rsid w:val="006D3E3C"/>
    <w:rsid w:val="006E673E"/>
    <w:rsid w:val="006F4898"/>
    <w:rsid w:val="006F66F3"/>
    <w:rsid w:val="007035B2"/>
    <w:rsid w:val="00713100"/>
    <w:rsid w:val="00713FB5"/>
    <w:rsid w:val="00716285"/>
    <w:rsid w:val="007166C6"/>
    <w:rsid w:val="00722BE2"/>
    <w:rsid w:val="007264AC"/>
    <w:rsid w:val="00732B89"/>
    <w:rsid w:val="00733B8A"/>
    <w:rsid w:val="00737972"/>
    <w:rsid w:val="0074041E"/>
    <w:rsid w:val="007429C1"/>
    <w:rsid w:val="00745AC7"/>
    <w:rsid w:val="007A0EE8"/>
    <w:rsid w:val="007A396A"/>
    <w:rsid w:val="007A39B8"/>
    <w:rsid w:val="007C28AE"/>
    <w:rsid w:val="007D0856"/>
    <w:rsid w:val="007E13C2"/>
    <w:rsid w:val="00812F25"/>
    <w:rsid w:val="00813CE9"/>
    <w:rsid w:val="00822158"/>
    <w:rsid w:val="00830AB4"/>
    <w:rsid w:val="00845A15"/>
    <w:rsid w:val="00845C25"/>
    <w:rsid w:val="00851DBA"/>
    <w:rsid w:val="00853151"/>
    <w:rsid w:val="00860B36"/>
    <w:rsid w:val="00860B8A"/>
    <w:rsid w:val="008674C4"/>
    <w:rsid w:val="008773F8"/>
    <w:rsid w:val="00886800"/>
    <w:rsid w:val="008B623B"/>
    <w:rsid w:val="008E4002"/>
    <w:rsid w:val="008F205F"/>
    <w:rsid w:val="00914CE7"/>
    <w:rsid w:val="0092121A"/>
    <w:rsid w:val="009326B8"/>
    <w:rsid w:val="00957064"/>
    <w:rsid w:val="00960E71"/>
    <w:rsid w:val="00992DD9"/>
    <w:rsid w:val="009A5B92"/>
    <w:rsid w:val="009B6E58"/>
    <w:rsid w:val="009C2EC3"/>
    <w:rsid w:val="009F1C80"/>
    <w:rsid w:val="009F7BE8"/>
    <w:rsid w:val="00A045CB"/>
    <w:rsid w:val="00A0639A"/>
    <w:rsid w:val="00A20610"/>
    <w:rsid w:val="00A21497"/>
    <w:rsid w:val="00A23887"/>
    <w:rsid w:val="00A43BA0"/>
    <w:rsid w:val="00A4522D"/>
    <w:rsid w:val="00A46DBE"/>
    <w:rsid w:val="00A542B2"/>
    <w:rsid w:val="00A942A6"/>
    <w:rsid w:val="00A961AE"/>
    <w:rsid w:val="00AC6F0A"/>
    <w:rsid w:val="00AE2D4F"/>
    <w:rsid w:val="00AF2259"/>
    <w:rsid w:val="00AF51FA"/>
    <w:rsid w:val="00B029B4"/>
    <w:rsid w:val="00B14F92"/>
    <w:rsid w:val="00B22571"/>
    <w:rsid w:val="00B30E6A"/>
    <w:rsid w:val="00B36FFA"/>
    <w:rsid w:val="00B46631"/>
    <w:rsid w:val="00B676BA"/>
    <w:rsid w:val="00B67D8F"/>
    <w:rsid w:val="00B755A8"/>
    <w:rsid w:val="00B93055"/>
    <w:rsid w:val="00B93EFC"/>
    <w:rsid w:val="00B955F3"/>
    <w:rsid w:val="00BA1DA6"/>
    <w:rsid w:val="00BA535F"/>
    <w:rsid w:val="00BA6F22"/>
    <w:rsid w:val="00BC7B95"/>
    <w:rsid w:val="00BE02EA"/>
    <w:rsid w:val="00BF6E31"/>
    <w:rsid w:val="00BF7890"/>
    <w:rsid w:val="00BF7AF2"/>
    <w:rsid w:val="00C22CC7"/>
    <w:rsid w:val="00C245C0"/>
    <w:rsid w:val="00C258C4"/>
    <w:rsid w:val="00C25DB2"/>
    <w:rsid w:val="00C27537"/>
    <w:rsid w:val="00C37BAA"/>
    <w:rsid w:val="00C40EC3"/>
    <w:rsid w:val="00C445D2"/>
    <w:rsid w:val="00C45AF2"/>
    <w:rsid w:val="00C51A1B"/>
    <w:rsid w:val="00C706FE"/>
    <w:rsid w:val="00C724AC"/>
    <w:rsid w:val="00C847F3"/>
    <w:rsid w:val="00C863EA"/>
    <w:rsid w:val="00C876A7"/>
    <w:rsid w:val="00CA00EB"/>
    <w:rsid w:val="00CC2348"/>
    <w:rsid w:val="00CC76CB"/>
    <w:rsid w:val="00CD7FD8"/>
    <w:rsid w:val="00CE7067"/>
    <w:rsid w:val="00D16B88"/>
    <w:rsid w:val="00D25ACF"/>
    <w:rsid w:val="00D25FF0"/>
    <w:rsid w:val="00D5294F"/>
    <w:rsid w:val="00D5307D"/>
    <w:rsid w:val="00D53750"/>
    <w:rsid w:val="00D655BA"/>
    <w:rsid w:val="00D668B8"/>
    <w:rsid w:val="00D700CA"/>
    <w:rsid w:val="00D72593"/>
    <w:rsid w:val="00D7493E"/>
    <w:rsid w:val="00D84AD5"/>
    <w:rsid w:val="00D94435"/>
    <w:rsid w:val="00DA3668"/>
    <w:rsid w:val="00DD562A"/>
    <w:rsid w:val="00DF2F27"/>
    <w:rsid w:val="00DF7EF0"/>
    <w:rsid w:val="00E00F26"/>
    <w:rsid w:val="00E31F61"/>
    <w:rsid w:val="00E34A5C"/>
    <w:rsid w:val="00E401D0"/>
    <w:rsid w:val="00E74A00"/>
    <w:rsid w:val="00E86DC4"/>
    <w:rsid w:val="00E91006"/>
    <w:rsid w:val="00E91351"/>
    <w:rsid w:val="00EA7B70"/>
    <w:rsid w:val="00EB7AAE"/>
    <w:rsid w:val="00ED08B0"/>
    <w:rsid w:val="00ED250F"/>
    <w:rsid w:val="00ED500A"/>
    <w:rsid w:val="00ED6ED9"/>
    <w:rsid w:val="00EE6020"/>
    <w:rsid w:val="00EE640F"/>
    <w:rsid w:val="00EE65AC"/>
    <w:rsid w:val="00EE6CD2"/>
    <w:rsid w:val="00EF7ACC"/>
    <w:rsid w:val="00F00E5C"/>
    <w:rsid w:val="00F3083E"/>
    <w:rsid w:val="00F55883"/>
    <w:rsid w:val="00F82D63"/>
    <w:rsid w:val="00F90697"/>
    <w:rsid w:val="00FA783E"/>
    <w:rsid w:val="00FB11D5"/>
    <w:rsid w:val="00FB49E8"/>
    <w:rsid w:val="00FD4709"/>
    <w:rsid w:val="00FF2253"/>
    <w:rsid w:val="00FF6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CAA8E"/>
  <w15:chartTrackingRefBased/>
  <w15:docId w15:val="{4A6484E0-7E5F-4224-84B1-C73A9D7E8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45D2"/>
    <w:rPr>
      <w:color w:val="0563C1" w:themeColor="hyperlink"/>
      <w:u w:val="single"/>
    </w:rPr>
  </w:style>
  <w:style w:type="character" w:styleId="UnresolvedMention">
    <w:name w:val="Unresolved Mention"/>
    <w:basedOn w:val="DefaultParagraphFont"/>
    <w:uiPriority w:val="99"/>
    <w:semiHidden/>
    <w:unhideWhenUsed/>
    <w:rsid w:val="00C445D2"/>
    <w:rPr>
      <w:color w:val="605E5C"/>
      <w:shd w:val="clear" w:color="auto" w:fill="E1DFDD"/>
    </w:rPr>
  </w:style>
  <w:style w:type="character" w:styleId="FollowedHyperlink">
    <w:name w:val="FollowedHyperlink"/>
    <w:basedOn w:val="DefaultParagraphFont"/>
    <w:uiPriority w:val="99"/>
    <w:semiHidden/>
    <w:unhideWhenUsed/>
    <w:rsid w:val="00C45AF2"/>
    <w:rPr>
      <w:color w:val="954F72" w:themeColor="followedHyperlink"/>
      <w:u w:val="single"/>
    </w:rPr>
  </w:style>
  <w:style w:type="paragraph" w:styleId="Header">
    <w:name w:val="header"/>
    <w:basedOn w:val="Normal"/>
    <w:link w:val="HeaderChar"/>
    <w:uiPriority w:val="99"/>
    <w:unhideWhenUsed/>
    <w:rsid w:val="00BE0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2EA"/>
  </w:style>
  <w:style w:type="paragraph" w:styleId="Footer">
    <w:name w:val="footer"/>
    <w:basedOn w:val="Normal"/>
    <w:link w:val="FooterChar"/>
    <w:uiPriority w:val="99"/>
    <w:unhideWhenUsed/>
    <w:rsid w:val="00BE0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663653.pdf?ab_segments=0%2Fbasic_SYC-5055%2Ftest&amp;refreqid=search%3Aa5cc2c5f5c13dd36387c871f3e2f8f00" TargetMode="External"/><Relationship Id="rId13" Type="http://schemas.openxmlformats.org/officeDocument/2006/relationships/hyperlink" Target="https://www.jstor.org/stable/pdf/20057333.pdf?refreqid=excelsior%3Acf240567fcc896672b82c6b45779f799" TargetMode="External"/><Relationship Id="rId3" Type="http://schemas.openxmlformats.org/officeDocument/2006/relationships/settings" Target="settings.xml"/><Relationship Id="rId7" Type="http://schemas.openxmlformats.org/officeDocument/2006/relationships/hyperlink" Target="http://www.ucd.ie/mcri/resources/Dermot%20Ryan%20Reading.pdf" TargetMode="External"/><Relationship Id="rId12" Type="http://schemas.openxmlformats.org/officeDocument/2006/relationships/hyperlink" Target="https://www.jstor.org/stable/pdf/680782.pdf?ab_segments=0%2Fbasic_SYC-5055%2Ftes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ader.elsevier.com/reader/sd/pii/S0261517703001304?token=1BBBA591DDC45FE36F1A7040990E75EBD3D13A537126C362490A946D33F09D36036B5B8E6E561FDA461BC6BB606E4B2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journals.sagepub.com/doi/pdf/10.1177/0022022104272901" TargetMode="External"/><Relationship Id="rId4" Type="http://schemas.openxmlformats.org/officeDocument/2006/relationships/webSettings" Target="webSettings.xml"/><Relationship Id="rId9" Type="http://schemas.openxmlformats.org/officeDocument/2006/relationships/hyperlink" Target="https://www.jstor.org/stable/pdf/3629450.pdf?refreqid=excelsior%3Aa5cde4c357855d4d0339ab6602ed0f0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E5DC-5470-4B76-8276-B1060A736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3163</Words>
  <Characters>18034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Morgan</dc:creator>
  <cp:keywords/>
  <dc:description/>
  <cp:lastModifiedBy>Sam Morgan</cp:lastModifiedBy>
  <cp:revision>4</cp:revision>
  <dcterms:created xsi:type="dcterms:W3CDTF">2020-03-06T14:42:00Z</dcterms:created>
  <dcterms:modified xsi:type="dcterms:W3CDTF">2020-03-06T14:45:00Z</dcterms:modified>
</cp:coreProperties>
</file>