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C42BD8" w:rsidR="00C42BD8" w:rsidP="0204A69F" w:rsidRDefault="00C42BD8" w14:paraId="29DF3DD5" w14:textId="71FE16DF">
      <w:pPr>
        <w:spacing w:line="360" w:lineRule="auto"/>
        <w:jc w:val="both"/>
        <w:rPr>
          <w:rFonts w:ascii="Arial" w:hAnsi="Arial" w:cs="Arial"/>
          <w:sz w:val="22"/>
          <w:szCs w:val="22"/>
        </w:rPr>
      </w:pPr>
      <w:r w:rsidR="00C42BD8">
        <w:drawing>
          <wp:inline wp14:editId="53F11B40" wp14:anchorId="5AE70E29">
            <wp:extent cx="2133600" cy="952500"/>
            <wp:effectExtent l="0" t="0" r="0" b="0"/>
            <wp:docPr id="4" name="Picture 4"/>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1"/>
                    <pic:cNvPicPr>
                      <a:picLocks noChangeAspect="1" noChangeArrowheads="1"/>
                    </pic:cNvPicPr>
                  </pic:nvPicPr>
                  <pic:blipFill>
                    <a:blip xmlns:r="http://schemas.openxmlformats.org/officeDocument/2006/relationships" r:embed="rId6">
                      <a:extLst>
                        <a:ext uri="{28A0092B-C50C-407E-A947-70E740481C1C}">
                          <a14:useLocalDpi xmlns:a14="http://schemas.microsoft.com/office/drawing/2010/main" val="0"/>
                        </a:ext>
                      </a:extLst>
                    </a:blip>
                    <a:srcRect/>
                    <a:stretch>
                      <a:fillRect/>
                    </a:stretch>
                  </pic:blipFill>
                  <pic:spPr bwMode="auto">
                    <a:xfrm>
                      <a:off x="0" y="0"/>
                      <a:ext cx="2133600" cy="952500"/>
                    </a:xfrm>
                    <a:prstGeom prst="rect">
                      <a:avLst/>
                    </a:prstGeom>
                    <a:noFill/>
                    <a:ln>
                      <a:noFill/>
                    </a:ln>
                  </pic:spPr>
                </pic:pic>
              </a:graphicData>
            </a:graphic>
          </wp:inline>
        </w:drawing>
      </w:r>
      <w:r w:rsidRPr="0204A69F" w:rsidR="00C42BD8">
        <w:rPr>
          <w:rFonts w:ascii="Arial" w:hAnsi="Arial" w:cs="Arial"/>
          <w:sz w:val="22"/>
          <w:szCs w:val="22"/>
        </w:rPr>
        <w:t> </w:t>
      </w:r>
    </w:p>
    <w:p w:rsidRPr="00C42BD8" w:rsidR="00C42BD8" w:rsidP="0204A69F" w:rsidRDefault="00C42BD8" w14:paraId="50574980" w14:textId="4071F69D">
      <w:pPr>
        <w:spacing w:line="360" w:lineRule="auto"/>
        <w:jc w:val="both"/>
        <w:rPr>
          <w:rFonts w:ascii="Arial" w:hAnsi="Arial" w:cs="Arial"/>
          <w:sz w:val="22"/>
          <w:szCs w:val="22"/>
        </w:rPr>
      </w:pPr>
      <w:r w:rsidRPr="0204A69F" w:rsidR="00C42BD8">
        <w:rPr>
          <w:rFonts w:ascii="Arial" w:hAnsi="Arial" w:cs="Arial"/>
          <w:sz w:val="22"/>
          <w:szCs w:val="22"/>
        </w:rPr>
        <w:t> </w:t>
      </w:r>
      <w:r w:rsidRPr="0204A69F" w:rsidR="00C42BD8">
        <w:rPr>
          <w:rFonts w:ascii="Arial" w:hAnsi="Arial" w:cs="Arial"/>
          <w:sz w:val="22"/>
          <w:szCs w:val="22"/>
        </w:rPr>
        <w:t> </w:t>
      </w:r>
    </w:p>
    <w:p w:rsidRPr="00C42BD8" w:rsidR="00C42BD8" w:rsidP="0204A69F" w:rsidRDefault="00C42BD8" w14:paraId="3FAB9FEC" w14:textId="77777777">
      <w:pPr>
        <w:spacing w:line="360" w:lineRule="auto"/>
        <w:jc w:val="both"/>
        <w:rPr>
          <w:rFonts w:ascii="Arial" w:hAnsi="Arial" w:cs="Arial"/>
          <w:b w:val="1"/>
          <w:bCs w:val="1"/>
          <w:sz w:val="32"/>
          <w:szCs w:val="32"/>
        </w:rPr>
      </w:pPr>
      <w:r w:rsidRPr="0204A69F" w:rsidR="00C42BD8">
        <w:rPr>
          <w:rFonts w:ascii="Arial" w:hAnsi="Arial" w:cs="Arial"/>
          <w:b w:val="1"/>
          <w:bCs w:val="1"/>
          <w:color w:val="0F4761" w:themeColor="accent1" w:themeTint="FF" w:themeShade="BF"/>
          <w:sz w:val="32"/>
          <w:szCs w:val="32"/>
        </w:rPr>
        <w:t>Programme</w:t>
      </w:r>
      <w:r w:rsidRPr="0204A69F" w:rsidR="00C42BD8">
        <w:rPr>
          <w:rFonts w:ascii="Arial" w:hAnsi="Arial" w:cs="Arial"/>
          <w:b w:val="1"/>
          <w:bCs w:val="1"/>
          <w:sz w:val="32"/>
          <w:szCs w:val="32"/>
        </w:rPr>
        <w:t>: BSc Health and Social Care </w:t>
      </w:r>
    </w:p>
    <w:p w:rsidRPr="00C42BD8" w:rsidR="00C42BD8" w:rsidP="0204A69F" w:rsidRDefault="00C42BD8" w14:paraId="3622F435" w14:textId="77777777">
      <w:pPr>
        <w:spacing w:line="360" w:lineRule="auto"/>
        <w:jc w:val="both"/>
        <w:rPr>
          <w:rFonts w:ascii="Arial" w:hAnsi="Arial" w:cs="Arial"/>
          <w:b w:val="1"/>
          <w:bCs w:val="1"/>
          <w:sz w:val="32"/>
          <w:szCs w:val="32"/>
        </w:rPr>
      </w:pPr>
      <w:r w:rsidRPr="0204A69F" w:rsidR="00C42BD8">
        <w:rPr>
          <w:rFonts w:ascii="Arial" w:hAnsi="Arial" w:cs="Arial"/>
          <w:b w:val="1"/>
          <w:bCs w:val="1"/>
          <w:color w:val="0F4761" w:themeColor="accent1" w:themeTint="FF" w:themeShade="BF"/>
          <w:sz w:val="32"/>
          <w:szCs w:val="32"/>
        </w:rPr>
        <w:t>Module code</w:t>
      </w:r>
      <w:r w:rsidRPr="0204A69F" w:rsidR="00C42BD8">
        <w:rPr>
          <w:rFonts w:ascii="Arial" w:hAnsi="Arial" w:cs="Arial"/>
          <w:b w:val="1"/>
          <w:bCs w:val="1"/>
          <w:sz w:val="32"/>
          <w:szCs w:val="32"/>
        </w:rPr>
        <w:t>: BMHP5019</w:t>
      </w:r>
      <w:r>
        <w:tab/>
      </w:r>
      <w:r w:rsidRPr="0204A69F" w:rsidR="00C42BD8">
        <w:rPr>
          <w:rFonts w:ascii="Arial" w:hAnsi="Arial" w:cs="Arial"/>
          <w:b w:val="1"/>
          <w:bCs w:val="1"/>
          <w:sz w:val="32"/>
          <w:szCs w:val="32"/>
        </w:rPr>
        <w:t> </w:t>
      </w:r>
    </w:p>
    <w:p w:rsidRPr="00FE4D42" w:rsidR="00C42BD8" w:rsidP="0204A69F" w:rsidRDefault="00C42BD8" w14:paraId="75FF5610" w14:textId="77777777">
      <w:pPr>
        <w:spacing w:line="360" w:lineRule="auto"/>
        <w:jc w:val="both"/>
        <w:rPr>
          <w:rFonts w:ascii="Arial" w:hAnsi="Arial" w:cs="Arial"/>
          <w:b w:val="1"/>
          <w:bCs w:val="1"/>
          <w:sz w:val="32"/>
          <w:szCs w:val="32"/>
        </w:rPr>
      </w:pPr>
      <w:r w:rsidRPr="0204A69F" w:rsidR="00C42BD8">
        <w:rPr>
          <w:rFonts w:ascii="Arial" w:hAnsi="Arial" w:cs="Arial"/>
          <w:b w:val="1"/>
          <w:bCs w:val="1"/>
          <w:color w:val="0F4761" w:themeColor="accent1" w:themeTint="FF" w:themeShade="BF"/>
          <w:sz w:val="32"/>
          <w:szCs w:val="32"/>
        </w:rPr>
        <w:t>Module</w:t>
      </w:r>
      <w:r w:rsidRPr="0204A69F" w:rsidR="00C42BD8">
        <w:rPr>
          <w:rFonts w:ascii="Arial" w:hAnsi="Arial" w:cs="Arial"/>
          <w:b w:val="1"/>
          <w:bCs w:val="1"/>
          <w:sz w:val="32"/>
          <w:szCs w:val="32"/>
        </w:rPr>
        <w:t>: Introduction to Independent Research Skills </w:t>
      </w:r>
    </w:p>
    <w:p w:rsidRPr="00C42BD8" w:rsidR="00FE4D42" w:rsidP="0204A69F" w:rsidRDefault="00FE4D42" w14:paraId="370BF7C9" w14:textId="77777777">
      <w:pPr>
        <w:spacing w:line="360" w:lineRule="auto"/>
        <w:jc w:val="both"/>
        <w:rPr>
          <w:rFonts w:ascii="Arial" w:hAnsi="Arial" w:cs="Arial"/>
          <w:b w:val="1"/>
          <w:bCs w:val="1"/>
          <w:sz w:val="32"/>
          <w:szCs w:val="32"/>
        </w:rPr>
      </w:pPr>
      <w:r w:rsidRPr="0204A69F" w:rsidR="00FE4D42">
        <w:rPr>
          <w:rFonts w:ascii="Arial" w:hAnsi="Arial" w:cs="Arial"/>
          <w:b w:val="1"/>
          <w:bCs w:val="1"/>
          <w:color w:val="0F4761" w:themeColor="accent1" w:themeTint="FF" w:themeShade="BF"/>
          <w:sz w:val="32"/>
          <w:szCs w:val="32"/>
        </w:rPr>
        <w:t>Lecturer</w:t>
      </w:r>
      <w:r w:rsidRPr="0204A69F" w:rsidR="00FE4D42">
        <w:rPr>
          <w:rFonts w:ascii="Arial" w:hAnsi="Arial" w:cs="Arial"/>
          <w:b w:val="1"/>
          <w:bCs w:val="1"/>
          <w:sz w:val="32"/>
          <w:szCs w:val="32"/>
        </w:rPr>
        <w:t>: Philip Jones </w:t>
      </w:r>
    </w:p>
    <w:p w:rsidRPr="00FE4D42" w:rsidR="00C42BD8" w:rsidP="0204A69F" w:rsidRDefault="00C42BD8" w14:paraId="520BAB05" w14:textId="29B7E46F">
      <w:pPr>
        <w:spacing w:line="360" w:lineRule="auto"/>
        <w:jc w:val="both"/>
        <w:rPr>
          <w:rFonts w:ascii="Arial" w:hAnsi="Arial" w:cs="Arial"/>
          <w:b w:val="1"/>
          <w:bCs w:val="1"/>
          <w:sz w:val="32"/>
          <w:szCs w:val="32"/>
        </w:rPr>
      </w:pPr>
      <w:r w:rsidRPr="0204A69F" w:rsidR="00C42BD8">
        <w:rPr>
          <w:rFonts w:ascii="Arial" w:hAnsi="Arial" w:cs="Arial"/>
          <w:b w:val="1"/>
          <w:bCs w:val="1"/>
          <w:color w:val="0F4761" w:themeColor="accent1" w:themeTint="FF" w:themeShade="BF"/>
          <w:sz w:val="32"/>
          <w:szCs w:val="32"/>
        </w:rPr>
        <w:t>Assignment</w:t>
      </w:r>
      <w:r w:rsidRPr="0204A69F" w:rsidR="00C42BD8">
        <w:rPr>
          <w:rFonts w:ascii="Arial" w:hAnsi="Arial" w:cs="Arial"/>
          <w:b w:val="1"/>
          <w:bCs w:val="1"/>
          <w:sz w:val="32"/>
          <w:szCs w:val="32"/>
        </w:rPr>
        <w:t>: Component 2-</w:t>
      </w:r>
      <w:r w:rsidRPr="0204A69F" w:rsidR="00FE4D42">
        <w:rPr>
          <w:rFonts w:ascii="Arial" w:hAnsi="Arial" w:cs="Arial"/>
          <w:b w:val="1"/>
          <w:bCs w:val="1"/>
          <w:sz w:val="32"/>
          <w:szCs w:val="32"/>
        </w:rPr>
        <w:t xml:space="preserve"> Research Report</w:t>
      </w:r>
    </w:p>
    <w:p w:rsidRPr="00FE4D42" w:rsidR="00FE4D42" w:rsidP="0204A69F" w:rsidRDefault="00FE4D42" w14:paraId="1064215D" w14:textId="209235F0">
      <w:pPr>
        <w:spacing w:line="360" w:lineRule="auto"/>
        <w:jc w:val="both"/>
        <w:rPr>
          <w:rFonts w:ascii="Arial" w:hAnsi="Arial" w:cs="Arial"/>
          <w:b w:val="1"/>
          <w:bCs w:val="1"/>
          <w:sz w:val="32"/>
          <w:szCs w:val="32"/>
        </w:rPr>
      </w:pPr>
      <w:r w:rsidRPr="0204A69F" w:rsidR="00FE4D42">
        <w:rPr>
          <w:rFonts w:ascii="Arial" w:hAnsi="Arial" w:cs="Arial"/>
          <w:b w:val="1"/>
          <w:bCs w:val="1"/>
          <w:color w:val="0F4761" w:themeColor="accent1" w:themeTint="FF" w:themeShade="BF"/>
          <w:sz w:val="32"/>
          <w:szCs w:val="32"/>
        </w:rPr>
        <w:t>Research Method</w:t>
      </w:r>
      <w:r w:rsidRPr="0204A69F" w:rsidR="00FE4D42">
        <w:rPr>
          <w:rFonts w:ascii="Arial" w:hAnsi="Arial" w:cs="Arial"/>
          <w:b w:val="1"/>
          <w:bCs w:val="1"/>
          <w:sz w:val="32"/>
          <w:szCs w:val="32"/>
        </w:rPr>
        <w:t>: Secondary Research – Scoping Review</w:t>
      </w:r>
    </w:p>
    <w:p w:rsidRPr="00C42BD8" w:rsidR="00C42BD8" w:rsidP="0204A69F" w:rsidRDefault="00C42BD8" w14:paraId="0B71573D" w14:textId="77777777">
      <w:pPr>
        <w:spacing w:line="360" w:lineRule="auto"/>
        <w:jc w:val="both"/>
        <w:rPr>
          <w:rFonts w:ascii="Arial" w:hAnsi="Arial" w:cs="Arial"/>
          <w:b w:val="1"/>
          <w:bCs w:val="1"/>
          <w:sz w:val="32"/>
          <w:szCs w:val="32"/>
        </w:rPr>
      </w:pPr>
      <w:r w:rsidRPr="0204A69F" w:rsidR="00C42BD8">
        <w:rPr>
          <w:rFonts w:ascii="Arial" w:hAnsi="Arial" w:cs="Arial"/>
          <w:b w:val="1"/>
          <w:bCs w:val="1"/>
          <w:color w:val="0F4761" w:themeColor="accent1" w:themeTint="FF" w:themeShade="BF"/>
          <w:sz w:val="32"/>
          <w:szCs w:val="32"/>
        </w:rPr>
        <w:t>Presented by</w:t>
      </w:r>
      <w:r w:rsidRPr="0204A69F" w:rsidR="00C42BD8">
        <w:rPr>
          <w:rFonts w:ascii="Arial" w:hAnsi="Arial" w:cs="Arial"/>
          <w:b w:val="1"/>
          <w:bCs w:val="1"/>
          <w:sz w:val="32"/>
          <w:szCs w:val="32"/>
        </w:rPr>
        <w:t xml:space="preserve">: </w:t>
      </w:r>
      <w:r w:rsidRPr="0204A69F" w:rsidR="00C42BD8">
        <w:rPr>
          <w:rFonts w:ascii="Arial" w:hAnsi="Arial" w:cs="Arial"/>
          <w:b w:val="1"/>
          <w:bCs w:val="1"/>
          <w:color w:val="000000" w:themeColor="text1" w:themeTint="FF" w:themeShade="FF"/>
          <w:sz w:val="32"/>
          <w:szCs w:val="32"/>
        </w:rPr>
        <w:t>Saima Khan (2</w:t>
      </w:r>
      <w:r w:rsidRPr="0204A69F" w:rsidR="00C42BD8">
        <w:rPr>
          <w:rFonts w:ascii="Arial" w:hAnsi="Arial" w:cs="Arial"/>
          <w:b w:val="1"/>
          <w:bCs w:val="1"/>
          <w:sz w:val="32"/>
          <w:szCs w:val="32"/>
        </w:rPr>
        <w:t>407142) </w:t>
      </w:r>
    </w:p>
    <w:p w:rsidR="00FE4D42" w:rsidP="0204A69F" w:rsidRDefault="00C42BD8" w14:paraId="765258AF" w14:textId="77777777">
      <w:pPr>
        <w:spacing w:line="360" w:lineRule="auto"/>
        <w:jc w:val="both"/>
        <w:rPr>
          <w:rFonts w:ascii="Arial" w:hAnsi="Arial" w:cs="Arial"/>
          <w:sz w:val="22"/>
          <w:szCs w:val="22"/>
        </w:rPr>
      </w:pPr>
      <w:r w:rsidR="00C42BD8">
        <w:drawing>
          <wp:inline wp14:editId="165F943C" wp14:anchorId="6D171721">
            <wp:extent cx="5705475" cy="3800475"/>
            <wp:effectExtent l="0" t="0" r="9525" b="9525"/>
            <wp:docPr id="3" name="Picture 3" descr="Close-up of person writing in notebook while typing on a laptop"/>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2" descr="Close-up of person writing in notebook while typing on a laptop"/>
                    <pic:cNvPicPr>
                      <a:picLocks noChangeAspect="1" noChangeArrowheads="1"/>
                    </pic:cNvPicPr>
                  </pic:nvPicPr>
                  <pic:blipFill>
                    <a:blip xmlns:r="http://schemas.openxmlformats.org/officeDocument/2006/relationships" r:embed="rId7">
                      <a:extLst>
                        <a:ext uri="{28A0092B-C50C-407E-A947-70E740481C1C}">
                          <a14:useLocalDpi xmlns:a14="http://schemas.microsoft.com/office/drawing/2010/main" val="0"/>
                        </a:ext>
                      </a:extLst>
                    </a:blip>
                    <a:srcRect/>
                    <a:stretch>
                      <a:fillRect/>
                    </a:stretch>
                  </pic:blipFill>
                  <pic:spPr bwMode="auto">
                    <a:xfrm>
                      <a:off x="0" y="0"/>
                      <a:ext cx="5705475" cy="3800475"/>
                    </a:xfrm>
                    <a:prstGeom prst="rect">
                      <a:avLst/>
                    </a:prstGeom>
                    <a:noFill/>
                    <a:ln>
                      <a:noFill/>
                    </a:ln>
                  </pic:spPr>
                </pic:pic>
              </a:graphicData>
            </a:graphic>
          </wp:inline>
        </w:drawing>
      </w:r>
    </w:p>
    <w:p w:rsidR="00FE4D42" w:rsidP="0204A69F" w:rsidRDefault="00FE4D42" w14:paraId="2376FCF1" w14:textId="77777777">
      <w:pPr>
        <w:spacing w:line="360" w:lineRule="auto"/>
        <w:jc w:val="both"/>
        <w:rPr>
          <w:rFonts w:ascii="Arial" w:hAnsi="Arial" w:cs="Arial"/>
          <w:sz w:val="22"/>
          <w:szCs w:val="22"/>
        </w:rPr>
      </w:pPr>
      <w:r w:rsidRPr="0204A69F">
        <w:rPr>
          <w:rFonts w:ascii="Arial" w:hAnsi="Arial" w:cs="Arial"/>
          <w:sz w:val="22"/>
          <w:szCs w:val="22"/>
        </w:rPr>
        <w:br w:type="page"/>
      </w:r>
    </w:p>
    <w:p w:rsidRPr="00C42BD8" w:rsidR="00C774D5" w:rsidP="0204A69F" w:rsidRDefault="00C42BD8" w14:paraId="59306CB9" w14:textId="77777777">
      <w:pPr>
        <w:spacing w:line="360" w:lineRule="auto"/>
        <w:jc w:val="both"/>
        <w:rPr>
          <w:rFonts w:ascii="Arial" w:hAnsi="Arial" w:cs="Arial"/>
          <w:sz w:val="22"/>
          <w:szCs w:val="22"/>
        </w:rPr>
      </w:pPr>
      <w:r w:rsidRPr="0204A69F" w:rsidR="00C42BD8">
        <w:rPr>
          <w:rFonts w:ascii="Arial" w:hAnsi="Arial" w:cs="Arial"/>
          <w:sz w:val="22"/>
          <w:szCs w:val="22"/>
        </w:rPr>
        <w:t> </w:t>
      </w:r>
    </w:p>
    <w:sdt>
      <w:sdtPr>
        <w:id w:val="354848912"/>
        <w:docPartObj>
          <w:docPartGallery w:val="Table of Contents"/>
          <w:docPartUnique/>
        </w:docPartObj>
        <w:rPr>
          <w:rFonts w:ascii="Aptos" w:hAnsi="Aptos" w:eastAsia="Aptos" w:cs="" w:asciiTheme="minorAscii" w:hAnsiTheme="minorAscii" w:eastAsiaTheme="minorAscii" w:cstheme="minorBidi"/>
          <w:color w:val="auto"/>
          <w:kern w:val="2"/>
          <w:sz w:val="24"/>
          <w:szCs w:val="24"/>
          <w:lang w:val="en-GB"/>
          <w14:ligatures w14:val="standardContextual"/>
        </w:rPr>
      </w:sdtPr>
      <w:sdtEndPr>
        <w:rPr>
          <w:rFonts w:ascii="Aptos" w:hAnsi="Aptos" w:eastAsia="Aptos" w:cs="" w:asciiTheme="minorAscii" w:hAnsiTheme="minorAscii" w:eastAsiaTheme="minorAscii" w:cstheme="minorBidi"/>
          <w:b w:val="1"/>
          <w:bCs w:val="1"/>
          <w:noProof/>
          <w:color w:val="auto"/>
          <w:sz w:val="24"/>
          <w:szCs w:val="24"/>
          <w:lang w:val="en-GB"/>
        </w:rPr>
      </w:sdtEndPr>
      <w:sdtContent>
        <w:p w:rsidRPr="00C774D5" w:rsidR="00C774D5" w:rsidP="0204A69F" w:rsidRDefault="00C774D5" w14:paraId="31C7E813" w14:textId="3F57137B">
          <w:pPr>
            <w:pStyle w:val="TOCHeading"/>
            <w:spacing w:line="360" w:lineRule="auto"/>
            <w:jc w:val="both"/>
            <w:rPr>
              <w:rStyle w:val="Heading1Char"/>
            </w:rPr>
          </w:pPr>
          <w:bookmarkStart w:name="_Toc99715001" w:id="1845826607"/>
          <w:r w:rsidRPr="0204A69F" w:rsidR="00C774D5">
            <w:rPr>
              <w:rStyle w:val="Heading1Char"/>
            </w:rPr>
            <w:t>Table of Contents</w:t>
          </w:r>
          <w:bookmarkEnd w:id="1845826607"/>
        </w:p>
        <w:p w:rsidR="00C774D5" w:rsidP="0204A69F" w:rsidRDefault="00C774D5" w14:paraId="3C825C62" w14:textId="77777777">
          <w:pPr>
            <w:pStyle w:val="TOC1"/>
            <w:tabs>
              <w:tab w:val="right" w:leader="dot" w:pos="9016"/>
            </w:tabs>
            <w:spacing w:line="360" w:lineRule="auto"/>
            <w:jc w:val="both"/>
          </w:pPr>
        </w:p>
        <w:p w:rsidR="00C774D5" w:rsidP="0204A69F" w:rsidRDefault="00C774D5" w14:paraId="73A0A570" w14:textId="0DE6A24A">
          <w:pPr>
            <w:pStyle w:val="TOC1"/>
            <w:tabs>
              <w:tab w:val="right" w:leader="dot" w:pos="9015"/>
            </w:tabs>
          </w:pPr>
          <w:r>
            <w:fldChar w:fldCharType="begin"/>
          </w:r>
          <w:r>
            <w:instrText xml:space="preserve">TOC \o "1-3" \z \u \h</w:instrText>
          </w:r>
          <w:r>
            <w:fldChar w:fldCharType="separate"/>
          </w:r>
          <w:hyperlink w:anchor="_Toc99715001">
            <w:r w:rsidRPr="0204A69F" w:rsidR="0204A69F">
              <w:rPr>
                <w:rStyle w:val="Hyperlink"/>
              </w:rPr>
              <w:t>Table of Contents</w:t>
            </w:r>
            <w:r>
              <w:tab/>
            </w:r>
            <w:r>
              <w:fldChar w:fldCharType="begin"/>
            </w:r>
            <w:r>
              <w:instrText xml:space="preserve">PAGEREF _Toc99715001 \h</w:instrText>
            </w:r>
            <w:r>
              <w:fldChar w:fldCharType="separate"/>
            </w:r>
            <w:r w:rsidRPr="0204A69F" w:rsidR="0204A69F">
              <w:rPr>
                <w:rStyle w:val="Hyperlink"/>
              </w:rPr>
              <w:t>2</w:t>
            </w:r>
            <w:r>
              <w:fldChar w:fldCharType="end"/>
            </w:r>
          </w:hyperlink>
        </w:p>
        <w:p w:rsidR="00C774D5" w:rsidP="0204A69F" w:rsidRDefault="00000000" w14:paraId="74F79CD1" w14:textId="13583F0D">
          <w:pPr>
            <w:pStyle w:val="TOC1"/>
            <w:tabs>
              <w:tab w:val="right" w:leader="dot" w:pos="9015"/>
            </w:tabs>
          </w:pPr>
          <w:hyperlink w:anchor="_Toc1334955598">
            <w:r w:rsidRPr="0204A69F" w:rsidR="0204A69F">
              <w:rPr>
                <w:rStyle w:val="Hyperlink"/>
              </w:rPr>
              <w:t>Research Report</w:t>
            </w:r>
            <w:r>
              <w:tab/>
            </w:r>
            <w:r>
              <w:fldChar w:fldCharType="begin"/>
            </w:r>
            <w:r>
              <w:instrText xml:space="preserve">PAGEREF _Toc1334955598 \h</w:instrText>
            </w:r>
            <w:r>
              <w:fldChar w:fldCharType="separate"/>
            </w:r>
            <w:r w:rsidRPr="0204A69F" w:rsidR="0204A69F">
              <w:rPr>
                <w:rStyle w:val="Hyperlink"/>
              </w:rPr>
              <w:t>2</w:t>
            </w:r>
            <w:r>
              <w:fldChar w:fldCharType="end"/>
            </w:r>
          </w:hyperlink>
        </w:p>
        <w:p w:rsidR="00C774D5" w:rsidP="0204A69F" w:rsidRDefault="00000000" w14:paraId="5A47E3C1" w14:textId="5411A034">
          <w:pPr>
            <w:pStyle w:val="TOC1"/>
            <w:tabs>
              <w:tab w:val="right" w:leader="dot" w:pos="9015"/>
            </w:tabs>
          </w:pPr>
          <w:hyperlink w:anchor="_Toc1067881155">
            <w:r w:rsidRPr="0204A69F" w:rsidR="0204A69F">
              <w:rPr>
                <w:rStyle w:val="Hyperlink"/>
              </w:rPr>
              <w:t>Factors Contributing to Socioeconomic Inequalities in Obesity Among Adults in the UK</w:t>
            </w:r>
            <w:r>
              <w:tab/>
            </w:r>
            <w:r>
              <w:fldChar w:fldCharType="begin"/>
            </w:r>
            <w:r>
              <w:instrText xml:space="preserve">PAGEREF _Toc1067881155 \h</w:instrText>
            </w:r>
            <w:r>
              <w:fldChar w:fldCharType="separate"/>
            </w:r>
            <w:r w:rsidRPr="0204A69F" w:rsidR="0204A69F">
              <w:rPr>
                <w:rStyle w:val="Hyperlink"/>
              </w:rPr>
              <w:t>3</w:t>
            </w:r>
            <w:r>
              <w:fldChar w:fldCharType="end"/>
            </w:r>
          </w:hyperlink>
        </w:p>
        <w:p w:rsidR="00C774D5" w:rsidP="0204A69F" w:rsidRDefault="00000000" w14:paraId="12F93743" w14:textId="03CC6948">
          <w:pPr>
            <w:pStyle w:val="TOC2"/>
            <w:tabs>
              <w:tab w:val="right" w:leader="dot" w:pos="9015"/>
            </w:tabs>
          </w:pPr>
          <w:hyperlink w:anchor="_Toc2080103906">
            <w:r w:rsidRPr="0204A69F" w:rsidR="0204A69F">
              <w:rPr>
                <w:rStyle w:val="Hyperlink"/>
              </w:rPr>
              <w:t>1. Introduction</w:t>
            </w:r>
            <w:r>
              <w:tab/>
            </w:r>
            <w:r>
              <w:fldChar w:fldCharType="begin"/>
            </w:r>
            <w:r>
              <w:instrText xml:space="preserve">PAGEREF _Toc2080103906 \h</w:instrText>
            </w:r>
            <w:r>
              <w:fldChar w:fldCharType="separate"/>
            </w:r>
            <w:r w:rsidRPr="0204A69F" w:rsidR="0204A69F">
              <w:rPr>
                <w:rStyle w:val="Hyperlink"/>
              </w:rPr>
              <w:t>3</w:t>
            </w:r>
            <w:r>
              <w:fldChar w:fldCharType="end"/>
            </w:r>
          </w:hyperlink>
        </w:p>
        <w:p w:rsidR="00C774D5" w:rsidP="0204A69F" w:rsidRDefault="00000000" w14:paraId="7DC9B823" w14:textId="1B229022">
          <w:pPr>
            <w:pStyle w:val="TOC2"/>
            <w:tabs>
              <w:tab w:val="right" w:leader="dot" w:pos="9015"/>
            </w:tabs>
          </w:pPr>
          <w:hyperlink w:anchor="_Toc30852888">
            <w:r w:rsidRPr="0204A69F" w:rsidR="0204A69F">
              <w:rPr>
                <w:rStyle w:val="Hyperlink"/>
              </w:rPr>
              <w:t>Review question</w:t>
            </w:r>
            <w:r>
              <w:tab/>
            </w:r>
            <w:r>
              <w:fldChar w:fldCharType="begin"/>
            </w:r>
            <w:r>
              <w:instrText xml:space="preserve">PAGEREF _Toc30852888 \h</w:instrText>
            </w:r>
            <w:r>
              <w:fldChar w:fldCharType="separate"/>
            </w:r>
            <w:r w:rsidRPr="0204A69F" w:rsidR="0204A69F">
              <w:rPr>
                <w:rStyle w:val="Hyperlink"/>
              </w:rPr>
              <w:t>4</w:t>
            </w:r>
            <w:r>
              <w:fldChar w:fldCharType="end"/>
            </w:r>
          </w:hyperlink>
        </w:p>
        <w:p w:rsidR="00C774D5" w:rsidP="0204A69F" w:rsidRDefault="00000000" w14:paraId="3EAA1CC3" w14:textId="2A0C00B1">
          <w:pPr>
            <w:pStyle w:val="TOC3"/>
            <w:tabs>
              <w:tab w:val="right" w:leader="dot" w:pos="9015"/>
            </w:tabs>
          </w:pPr>
          <w:hyperlink w:anchor="_Toc1184706668">
            <w:r w:rsidRPr="0204A69F" w:rsidR="0204A69F">
              <w:rPr>
                <w:rStyle w:val="Hyperlink"/>
              </w:rPr>
              <w:t>What factors contribute to socioeconomic inequalities in obesity among adults in the UK?</w:t>
            </w:r>
            <w:r>
              <w:tab/>
            </w:r>
            <w:r>
              <w:fldChar w:fldCharType="begin"/>
            </w:r>
            <w:r>
              <w:instrText xml:space="preserve">PAGEREF _Toc1184706668 \h</w:instrText>
            </w:r>
            <w:r>
              <w:fldChar w:fldCharType="separate"/>
            </w:r>
            <w:r w:rsidRPr="0204A69F" w:rsidR="0204A69F">
              <w:rPr>
                <w:rStyle w:val="Hyperlink"/>
              </w:rPr>
              <w:t>4</w:t>
            </w:r>
            <w:r>
              <w:fldChar w:fldCharType="end"/>
            </w:r>
          </w:hyperlink>
        </w:p>
        <w:p w:rsidR="00C774D5" w:rsidP="0204A69F" w:rsidRDefault="00000000" w14:paraId="1F1E3D08" w14:textId="0FBD640E">
          <w:pPr>
            <w:pStyle w:val="TOC2"/>
            <w:tabs>
              <w:tab w:val="right" w:leader="dot" w:pos="9015"/>
            </w:tabs>
          </w:pPr>
          <w:hyperlink w:anchor="_Toc309599443">
            <w:r w:rsidRPr="0204A69F" w:rsidR="0204A69F">
              <w:rPr>
                <w:rStyle w:val="Hyperlink"/>
              </w:rPr>
              <w:t>2. Background</w:t>
            </w:r>
            <w:r>
              <w:tab/>
            </w:r>
            <w:r>
              <w:fldChar w:fldCharType="begin"/>
            </w:r>
            <w:r>
              <w:instrText xml:space="preserve">PAGEREF _Toc309599443 \h</w:instrText>
            </w:r>
            <w:r>
              <w:fldChar w:fldCharType="separate"/>
            </w:r>
            <w:r w:rsidRPr="0204A69F" w:rsidR="0204A69F">
              <w:rPr>
                <w:rStyle w:val="Hyperlink"/>
              </w:rPr>
              <w:t>4</w:t>
            </w:r>
            <w:r>
              <w:fldChar w:fldCharType="end"/>
            </w:r>
          </w:hyperlink>
        </w:p>
        <w:p w:rsidR="00C774D5" w:rsidP="0204A69F" w:rsidRDefault="00000000" w14:paraId="66182DBA" w14:textId="54220D1C">
          <w:pPr>
            <w:pStyle w:val="TOC2"/>
            <w:tabs>
              <w:tab w:val="right" w:leader="dot" w:pos="9015"/>
            </w:tabs>
          </w:pPr>
          <w:hyperlink w:anchor="_Toc21424037">
            <w:r w:rsidRPr="0204A69F" w:rsidR="0204A69F">
              <w:rPr>
                <w:rStyle w:val="Hyperlink"/>
              </w:rPr>
              <w:t>3. Methods</w:t>
            </w:r>
            <w:r>
              <w:tab/>
            </w:r>
            <w:r>
              <w:fldChar w:fldCharType="begin"/>
            </w:r>
            <w:r>
              <w:instrText xml:space="preserve">PAGEREF _Toc21424037 \h</w:instrText>
            </w:r>
            <w:r>
              <w:fldChar w:fldCharType="separate"/>
            </w:r>
            <w:r w:rsidRPr="0204A69F" w:rsidR="0204A69F">
              <w:rPr>
                <w:rStyle w:val="Hyperlink"/>
              </w:rPr>
              <w:t>6</w:t>
            </w:r>
            <w:r>
              <w:fldChar w:fldCharType="end"/>
            </w:r>
          </w:hyperlink>
        </w:p>
        <w:p w:rsidR="00C774D5" w:rsidP="0204A69F" w:rsidRDefault="00000000" w14:paraId="489F1FE5" w14:textId="6E955F04">
          <w:pPr>
            <w:pStyle w:val="TOC3"/>
            <w:tabs>
              <w:tab w:val="right" w:leader="dot" w:pos="9015"/>
            </w:tabs>
          </w:pPr>
          <w:hyperlink w:anchor="_Toc188300444">
            <w:r w:rsidRPr="0204A69F" w:rsidR="0204A69F">
              <w:rPr>
                <w:rStyle w:val="Hyperlink"/>
              </w:rPr>
              <w:t>3.1 Review design</w:t>
            </w:r>
            <w:r>
              <w:tab/>
            </w:r>
            <w:r>
              <w:fldChar w:fldCharType="begin"/>
            </w:r>
            <w:r>
              <w:instrText xml:space="preserve">PAGEREF _Toc188300444 \h</w:instrText>
            </w:r>
            <w:r>
              <w:fldChar w:fldCharType="separate"/>
            </w:r>
            <w:r w:rsidRPr="0204A69F" w:rsidR="0204A69F">
              <w:rPr>
                <w:rStyle w:val="Hyperlink"/>
              </w:rPr>
              <w:t>6</w:t>
            </w:r>
            <w:r>
              <w:fldChar w:fldCharType="end"/>
            </w:r>
          </w:hyperlink>
        </w:p>
        <w:p w:rsidR="00C774D5" w:rsidP="0204A69F" w:rsidRDefault="00000000" w14:paraId="1B97808A" w14:textId="0CD6FD06">
          <w:pPr>
            <w:pStyle w:val="TOC3"/>
            <w:tabs>
              <w:tab w:val="right" w:leader="dot" w:pos="9015"/>
            </w:tabs>
          </w:pPr>
          <w:hyperlink w:anchor="_Toc1959434091">
            <w:r w:rsidRPr="0204A69F" w:rsidR="0204A69F">
              <w:rPr>
                <w:rStyle w:val="Hyperlink"/>
              </w:rPr>
              <w:t>3.2 Review Question</w:t>
            </w:r>
            <w:r>
              <w:tab/>
            </w:r>
            <w:r>
              <w:fldChar w:fldCharType="begin"/>
            </w:r>
            <w:r>
              <w:instrText xml:space="preserve">PAGEREF _Toc1959434091 \h</w:instrText>
            </w:r>
            <w:r>
              <w:fldChar w:fldCharType="separate"/>
            </w:r>
            <w:r w:rsidRPr="0204A69F" w:rsidR="0204A69F">
              <w:rPr>
                <w:rStyle w:val="Hyperlink"/>
              </w:rPr>
              <w:t>6</w:t>
            </w:r>
            <w:r>
              <w:fldChar w:fldCharType="end"/>
            </w:r>
          </w:hyperlink>
        </w:p>
        <w:p w:rsidR="00C774D5" w:rsidP="0204A69F" w:rsidRDefault="00000000" w14:paraId="1E2AFAA3" w14:textId="6FE3F6FD">
          <w:pPr>
            <w:pStyle w:val="TOC3"/>
            <w:tabs>
              <w:tab w:val="right" w:leader="dot" w:pos="9015"/>
            </w:tabs>
          </w:pPr>
          <w:hyperlink w:anchor="_Toc850266477">
            <w:r w:rsidRPr="0204A69F" w:rsidR="0204A69F">
              <w:rPr>
                <w:rStyle w:val="Hyperlink"/>
              </w:rPr>
              <w:t>3.3 Search Strategy</w:t>
            </w:r>
            <w:r>
              <w:tab/>
            </w:r>
            <w:r>
              <w:fldChar w:fldCharType="begin"/>
            </w:r>
            <w:r>
              <w:instrText xml:space="preserve">PAGEREF _Toc850266477 \h</w:instrText>
            </w:r>
            <w:r>
              <w:fldChar w:fldCharType="separate"/>
            </w:r>
            <w:r w:rsidRPr="0204A69F" w:rsidR="0204A69F">
              <w:rPr>
                <w:rStyle w:val="Hyperlink"/>
              </w:rPr>
              <w:t>6</w:t>
            </w:r>
            <w:r>
              <w:fldChar w:fldCharType="end"/>
            </w:r>
          </w:hyperlink>
        </w:p>
        <w:p w:rsidR="00C774D5" w:rsidP="0204A69F" w:rsidRDefault="00000000" w14:paraId="71DE0425" w14:textId="4549FD59">
          <w:pPr>
            <w:pStyle w:val="TOC3"/>
            <w:tabs>
              <w:tab w:val="right" w:leader="dot" w:pos="9015"/>
            </w:tabs>
          </w:pPr>
          <w:hyperlink w:anchor="_Toc1399720261">
            <w:r w:rsidRPr="0204A69F" w:rsidR="0204A69F">
              <w:rPr>
                <w:rStyle w:val="Hyperlink"/>
              </w:rPr>
              <w:t>3.4 Inclusion and Exclusion Criteria</w:t>
            </w:r>
            <w:r>
              <w:tab/>
            </w:r>
            <w:r>
              <w:fldChar w:fldCharType="begin"/>
            </w:r>
            <w:r>
              <w:instrText xml:space="preserve">PAGEREF _Toc1399720261 \h</w:instrText>
            </w:r>
            <w:r>
              <w:fldChar w:fldCharType="separate"/>
            </w:r>
            <w:r w:rsidRPr="0204A69F" w:rsidR="0204A69F">
              <w:rPr>
                <w:rStyle w:val="Hyperlink"/>
              </w:rPr>
              <w:t>7</w:t>
            </w:r>
            <w:r>
              <w:fldChar w:fldCharType="end"/>
            </w:r>
          </w:hyperlink>
        </w:p>
        <w:p w:rsidR="00C774D5" w:rsidP="0204A69F" w:rsidRDefault="00000000" w14:paraId="6D5203D6" w14:textId="47C4CD1A">
          <w:pPr>
            <w:pStyle w:val="TOC3"/>
            <w:tabs>
              <w:tab w:val="right" w:leader="dot" w:pos="9015"/>
            </w:tabs>
          </w:pPr>
          <w:hyperlink w:anchor="_Toc1314371519">
            <w:r w:rsidRPr="0204A69F" w:rsidR="0204A69F">
              <w:rPr>
                <w:rStyle w:val="Hyperlink"/>
              </w:rPr>
              <w:t>3.5 Study Selection</w:t>
            </w:r>
            <w:r>
              <w:tab/>
            </w:r>
            <w:r>
              <w:fldChar w:fldCharType="begin"/>
            </w:r>
            <w:r>
              <w:instrText xml:space="preserve">PAGEREF _Toc1314371519 \h</w:instrText>
            </w:r>
            <w:r>
              <w:fldChar w:fldCharType="separate"/>
            </w:r>
            <w:r w:rsidRPr="0204A69F" w:rsidR="0204A69F">
              <w:rPr>
                <w:rStyle w:val="Hyperlink"/>
              </w:rPr>
              <w:t>7</w:t>
            </w:r>
            <w:r>
              <w:fldChar w:fldCharType="end"/>
            </w:r>
          </w:hyperlink>
        </w:p>
        <w:p w:rsidR="00C774D5" w:rsidP="0204A69F" w:rsidRDefault="00000000" w14:paraId="7E6A2771" w14:textId="655D5532">
          <w:pPr>
            <w:pStyle w:val="TOC3"/>
            <w:tabs>
              <w:tab w:val="right" w:leader="dot" w:pos="9015"/>
            </w:tabs>
          </w:pPr>
          <w:hyperlink w:anchor="_Toc722182568">
            <w:r w:rsidRPr="0204A69F" w:rsidR="0204A69F">
              <w:rPr>
                <w:rStyle w:val="Hyperlink"/>
              </w:rPr>
              <w:t>3.6 Data Extraction and Analysis</w:t>
            </w:r>
            <w:r>
              <w:tab/>
            </w:r>
            <w:r>
              <w:fldChar w:fldCharType="begin"/>
            </w:r>
            <w:r>
              <w:instrText xml:space="preserve">PAGEREF _Toc722182568 \h</w:instrText>
            </w:r>
            <w:r>
              <w:fldChar w:fldCharType="separate"/>
            </w:r>
            <w:r w:rsidRPr="0204A69F" w:rsidR="0204A69F">
              <w:rPr>
                <w:rStyle w:val="Hyperlink"/>
              </w:rPr>
              <w:t>8</w:t>
            </w:r>
            <w:r>
              <w:fldChar w:fldCharType="end"/>
            </w:r>
          </w:hyperlink>
        </w:p>
        <w:p w:rsidR="00C774D5" w:rsidP="0204A69F" w:rsidRDefault="00000000" w14:paraId="4978203F" w14:textId="171EFEB1">
          <w:pPr>
            <w:pStyle w:val="TOC3"/>
            <w:tabs>
              <w:tab w:val="right" w:leader="dot" w:pos="9015"/>
            </w:tabs>
          </w:pPr>
          <w:hyperlink w:anchor="_Toc1424580928">
            <w:r w:rsidRPr="0204A69F" w:rsidR="0204A69F">
              <w:rPr>
                <w:rStyle w:val="Hyperlink"/>
              </w:rPr>
              <w:t>3.7 Ethical Considerations</w:t>
            </w:r>
            <w:r>
              <w:tab/>
            </w:r>
            <w:r>
              <w:fldChar w:fldCharType="begin"/>
            </w:r>
            <w:r>
              <w:instrText xml:space="preserve">PAGEREF _Toc1424580928 \h</w:instrText>
            </w:r>
            <w:r>
              <w:fldChar w:fldCharType="separate"/>
            </w:r>
            <w:r w:rsidRPr="0204A69F" w:rsidR="0204A69F">
              <w:rPr>
                <w:rStyle w:val="Hyperlink"/>
              </w:rPr>
              <w:t>8</w:t>
            </w:r>
            <w:r>
              <w:fldChar w:fldCharType="end"/>
            </w:r>
          </w:hyperlink>
        </w:p>
        <w:p w:rsidR="00C774D5" w:rsidP="0204A69F" w:rsidRDefault="00000000" w14:paraId="2079F704" w14:textId="5711575F">
          <w:pPr>
            <w:pStyle w:val="TOC2"/>
            <w:tabs>
              <w:tab w:val="right" w:leader="dot" w:pos="9015"/>
            </w:tabs>
          </w:pPr>
          <w:hyperlink w:anchor="_Toc1099274053">
            <w:r w:rsidRPr="0204A69F" w:rsidR="0204A69F">
              <w:rPr>
                <w:rStyle w:val="Hyperlink"/>
              </w:rPr>
              <w:t>4. Results</w:t>
            </w:r>
            <w:r>
              <w:tab/>
            </w:r>
            <w:r>
              <w:fldChar w:fldCharType="begin"/>
            </w:r>
            <w:r>
              <w:instrText xml:space="preserve">PAGEREF _Toc1099274053 \h</w:instrText>
            </w:r>
            <w:r>
              <w:fldChar w:fldCharType="separate"/>
            </w:r>
            <w:r w:rsidRPr="0204A69F" w:rsidR="0204A69F">
              <w:rPr>
                <w:rStyle w:val="Hyperlink"/>
              </w:rPr>
              <w:t>8</w:t>
            </w:r>
            <w:r>
              <w:fldChar w:fldCharType="end"/>
            </w:r>
          </w:hyperlink>
        </w:p>
        <w:p w:rsidR="33A3F679" w:rsidP="0204A69F" w:rsidRDefault="33A3F679" w14:paraId="72867EAB" w14:textId="622045CF">
          <w:pPr>
            <w:pStyle w:val="TOC3"/>
            <w:tabs>
              <w:tab w:val="right" w:leader="dot" w:pos="9015"/>
            </w:tabs>
          </w:pPr>
          <w:hyperlink w:anchor="_Toc306645304">
            <w:r w:rsidRPr="0204A69F" w:rsidR="0204A69F">
              <w:rPr>
                <w:rStyle w:val="Hyperlink"/>
              </w:rPr>
              <w:t>Table 1. Summary of included studies</w:t>
            </w:r>
            <w:r>
              <w:tab/>
            </w:r>
            <w:r>
              <w:fldChar w:fldCharType="begin"/>
            </w:r>
            <w:r>
              <w:instrText xml:space="preserve">PAGEREF _Toc306645304 \h</w:instrText>
            </w:r>
            <w:r>
              <w:fldChar w:fldCharType="separate"/>
            </w:r>
            <w:r w:rsidRPr="0204A69F" w:rsidR="0204A69F">
              <w:rPr>
                <w:rStyle w:val="Hyperlink"/>
              </w:rPr>
              <w:t>8</w:t>
            </w:r>
            <w:r>
              <w:fldChar w:fldCharType="end"/>
            </w:r>
          </w:hyperlink>
        </w:p>
        <w:p w:rsidR="0204A69F" w:rsidP="0204A69F" w:rsidRDefault="0204A69F" w14:paraId="0EFF0BDD" w14:textId="5396B126">
          <w:pPr>
            <w:pStyle w:val="TOC3"/>
            <w:tabs>
              <w:tab w:val="right" w:leader="dot" w:pos="9015"/>
            </w:tabs>
          </w:pPr>
          <w:hyperlink w:anchor="_Toc99255739">
            <w:r w:rsidRPr="0204A69F" w:rsidR="0204A69F">
              <w:rPr>
                <w:rStyle w:val="Hyperlink"/>
              </w:rPr>
              <w:t>Table 2. Methodology Comparison</w:t>
            </w:r>
            <w:r>
              <w:tab/>
            </w:r>
            <w:r>
              <w:fldChar w:fldCharType="begin"/>
            </w:r>
            <w:r>
              <w:instrText xml:space="preserve">PAGEREF _Toc99255739 \h</w:instrText>
            </w:r>
            <w:r>
              <w:fldChar w:fldCharType="separate"/>
            </w:r>
            <w:r w:rsidRPr="0204A69F" w:rsidR="0204A69F">
              <w:rPr>
                <w:rStyle w:val="Hyperlink"/>
              </w:rPr>
              <w:t>10</w:t>
            </w:r>
            <w:r>
              <w:fldChar w:fldCharType="end"/>
            </w:r>
          </w:hyperlink>
        </w:p>
        <w:p w:rsidR="0204A69F" w:rsidP="0204A69F" w:rsidRDefault="0204A69F" w14:paraId="117AE420" w14:textId="5FB5092D">
          <w:pPr>
            <w:pStyle w:val="TOC3"/>
            <w:tabs>
              <w:tab w:val="right" w:leader="dot" w:pos="9015"/>
            </w:tabs>
          </w:pPr>
          <w:hyperlink w:anchor="_Toc457861870">
            <w:r w:rsidRPr="0204A69F" w:rsidR="0204A69F">
              <w:rPr>
                <w:rStyle w:val="Hyperlink"/>
              </w:rPr>
              <w:t>Table 3 Theme Matrix</w:t>
            </w:r>
            <w:r>
              <w:tab/>
            </w:r>
            <w:r>
              <w:fldChar w:fldCharType="begin"/>
            </w:r>
            <w:r>
              <w:instrText xml:space="preserve">PAGEREF _Toc457861870 \h</w:instrText>
            </w:r>
            <w:r>
              <w:fldChar w:fldCharType="separate"/>
            </w:r>
            <w:r w:rsidRPr="0204A69F" w:rsidR="0204A69F">
              <w:rPr>
                <w:rStyle w:val="Hyperlink"/>
              </w:rPr>
              <w:t>10</w:t>
            </w:r>
            <w:r>
              <w:fldChar w:fldCharType="end"/>
            </w:r>
          </w:hyperlink>
        </w:p>
        <w:p w:rsidR="0204A69F" w:rsidP="0204A69F" w:rsidRDefault="0204A69F" w14:paraId="098816E4" w14:textId="3D855F1F">
          <w:pPr>
            <w:pStyle w:val="TOC3"/>
            <w:tabs>
              <w:tab w:val="right" w:leader="dot" w:pos="9015"/>
            </w:tabs>
          </w:pPr>
          <w:hyperlink w:anchor="_Toc34778479">
            <w:r w:rsidRPr="0204A69F" w:rsidR="0204A69F">
              <w:rPr>
                <w:rStyle w:val="Hyperlink"/>
              </w:rPr>
              <w:t>4.1 Income and material disadvantage</w:t>
            </w:r>
            <w:r>
              <w:tab/>
            </w:r>
            <w:r>
              <w:fldChar w:fldCharType="begin"/>
            </w:r>
            <w:r>
              <w:instrText xml:space="preserve">PAGEREF _Toc34778479 \h</w:instrText>
            </w:r>
            <w:r>
              <w:fldChar w:fldCharType="separate"/>
            </w:r>
            <w:r w:rsidRPr="0204A69F" w:rsidR="0204A69F">
              <w:rPr>
                <w:rStyle w:val="Hyperlink"/>
              </w:rPr>
              <w:t>11</w:t>
            </w:r>
            <w:r>
              <w:fldChar w:fldCharType="end"/>
            </w:r>
          </w:hyperlink>
        </w:p>
        <w:p w:rsidR="0204A69F" w:rsidP="0204A69F" w:rsidRDefault="0204A69F" w14:paraId="0149445C" w14:textId="764E1246">
          <w:pPr>
            <w:pStyle w:val="TOC3"/>
            <w:tabs>
              <w:tab w:val="right" w:leader="dot" w:pos="9015"/>
            </w:tabs>
          </w:pPr>
          <w:hyperlink w:anchor="_Toc361947128">
            <w:r w:rsidRPr="0204A69F" w:rsidR="0204A69F">
              <w:rPr>
                <w:rStyle w:val="Hyperlink"/>
              </w:rPr>
              <w:t>4.2 Education and occupational position</w:t>
            </w:r>
            <w:r>
              <w:tab/>
            </w:r>
            <w:r>
              <w:fldChar w:fldCharType="begin"/>
            </w:r>
            <w:r>
              <w:instrText xml:space="preserve">PAGEREF _Toc361947128 \h</w:instrText>
            </w:r>
            <w:r>
              <w:fldChar w:fldCharType="separate"/>
            </w:r>
            <w:r w:rsidRPr="0204A69F" w:rsidR="0204A69F">
              <w:rPr>
                <w:rStyle w:val="Hyperlink"/>
              </w:rPr>
              <w:t>11</w:t>
            </w:r>
            <w:r>
              <w:fldChar w:fldCharType="end"/>
            </w:r>
          </w:hyperlink>
        </w:p>
        <w:p w:rsidR="0204A69F" w:rsidP="0204A69F" w:rsidRDefault="0204A69F" w14:paraId="1BFF6DAE" w14:textId="53B3459C">
          <w:pPr>
            <w:pStyle w:val="TOC3"/>
            <w:tabs>
              <w:tab w:val="right" w:leader="dot" w:pos="9015"/>
            </w:tabs>
          </w:pPr>
          <w:hyperlink w:anchor="_Toc1607773331">
            <w:r w:rsidRPr="0204A69F" w:rsidR="0204A69F">
              <w:rPr>
                <w:rStyle w:val="Hyperlink"/>
              </w:rPr>
              <w:t>4.3 Neighbourhood deprivation and insecurity</w:t>
            </w:r>
            <w:r>
              <w:tab/>
            </w:r>
            <w:r>
              <w:fldChar w:fldCharType="begin"/>
            </w:r>
            <w:r>
              <w:instrText xml:space="preserve">PAGEREF _Toc1607773331 \h</w:instrText>
            </w:r>
            <w:r>
              <w:fldChar w:fldCharType="separate"/>
            </w:r>
            <w:r w:rsidRPr="0204A69F" w:rsidR="0204A69F">
              <w:rPr>
                <w:rStyle w:val="Hyperlink"/>
              </w:rPr>
              <w:t>11</w:t>
            </w:r>
            <w:r>
              <w:fldChar w:fldCharType="end"/>
            </w:r>
          </w:hyperlink>
        </w:p>
        <w:p w:rsidR="0204A69F" w:rsidP="0204A69F" w:rsidRDefault="0204A69F" w14:paraId="709F0D5C" w14:textId="084930D9">
          <w:pPr>
            <w:pStyle w:val="TOC3"/>
            <w:tabs>
              <w:tab w:val="right" w:leader="dot" w:pos="9015"/>
            </w:tabs>
          </w:pPr>
          <w:hyperlink w:anchor="_Toc79852334">
            <w:r w:rsidRPr="0204A69F" w:rsidR="0204A69F">
              <w:rPr>
                <w:rStyle w:val="Hyperlink"/>
              </w:rPr>
              <w:t>4.4 Ethnicity, migration and gender</w:t>
            </w:r>
            <w:r>
              <w:tab/>
            </w:r>
            <w:r>
              <w:fldChar w:fldCharType="begin"/>
            </w:r>
            <w:r>
              <w:instrText xml:space="preserve">PAGEREF _Toc79852334 \h</w:instrText>
            </w:r>
            <w:r>
              <w:fldChar w:fldCharType="separate"/>
            </w:r>
            <w:r w:rsidRPr="0204A69F" w:rsidR="0204A69F">
              <w:rPr>
                <w:rStyle w:val="Hyperlink"/>
              </w:rPr>
              <w:t>12</w:t>
            </w:r>
            <w:r>
              <w:fldChar w:fldCharType="end"/>
            </w:r>
          </w:hyperlink>
        </w:p>
        <w:p w:rsidR="0204A69F" w:rsidP="0204A69F" w:rsidRDefault="0204A69F" w14:paraId="64F5C412" w14:textId="5A779DAD">
          <w:pPr>
            <w:pStyle w:val="TOC3"/>
            <w:tabs>
              <w:tab w:val="right" w:leader="dot" w:pos="9015"/>
            </w:tabs>
          </w:pPr>
          <w:hyperlink w:anchor="_Toc905152622">
            <w:r w:rsidRPr="0204A69F" w:rsidR="0204A69F">
              <w:rPr>
                <w:rStyle w:val="Hyperlink"/>
              </w:rPr>
              <w:t>4.5 Measurement of obesity and inequality</w:t>
            </w:r>
            <w:r>
              <w:tab/>
            </w:r>
            <w:r>
              <w:fldChar w:fldCharType="begin"/>
            </w:r>
            <w:r>
              <w:instrText xml:space="preserve">PAGEREF _Toc905152622 \h</w:instrText>
            </w:r>
            <w:r>
              <w:fldChar w:fldCharType="separate"/>
            </w:r>
            <w:r w:rsidRPr="0204A69F" w:rsidR="0204A69F">
              <w:rPr>
                <w:rStyle w:val="Hyperlink"/>
              </w:rPr>
              <w:t>12</w:t>
            </w:r>
            <w:r>
              <w:fldChar w:fldCharType="end"/>
            </w:r>
          </w:hyperlink>
        </w:p>
        <w:p w:rsidR="0204A69F" w:rsidP="0204A69F" w:rsidRDefault="0204A69F" w14:paraId="55343671" w14:textId="51774D22">
          <w:pPr>
            <w:pStyle w:val="TOC2"/>
            <w:tabs>
              <w:tab w:val="right" w:leader="dot" w:pos="9015"/>
            </w:tabs>
          </w:pPr>
          <w:hyperlink w:anchor="_Toc2102637517">
            <w:r w:rsidRPr="0204A69F" w:rsidR="0204A69F">
              <w:rPr>
                <w:rStyle w:val="Hyperlink"/>
              </w:rPr>
              <w:t>5. Discussion</w:t>
            </w:r>
            <w:r>
              <w:tab/>
            </w:r>
            <w:r>
              <w:fldChar w:fldCharType="begin"/>
            </w:r>
            <w:r>
              <w:instrText xml:space="preserve">PAGEREF _Toc2102637517 \h</w:instrText>
            </w:r>
            <w:r>
              <w:fldChar w:fldCharType="separate"/>
            </w:r>
            <w:r w:rsidRPr="0204A69F" w:rsidR="0204A69F">
              <w:rPr>
                <w:rStyle w:val="Hyperlink"/>
              </w:rPr>
              <w:t>12</w:t>
            </w:r>
            <w:r>
              <w:fldChar w:fldCharType="end"/>
            </w:r>
          </w:hyperlink>
        </w:p>
        <w:p w:rsidR="0204A69F" w:rsidP="0204A69F" w:rsidRDefault="0204A69F" w14:paraId="00A39C6F" w14:textId="5DF5C0E7">
          <w:pPr>
            <w:pStyle w:val="TOC3"/>
            <w:tabs>
              <w:tab w:val="right" w:leader="dot" w:pos="9015"/>
            </w:tabs>
          </w:pPr>
          <w:hyperlink w:anchor="_Toc148719522">
            <w:r w:rsidRPr="0204A69F" w:rsidR="0204A69F">
              <w:rPr>
                <w:rStyle w:val="Hyperlink"/>
              </w:rPr>
              <w:t>5.1 Comparison and Critical Discussion of the Findings</w:t>
            </w:r>
            <w:r>
              <w:tab/>
            </w:r>
            <w:r>
              <w:fldChar w:fldCharType="begin"/>
            </w:r>
            <w:r>
              <w:instrText xml:space="preserve">PAGEREF _Toc148719522 \h</w:instrText>
            </w:r>
            <w:r>
              <w:fldChar w:fldCharType="separate"/>
            </w:r>
            <w:r w:rsidRPr="0204A69F" w:rsidR="0204A69F">
              <w:rPr>
                <w:rStyle w:val="Hyperlink"/>
              </w:rPr>
              <w:t>12</w:t>
            </w:r>
            <w:r>
              <w:fldChar w:fldCharType="end"/>
            </w:r>
          </w:hyperlink>
        </w:p>
        <w:p w:rsidR="0204A69F" w:rsidP="0204A69F" w:rsidRDefault="0204A69F" w14:paraId="2C74346E" w14:textId="67A86F68">
          <w:pPr>
            <w:pStyle w:val="TOC3"/>
            <w:tabs>
              <w:tab w:val="right" w:leader="dot" w:pos="9015"/>
            </w:tabs>
          </w:pPr>
          <w:hyperlink w:anchor="_Toc528333144">
            <w:r w:rsidRPr="0204A69F" w:rsidR="0204A69F">
              <w:rPr>
                <w:rStyle w:val="Hyperlink"/>
              </w:rPr>
              <w:t>5.2 Income, Education and Socioeconomic Position</w:t>
            </w:r>
            <w:r>
              <w:tab/>
            </w:r>
            <w:r>
              <w:fldChar w:fldCharType="begin"/>
            </w:r>
            <w:r>
              <w:instrText xml:space="preserve">PAGEREF _Toc528333144 \h</w:instrText>
            </w:r>
            <w:r>
              <w:fldChar w:fldCharType="separate"/>
            </w:r>
            <w:r w:rsidRPr="0204A69F" w:rsidR="0204A69F">
              <w:rPr>
                <w:rStyle w:val="Hyperlink"/>
              </w:rPr>
              <w:t>13</w:t>
            </w:r>
            <w:r>
              <w:fldChar w:fldCharType="end"/>
            </w:r>
          </w:hyperlink>
        </w:p>
        <w:p w:rsidR="0204A69F" w:rsidP="0204A69F" w:rsidRDefault="0204A69F" w14:paraId="5A9CF5B6" w14:textId="06CE2401">
          <w:pPr>
            <w:pStyle w:val="TOC3"/>
            <w:tabs>
              <w:tab w:val="right" w:leader="dot" w:pos="9015"/>
            </w:tabs>
          </w:pPr>
          <w:hyperlink w:anchor="_Toc2076989517">
            <w:r w:rsidRPr="0204A69F" w:rsidR="0204A69F">
              <w:rPr>
                <w:rStyle w:val="Hyperlink"/>
              </w:rPr>
              <w:t>5.3 Neighbourhood Deprivation and Wider Social Determinants</w:t>
            </w:r>
            <w:r>
              <w:tab/>
            </w:r>
            <w:r>
              <w:fldChar w:fldCharType="begin"/>
            </w:r>
            <w:r>
              <w:instrText xml:space="preserve">PAGEREF _Toc2076989517 \h</w:instrText>
            </w:r>
            <w:r>
              <w:fldChar w:fldCharType="separate"/>
            </w:r>
            <w:r w:rsidRPr="0204A69F" w:rsidR="0204A69F">
              <w:rPr>
                <w:rStyle w:val="Hyperlink"/>
              </w:rPr>
              <w:t>13</w:t>
            </w:r>
            <w:r>
              <w:fldChar w:fldCharType="end"/>
            </w:r>
          </w:hyperlink>
        </w:p>
        <w:p w:rsidR="0204A69F" w:rsidP="0204A69F" w:rsidRDefault="0204A69F" w14:paraId="1F6CA091" w14:textId="1F16456D">
          <w:pPr>
            <w:pStyle w:val="TOC3"/>
            <w:tabs>
              <w:tab w:val="right" w:leader="dot" w:pos="9015"/>
            </w:tabs>
          </w:pPr>
          <w:hyperlink w:anchor="_Toc1709882722">
            <w:r w:rsidRPr="0204A69F" w:rsidR="0204A69F">
              <w:rPr>
                <w:rStyle w:val="Hyperlink"/>
              </w:rPr>
              <w:t>5.4 Ethnicity, Gender and Other Inequalities</w:t>
            </w:r>
            <w:r>
              <w:tab/>
            </w:r>
            <w:r>
              <w:fldChar w:fldCharType="begin"/>
            </w:r>
            <w:r>
              <w:instrText xml:space="preserve">PAGEREF _Toc1709882722 \h</w:instrText>
            </w:r>
            <w:r>
              <w:fldChar w:fldCharType="separate"/>
            </w:r>
            <w:r w:rsidRPr="0204A69F" w:rsidR="0204A69F">
              <w:rPr>
                <w:rStyle w:val="Hyperlink"/>
              </w:rPr>
              <w:t>14</w:t>
            </w:r>
            <w:r>
              <w:fldChar w:fldCharType="end"/>
            </w:r>
          </w:hyperlink>
        </w:p>
        <w:p w:rsidR="0204A69F" w:rsidP="0204A69F" w:rsidRDefault="0204A69F" w14:paraId="34CA20F6" w14:textId="3687F0E6">
          <w:pPr>
            <w:pStyle w:val="TOC3"/>
            <w:tabs>
              <w:tab w:val="right" w:leader="dot" w:pos="9015"/>
            </w:tabs>
          </w:pPr>
          <w:hyperlink w:anchor="_Toc1644951184">
            <w:r w:rsidRPr="0204A69F" w:rsidR="0204A69F">
              <w:rPr>
                <w:rStyle w:val="Hyperlink"/>
              </w:rPr>
              <w:t>5.5 Strengths and Limitations of the Evidence</w:t>
            </w:r>
            <w:r>
              <w:tab/>
            </w:r>
            <w:r>
              <w:fldChar w:fldCharType="begin"/>
            </w:r>
            <w:r>
              <w:instrText xml:space="preserve">PAGEREF _Toc1644951184 \h</w:instrText>
            </w:r>
            <w:r>
              <w:fldChar w:fldCharType="separate"/>
            </w:r>
            <w:r w:rsidRPr="0204A69F" w:rsidR="0204A69F">
              <w:rPr>
                <w:rStyle w:val="Hyperlink"/>
              </w:rPr>
              <w:t>14</w:t>
            </w:r>
            <w:r>
              <w:fldChar w:fldCharType="end"/>
            </w:r>
          </w:hyperlink>
        </w:p>
        <w:p w:rsidR="0204A69F" w:rsidP="0204A69F" w:rsidRDefault="0204A69F" w14:paraId="682B74D6" w14:textId="15030BD7">
          <w:pPr>
            <w:pStyle w:val="TOC2"/>
            <w:tabs>
              <w:tab w:val="right" w:leader="dot" w:pos="9015"/>
            </w:tabs>
          </w:pPr>
          <w:hyperlink w:anchor="_Toc89046905">
            <w:r w:rsidRPr="0204A69F" w:rsidR="0204A69F">
              <w:rPr>
                <w:rStyle w:val="Hyperlink"/>
              </w:rPr>
              <w:t>6. Conclusion</w:t>
            </w:r>
            <w:r>
              <w:tab/>
            </w:r>
            <w:r>
              <w:fldChar w:fldCharType="begin"/>
            </w:r>
            <w:r>
              <w:instrText xml:space="preserve">PAGEREF _Toc89046905 \h</w:instrText>
            </w:r>
            <w:r>
              <w:fldChar w:fldCharType="separate"/>
            </w:r>
            <w:r w:rsidRPr="0204A69F" w:rsidR="0204A69F">
              <w:rPr>
                <w:rStyle w:val="Hyperlink"/>
              </w:rPr>
              <w:t>14</w:t>
            </w:r>
            <w:r>
              <w:fldChar w:fldCharType="end"/>
            </w:r>
          </w:hyperlink>
        </w:p>
        <w:p w:rsidR="0204A69F" w:rsidP="0204A69F" w:rsidRDefault="0204A69F" w14:paraId="2A9057C9" w14:textId="6C714351">
          <w:pPr>
            <w:pStyle w:val="TOC2"/>
            <w:tabs>
              <w:tab w:val="right" w:leader="dot" w:pos="9015"/>
            </w:tabs>
          </w:pPr>
          <w:hyperlink w:anchor="_Toc1668997246">
            <w:r w:rsidRPr="0204A69F" w:rsidR="0204A69F">
              <w:rPr>
                <w:rStyle w:val="Hyperlink"/>
              </w:rPr>
              <w:t>7. Recommendations</w:t>
            </w:r>
            <w:r>
              <w:tab/>
            </w:r>
            <w:r>
              <w:fldChar w:fldCharType="begin"/>
            </w:r>
            <w:r>
              <w:instrText xml:space="preserve">PAGEREF _Toc1668997246 \h</w:instrText>
            </w:r>
            <w:r>
              <w:fldChar w:fldCharType="separate"/>
            </w:r>
            <w:r w:rsidRPr="0204A69F" w:rsidR="0204A69F">
              <w:rPr>
                <w:rStyle w:val="Hyperlink"/>
              </w:rPr>
              <w:t>15</w:t>
            </w:r>
            <w:r>
              <w:fldChar w:fldCharType="end"/>
            </w:r>
          </w:hyperlink>
        </w:p>
        <w:p w:rsidR="0204A69F" w:rsidP="0204A69F" w:rsidRDefault="0204A69F" w14:paraId="4F874C42" w14:textId="281621C6">
          <w:pPr>
            <w:pStyle w:val="TOC2"/>
            <w:tabs>
              <w:tab w:val="right" w:leader="dot" w:pos="9015"/>
            </w:tabs>
          </w:pPr>
          <w:hyperlink w:anchor="_Toc899024909">
            <w:r w:rsidRPr="0204A69F" w:rsidR="0204A69F">
              <w:rPr>
                <w:rStyle w:val="Hyperlink"/>
              </w:rPr>
              <w:t>References</w:t>
            </w:r>
            <w:r>
              <w:tab/>
            </w:r>
            <w:r>
              <w:fldChar w:fldCharType="begin"/>
            </w:r>
            <w:r>
              <w:instrText xml:space="preserve">PAGEREF _Toc899024909 \h</w:instrText>
            </w:r>
            <w:r>
              <w:fldChar w:fldCharType="separate"/>
            </w:r>
            <w:r w:rsidRPr="0204A69F" w:rsidR="0204A69F">
              <w:rPr>
                <w:rStyle w:val="Hyperlink"/>
              </w:rPr>
              <w:t>16</w:t>
            </w:r>
            <w:r>
              <w:fldChar w:fldCharType="end"/>
            </w:r>
          </w:hyperlink>
        </w:p>
        <w:p w:rsidR="00C774D5" w:rsidP="0204A69F" w:rsidRDefault="00C774D5" w14:paraId="5D1EE5D6" w14:textId="02061E09">
          <w:pPr>
            <w:spacing w:line="360" w:lineRule="auto"/>
            <w:jc w:val="both"/>
          </w:pPr>
          <w:r w:rsidRPr="0204A69F">
            <w:rPr>
              <w:b w:val="1"/>
              <w:bCs w:val="1"/>
              <w:noProof/>
            </w:rPr>
            <w:fldChar w:fldCharType="end"/>
          </w:r>
        </w:p>
      </w:sdtContent>
    </w:sdt>
    <w:p w:rsidR="00C42BD8" w:rsidP="0204A69F" w:rsidRDefault="00C42BD8" w14:paraId="60F620E9" w14:textId="57738BFE">
      <w:pPr>
        <w:spacing w:line="360" w:lineRule="auto"/>
        <w:jc w:val="both"/>
        <w:rPr>
          <w:rFonts w:ascii="Arial" w:hAnsi="Arial" w:cs="Arial"/>
          <w:sz w:val="22"/>
          <w:szCs w:val="22"/>
        </w:rPr>
      </w:pPr>
    </w:p>
    <w:p w:rsidR="0204A69F" w:rsidRDefault="0204A69F" w14:paraId="7A0DF8A4" w14:textId="1D1029A6">
      <w:r>
        <w:br w:type="page"/>
      </w:r>
    </w:p>
    <w:p w:rsidR="0204A69F" w:rsidP="0204A69F" w:rsidRDefault="0204A69F" w14:paraId="08418556" w14:textId="6EF11E46">
      <w:pPr>
        <w:pStyle w:val="Normal"/>
        <w:spacing w:line="360" w:lineRule="auto"/>
        <w:jc w:val="both"/>
        <w:rPr>
          <w:rFonts w:ascii="Arial" w:hAnsi="Arial" w:cs="Arial"/>
          <w:sz w:val="22"/>
          <w:szCs w:val="22"/>
        </w:rPr>
      </w:pPr>
    </w:p>
    <w:p w:rsidR="00FE4D42" w:rsidP="0204A69F" w:rsidRDefault="00FE4D42" w14:paraId="79D5F564" w14:textId="77777777">
      <w:pPr>
        <w:pStyle w:val="Heading1"/>
        <w:spacing w:line="360" w:lineRule="auto"/>
        <w:jc w:val="left"/>
      </w:pPr>
      <w:bookmarkStart w:name="_Toc1334955598" w:id="1249164601"/>
      <w:r w:rsidR="00FE4D42">
        <w:rPr/>
        <w:t>Research Report</w:t>
      </w:r>
      <w:bookmarkEnd w:id="1249164601"/>
    </w:p>
    <w:p w:rsidRPr="00BF7557" w:rsidR="00BF7557" w:rsidP="0204A69F" w:rsidRDefault="00FE4D42" w14:paraId="22997DEB" w14:textId="0542416E">
      <w:pPr>
        <w:pStyle w:val="Heading1"/>
        <w:spacing w:line="360" w:lineRule="auto"/>
        <w:jc w:val="left"/>
      </w:pPr>
      <w:bookmarkStart w:name="_Toc1067881155" w:id="1504797208"/>
      <w:r w:rsidR="00FE4D42">
        <w:rPr/>
        <w:t>Factors Contributing to Socioeconomic Inequalities in Obesity Among Adults in the UK</w:t>
      </w:r>
      <w:bookmarkEnd w:id="1504797208"/>
      <w:r w:rsidR="00BF7557">
        <w:rPr/>
        <w:t> </w:t>
      </w:r>
    </w:p>
    <w:p w:rsidRPr="00BF7557" w:rsidR="00BF7557" w:rsidP="0204A69F" w:rsidRDefault="00BF7557" w14:paraId="569159A8" w14:textId="77777777">
      <w:pPr>
        <w:pStyle w:val="Heading2"/>
        <w:spacing w:line="360" w:lineRule="auto"/>
        <w:jc w:val="both"/>
      </w:pPr>
      <w:bookmarkStart w:name="_Toc2080103906" w:id="241339319"/>
      <w:r w:rsidR="00BF7557">
        <w:rPr/>
        <w:t>1. Introduction</w:t>
      </w:r>
      <w:bookmarkEnd w:id="241339319"/>
    </w:p>
    <w:p w:rsidR="78EBAC89" w:rsidP="4AF24BA3" w:rsidRDefault="78EBAC89" w14:paraId="50D260CE" w14:textId="03730543">
      <w:pPr>
        <w:pStyle w:val="Normal"/>
        <w:spacing w:line="360" w:lineRule="auto"/>
        <w:jc w:val="both"/>
      </w:pPr>
      <w:r w:rsidRPr="4AF24BA3" w:rsidR="78EBAC89">
        <w:rPr>
          <w:rFonts w:ascii="Arial" w:hAnsi="Arial" w:eastAsia="Arial" w:cs="Arial"/>
          <w:sz w:val="22"/>
          <w:szCs w:val="22"/>
        </w:rPr>
        <w:t xml:space="preserve">Obesity is a major public health issue in the United Kingdom (UK) and is associated with an increased risk of long-term health conditions, including type 2 diabetes, cardiovascular disease, some </w:t>
      </w:r>
      <w:r w:rsidRPr="4AF24BA3" w:rsidR="78EBAC89">
        <w:rPr>
          <w:rFonts w:ascii="Arial" w:hAnsi="Arial" w:eastAsia="Arial" w:cs="Arial"/>
          <w:sz w:val="22"/>
          <w:szCs w:val="22"/>
        </w:rPr>
        <w:t>cancers</w:t>
      </w:r>
      <w:r w:rsidRPr="4AF24BA3" w:rsidR="78EBAC89">
        <w:rPr>
          <w:rFonts w:ascii="Arial" w:hAnsi="Arial" w:eastAsia="Arial" w:cs="Arial"/>
          <w:sz w:val="22"/>
          <w:szCs w:val="22"/>
        </w:rPr>
        <w:t xml:space="preserve"> and musculoskeletal disorders. It can also affect mental wellbeing and quality of life. Obesity is commonly measured using Body Mass Index (BMI), where a BMI of 30 kg/m² or above is classified as obesity. Although BMI is widely used, it does not measure body fat distribution or account for differences between ethnic groups. Therefore, BMI should be interpreted alongside other measures such as waist circumference where appropriate</w:t>
      </w:r>
      <w:r w:rsidRPr="4AF24BA3" w:rsidR="1AA76A37">
        <w:rPr>
          <w:rFonts w:ascii="Arial" w:hAnsi="Arial" w:eastAsia="Arial" w:cs="Arial"/>
          <w:sz w:val="22"/>
          <w:szCs w:val="22"/>
        </w:rPr>
        <w:t xml:space="preserve">, </w:t>
      </w:r>
      <w:r w:rsidRPr="4AF24BA3" w:rsidR="78EBAC89">
        <w:rPr>
          <w:rFonts w:ascii="Arial" w:hAnsi="Arial" w:eastAsia="Arial" w:cs="Arial"/>
          <w:sz w:val="22"/>
          <w:szCs w:val="22"/>
        </w:rPr>
        <w:t>(N</w:t>
      </w:r>
      <w:r w:rsidRPr="4AF24BA3" w:rsidR="0A93A762">
        <w:rPr>
          <w:rFonts w:ascii="Arial" w:hAnsi="Arial" w:eastAsia="Arial" w:cs="Arial"/>
          <w:sz w:val="22"/>
          <w:szCs w:val="22"/>
        </w:rPr>
        <w:t>I</w:t>
      </w:r>
      <w:r w:rsidRPr="4AF24BA3" w:rsidR="78EBAC89">
        <w:rPr>
          <w:rFonts w:ascii="Arial" w:hAnsi="Arial" w:eastAsia="Arial" w:cs="Arial"/>
          <w:sz w:val="22"/>
          <w:szCs w:val="22"/>
        </w:rPr>
        <w:t>CE, 2025).</w:t>
      </w:r>
    </w:p>
    <w:p w:rsidR="78EBAC89" w:rsidP="4AF24BA3" w:rsidRDefault="78EBAC89" w14:paraId="17DCA1E1" w14:textId="44B5C8B2">
      <w:pPr>
        <w:pStyle w:val="Normal"/>
        <w:suppressLineNumbers w:val="0"/>
        <w:bidi w:val="0"/>
        <w:spacing w:before="0" w:beforeAutospacing="off" w:after="160" w:afterAutospacing="off" w:line="360" w:lineRule="auto"/>
        <w:ind w:left="0" w:right="0"/>
        <w:jc w:val="both"/>
      </w:pPr>
      <w:r w:rsidRPr="4AF24BA3" w:rsidR="78EBAC89">
        <w:rPr>
          <w:rFonts w:ascii="Arial" w:hAnsi="Arial" w:eastAsia="Arial" w:cs="Arial"/>
          <w:sz w:val="22"/>
          <w:szCs w:val="22"/>
        </w:rPr>
        <w:t xml:space="preserve">The prevalence of obesity has continued to rise across the UK over recent decades. According to the Office for Health Improvement and Disparities (OHID, 2025), around two-thirds of adults in England are overweight or living with obesity. However, obesity does not affect everyone equally. Adults living in deprived communities are more likely to experience obesity than those living in more affluent areas, showing that obesity is </w:t>
      </w:r>
      <w:r w:rsidRPr="4AF24BA3" w:rsidR="78EBAC89">
        <w:rPr>
          <w:rFonts w:ascii="Arial" w:hAnsi="Arial" w:eastAsia="Arial" w:cs="Arial"/>
          <w:sz w:val="22"/>
          <w:szCs w:val="22"/>
        </w:rPr>
        <w:t>closely linked</w:t>
      </w:r>
      <w:r w:rsidRPr="4AF24BA3" w:rsidR="78EBAC89">
        <w:rPr>
          <w:rFonts w:ascii="Arial" w:hAnsi="Arial" w:eastAsia="Arial" w:cs="Arial"/>
          <w:sz w:val="22"/>
          <w:szCs w:val="22"/>
        </w:rPr>
        <w:t xml:space="preserve"> to social and economic inequalities rather than individual lifestyle choices alone (OHID, 2025; NHS England, </w:t>
      </w:r>
      <w:r w:rsidRPr="4AF24BA3" w:rsidR="436F0B88">
        <w:rPr>
          <w:rFonts w:ascii="Arial" w:hAnsi="Arial" w:eastAsia="Arial" w:cs="Arial"/>
          <w:sz w:val="22"/>
          <w:szCs w:val="22"/>
        </w:rPr>
        <w:t>2025</w:t>
      </w:r>
      <w:r w:rsidRPr="4AF24BA3" w:rsidR="78EBAC89">
        <w:rPr>
          <w:rFonts w:ascii="Arial" w:hAnsi="Arial" w:eastAsia="Arial" w:cs="Arial"/>
          <w:sz w:val="22"/>
          <w:szCs w:val="22"/>
        </w:rPr>
        <w:t>).</w:t>
      </w:r>
    </w:p>
    <w:p w:rsidR="78EBAC89" w:rsidP="4AF24BA3" w:rsidRDefault="78EBAC89" w14:paraId="2A537234" w14:textId="71D8316F">
      <w:pPr>
        <w:pStyle w:val="Normal"/>
        <w:spacing w:line="360" w:lineRule="auto"/>
        <w:jc w:val="both"/>
      </w:pPr>
      <w:r w:rsidRPr="4AF24BA3" w:rsidR="78EBAC89">
        <w:rPr>
          <w:rFonts w:ascii="Arial" w:hAnsi="Arial" w:eastAsia="Arial" w:cs="Arial"/>
          <w:sz w:val="22"/>
          <w:szCs w:val="22"/>
        </w:rPr>
        <w:t>Socioeconomic inequalities refer to unfair and avoidable differences in people's health that are influenced by factors such as income, education, employment, housing and the environment in which they live. These factors, often referred to as the social determinants of health, can influence access to healthy food, opportunities for physical activity, healthcare services and health information. As a result, people living in disadvantaged circumstances often face greater barriers to maintaining a healthy weight (Marmot et al., 2020; NICE, 2025).</w:t>
      </w:r>
    </w:p>
    <w:p w:rsidR="78EBAC89" w:rsidP="4AF24BA3" w:rsidRDefault="78EBAC89" w14:paraId="079AE4F2" w14:textId="3FDFBB46">
      <w:pPr>
        <w:pStyle w:val="Normal"/>
        <w:spacing w:line="360" w:lineRule="auto"/>
        <w:jc w:val="both"/>
      </w:pPr>
      <w:r w:rsidRPr="4AF24BA3" w:rsidR="78EBAC89">
        <w:rPr>
          <w:rFonts w:ascii="Arial" w:hAnsi="Arial" w:eastAsia="Arial" w:cs="Arial"/>
          <w:sz w:val="22"/>
          <w:szCs w:val="22"/>
        </w:rPr>
        <w:t xml:space="preserve">This topic is important because obesity places a significant burden on individuals, families and health and social care services. It also contributes to widening health inequalities across the UK. Understanding the reasons why obesity is more common among disadvantaged groups can help healthcare professionals and policymakers develop more effective interventions and reduce inequalities. Rather than focusing only on individual behaviour, it is important to understand the wider social and environmental factors that influence health outcomes (Briazu et al., 2024; NHS England, </w:t>
      </w:r>
      <w:r w:rsidRPr="4AF24BA3" w:rsidR="1B282EFE">
        <w:rPr>
          <w:rFonts w:ascii="Arial" w:hAnsi="Arial" w:eastAsia="Arial" w:cs="Arial"/>
          <w:sz w:val="22"/>
          <w:szCs w:val="22"/>
        </w:rPr>
        <w:t>n.d</w:t>
      </w:r>
      <w:r w:rsidRPr="4AF24BA3" w:rsidR="78EBAC89">
        <w:rPr>
          <w:rFonts w:ascii="Arial" w:hAnsi="Arial" w:eastAsia="Arial" w:cs="Arial"/>
          <w:sz w:val="22"/>
          <w:szCs w:val="22"/>
        </w:rPr>
        <w:t>).</w:t>
      </w:r>
    </w:p>
    <w:p w:rsidR="78EBAC89" w:rsidP="4AF24BA3" w:rsidRDefault="78EBAC89" w14:paraId="402EF5BC" w14:textId="5334BB8B">
      <w:pPr>
        <w:pStyle w:val="Normal"/>
        <w:spacing w:line="360" w:lineRule="auto"/>
        <w:jc w:val="both"/>
      </w:pPr>
      <w:r w:rsidRPr="4AF24BA3" w:rsidR="78EBAC89">
        <w:rPr>
          <w:rFonts w:ascii="Arial" w:hAnsi="Arial" w:eastAsia="Arial" w:cs="Arial"/>
          <w:sz w:val="22"/>
          <w:szCs w:val="22"/>
        </w:rPr>
        <w:t xml:space="preserve">This research uses a scoping review </w:t>
      </w:r>
      <w:r w:rsidRPr="4AF24BA3" w:rsidR="78EBAC89">
        <w:rPr>
          <w:rFonts w:ascii="Arial" w:hAnsi="Arial" w:eastAsia="Arial" w:cs="Arial"/>
          <w:sz w:val="22"/>
          <w:szCs w:val="22"/>
        </w:rPr>
        <w:t>methodology</w:t>
      </w:r>
      <w:r w:rsidRPr="4AF24BA3" w:rsidR="78EBAC89">
        <w:rPr>
          <w:rFonts w:ascii="Arial" w:hAnsi="Arial" w:eastAsia="Arial" w:cs="Arial"/>
          <w:sz w:val="22"/>
          <w:szCs w:val="22"/>
        </w:rPr>
        <w:t xml:space="preserve"> to examine current peer-reviewed evidence on factors contributing to socioeconomic inequalities in obesity among adults in the UK. A scoping review is appropriate because it allows different types of research to be explored, compared and summarised, helping to identify the main themes and any gaps in the existing literature (Aveyard, 2014; </w:t>
      </w:r>
      <w:r w:rsidRPr="4AF24BA3" w:rsidR="78EBAC89">
        <w:rPr>
          <w:rFonts w:ascii="Arial" w:hAnsi="Arial" w:eastAsia="Arial" w:cs="Arial"/>
          <w:sz w:val="22"/>
          <w:szCs w:val="22"/>
        </w:rPr>
        <w:t>Tricco</w:t>
      </w:r>
      <w:r w:rsidRPr="4AF24BA3" w:rsidR="78EBAC89">
        <w:rPr>
          <w:rFonts w:ascii="Arial" w:hAnsi="Arial" w:eastAsia="Arial" w:cs="Arial"/>
          <w:sz w:val="22"/>
          <w:szCs w:val="22"/>
        </w:rPr>
        <w:t xml:space="preserve"> et al., 2018</w:t>
      </w:r>
      <w:r w:rsidRPr="4AF24BA3" w:rsidR="451E8CE2">
        <w:rPr>
          <w:rFonts w:ascii="Arial" w:hAnsi="Arial" w:eastAsia="Arial" w:cs="Arial"/>
          <w:sz w:val="22"/>
          <w:szCs w:val="22"/>
        </w:rPr>
        <w:t xml:space="preserve">, </w:t>
      </w:r>
      <w:r w:rsidRPr="4AF24BA3" w:rsidR="451E8CE2">
        <w:rPr>
          <w:rFonts w:ascii="Arial" w:hAnsi="Arial" w:eastAsia="Arial" w:cs="Arial"/>
          <w:b w:val="0"/>
          <w:bCs w:val="0"/>
          <w:i w:val="0"/>
          <w:iCs w:val="0"/>
          <w:caps w:val="0"/>
          <w:smallCaps w:val="0"/>
          <w:noProof w:val="0"/>
          <w:color w:val="1F1F1F"/>
          <w:sz w:val="22"/>
          <w:szCs w:val="22"/>
          <w:lang w:val="en-GB"/>
        </w:rPr>
        <w:t>Arksey &amp; O'Malley, 2005).</w:t>
      </w:r>
    </w:p>
    <w:p w:rsidR="4AF24BA3" w:rsidP="4AF24BA3" w:rsidRDefault="4AF24BA3" w14:paraId="400C8CED" w14:textId="37395106">
      <w:pPr>
        <w:pStyle w:val="Normal"/>
        <w:spacing w:line="360" w:lineRule="auto"/>
        <w:jc w:val="both"/>
        <w:rPr>
          <w:rFonts w:ascii="Arial" w:hAnsi="Arial" w:eastAsia="Arial" w:cs="Arial"/>
          <w:b w:val="0"/>
          <w:bCs w:val="0"/>
          <w:i w:val="0"/>
          <w:iCs w:val="0"/>
          <w:caps w:val="0"/>
          <w:smallCaps w:val="0"/>
          <w:noProof w:val="0"/>
          <w:color w:val="1F1F1F"/>
          <w:sz w:val="22"/>
          <w:szCs w:val="22"/>
          <w:lang w:val="en-GB"/>
        </w:rPr>
      </w:pPr>
    </w:p>
    <w:p w:rsidRPr="00BF7557" w:rsidR="00BF7557" w:rsidP="0204A69F" w:rsidRDefault="00BF7557" w14:paraId="2C0E4158" w14:textId="77777777">
      <w:pPr>
        <w:pStyle w:val="Heading2"/>
        <w:spacing w:line="360" w:lineRule="auto"/>
        <w:jc w:val="both"/>
      </w:pPr>
      <w:bookmarkStart w:name="_Toc30852888" w:id="481938674"/>
      <w:r w:rsidR="00BF7557">
        <w:rPr/>
        <w:t>Review question</w:t>
      </w:r>
      <w:bookmarkEnd w:id="481938674"/>
    </w:p>
    <w:p w:rsidRPr="00BF7557" w:rsidR="00BF7557" w:rsidP="0204A69F" w:rsidRDefault="00BF7557" w14:paraId="39EDA6CF" w14:textId="77777777">
      <w:pPr>
        <w:pStyle w:val="Heading3"/>
        <w:spacing w:line="360" w:lineRule="auto"/>
        <w:jc w:val="both"/>
      </w:pPr>
      <w:bookmarkStart w:name="_Toc1184706668" w:id="788840879"/>
      <w:r w:rsidR="00BF7557">
        <w:rPr/>
        <w:t>What factors contribute to socioeconomic inequalities in obesity among adults in the UK?</w:t>
      </w:r>
      <w:bookmarkEnd w:id="788840879"/>
    </w:p>
    <w:p w:rsidRPr="00FE4D42" w:rsidR="00BF7557" w:rsidP="0204A69F" w:rsidRDefault="00BF7557" w14:paraId="6D2524DE" w14:textId="77777777">
      <w:pPr>
        <w:spacing w:line="360" w:lineRule="auto"/>
        <w:jc w:val="both"/>
        <w:rPr>
          <w:rFonts w:ascii="Arial" w:hAnsi="Arial" w:cs="Arial"/>
          <w:b w:val="1"/>
          <w:bCs w:val="1"/>
          <w:sz w:val="28"/>
          <w:szCs w:val="28"/>
        </w:rPr>
      </w:pPr>
      <w:r w:rsidRPr="0204A69F" w:rsidR="00BF7557">
        <w:rPr>
          <w:rFonts w:ascii="Arial" w:hAnsi="Arial" w:cs="Arial"/>
          <w:b w:val="1"/>
          <w:bCs w:val="1"/>
          <w:sz w:val="28"/>
          <w:szCs w:val="28"/>
        </w:rPr>
        <w:t>Aim</w:t>
      </w:r>
    </w:p>
    <w:p w:rsidRPr="00BF7557" w:rsidR="00BF7557" w:rsidP="00BF7557" w:rsidRDefault="00BF7557" w14:paraId="45045867" w14:textId="77777777">
      <w:pPr>
        <w:spacing w:line="360" w:lineRule="auto"/>
        <w:jc w:val="both"/>
        <w:rPr>
          <w:rFonts w:ascii="Arial" w:hAnsi="Arial" w:cs="Arial"/>
          <w:sz w:val="22"/>
          <w:szCs w:val="22"/>
        </w:rPr>
      </w:pPr>
      <w:r w:rsidRPr="00BF7557">
        <w:rPr>
          <w:rFonts w:ascii="Arial" w:hAnsi="Arial" w:cs="Arial"/>
          <w:sz w:val="22"/>
          <w:szCs w:val="22"/>
        </w:rPr>
        <w:t>To explore and synthesise current peer-reviewed evidence on socioeconomic factors contributing to obesity inequalities among adults in the United Kingdom.</w:t>
      </w:r>
    </w:p>
    <w:p w:rsidRPr="00FE4D42" w:rsidR="00BF7557" w:rsidP="0204A69F" w:rsidRDefault="00BF7557" w14:paraId="52C035B8" w14:textId="77777777">
      <w:pPr>
        <w:spacing w:line="360" w:lineRule="auto"/>
        <w:jc w:val="both"/>
        <w:rPr>
          <w:rFonts w:ascii="Arial" w:hAnsi="Arial" w:cs="Arial"/>
          <w:b w:val="1"/>
          <w:bCs w:val="1"/>
          <w:sz w:val="28"/>
          <w:szCs w:val="28"/>
        </w:rPr>
      </w:pPr>
      <w:r w:rsidRPr="0204A69F" w:rsidR="00BF7557">
        <w:rPr>
          <w:rFonts w:ascii="Arial" w:hAnsi="Arial" w:cs="Arial"/>
          <w:b w:val="1"/>
          <w:bCs w:val="1"/>
          <w:sz w:val="28"/>
          <w:szCs w:val="28"/>
        </w:rPr>
        <w:t>Objectives</w:t>
      </w:r>
    </w:p>
    <w:p w:rsidRPr="0089550E" w:rsidR="00BF7557" w:rsidP="0089550E" w:rsidRDefault="00BF7557" w14:paraId="32D9A691" w14:textId="384B04B7">
      <w:pPr>
        <w:pStyle w:val="ListParagraph"/>
        <w:numPr>
          <w:ilvl w:val="0"/>
          <w:numId w:val="2"/>
        </w:numPr>
        <w:spacing w:line="360" w:lineRule="auto"/>
        <w:jc w:val="both"/>
        <w:rPr>
          <w:rFonts w:ascii="Arial" w:hAnsi="Arial" w:cs="Arial"/>
          <w:sz w:val="22"/>
          <w:szCs w:val="22"/>
        </w:rPr>
      </w:pPr>
      <w:r w:rsidRPr="0089550E">
        <w:rPr>
          <w:rFonts w:ascii="Arial" w:hAnsi="Arial" w:cs="Arial"/>
          <w:sz w:val="22"/>
          <w:szCs w:val="22"/>
        </w:rPr>
        <w:t>Identify the main socioeconomic factors associated with obesity among UK adults.</w:t>
      </w:r>
    </w:p>
    <w:p w:rsidRPr="0089550E" w:rsidR="00BF7557" w:rsidP="0089550E" w:rsidRDefault="00BF7557" w14:paraId="62D7D088" w14:textId="3AEBA31C">
      <w:pPr>
        <w:pStyle w:val="ListParagraph"/>
        <w:numPr>
          <w:ilvl w:val="0"/>
          <w:numId w:val="2"/>
        </w:numPr>
        <w:spacing w:line="360" w:lineRule="auto"/>
        <w:jc w:val="both"/>
        <w:rPr>
          <w:rFonts w:ascii="Arial" w:hAnsi="Arial" w:cs="Arial"/>
          <w:sz w:val="22"/>
          <w:szCs w:val="22"/>
        </w:rPr>
      </w:pPr>
      <w:r w:rsidRPr="0089550E">
        <w:rPr>
          <w:rFonts w:ascii="Arial" w:hAnsi="Arial" w:cs="Arial"/>
          <w:sz w:val="22"/>
          <w:szCs w:val="22"/>
        </w:rPr>
        <w:t>Compare findings from five peer-reviewed research studies.</w:t>
      </w:r>
    </w:p>
    <w:p w:rsidRPr="0089550E" w:rsidR="00BF7557" w:rsidP="0089550E" w:rsidRDefault="00BF7557" w14:paraId="0C67D2AB" w14:textId="6D306238">
      <w:pPr>
        <w:pStyle w:val="ListParagraph"/>
        <w:numPr>
          <w:ilvl w:val="0"/>
          <w:numId w:val="2"/>
        </w:numPr>
        <w:spacing w:line="360" w:lineRule="auto"/>
        <w:jc w:val="both"/>
        <w:rPr>
          <w:rFonts w:ascii="Arial" w:hAnsi="Arial" w:cs="Arial"/>
          <w:sz w:val="22"/>
          <w:szCs w:val="22"/>
        </w:rPr>
      </w:pPr>
      <w:r w:rsidRPr="0089550E">
        <w:rPr>
          <w:rFonts w:ascii="Arial" w:hAnsi="Arial" w:cs="Arial"/>
          <w:sz w:val="22"/>
          <w:szCs w:val="22"/>
        </w:rPr>
        <w:t>Identify common themes through thematic analysis.</w:t>
      </w:r>
    </w:p>
    <w:p w:rsidRPr="0089550E" w:rsidR="00BF7557" w:rsidP="0089550E" w:rsidRDefault="00BF7557" w14:paraId="060994C2" w14:textId="1C325E6E">
      <w:pPr>
        <w:pStyle w:val="ListParagraph"/>
        <w:numPr>
          <w:ilvl w:val="0"/>
          <w:numId w:val="2"/>
        </w:numPr>
        <w:spacing w:line="360" w:lineRule="auto"/>
        <w:jc w:val="both"/>
        <w:rPr>
          <w:rFonts w:ascii="Arial" w:hAnsi="Arial" w:cs="Arial"/>
          <w:sz w:val="22"/>
          <w:szCs w:val="22"/>
        </w:rPr>
      </w:pPr>
      <w:r w:rsidRPr="0089550E">
        <w:rPr>
          <w:rFonts w:ascii="Arial" w:hAnsi="Arial" w:cs="Arial"/>
          <w:sz w:val="22"/>
          <w:szCs w:val="22"/>
        </w:rPr>
        <w:t>Critically evaluate the strengths and weaknesses of the evidence.</w:t>
      </w:r>
    </w:p>
    <w:p w:rsidRPr="0089550E" w:rsidR="00BF7557" w:rsidP="0089550E" w:rsidRDefault="00BF7557" w14:paraId="389C9784" w14:textId="2BCB5D18">
      <w:pPr>
        <w:pStyle w:val="ListParagraph"/>
        <w:numPr>
          <w:ilvl w:val="0"/>
          <w:numId w:val="2"/>
        </w:numPr>
        <w:spacing w:line="360" w:lineRule="auto"/>
        <w:jc w:val="both"/>
        <w:rPr>
          <w:rFonts w:ascii="Arial" w:hAnsi="Arial" w:cs="Arial"/>
          <w:sz w:val="22"/>
          <w:szCs w:val="22"/>
        </w:rPr>
      </w:pPr>
      <w:r w:rsidRPr="0089550E">
        <w:rPr>
          <w:rFonts w:ascii="Arial" w:hAnsi="Arial" w:cs="Arial"/>
          <w:sz w:val="22"/>
          <w:szCs w:val="22"/>
        </w:rPr>
        <w:t>Identify gaps in the literature.</w:t>
      </w:r>
    </w:p>
    <w:p w:rsidR="00F36751" w:rsidP="4AF24BA3" w:rsidRDefault="00F36751" w14:paraId="2822D466" w14:textId="67AFE9BD">
      <w:pPr>
        <w:pStyle w:val="ListParagraph"/>
        <w:numPr>
          <w:ilvl w:val="0"/>
          <w:numId w:val="2"/>
        </w:numPr>
        <w:spacing w:line="360" w:lineRule="auto"/>
        <w:jc w:val="both"/>
        <w:rPr>
          <w:rFonts w:ascii="Arial" w:hAnsi="Arial" w:cs="Arial"/>
          <w:sz w:val="22"/>
          <w:szCs w:val="22"/>
        </w:rPr>
      </w:pPr>
      <w:r w:rsidRPr="4AF24BA3" w:rsidR="00BF7557">
        <w:rPr>
          <w:rFonts w:ascii="Arial" w:hAnsi="Arial" w:cs="Arial"/>
          <w:sz w:val="22"/>
          <w:szCs w:val="22"/>
        </w:rPr>
        <w:t xml:space="preserve">Make recommendations for future research, policy and UK health and social </w:t>
      </w:r>
      <w:r w:rsidRPr="4AF24BA3" w:rsidR="00FE4D42">
        <w:rPr>
          <w:rFonts w:ascii="Arial" w:hAnsi="Arial" w:cs="Arial"/>
          <w:sz w:val="22"/>
          <w:szCs w:val="22"/>
        </w:rPr>
        <w:t>care practice</w:t>
      </w:r>
      <w:r w:rsidRPr="4AF24BA3" w:rsidR="00BF7557">
        <w:rPr>
          <w:rFonts w:ascii="Arial" w:hAnsi="Arial" w:cs="Arial"/>
          <w:sz w:val="22"/>
          <w:szCs w:val="22"/>
        </w:rPr>
        <w:t>.</w:t>
      </w:r>
    </w:p>
    <w:p w:rsidRPr="00BF7557" w:rsidR="00BF7557" w:rsidP="0204A69F" w:rsidRDefault="00BF7557" w14:paraId="6A3FC52D" w14:textId="153CE804">
      <w:pPr>
        <w:pStyle w:val="Heading2"/>
        <w:spacing w:line="360" w:lineRule="auto"/>
        <w:jc w:val="both"/>
      </w:pPr>
      <w:bookmarkStart w:name="_Toc309599443" w:id="717990258"/>
      <w:r w:rsidR="00BF7557">
        <w:rPr/>
        <w:t>2. Background</w:t>
      </w:r>
      <w:bookmarkEnd w:id="717990258"/>
    </w:p>
    <w:p w:rsidRPr="00BF7557" w:rsidR="00BF7557" w:rsidP="4AF24BA3" w:rsidRDefault="00BF7557" w14:paraId="48531E04" w14:textId="4214E955">
      <w:pPr>
        <w:pStyle w:val="Normal"/>
        <w:spacing w:line="360" w:lineRule="auto"/>
        <w:jc w:val="both"/>
      </w:pPr>
      <w:r w:rsidRPr="4AF24BA3" w:rsidR="72E71B69">
        <w:rPr>
          <w:rFonts w:ascii="Arial" w:hAnsi="Arial" w:eastAsia="Arial" w:cs="Arial"/>
          <w:sz w:val="22"/>
          <w:szCs w:val="22"/>
        </w:rPr>
        <w:t xml:space="preserve">Obesity is one of the biggest public health challenges facing the UK. It increases the risk of many long-term conditions, including type 2 diabetes, heart disease, stroke, some cancers and poor mental health. It also places considerable pressure on the NHS and social care services because people living with obesity often require ongoing treatment and support (NICE, 2025; NHS England, n.d.). </w:t>
      </w:r>
    </w:p>
    <w:p w:rsidRPr="00BF7557" w:rsidR="00BF7557" w:rsidP="4AF24BA3" w:rsidRDefault="00BF7557" w14:paraId="1C5B117F" w14:textId="53C0B6C7">
      <w:pPr>
        <w:pStyle w:val="Normal"/>
        <w:spacing w:line="360" w:lineRule="auto"/>
        <w:jc w:val="both"/>
      </w:pPr>
      <w:r w:rsidRPr="4AF24BA3" w:rsidR="72E71B69">
        <w:rPr>
          <w:rFonts w:ascii="Arial" w:hAnsi="Arial" w:eastAsia="Arial" w:cs="Arial"/>
          <w:sz w:val="22"/>
          <w:szCs w:val="22"/>
        </w:rPr>
        <w:t xml:space="preserve"> </w:t>
      </w:r>
      <w:r w:rsidRPr="4AF24BA3" w:rsidR="72E71B69">
        <w:rPr>
          <w:rFonts w:ascii="Arial" w:hAnsi="Arial" w:eastAsia="Arial" w:cs="Arial"/>
          <w:sz w:val="22"/>
          <w:szCs w:val="22"/>
        </w:rPr>
        <w:t xml:space="preserve">Although obesity affects people from all social backgrounds, research shows that it is more common among adults living in deprived areas. The Office for Health Improvement and Disparities (OHID, 2025) reports that adults living in the most deprived communities have much higher obesity rates than those living in the least deprived areas. This shows that obesity is not simply the result of individual lifestyle choices but is influenced by wider social and economic factors (OHID, 2025). </w:t>
      </w:r>
    </w:p>
    <w:p w:rsidRPr="00BF7557" w:rsidR="00BF7557" w:rsidP="4AF24BA3" w:rsidRDefault="00BF7557" w14:paraId="1E476ACA" w14:textId="226AC388">
      <w:pPr>
        <w:pStyle w:val="Normal"/>
        <w:spacing w:line="360" w:lineRule="auto"/>
        <w:jc w:val="both"/>
      </w:pPr>
      <w:r w:rsidRPr="4AF24BA3" w:rsidR="72E71B69">
        <w:rPr>
          <w:rFonts w:ascii="Arial" w:hAnsi="Arial" w:eastAsia="Arial" w:cs="Arial"/>
          <w:sz w:val="22"/>
          <w:szCs w:val="22"/>
        </w:rPr>
        <w:t xml:space="preserve"> </w:t>
      </w:r>
      <w:r w:rsidRPr="4AF24BA3" w:rsidR="72E71B69">
        <w:rPr>
          <w:rFonts w:ascii="Arial" w:hAnsi="Arial" w:eastAsia="Arial" w:cs="Arial"/>
          <w:sz w:val="22"/>
          <w:szCs w:val="22"/>
        </w:rPr>
        <w:t xml:space="preserve">One useful way of understanding these differences is through the Social Determinants of Health. These are the conditions in which people are born, grow, live, work and age. Factors such as income, education, employment, housing, </w:t>
      </w:r>
      <w:r w:rsidRPr="4AF24BA3" w:rsidR="72E71B69">
        <w:rPr>
          <w:rFonts w:ascii="Arial" w:hAnsi="Arial" w:eastAsia="Arial" w:cs="Arial"/>
          <w:sz w:val="22"/>
          <w:szCs w:val="22"/>
        </w:rPr>
        <w:t>transport</w:t>
      </w:r>
      <w:r w:rsidRPr="4AF24BA3" w:rsidR="72E71B69">
        <w:rPr>
          <w:rFonts w:ascii="Arial" w:hAnsi="Arial" w:eastAsia="Arial" w:cs="Arial"/>
          <w:sz w:val="22"/>
          <w:szCs w:val="22"/>
        </w:rPr>
        <w:t xml:space="preserve"> and access to healthcare all influence people's health. Adults with lower incomes may find it harder to afford healthy food, while those living in deprived neighbourhoods may have fewer opportunities for physical activity because of poor transport links, limited green spaces or concerns about safety (Marmot et al., 2020; NICE, 2025). </w:t>
      </w:r>
    </w:p>
    <w:p w:rsidRPr="00BF7557" w:rsidR="00BF7557" w:rsidP="4AF24BA3" w:rsidRDefault="00BF7557" w14:paraId="418465B7" w14:textId="2D24D851">
      <w:pPr>
        <w:pStyle w:val="Normal"/>
        <w:spacing w:line="360" w:lineRule="auto"/>
        <w:jc w:val="both"/>
      </w:pPr>
      <w:r w:rsidRPr="4AF24BA3" w:rsidR="72E71B69">
        <w:rPr>
          <w:rFonts w:ascii="Arial" w:hAnsi="Arial" w:eastAsia="Arial" w:cs="Arial"/>
          <w:sz w:val="22"/>
          <w:szCs w:val="22"/>
        </w:rPr>
        <w:t xml:space="preserve"> </w:t>
      </w:r>
      <w:r w:rsidRPr="4AF24BA3" w:rsidR="72E71B69">
        <w:rPr>
          <w:rFonts w:ascii="Arial" w:hAnsi="Arial" w:eastAsia="Arial" w:cs="Arial"/>
          <w:sz w:val="22"/>
          <w:szCs w:val="22"/>
        </w:rPr>
        <w:t xml:space="preserve">Income is one of the main factors linked to obesity inequalities. Families experiencing financial hardship may rely on cheaper foods that are high in fat, </w:t>
      </w:r>
      <w:r w:rsidRPr="4AF24BA3" w:rsidR="72E71B69">
        <w:rPr>
          <w:rFonts w:ascii="Arial" w:hAnsi="Arial" w:eastAsia="Arial" w:cs="Arial"/>
          <w:sz w:val="22"/>
          <w:szCs w:val="22"/>
        </w:rPr>
        <w:t>sugar</w:t>
      </w:r>
      <w:r w:rsidRPr="4AF24BA3" w:rsidR="72E71B69">
        <w:rPr>
          <w:rFonts w:ascii="Arial" w:hAnsi="Arial" w:eastAsia="Arial" w:cs="Arial"/>
          <w:sz w:val="22"/>
          <w:szCs w:val="22"/>
        </w:rPr>
        <w:t xml:space="preserve"> and salt because healthier options are often more expensive. Financial pressures can also increase stress, which may affect eating habits and overall health. However, income is only one part of the picture. Education, </w:t>
      </w:r>
      <w:r w:rsidRPr="4AF24BA3" w:rsidR="72E71B69">
        <w:rPr>
          <w:rFonts w:ascii="Arial" w:hAnsi="Arial" w:eastAsia="Arial" w:cs="Arial"/>
          <w:sz w:val="22"/>
          <w:szCs w:val="22"/>
        </w:rPr>
        <w:t>employment</w:t>
      </w:r>
      <w:r w:rsidRPr="4AF24BA3" w:rsidR="72E71B69">
        <w:rPr>
          <w:rFonts w:ascii="Arial" w:hAnsi="Arial" w:eastAsia="Arial" w:cs="Arial"/>
          <w:sz w:val="22"/>
          <w:szCs w:val="22"/>
        </w:rPr>
        <w:t xml:space="preserve"> and housing also influence people's ability to make healthy lifestyle choices (Bann et al., 2017; </w:t>
      </w:r>
      <w:r w:rsidRPr="4AF24BA3" w:rsidR="72E71B69">
        <w:rPr>
          <w:rFonts w:ascii="Arial" w:hAnsi="Arial" w:eastAsia="Arial" w:cs="Arial"/>
          <w:sz w:val="22"/>
          <w:szCs w:val="22"/>
        </w:rPr>
        <w:t>Briazu</w:t>
      </w:r>
      <w:r w:rsidRPr="4AF24BA3" w:rsidR="72E71B69">
        <w:rPr>
          <w:rFonts w:ascii="Arial" w:hAnsi="Arial" w:eastAsia="Arial" w:cs="Arial"/>
          <w:sz w:val="22"/>
          <w:szCs w:val="22"/>
        </w:rPr>
        <w:t xml:space="preserve"> et al., 2024). </w:t>
      </w:r>
    </w:p>
    <w:p w:rsidRPr="00BF7557" w:rsidR="00BF7557" w:rsidP="4AF24BA3" w:rsidRDefault="00BF7557" w14:paraId="7490101E" w14:textId="33653641">
      <w:pPr>
        <w:pStyle w:val="Normal"/>
        <w:spacing w:line="360" w:lineRule="auto"/>
        <w:jc w:val="both"/>
      </w:pPr>
      <w:r w:rsidRPr="4AF24BA3" w:rsidR="72E71B69">
        <w:rPr>
          <w:rFonts w:ascii="Arial" w:hAnsi="Arial" w:eastAsia="Arial" w:cs="Arial"/>
          <w:sz w:val="22"/>
          <w:szCs w:val="22"/>
        </w:rPr>
        <w:t xml:space="preserve">Education can influence health in several ways. People with higher levels of education may have better health knowledge, greater employment opportunities and higher incomes. They may also find it easier to understand health information and access healthcare services. However, education alone does not determine obesity risk because other factors, such as neighbourhood deprivation and employment conditions, also play an important role (Katsoulis et al., 2021; Bann et al., 2017). </w:t>
      </w:r>
    </w:p>
    <w:p w:rsidRPr="00BF7557" w:rsidR="00BF7557" w:rsidP="4AF24BA3" w:rsidRDefault="00BF7557" w14:paraId="0A18171F" w14:textId="109698C8">
      <w:pPr>
        <w:pStyle w:val="Normal"/>
        <w:spacing w:line="360" w:lineRule="auto"/>
        <w:jc w:val="both"/>
      </w:pPr>
      <w:r w:rsidRPr="4AF24BA3" w:rsidR="72E71B69">
        <w:rPr>
          <w:rFonts w:ascii="Arial" w:hAnsi="Arial" w:eastAsia="Arial" w:cs="Arial"/>
          <w:sz w:val="22"/>
          <w:szCs w:val="22"/>
        </w:rPr>
        <w:t xml:space="preserve"> </w:t>
      </w:r>
      <w:r w:rsidRPr="4AF24BA3" w:rsidR="72E71B69">
        <w:rPr>
          <w:rFonts w:ascii="Arial" w:hAnsi="Arial" w:eastAsia="Arial" w:cs="Arial"/>
          <w:sz w:val="22"/>
          <w:szCs w:val="22"/>
        </w:rPr>
        <w:t xml:space="preserve">The environment in which people live can also affect obesity. Areas with limited access to affordable healthy food, fewer leisure facilities and poor public transport can make it more difficult to </w:t>
      </w:r>
      <w:r w:rsidRPr="4AF24BA3" w:rsidR="72E71B69">
        <w:rPr>
          <w:rFonts w:ascii="Arial" w:hAnsi="Arial" w:eastAsia="Arial" w:cs="Arial"/>
          <w:sz w:val="22"/>
          <w:szCs w:val="22"/>
        </w:rPr>
        <w:t>maintain</w:t>
      </w:r>
      <w:r w:rsidRPr="4AF24BA3" w:rsidR="72E71B69">
        <w:rPr>
          <w:rFonts w:ascii="Arial" w:hAnsi="Arial" w:eastAsia="Arial" w:cs="Arial"/>
          <w:sz w:val="22"/>
          <w:szCs w:val="22"/>
        </w:rPr>
        <w:t xml:space="preserve"> a healthy lifestyle. Briazu et al. (2024) found that adults living in disadvantaged communities faced several barriers to healthy eating, including the </w:t>
      </w:r>
      <w:r w:rsidRPr="4AF24BA3" w:rsidR="72E71B69">
        <w:rPr>
          <w:rFonts w:ascii="Arial" w:hAnsi="Arial" w:eastAsia="Arial" w:cs="Arial"/>
          <w:sz w:val="22"/>
          <w:szCs w:val="22"/>
        </w:rPr>
        <w:t>high cost</w:t>
      </w:r>
      <w:r w:rsidRPr="4AF24BA3" w:rsidR="72E71B69">
        <w:rPr>
          <w:rFonts w:ascii="Arial" w:hAnsi="Arial" w:eastAsia="Arial" w:cs="Arial"/>
          <w:sz w:val="22"/>
          <w:szCs w:val="22"/>
        </w:rPr>
        <w:t xml:space="preserve"> of nutritious food, limited availability of healthy options and competing financial priorities. These findings suggest that improving individual behaviour alone may not reduce obesity inequalities unless wider social issues are also addressed. </w:t>
      </w:r>
    </w:p>
    <w:p w:rsidRPr="00BF7557" w:rsidR="00BF7557" w:rsidP="4AF24BA3" w:rsidRDefault="00BF7557" w14:paraId="3D44CEE5" w14:textId="0F9F6302">
      <w:pPr>
        <w:pStyle w:val="Normal"/>
        <w:spacing w:line="360" w:lineRule="auto"/>
        <w:jc w:val="both"/>
      </w:pPr>
      <w:r w:rsidRPr="4AF24BA3" w:rsidR="72E71B69">
        <w:rPr>
          <w:rFonts w:ascii="Arial" w:hAnsi="Arial" w:eastAsia="Arial" w:cs="Arial"/>
          <w:sz w:val="22"/>
          <w:szCs w:val="22"/>
        </w:rPr>
        <w:t xml:space="preserve"> </w:t>
      </w:r>
      <w:r w:rsidRPr="4AF24BA3" w:rsidR="72E71B69">
        <w:rPr>
          <w:rFonts w:ascii="Arial" w:hAnsi="Arial" w:eastAsia="Arial" w:cs="Arial"/>
          <w:sz w:val="22"/>
          <w:szCs w:val="22"/>
        </w:rPr>
        <w:t xml:space="preserve">Research has also shown that obesity patterns can vary according to ethnicity, </w:t>
      </w:r>
      <w:r w:rsidRPr="4AF24BA3" w:rsidR="72E71B69">
        <w:rPr>
          <w:rFonts w:ascii="Arial" w:hAnsi="Arial" w:eastAsia="Arial" w:cs="Arial"/>
          <w:sz w:val="22"/>
          <w:szCs w:val="22"/>
        </w:rPr>
        <w:t>gender</w:t>
      </w:r>
      <w:r w:rsidRPr="4AF24BA3" w:rsidR="72E71B69">
        <w:rPr>
          <w:rFonts w:ascii="Arial" w:hAnsi="Arial" w:eastAsia="Arial" w:cs="Arial"/>
          <w:sz w:val="22"/>
          <w:szCs w:val="22"/>
        </w:rPr>
        <w:t xml:space="preserve"> and age. Katsoulis et al. (2021) found that the risk of gaining weight differed between population groups and was influenced by age, sex, </w:t>
      </w:r>
      <w:r w:rsidRPr="4AF24BA3" w:rsidR="72E71B69">
        <w:rPr>
          <w:rFonts w:ascii="Arial" w:hAnsi="Arial" w:eastAsia="Arial" w:cs="Arial"/>
          <w:sz w:val="22"/>
          <w:szCs w:val="22"/>
        </w:rPr>
        <w:t>ethnicity</w:t>
      </w:r>
      <w:r w:rsidRPr="4AF24BA3" w:rsidR="72E71B69">
        <w:rPr>
          <w:rFonts w:ascii="Arial" w:hAnsi="Arial" w:eastAsia="Arial" w:cs="Arial"/>
          <w:sz w:val="22"/>
          <w:szCs w:val="22"/>
        </w:rPr>
        <w:t xml:space="preserve"> and levels of deprivation. This highlights that obesity is influenced by several factors working together rather than by one single cause. Understanding these differences is important for developing services that meet the needs of different communities. </w:t>
      </w:r>
    </w:p>
    <w:p w:rsidRPr="00BF7557" w:rsidR="00BF7557" w:rsidP="4AF24BA3" w:rsidRDefault="00BF7557" w14:paraId="60BC37F5" w14:textId="5D9DCBFB">
      <w:pPr>
        <w:pStyle w:val="Normal"/>
        <w:spacing w:line="360" w:lineRule="auto"/>
        <w:jc w:val="both"/>
      </w:pPr>
      <w:r w:rsidRPr="4AF24BA3" w:rsidR="72E71B69">
        <w:rPr>
          <w:rFonts w:ascii="Arial" w:hAnsi="Arial" w:eastAsia="Arial" w:cs="Arial"/>
          <w:sz w:val="22"/>
          <w:szCs w:val="22"/>
        </w:rPr>
        <w:t xml:space="preserve"> </w:t>
      </w:r>
      <w:r w:rsidRPr="4AF24BA3" w:rsidR="72E71B69">
        <w:rPr>
          <w:rFonts w:ascii="Arial" w:hAnsi="Arial" w:eastAsia="Arial" w:cs="Arial"/>
          <w:sz w:val="22"/>
          <w:szCs w:val="22"/>
        </w:rPr>
        <w:t xml:space="preserve">In recent years, the UK Government, NHS </w:t>
      </w:r>
      <w:r w:rsidRPr="4AF24BA3" w:rsidR="72E71B69">
        <w:rPr>
          <w:rFonts w:ascii="Arial" w:hAnsi="Arial" w:eastAsia="Arial" w:cs="Arial"/>
          <w:sz w:val="22"/>
          <w:szCs w:val="22"/>
        </w:rPr>
        <w:t>England</w:t>
      </w:r>
      <w:r w:rsidRPr="4AF24BA3" w:rsidR="72E71B69">
        <w:rPr>
          <w:rFonts w:ascii="Arial" w:hAnsi="Arial" w:eastAsia="Arial" w:cs="Arial"/>
          <w:sz w:val="22"/>
          <w:szCs w:val="22"/>
        </w:rPr>
        <w:t xml:space="preserve"> and NICE have introduced policies aimed at reducing obesity and improving health outcomes. NICE (2025) recommends person-centred care, early intervention and supportive communication when helping adults manage their weight. NHS England also recognises the need to reduce health inequalities by improving access to services for disadvantaged communities. However, many researchers argue that long-term improvements will require action beyond healthcare alone, including reducing poverty, improving education, creating healthier </w:t>
      </w:r>
      <w:r w:rsidRPr="4AF24BA3" w:rsidR="72E71B69">
        <w:rPr>
          <w:rFonts w:ascii="Arial" w:hAnsi="Arial" w:eastAsia="Arial" w:cs="Arial"/>
          <w:sz w:val="22"/>
          <w:szCs w:val="22"/>
        </w:rPr>
        <w:t>neighbourhoods</w:t>
      </w:r>
      <w:r w:rsidRPr="4AF24BA3" w:rsidR="72E71B69">
        <w:rPr>
          <w:rFonts w:ascii="Arial" w:hAnsi="Arial" w:eastAsia="Arial" w:cs="Arial"/>
          <w:sz w:val="22"/>
          <w:szCs w:val="22"/>
        </w:rPr>
        <w:t xml:space="preserve"> and making healthy food more affordable (NHS England, n.d.; Marmot et al., 2020). </w:t>
      </w:r>
    </w:p>
    <w:p w:rsidRPr="00BF7557" w:rsidR="00BF7557" w:rsidP="4AF24BA3" w:rsidRDefault="00BF7557" w14:paraId="49CB82A3" w14:textId="58F121BB">
      <w:pPr>
        <w:pStyle w:val="Normal"/>
        <w:spacing w:line="360" w:lineRule="auto"/>
        <w:jc w:val="both"/>
      </w:pPr>
      <w:r w:rsidRPr="4AF24BA3" w:rsidR="72E71B69">
        <w:rPr>
          <w:rFonts w:ascii="Arial" w:hAnsi="Arial" w:eastAsia="Arial" w:cs="Arial"/>
          <w:sz w:val="22"/>
          <w:szCs w:val="22"/>
        </w:rPr>
        <w:t xml:space="preserve"> </w:t>
      </w:r>
      <w:r w:rsidRPr="4AF24BA3" w:rsidR="72E71B69">
        <w:rPr>
          <w:rFonts w:ascii="Arial" w:hAnsi="Arial" w:eastAsia="Arial" w:cs="Arial"/>
          <w:sz w:val="22"/>
          <w:szCs w:val="22"/>
        </w:rPr>
        <w:t xml:space="preserve">Because the evidence on obesity inequalities includes different research designs, populations and measures of obesity, a scoping review is the most </w:t>
      </w:r>
      <w:r w:rsidRPr="4AF24BA3" w:rsidR="72E71B69">
        <w:rPr>
          <w:rFonts w:ascii="Arial" w:hAnsi="Arial" w:eastAsia="Arial" w:cs="Arial"/>
          <w:sz w:val="22"/>
          <w:szCs w:val="22"/>
        </w:rPr>
        <w:t>appropriate method</w:t>
      </w:r>
      <w:r w:rsidRPr="4AF24BA3" w:rsidR="72E71B69">
        <w:rPr>
          <w:rFonts w:ascii="Arial" w:hAnsi="Arial" w:eastAsia="Arial" w:cs="Arial"/>
          <w:sz w:val="22"/>
          <w:szCs w:val="22"/>
        </w:rPr>
        <w:t xml:space="preserve"> for this study. A scoping review allows a broad overview of the available evidence, </w:t>
      </w:r>
      <w:r w:rsidRPr="4AF24BA3" w:rsidR="72E71B69">
        <w:rPr>
          <w:rFonts w:ascii="Arial" w:hAnsi="Arial" w:eastAsia="Arial" w:cs="Arial"/>
          <w:sz w:val="22"/>
          <w:szCs w:val="22"/>
        </w:rPr>
        <w:t>identifies</w:t>
      </w:r>
      <w:r w:rsidRPr="4AF24BA3" w:rsidR="72E71B69">
        <w:rPr>
          <w:rFonts w:ascii="Arial" w:hAnsi="Arial" w:eastAsia="Arial" w:cs="Arial"/>
          <w:sz w:val="22"/>
          <w:szCs w:val="22"/>
        </w:rPr>
        <w:t xml:space="preserve"> common themes and highlights gaps in the literature that may require further research (Aveyard, 2014; </w:t>
      </w:r>
      <w:r w:rsidRPr="4AF24BA3" w:rsidR="72E71B69">
        <w:rPr>
          <w:rFonts w:ascii="Arial" w:hAnsi="Arial" w:eastAsia="Arial" w:cs="Arial"/>
          <w:sz w:val="22"/>
          <w:szCs w:val="22"/>
        </w:rPr>
        <w:t>Tricco</w:t>
      </w:r>
      <w:r w:rsidRPr="4AF24BA3" w:rsidR="72E71B69">
        <w:rPr>
          <w:rFonts w:ascii="Arial" w:hAnsi="Arial" w:eastAsia="Arial" w:cs="Arial"/>
          <w:sz w:val="22"/>
          <w:szCs w:val="22"/>
        </w:rPr>
        <w:t xml:space="preserve"> et al., 2018).</w:t>
      </w:r>
    </w:p>
    <w:p w:rsidRPr="00BF7557" w:rsidR="00BF7557" w:rsidP="0204A69F" w:rsidRDefault="00BF7557" w14:paraId="37F86A07" w14:textId="17F74482">
      <w:pPr>
        <w:pStyle w:val="Heading2"/>
        <w:spacing w:line="360" w:lineRule="auto"/>
        <w:jc w:val="both"/>
      </w:pPr>
      <w:bookmarkStart w:name="_Toc21424037" w:id="523165828"/>
      <w:r w:rsidR="00BF7557">
        <w:rPr/>
        <w:t>3. Methods</w:t>
      </w:r>
      <w:bookmarkEnd w:id="523165828"/>
    </w:p>
    <w:p w:rsidR="1ECDA1EE" w:rsidP="4AF24BA3" w:rsidRDefault="1ECDA1EE" w14:paraId="2BAA73B1" w14:textId="59C241EF">
      <w:pPr>
        <w:spacing w:before="240" w:beforeAutospacing="off" w:after="240" w:afterAutospacing="off" w:line="360" w:lineRule="auto"/>
        <w:jc w:val="both"/>
      </w:pPr>
      <w:bookmarkStart w:name="_Toc188300444" w:id="838033758"/>
      <w:r w:rsidRPr="0204A69F" w:rsidR="1ECDA1EE">
        <w:rPr>
          <w:rStyle w:val="Heading3Char"/>
          <w:noProof w:val="0"/>
          <w:lang w:val="en-GB"/>
        </w:rPr>
        <w:t>3.1</w:t>
      </w:r>
      <w:r w:rsidRPr="0204A69F" w:rsidR="1ECDA1EE">
        <w:rPr>
          <w:rStyle w:val="Heading3Char"/>
          <w:noProof w:val="0"/>
          <w:lang w:val="en-GB"/>
        </w:rPr>
        <w:t xml:space="preserve"> </w:t>
      </w:r>
      <w:r w:rsidRPr="0204A69F" w:rsidR="1ECDA1EE">
        <w:rPr>
          <w:rStyle w:val="Heading3Char"/>
          <w:noProof w:val="0"/>
          <w:lang w:val="en-GB"/>
        </w:rPr>
        <w:t>Review design</w:t>
      </w:r>
      <w:bookmarkEnd w:id="838033758"/>
      <w:r w:rsidRPr="0204A69F" w:rsidR="1ECDA1EE">
        <w:rPr>
          <w:rStyle w:val="Heading3Char"/>
          <w:rFonts w:ascii="Arial" w:hAnsi="Arial" w:eastAsia="Arial" w:cs="Arial"/>
          <w:b w:val="1"/>
          <w:bCs w:val="1"/>
          <w:noProof w:val="0"/>
          <w:color w:val="000000" w:themeColor="text1" w:themeTint="FF" w:themeShade="FF"/>
          <w:sz w:val="24"/>
          <w:szCs w:val="24"/>
          <w:lang w:val="en-GB"/>
        </w:rPr>
        <w:t xml:space="preserve"> </w:t>
      </w:r>
    </w:p>
    <w:p w:rsidR="51AF9BB5" w:rsidP="0204A69F" w:rsidRDefault="51AF9BB5" w14:paraId="551CDF39" w14:textId="614739CE">
      <w:pPr>
        <w:pStyle w:val="Normal"/>
        <w:spacing w:line="360" w:lineRule="auto"/>
        <w:jc w:val="both"/>
      </w:pPr>
      <w:r w:rsidRPr="0204A69F" w:rsidR="51AF9BB5">
        <w:rPr>
          <w:rFonts w:ascii="Arial" w:hAnsi="Arial" w:eastAsia="Arial" w:cs="Arial"/>
          <w:noProof w:val="0"/>
          <w:sz w:val="22"/>
          <w:szCs w:val="22"/>
          <w:lang w:val="en-GB"/>
        </w:rPr>
        <w:t xml:space="preserve">A scoping review was conducted to explore factors contributing to socioeconomic inequalities in obesity among adults in the UK. This approach was selected to examine a broad range of evidence, </w:t>
      </w:r>
      <w:r w:rsidRPr="0204A69F" w:rsidR="51AF9BB5">
        <w:rPr>
          <w:rFonts w:ascii="Arial" w:hAnsi="Arial" w:eastAsia="Arial" w:cs="Arial"/>
          <w:noProof w:val="0"/>
          <w:sz w:val="22"/>
          <w:szCs w:val="22"/>
          <w:lang w:val="en-GB"/>
        </w:rPr>
        <w:t>identify</w:t>
      </w:r>
      <w:r w:rsidRPr="0204A69F" w:rsidR="51AF9BB5">
        <w:rPr>
          <w:rFonts w:ascii="Arial" w:hAnsi="Arial" w:eastAsia="Arial" w:cs="Arial"/>
          <w:noProof w:val="0"/>
          <w:sz w:val="22"/>
          <w:szCs w:val="22"/>
          <w:lang w:val="en-GB"/>
        </w:rPr>
        <w:t xml:space="preserve"> key themes and highlight gaps in the literature. Unlike systematic reviews, scoping reviews provide an overview of available evidence rather than evaluating intervention effectiveness (Aveyard, 2014; </w:t>
      </w:r>
      <w:r w:rsidRPr="0204A69F" w:rsidR="51AF9BB5">
        <w:rPr>
          <w:rFonts w:ascii="Arial" w:hAnsi="Arial" w:eastAsia="Arial" w:cs="Arial"/>
          <w:noProof w:val="0"/>
          <w:sz w:val="22"/>
          <w:szCs w:val="22"/>
          <w:lang w:val="en-GB"/>
        </w:rPr>
        <w:t>Tricco</w:t>
      </w:r>
      <w:r w:rsidRPr="0204A69F" w:rsidR="51AF9BB5">
        <w:rPr>
          <w:rFonts w:ascii="Arial" w:hAnsi="Arial" w:eastAsia="Arial" w:cs="Arial"/>
          <w:noProof w:val="0"/>
          <w:sz w:val="22"/>
          <w:szCs w:val="22"/>
          <w:lang w:val="en-GB"/>
        </w:rPr>
        <w:t xml:space="preserve"> et al., 2018). The review followed PRISMA-</w:t>
      </w:r>
      <w:r w:rsidRPr="0204A69F" w:rsidR="51AF9BB5">
        <w:rPr>
          <w:rFonts w:ascii="Arial" w:hAnsi="Arial" w:eastAsia="Arial" w:cs="Arial"/>
          <w:noProof w:val="0"/>
          <w:sz w:val="22"/>
          <w:szCs w:val="22"/>
          <w:lang w:val="en-GB"/>
        </w:rPr>
        <w:t>ScR</w:t>
      </w:r>
      <w:r w:rsidRPr="0204A69F" w:rsidR="51AF9BB5">
        <w:rPr>
          <w:rFonts w:ascii="Arial" w:hAnsi="Arial" w:eastAsia="Arial" w:cs="Arial"/>
          <w:noProof w:val="0"/>
          <w:sz w:val="22"/>
          <w:szCs w:val="22"/>
          <w:lang w:val="en-GB"/>
        </w:rPr>
        <w:t xml:space="preserve"> guidelines to support transparent and structured reporting (</w:t>
      </w:r>
      <w:r w:rsidRPr="0204A69F" w:rsidR="51AF9BB5">
        <w:rPr>
          <w:rFonts w:ascii="Arial" w:hAnsi="Arial" w:eastAsia="Arial" w:cs="Arial"/>
          <w:noProof w:val="0"/>
          <w:sz w:val="22"/>
          <w:szCs w:val="22"/>
          <w:lang w:val="en-GB"/>
        </w:rPr>
        <w:t>Tricco</w:t>
      </w:r>
      <w:r w:rsidRPr="0204A69F" w:rsidR="51AF9BB5">
        <w:rPr>
          <w:rFonts w:ascii="Arial" w:hAnsi="Arial" w:eastAsia="Arial" w:cs="Arial"/>
          <w:noProof w:val="0"/>
          <w:sz w:val="22"/>
          <w:szCs w:val="22"/>
          <w:lang w:val="en-GB"/>
        </w:rPr>
        <w:t xml:space="preserve"> et al., 2018).</w:t>
      </w:r>
    </w:p>
    <w:p w:rsidR="2DEAA429" w:rsidP="0204A69F" w:rsidRDefault="2DEAA429" w14:paraId="74F12907" w14:textId="0EA16F9A">
      <w:pPr>
        <w:pStyle w:val="Heading3"/>
        <w:spacing w:line="360" w:lineRule="auto"/>
        <w:jc w:val="both"/>
        <w:rPr>
          <w:noProof w:val="0"/>
          <w:lang w:val="en-GB"/>
        </w:rPr>
      </w:pPr>
      <w:bookmarkStart w:name="_Toc1959434091" w:id="1908681472"/>
      <w:r w:rsidRPr="0204A69F" w:rsidR="2DEAA429">
        <w:rPr>
          <w:noProof w:val="0"/>
          <w:lang w:val="en-GB"/>
        </w:rPr>
        <w:t xml:space="preserve">3.2 </w:t>
      </w:r>
      <w:r w:rsidRPr="0204A69F" w:rsidR="78581634">
        <w:rPr>
          <w:noProof w:val="0"/>
          <w:lang w:val="en-GB"/>
        </w:rPr>
        <w:t>Review Question</w:t>
      </w:r>
      <w:bookmarkEnd w:id="1908681472"/>
    </w:p>
    <w:p w:rsidR="4AF24BA3" w:rsidP="0204A69F" w:rsidRDefault="4AF24BA3" w14:paraId="537FDF03" w14:textId="5903BAE7">
      <w:pPr>
        <w:pStyle w:val="Normal"/>
        <w:spacing w:line="360" w:lineRule="auto"/>
        <w:jc w:val="both"/>
      </w:pPr>
      <w:r w:rsidRPr="0204A69F" w:rsidR="176886AD">
        <w:rPr>
          <w:rFonts w:ascii="Arial" w:hAnsi="Arial" w:eastAsia="Arial" w:cs="Arial"/>
          <w:sz w:val="22"/>
          <w:szCs w:val="22"/>
        </w:rPr>
        <w:t xml:space="preserve">The </w:t>
      </w:r>
      <w:r w:rsidRPr="0204A69F" w:rsidR="176886AD">
        <w:rPr>
          <w:rFonts w:ascii="Arial" w:hAnsi="Arial" w:eastAsia="Arial" w:cs="Arial"/>
          <w:sz w:val="22"/>
          <w:szCs w:val="22"/>
        </w:rPr>
        <w:t>review</w:t>
      </w:r>
      <w:r w:rsidRPr="0204A69F" w:rsidR="176886AD">
        <w:rPr>
          <w:rFonts w:ascii="Arial" w:hAnsi="Arial" w:eastAsia="Arial" w:cs="Arial"/>
          <w:sz w:val="22"/>
          <w:szCs w:val="22"/>
        </w:rPr>
        <w:t xml:space="preserve"> addressed the question:</w:t>
      </w:r>
    </w:p>
    <w:p w:rsidR="4AF24BA3" w:rsidP="0204A69F" w:rsidRDefault="4AF24BA3" w14:paraId="14870328" w14:textId="3777CE17">
      <w:pPr>
        <w:pStyle w:val="Normal"/>
        <w:spacing w:line="360" w:lineRule="auto"/>
        <w:jc w:val="both"/>
      </w:pPr>
      <w:r w:rsidRPr="0204A69F" w:rsidR="176886AD">
        <w:rPr>
          <w:rFonts w:ascii="Arial" w:hAnsi="Arial" w:eastAsia="Arial" w:cs="Arial"/>
          <w:sz w:val="22"/>
          <w:szCs w:val="22"/>
        </w:rPr>
        <w:t>What factors contribute to socioeconomic inequalities in obesity among adults in the UK?</w:t>
      </w:r>
    </w:p>
    <w:p w:rsidR="4AF24BA3" w:rsidP="0204A69F" w:rsidRDefault="4AF24BA3" w14:paraId="5505384F" w14:textId="5763C40C">
      <w:pPr>
        <w:pStyle w:val="Normal"/>
        <w:spacing w:line="360" w:lineRule="auto"/>
        <w:jc w:val="both"/>
      </w:pPr>
      <w:r w:rsidRPr="0204A69F" w:rsidR="176886AD">
        <w:rPr>
          <w:rFonts w:ascii="Arial" w:hAnsi="Arial" w:eastAsia="Arial" w:cs="Arial"/>
          <w:sz w:val="22"/>
          <w:szCs w:val="22"/>
        </w:rPr>
        <w:t>The Population, Concept and Context (PCC) framework guided the review:</w:t>
      </w:r>
    </w:p>
    <w:p w:rsidR="4AF24BA3" w:rsidP="0204A69F" w:rsidRDefault="4AF24BA3" w14:paraId="41CB13F6" w14:textId="3FBE1B2F">
      <w:pPr>
        <w:pStyle w:val="Normal"/>
        <w:spacing w:line="360" w:lineRule="auto"/>
        <w:jc w:val="both"/>
      </w:pPr>
      <w:r w:rsidRPr="0204A69F" w:rsidR="176886AD">
        <w:rPr>
          <w:rFonts w:ascii="Arial" w:hAnsi="Arial" w:eastAsia="Arial" w:cs="Arial"/>
          <w:sz w:val="22"/>
          <w:szCs w:val="22"/>
        </w:rPr>
        <w:t>Population: Adults aged 18 years and over</w:t>
      </w:r>
    </w:p>
    <w:p w:rsidR="4AF24BA3" w:rsidP="0204A69F" w:rsidRDefault="4AF24BA3" w14:paraId="48B455B5" w14:textId="56969CB6">
      <w:pPr>
        <w:pStyle w:val="Normal"/>
        <w:spacing w:line="360" w:lineRule="auto"/>
        <w:jc w:val="both"/>
      </w:pPr>
      <w:r w:rsidRPr="0204A69F" w:rsidR="176886AD">
        <w:rPr>
          <w:rFonts w:ascii="Arial" w:hAnsi="Arial" w:eastAsia="Arial" w:cs="Arial"/>
          <w:sz w:val="22"/>
          <w:szCs w:val="22"/>
        </w:rPr>
        <w:t>Concept: Socioeconomic inequalities contributing to obesity</w:t>
      </w:r>
    </w:p>
    <w:p w:rsidR="4AF24BA3" w:rsidP="0204A69F" w:rsidRDefault="4AF24BA3" w14:paraId="11CA841D" w14:textId="2CD7B228">
      <w:pPr>
        <w:pStyle w:val="Normal"/>
        <w:spacing w:line="360" w:lineRule="auto"/>
        <w:jc w:val="both"/>
      </w:pPr>
      <w:r w:rsidRPr="0204A69F" w:rsidR="176886AD">
        <w:rPr>
          <w:rFonts w:ascii="Arial" w:hAnsi="Arial" w:eastAsia="Arial" w:cs="Arial"/>
          <w:sz w:val="22"/>
          <w:szCs w:val="22"/>
        </w:rPr>
        <w:t>Context: United Kingdom</w:t>
      </w:r>
    </w:p>
    <w:p w:rsidR="4AF24BA3" w:rsidP="0204A69F" w:rsidRDefault="4AF24BA3" w14:paraId="47CE3E23" w14:textId="3AC48244">
      <w:pPr>
        <w:pStyle w:val="Normal"/>
        <w:spacing w:line="360" w:lineRule="auto"/>
        <w:jc w:val="both"/>
      </w:pPr>
      <w:r w:rsidRPr="0204A69F" w:rsidR="176886AD">
        <w:rPr>
          <w:rFonts w:ascii="Arial" w:hAnsi="Arial" w:eastAsia="Arial" w:cs="Arial"/>
          <w:sz w:val="22"/>
          <w:szCs w:val="22"/>
        </w:rPr>
        <w:t>The PCC framework helped define the review focus and search strategy (Peters et al., 2020).</w:t>
      </w:r>
    </w:p>
    <w:p w:rsidR="2986224C" w:rsidP="0204A69F" w:rsidRDefault="2986224C" w14:paraId="4BA595E4" w14:textId="5F96BFA4">
      <w:pPr>
        <w:pStyle w:val="Normal"/>
        <w:spacing w:line="360" w:lineRule="auto"/>
        <w:jc w:val="both"/>
        <w:rPr>
          <w:rFonts w:ascii="Arial" w:hAnsi="Arial" w:eastAsia="Arial" w:cs="Arial"/>
          <w:b w:val="1"/>
          <w:bCs w:val="1"/>
          <w:noProof w:val="0"/>
          <w:lang w:val="en-GB"/>
        </w:rPr>
      </w:pPr>
      <w:bookmarkStart w:name="_Toc850266477" w:id="1079619937"/>
      <w:r w:rsidRPr="0204A69F" w:rsidR="2986224C">
        <w:rPr>
          <w:rStyle w:val="Heading3Char"/>
          <w:noProof w:val="0"/>
          <w:lang w:val="en-GB"/>
        </w:rPr>
        <w:t>3.3 Search Strategy</w:t>
      </w:r>
      <w:bookmarkEnd w:id="1079619937"/>
      <w:r w:rsidRPr="0204A69F" w:rsidR="2986224C">
        <w:rPr>
          <w:rStyle w:val="Heading3Char"/>
          <w:noProof w:val="0"/>
          <w:lang w:val="en-GB"/>
        </w:rPr>
        <w:t xml:space="preserve"> </w:t>
      </w:r>
    </w:p>
    <w:p w:rsidR="2986224C" w:rsidP="0204A69F" w:rsidRDefault="2986224C" w14:paraId="36C99A26" w14:textId="72DDCA87">
      <w:pPr>
        <w:spacing w:before="240" w:beforeAutospacing="off" w:after="240" w:afterAutospacing="off" w:line="360" w:lineRule="auto"/>
        <w:jc w:val="both"/>
      </w:pPr>
      <w:r w:rsidRPr="0204A69F" w:rsidR="2986224C">
        <w:rPr>
          <w:rFonts w:ascii="Arial" w:hAnsi="Arial" w:eastAsia="Arial" w:cs="Arial"/>
          <w:noProof w:val="0"/>
          <w:sz w:val="22"/>
          <w:szCs w:val="22"/>
          <w:lang w:val="en-GB"/>
        </w:rPr>
        <w:t>A structured search was conducted using PubMed, CINAHL, EBSCOhost, Sage Journals and the UWTSD Library. Keywords included obesity, overweight, BMI, socioeconomic inequalities, deprivation, income, education, adults, United Kingdom and England. Boolean operators (AND/OR) were used to combine terms, and reference lists of relevant articles were also screened (Aveyard, 2014).</w:t>
      </w:r>
    </w:p>
    <w:p w:rsidR="2986224C" w:rsidP="0204A69F" w:rsidRDefault="2986224C" w14:paraId="4C61E732" w14:textId="5D210538">
      <w:pPr>
        <w:pStyle w:val="Normal"/>
        <w:spacing w:line="360" w:lineRule="auto"/>
        <w:jc w:val="both"/>
        <w:rPr>
          <w:rFonts w:ascii="Arial" w:hAnsi="Arial" w:eastAsia="Arial" w:cs="Arial"/>
          <w:b w:val="1"/>
          <w:bCs w:val="1"/>
          <w:sz w:val="24"/>
          <w:szCs w:val="24"/>
        </w:rPr>
      </w:pPr>
      <w:bookmarkStart w:name="_Toc1399720261" w:id="1093713257"/>
      <w:r w:rsidRPr="0204A69F" w:rsidR="2986224C">
        <w:rPr>
          <w:rStyle w:val="Heading3Char"/>
        </w:rPr>
        <w:t>3.4 Inclusion</w:t>
      </w:r>
      <w:r w:rsidRPr="0204A69F" w:rsidR="2986224C">
        <w:rPr>
          <w:rStyle w:val="Heading3Char"/>
          <w:noProof w:val="0"/>
          <w:lang w:val="en-GB"/>
        </w:rPr>
        <w:t xml:space="preserve"> and Exclusion Criteria</w:t>
      </w:r>
      <w:bookmarkEnd w:id="1093713257"/>
    </w:p>
    <w:p w:rsidR="2986224C" w:rsidP="0204A69F" w:rsidRDefault="2986224C" w14:paraId="2FE49B2C" w14:textId="0D8B25BF">
      <w:pPr>
        <w:spacing w:before="240" w:beforeAutospacing="off" w:after="240" w:afterAutospacing="off" w:line="360" w:lineRule="auto"/>
        <w:jc w:val="both"/>
        <w:rPr>
          <w:rFonts w:ascii="Arial" w:hAnsi="Arial" w:eastAsia="Arial" w:cs="Arial"/>
          <w:b w:val="1"/>
          <w:bCs w:val="1"/>
          <w:sz w:val="22"/>
          <w:szCs w:val="22"/>
        </w:rPr>
      </w:pPr>
      <w:r w:rsidRPr="0204A69F" w:rsidR="2986224C">
        <w:rPr>
          <w:rFonts w:ascii="Arial" w:hAnsi="Arial" w:eastAsia="Arial" w:cs="Arial"/>
          <w:noProof w:val="0"/>
          <w:sz w:val="22"/>
          <w:szCs w:val="22"/>
          <w:lang w:val="en-GB"/>
        </w:rPr>
        <w:t>Studies were selected using predefined criteria to ensure relevance and reliability (</w:t>
      </w:r>
      <w:r w:rsidRPr="0204A69F" w:rsidR="2986224C">
        <w:rPr>
          <w:rFonts w:ascii="Arial" w:hAnsi="Arial" w:eastAsia="Arial" w:cs="Arial"/>
          <w:noProof w:val="0"/>
          <w:sz w:val="22"/>
          <w:szCs w:val="22"/>
          <w:lang w:val="en-GB"/>
        </w:rPr>
        <w:t>Tricco</w:t>
      </w:r>
      <w:r w:rsidRPr="0204A69F" w:rsidR="2986224C">
        <w:rPr>
          <w:rFonts w:ascii="Arial" w:hAnsi="Arial" w:eastAsia="Arial" w:cs="Arial"/>
          <w:noProof w:val="0"/>
          <w:sz w:val="22"/>
          <w:szCs w:val="22"/>
          <w:lang w:val="en-GB"/>
        </w:rPr>
        <w:t xml:space="preserve"> et al., 2018).</w:t>
      </w:r>
    </w:p>
    <w:p w:rsidRPr="00BF7557" w:rsidR="00BF7557" w:rsidP="0204A69F" w:rsidRDefault="00BF7557" w14:paraId="5186999B" w14:textId="77777777">
      <w:pPr>
        <w:pStyle w:val="Normal"/>
        <w:spacing w:line="360" w:lineRule="auto"/>
        <w:jc w:val="both"/>
        <w:rPr>
          <w:rFonts w:ascii="Arial" w:hAnsi="Arial" w:eastAsia="Arial" w:cs="Arial"/>
          <w:b w:val="1"/>
          <w:bCs w:val="1"/>
          <w:sz w:val="22"/>
          <w:szCs w:val="22"/>
        </w:rPr>
      </w:pPr>
      <w:r w:rsidRPr="0204A69F" w:rsidR="00BF7557">
        <w:rPr>
          <w:rFonts w:ascii="Arial" w:hAnsi="Arial" w:eastAsia="Arial" w:cs="Arial"/>
          <w:b w:val="1"/>
          <w:bCs w:val="1"/>
          <w:sz w:val="22"/>
          <w:szCs w:val="22"/>
        </w:rPr>
        <w:t>Eligibility criteria</w:t>
      </w:r>
    </w:p>
    <w:tbl>
      <w:tblPr>
        <w:tblStyle w:val="TableGrid"/>
        <w:tblW w:w="0" w:type="auto"/>
        <w:tblLook w:val="04A0" w:firstRow="1" w:lastRow="0" w:firstColumn="1" w:lastColumn="0" w:noHBand="0" w:noVBand="1"/>
      </w:tblPr>
      <w:tblGrid>
        <w:gridCol w:w="3005"/>
        <w:gridCol w:w="3005"/>
        <w:gridCol w:w="3006"/>
      </w:tblGrid>
      <w:tr w:rsidR="0098793D" w:rsidTr="0204A69F" w14:paraId="3092DA8B" w14:textId="77777777">
        <w:tc>
          <w:tcPr>
            <w:tcW w:w="3005" w:type="dxa"/>
            <w:tcMar/>
          </w:tcPr>
          <w:p w:rsidR="0098793D" w:rsidP="00BF7557" w:rsidRDefault="0098793D" w14:paraId="36BEE4CC" w14:textId="67417161">
            <w:pPr>
              <w:spacing w:line="360" w:lineRule="auto"/>
              <w:jc w:val="both"/>
              <w:rPr>
                <w:rFonts w:ascii="Arial" w:hAnsi="Arial" w:cs="Arial"/>
                <w:sz w:val="22"/>
                <w:szCs w:val="22"/>
              </w:rPr>
            </w:pPr>
            <w:r w:rsidRPr="00BF7557">
              <w:rPr>
                <w:rFonts w:ascii="Arial" w:hAnsi="Arial" w:cs="Arial"/>
                <w:sz w:val="22"/>
                <w:szCs w:val="22"/>
              </w:rPr>
              <w:t>Criterion</w:t>
            </w:r>
          </w:p>
        </w:tc>
        <w:tc>
          <w:tcPr>
            <w:tcW w:w="3005" w:type="dxa"/>
            <w:tcMar/>
          </w:tcPr>
          <w:p w:rsidR="0098793D" w:rsidP="00BF7557" w:rsidRDefault="0098793D" w14:paraId="545C3F59" w14:textId="695940A7">
            <w:pPr>
              <w:spacing w:line="360" w:lineRule="auto"/>
              <w:jc w:val="both"/>
              <w:rPr>
                <w:rFonts w:ascii="Arial" w:hAnsi="Arial" w:cs="Arial"/>
                <w:sz w:val="22"/>
                <w:szCs w:val="22"/>
              </w:rPr>
            </w:pPr>
            <w:r w:rsidRPr="00BF7557">
              <w:rPr>
                <w:rFonts w:ascii="Arial" w:hAnsi="Arial" w:cs="Arial"/>
                <w:sz w:val="22"/>
                <w:szCs w:val="22"/>
              </w:rPr>
              <w:t>Included</w:t>
            </w:r>
          </w:p>
        </w:tc>
        <w:tc>
          <w:tcPr>
            <w:tcW w:w="3006" w:type="dxa"/>
            <w:tcMar/>
          </w:tcPr>
          <w:p w:rsidRPr="00BF7557" w:rsidR="0098793D" w:rsidP="0098793D" w:rsidRDefault="0098793D" w14:paraId="73AB1446" w14:textId="77777777">
            <w:pPr>
              <w:spacing w:line="360" w:lineRule="auto"/>
              <w:jc w:val="both"/>
              <w:rPr>
                <w:rFonts w:ascii="Arial" w:hAnsi="Arial" w:cs="Arial"/>
                <w:sz w:val="22"/>
                <w:szCs w:val="22"/>
              </w:rPr>
            </w:pPr>
            <w:r w:rsidRPr="00BF7557">
              <w:rPr>
                <w:rFonts w:ascii="Arial" w:hAnsi="Arial" w:cs="Arial"/>
                <w:sz w:val="22"/>
                <w:szCs w:val="22"/>
              </w:rPr>
              <w:t>Excluded</w:t>
            </w:r>
          </w:p>
          <w:p w:rsidR="0098793D" w:rsidP="00BF7557" w:rsidRDefault="0098793D" w14:paraId="71F71FFB" w14:textId="77777777">
            <w:pPr>
              <w:spacing w:line="360" w:lineRule="auto"/>
              <w:jc w:val="both"/>
              <w:rPr>
                <w:rFonts w:ascii="Arial" w:hAnsi="Arial" w:cs="Arial"/>
                <w:sz w:val="22"/>
                <w:szCs w:val="22"/>
              </w:rPr>
            </w:pPr>
          </w:p>
        </w:tc>
      </w:tr>
      <w:tr w:rsidR="0098793D" w:rsidTr="0204A69F" w14:paraId="64B005F1" w14:textId="77777777">
        <w:tc>
          <w:tcPr>
            <w:tcW w:w="3005" w:type="dxa"/>
            <w:tcMar/>
          </w:tcPr>
          <w:p w:rsidR="0098793D" w:rsidP="00BF7557" w:rsidRDefault="0098793D" w14:paraId="0CD6D1CD" w14:textId="6235FDEC">
            <w:pPr>
              <w:spacing w:line="360" w:lineRule="auto"/>
              <w:jc w:val="both"/>
              <w:rPr>
                <w:rFonts w:ascii="Arial" w:hAnsi="Arial" w:cs="Arial"/>
                <w:sz w:val="22"/>
                <w:szCs w:val="22"/>
              </w:rPr>
            </w:pPr>
            <w:r w:rsidRPr="00BF7557">
              <w:rPr>
                <w:rFonts w:ascii="Arial" w:hAnsi="Arial" w:cs="Arial"/>
                <w:sz w:val="22"/>
                <w:szCs w:val="22"/>
              </w:rPr>
              <w:t>Population</w:t>
            </w:r>
          </w:p>
        </w:tc>
        <w:tc>
          <w:tcPr>
            <w:tcW w:w="3005" w:type="dxa"/>
            <w:tcMar/>
          </w:tcPr>
          <w:p w:rsidR="0098793D" w:rsidP="00BF7557" w:rsidRDefault="0098793D" w14:paraId="283B6E01" w14:textId="6E110103">
            <w:pPr>
              <w:spacing w:line="360" w:lineRule="auto"/>
              <w:jc w:val="both"/>
              <w:rPr>
                <w:rFonts w:ascii="Arial" w:hAnsi="Arial" w:cs="Arial"/>
                <w:sz w:val="22"/>
                <w:szCs w:val="22"/>
              </w:rPr>
            </w:pPr>
            <w:r w:rsidRPr="00BF7557">
              <w:rPr>
                <w:rFonts w:ascii="Arial" w:hAnsi="Arial" w:cs="Arial"/>
                <w:sz w:val="22"/>
                <w:szCs w:val="22"/>
              </w:rPr>
              <w:t>Adults aged 18 years or over</w:t>
            </w:r>
            <w:r w:rsidRPr="00BF7557">
              <w:rPr>
                <w:rFonts w:ascii="Arial" w:hAnsi="Arial" w:cs="Arial"/>
                <w:sz w:val="22"/>
                <w:szCs w:val="22"/>
              </w:rPr>
              <w:tab/>
            </w:r>
          </w:p>
        </w:tc>
        <w:tc>
          <w:tcPr>
            <w:tcW w:w="3006" w:type="dxa"/>
            <w:tcMar/>
          </w:tcPr>
          <w:p w:rsidR="0098793D" w:rsidP="0098793D" w:rsidRDefault="0098793D" w14:paraId="3E6CC05B" w14:textId="77777777">
            <w:pPr>
              <w:spacing w:line="360" w:lineRule="auto"/>
              <w:jc w:val="both"/>
              <w:rPr>
                <w:rFonts w:ascii="Arial" w:hAnsi="Arial" w:cs="Arial"/>
                <w:sz w:val="22"/>
                <w:szCs w:val="22"/>
              </w:rPr>
            </w:pPr>
            <w:r w:rsidRPr="00BF7557">
              <w:rPr>
                <w:rFonts w:ascii="Arial" w:hAnsi="Arial" w:cs="Arial"/>
                <w:sz w:val="22"/>
                <w:szCs w:val="22"/>
              </w:rPr>
              <w:t>Studies exclusively involving children or adolescents</w:t>
            </w:r>
          </w:p>
          <w:p w:rsidRPr="00BF7557" w:rsidR="0098793D" w:rsidP="0098793D" w:rsidRDefault="0098793D" w14:paraId="2A576632" w14:textId="77777777">
            <w:pPr>
              <w:spacing w:line="360" w:lineRule="auto"/>
              <w:jc w:val="both"/>
              <w:rPr>
                <w:rFonts w:ascii="Arial" w:hAnsi="Arial" w:cs="Arial"/>
                <w:sz w:val="22"/>
                <w:szCs w:val="22"/>
              </w:rPr>
            </w:pPr>
          </w:p>
          <w:p w:rsidR="0098793D" w:rsidP="00BF7557" w:rsidRDefault="0098793D" w14:paraId="0AF7EF9D" w14:textId="77777777">
            <w:pPr>
              <w:spacing w:line="360" w:lineRule="auto"/>
              <w:jc w:val="both"/>
              <w:rPr>
                <w:rFonts w:ascii="Arial" w:hAnsi="Arial" w:cs="Arial"/>
                <w:sz w:val="22"/>
                <w:szCs w:val="22"/>
              </w:rPr>
            </w:pPr>
          </w:p>
        </w:tc>
      </w:tr>
      <w:tr w:rsidR="0098793D" w:rsidTr="0204A69F" w14:paraId="45EA1374" w14:textId="77777777">
        <w:tc>
          <w:tcPr>
            <w:tcW w:w="3005" w:type="dxa"/>
            <w:tcMar/>
          </w:tcPr>
          <w:p w:rsidR="0098793D" w:rsidP="00BF7557" w:rsidRDefault="0098793D" w14:paraId="4FE0D953" w14:textId="75F860D4">
            <w:pPr>
              <w:spacing w:line="360" w:lineRule="auto"/>
              <w:jc w:val="both"/>
              <w:rPr>
                <w:rFonts w:ascii="Arial" w:hAnsi="Arial" w:cs="Arial"/>
                <w:sz w:val="22"/>
                <w:szCs w:val="22"/>
              </w:rPr>
            </w:pPr>
            <w:r w:rsidRPr="00BF7557">
              <w:rPr>
                <w:rFonts w:ascii="Arial" w:hAnsi="Arial" w:cs="Arial"/>
                <w:sz w:val="22"/>
                <w:szCs w:val="22"/>
              </w:rPr>
              <w:t>Location</w:t>
            </w:r>
          </w:p>
        </w:tc>
        <w:tc>
          <w:tcPr>
            <w:tcW w:w="3005" w:type="dxa"/>
            <w:tcMar/>
          </w:tcPr>
          <w:p w:rsidR="0098793D" w:rsidP="00BF7557" w:rsidRDefault="0098793D" w14:paraId="7FFE18C5" w14:textId="5EB659F1">
            <w:pPr>
              <w:spacing w:line="360" w:lineRule="auto"/>
              <w:jc w:val="both"/>
              <w:rPr>
                <w:rFonts w:ascii="Arial" w:hAnsi="Arial" w:cs="Arial"/>
                <w:sz w:val="22"/>
                <w:szCs w:val="22"/>
              </w:rPr>
            </w:pPr>
            <w:r w:rsidRPr="00BF7557">
              <w:rPr>
                <w:rFonts w:ascii="Arial" w:hAnsi="Arial" w:cs="Arial"/>
                <w:sz w:val="22"/>
                <w:szCs w:val="22"/>
              </w:rPr>
              <w:t>UK-wide studies or studies from England, Scotland, Wales or Northern Ireland</w:t>
            </w:r>
          </w:p>
        </w:tc>
        <w:tc>
          <w:tcPr>
            <w:tcW w:w="3006" w:type="dxa"/>
            <w:tcMar/>
          </w:tcPr>
          <w:p w:rsidRPr="00BF7557" w:rsidR="0098793D" w:rsidP="0098793D" w:rsidRDefault="0098793D" w14:paraId="3803E35C" w14:textId="77777777">
            <w:pPr>
              <w:spacing w:line="360" w:lineRule="auto"/>
              <w:jc w:val="both"/>
              <w:rPr>
                <w:rFonts w:ascii="Arial" w:hAnsi="Arial" w:cs="Arial"/>
                <w:sz w:val="22"/>
                <w:szCs w:val="22"/>
              </w:rPr>
            </w:pPr>
            <w:r w:rsidRPr="00BF7557">
              <w:rPr>
                <w:rFonts w:ascii="Arial" w:hAnsi="Arial" w:cs="Arial"/>
                <w:sz w:val="22"/>
                <w:szCs w:val="22"/>
              </w:rPr>
              <w:t>Studies conducted entirely outside the UK</w:t>
            </w:r>
          </w:p>
          <w:p w:rsidR="0098793D" w:rsidP="00BF7557" w:rsidRDefault="0098793D" w14:paraId="520932AE" w14:textId="77777777">
            <w:pPr>
              <w:spacing w:line="360" w:lineRule="auto"/>
              <w:jc w:val="both"/>
              <w:rPr>
                <w:rFonts w:ascii="Arial" w:hAnsi="Arial" w:cs="Arial"/>
                <w:sz w:val="22"/>
                <w:szCs w:val="22"/>
              </w:rPr>
            </w:pPr>
          </w:p>
        </w:tc>
      </w:tr>
      <w:tr w:rsidR="0098793D" w:rsidTr="0204A69F" w14:paraId="45AEF999" w14:textId="77777777">
        <w:tc>
          <w:tcPr>
            <w:tcW w:w="3005" w:type="dxa"/>
            <w:tcMar/>
          </w:tcPr>
          <w:p w:rsidR="0098793D" w:rsidP="00BF7557" w:rsidRDefault="0098793D" w14:paraId="3FF9259A" w14:textId="5F7DF63B">
            <w:pPr>
              <w:spacing w:line="360" w:lineRule="auto"/>
              <w:jc w:val="both"/>
              <w:rPr>
                <w:rFonts w:ascii="Arial" w:hAnsi="Arial" w:cs="Arial"/>
                <w:sz w:val="22"/>
                <w:szCs w:val="22"/>
              </w:rPr>
            </w:pPr>
            <w:r w:rsidRPr="00BF7557">
              <w:rPr>
                <w:rFonts w:ascii="Arial" w:hAnsi="Arial" w:cs="Arial"/>
                <w:sz w:val="22"/>
                <w:szCs w:val="22"/>
              </w:rPr>
              <w:t>Topic</w:t>
            </w:r>
            <w:r w:rsidRPr="00BF7557">
              <w:rPr>
                <w:rFonts w:ascii="Arial" w:hAnsi="Arial" w:cs="Arial"/>
                <w:sz w:val="22"/>
                <w:szCs w:val="22"/>
              </w:rPr>
              <w:tab/>
            </w:r>
          </w:p>
        </w:tc>
        <w:tc>
          <w:tcPr>
            <w:tcW w:w="3005" w:type="dxa"/>
            <w:tcMar/>
          </w:tcPr>
          <w:p w:rsidR="0098793D" w:rsidP="00BF7557" w:rsidRDefault="0098793D" w14:paraId="54246454" w14:textId="5057F9F5">
            <w:pPr>
              <w:spacing w:line="360" w:lineRule="auto"/>
              <w:jc w:val="both"/>
              <w:rPr>
                <w:rFonts w:ascii="Arial" w:hAnsi="Arial" w:cs="Arial"/>
                <w:sz w:val="22"/>
                <w:szCs w:val="22"/>
              </w:rPr>
            </w:pPr>
            <w:r w:rsidRPr="00BF7557">
              <w:rPr>
                <w:rFonts w:ascii="Arial" w:hAnsi="Arial" w:cs="Arial"/>
                <w:sz w:val="22"/>
                <w:szCs w:val="22"/>
              </w:rPr>
              <w:t>Obesity or adiposity examined with at least one socioeconomic factor</w:t>
            </w:r>
          </w:p>
        </w:tc>
        <w:tc>
          <w:tcPr>
            <w:tcW w:w="3006" w:type="dxa"/>
            <w:tcMar/>
          </w:tcPr>
          <w:p w:rsidR="0098793D" w:rsidP="00BF7557" w:rsidRDefault="0098793D" w14:paraId="1329CD20" w14:textId="0166DCEA">
            <w:pPr>
              <w:spacing w:line="360" w:lineRule="auto"/>
              <w:jc w:val="both"/>
              <w:rPr>
                <w:rFonts w:ascii="Arial" w:hAnsi="Arial" w:cs="Arial"/>
                <w:sz w:val="22"/>
                <w:szCs w:val="22"/>
              </w:rPr>
            </w:pPr>
            <w:r w:rsidRPr="00BF7557">
              <w:rPr>
                <w:rFonts w:ascii="Arial" w:hAnsi="Arial" w:cs="Arial"/>
                <w:sz w:val="22"/>
                <w:szCs w:val="22"/>
              </w:rPr>
              <w:t>Obesity discussed without socioeconomic analysis</w:t>
            </w:r>
          </w:p>
        </w:tc>
      </w:tr>
      <w:tr w:rsidR="0098793D" w:rsidTr="0204A69F" w14:paraId="6ED0254D" w14:textId="77777777">
        <w:tc>
          <w:tcPr>
            <w:tcW w:w="3005" w:type="dxa"/>
            <w:tcMar/>
          </w:tcPr>
          <w:p w:rsidR="0098793D" w:rsidP="00BF7557" w:rsidRDefault="0098793D" w14:paraId="64AA4C87" w14:textId="69BD58A6">
            <w:pPr>
              <w:spacing w:line="360" w:lineRule="auto"/>
              <w:jc w:val="both"/>
              <w:rPr>
                <w:rFonts w:ascii="Arial" w:hAnsi="Arial" w:cs="Arial"/>
                <w:sz w:val="22"/>
                <w:szCs w:val="22"/>
              </w:rPr>
            </w:pPr>
            <w:r w:rsidRPr="00BF7557">
              <w:rPr>
                <w:rFonts w:ascii="Arial" w:hAnsi="Arial" w:cs="Arial"/>
                <w:sz w:val="22"/>
                <w:szCs w:val="22"/>
              </w:rPr>
              <w:t>Outcomes</w:t>
            </w:r>
            <w:r w:rsidRPr="00BF7557">
              <w:rPr>
                <w:rFonts w:ascii="Arial" w:hAnsi="Arial" w:cs="Arial"/>
                <w:sz w:val="22"/>
                <w:szCs w:val="22"/>
              </w:rPr>
              <w:tab/>
            </w:r>
          </w:p>
        </w:tc>
        <w:tc>
          <w:tcPr>
            <w:tcW w:w="3005" w:type="dxa"/>
            <w:tcMar/>
          </w:tcPr>
          <w:p w:rsidR="0098793D" w:rsidP="00BF7557" w:rsidRDefault="0098793D" w14:paraId="7446D119" w14:textId="541B3ABA">
            <w:pPr>
              <w:spacing w:line="360" w:lineRule="auto"/>
              <w:jc w:val="both"/>
              <w:rPr>
                <w:rFonts w:ascii="Arial" w:hAnsi="Arial" w:cs="Arial"/>
                <w:sz w:val="22"/>
                <w:szCs w:val="22"/>
              </w:rPr>
            </w:pPr>
            <w:r w:rsidRPr="00BF7557">
              <w:rPr>
                <w:rFonts w:ascii="Arial" w:hAnsi="Arial" w:cs="Arial"/>
                <w:sz w:val="22"/>
                <w:szCs w:val="22"/>
              </w:rPr>
              <w:t>BMI, obesity, severe obesity, waist circumference or recognised adiposity measures</w:t>
            </w:r>
          </w:p>
        </w:tc>
        <w:tc>
          <w:tcPr>
            <w:tcW w:w="3006" w:type="dxa"/>
            <w:tcMar/>
          </w:tcPr>
          <w:p w:rsidRPr="00BF7557" w:rsidR="0098793D" w:rsidP="0098793D" w:rsidRDefault="0098793D" w14:paraId="4C0373E1" w14:textId="77777777">
            <w:pPr>
              <w:spacing w:line="360" w:lineRule="auto"/>
              <w:jc w:val="both"/>
              <w:rPr>
                <w:rFonts w:ascii="Arial" w:hAnsi="Arial" w:cs="Arial"/>
                <w:sz w:val="22"/>
                <w:szCs w:val="22"/>
              </w:rPr>
            </w:pPr>
            <w:r w:rsidRPr="00BF7557">
              <w:rPr>
                <w:rFonts w:ascii="Arial" w:hAnsi="Arial" w:cs="Arial"/>
                <w:sz w:val="22"/>
                <w:szCs w:val="22"/>
              </w:rPr>
              <w:t>No weight-related or adiposity outcome</w:t>
            </w:r>
          </w:p>
          <w:p w:rsidR="0098793D" w:rsidP="00BF7557" w:rsidRDefault="0098793D" w14:paraId="5BD0A829" w14:textId="77777777">
            <w:pPr>
              <w:spacing w:line="360" w:lineRule="auto"/>
              <w:jc w:val="both"/>
              <w:rPr>
                <w:rFonts w:ascii="Arial" w:hAnsi="Arial" w:cs="Arial"/>
                <w:sz w:val="22"/>
                <w:szCs w:val="22"/>
              </w:rPr>
            </w:pPr>
          </w:p>
        </w:tc>
      </w:tr>
      <w:tr w:rsidR="0098793D" w:rsidTr="0204A69F" w14:paraId="0D438484" w14:textId="77777777">
        <w:tc>
          <w:tcPr>
            <w:tcW w:w="3005" w:type="dxa"/>
            <w:tcMar/>
          </w:tcPr>
          <w:p w:rsidRPr="00BF7557" w:rsidR="0098793D" w:rsidP="0098793D" w:rsidRDefault="0098793D" w14:paraId="7DA326BF" w14:textId="77777777">
            <w:pPr>
              <w:spacing w:line="360" w:lineRule="auto"/>
              <w:jc w:val="both"/>
              <w:rPr>
                <w:rFonts w:ascii="Arial" w:hAnsi="Arial" w:cs="Arial"/>
                <w:sz w:val="22"/>
                <w:szCs w:val="22"/>
              </w:rPr>
            </w:pPr>
            <w:r w:rsidRPr="00BF7557">
              <w:rPr>
                <w:rFonts w:ascii="Arial" w:hAnsi="Arial" w:cs="Arial"/>
                <w:sz w:val="22"/>
                <w:szCs w:val="22"/>
              </w:rPr>
              <w:tab/>
            </w:r>
          </w:p>
          <w:p w:rsidR="0098793D" w:rsidP="0098793D" w:rsidRDefault="0098793D" w14:paraId="4233F734" w14:textId="77126CB0">
            <w:pPr>
              <w:spacing w:line="360" w:lineRule="auto"/>
              <w:jc w:val="both"/>
              <w:rPr>
                <w:rFonts w:ascii="Arial" w:hAnsi="Arial" w:cs="Arial"/>
                <w:sz w:val="22"/>
                <w:szCs w:val="22"/>
              </w:rPr>
            </w:pPr>
            <w:r w:rsidRPr="00BF7557">
              <w:rPr>
                <w:rFonts w:ascii="Arial" w:hAnsi="Arial" w:cs="Arial"/>
                <w:sz w:val="22"/>
                <w:szCs w:val="22"/>
              </w:rPr>
              <w:t>Evidence</w:t>
            </w:r>
          </w:p>
        </w:tc>
        <w:tc>
          <w:tcPr>
            <w:tcW w:w="3005" w:type="dxa"/>
            <w:tcMar/>
          </w:tcPr>
          <w:p w:rsidR="0098793D" w:rsidP="00BF7557" w:rsidRDefault="0098793D" w14:paraId="5E9F6606" w14:textId="56FDAB40">
            <w:pPr>
              <w:spacing w:line="360" w:lineRule="auto"/>
              <w:jc w:val="both"/>
              <w:rPr>
                <w:rFonts w:ascii="Arial" w:hAnsi="Arial" w:cs="Arial"/>
                <w:sz w:val="22"/>
                <w:szCs w:val="22"/>
              </w:rPr>
            </w:pPr>
            <w:r w:rsidRPr="00BF7557">
              <w:rPr>
                <w:rFonts w:ascii="Arial" w:hAnsi="Arial" w:cs="Arial"/>
                <w:sz w:val="22"/>
                <w:szCs w:val="22"/>
              </w:rPr>
              <w:t>Original peer-reviewed quantitative, qualitative or mixed-method</w:t>
            </w:r>
            <w:r>
              <w:rPr>
                <w:rFonts w:ascii="Arial" w:hAnsi="Arial" w:cs="Arial"/>
                <w:sz w:val="22"/>
                <w:szCs w:val="22"/>
              </w:rPr>
              <w:t xml:space="preserve"> research</w:t>
            </w:r>
          </w:p>
        </w:tc>
        <w:tc>
          <w:tcPr>
            <w:tcW w:w="3006" w:type="dxa"/>
            <w:tcMar/>
          </w:tcPr>
          <w:p w:rsidRPr="00BF7557" w:rsidR="0098793D" w:rsidP="0098793D" w:rsidRDefault="0098793D" w14:paraId="382179F4" w14:textId="77777777">
            <w:pPr>
              <w:spacing w:line="360" w:lineRule="auto"/>
              <w:jc w:val="both"/>
              <w:rPr>
                <w:rFonts w:ascii="Arial" w:hAnsi="Arial" w:cs="Arial"/>
                <w:sz w:val="22"/>
                <w:szCs w:val="22"/>
              </w:rPr>
            </w:pPr>
            <w:r w:rsidRPr="00BF7557">
              <w:rPr>
                <w:rFonts w:ascii="Arial" w:hAnsi="Arial" w:cs="Arial"/>
                <w:sz w:val="22"/>
                <w:szCs w:val="22"/>
              </w:rPr>
              <w:t>Editorials, commentaries, protocols, conference abstracts or non-peer-reviewed reports</w:t>
            </w:r>
          </w:p>
          <w:p w:rsidR="0098793D" w:rsidP="00BF7557" w:rsidRDefault="0098793D" w14:paraId="2419CFBE" w14:textId="77777777">
            <w:pPr>
              <w:spacing w:line="360" w:lineRule="auto"/>
              <w:jc w:val="both"/>
              <w:rPr>
                <w:rFonts w:ascii="Arial" w:hAnsi="Arial" w:cs="Arial"/>
                <w:sz w:val="22"/>
                <w:szCs w:val="22"/>
              </w:rPr>
            </w:pPr>
          </w:p>
        </w:tc>
      </w:tr>
      <w:tr w:rsidR="0098793D" w:rsidTr="0204A69F" w14:paraId="0A243E5B" w14:textId="77777777">
        <w:tc>
          <w:tcPr>
            <w:tcW w:w="3005" w:type="dxa"/>
            <w:tcMar/>
          </w:tcPr>
          <w:p w:rsidR="0098793D" w:rsidP="00BF7557" w:rsidRDefault="0098793D" w14:paraId="723F8348" w14:textId="1803EE51">
            <w:pPr>
              <w:spacing w:line="360" w:lineRule="auto"/>
              <w:jc w:val="both"/>
              <w:rPr>
                <w:rFonts w:ascii="Arial" w:hAnsi="Arial" w:cs="Arial"/>
                <w:sz w:val="22"/>
                <w:szCs w:val="22"/>
              </w:rPr>
            </w:pPr>
            <w:r w:rsidRPr="00BF7557">
              <w:rPr>
                <w:rFonts w:ascii="Arial" w:hAnsi="Arial" w:cs="Arial"/>
                <w:sz w:val="22"/>
                <w:szCs w:val="22"/>
              </w:rPr>
              <w:t>Language/date</w:t>
            </w:r>
            <w:r w:rsidRPr="00BF7557">
              <w:rPr>
                <w:rFonts w:ascii="Arial" w:hAnsi="Arial" w:cs="Arial"/>
                <w:sz w:val="22"/>
                <w:szCs w:val="22"/>
              </w:rPr>
              <w:tab/>
            </w:r>
          </w:p>
        </w:tc>
        <w:tc>
          <w:tcPr>
            <w:tcW w:w="3005" w:type="dxa"/>
            <w:tcMar/>
          </w:tcPr>
          <w:p w:rsidR="0098793D" w:rsidP="00BF7557" w:rsidRDefault="0098793D" w14:paraId="099C5E5D" w14:textId="054C50B5">
            <w:pPr>
              <w:spacing w:line="360" w:lineRule="auto"/>
              <w:jc w:val="both"/>
              <w:rPr>
                <w:rFonts w:ascii="Arial" w:hAnsi="Arial" w:cs="Arial"/>
                <w:sz w:val="22"/>
                <w:szCs w:val="22"/>
              </w:rPr>
            </w:pPr>
            <w:r w:rsidRPr="00BF7557">
              <w:rPr>
                <w:rFonts w:ascii="Arial" w:hAnsi="Arial" w:cs="Arial"/>
                <w:sz w:val="22"/>
                <w:szCs w:val="22"/>
              </w:rPr>
              <w:t>English; January 2014 onwards</w:t>
            </w:r>
            <w:r w:rsidRPr="00BF7557">
              <w:rPr>
                <w:rFonts w:ascii="Arial" w:hAnsi="Arial" w:cs="Arial"/>
                <w:sz w:val="22"/>
                <w:szCs w:val="22"/>
              </w:rPr>
              <w:tab/>
            </w:r>
          </w:p>
        </w:tc>
        <w:tc>
          <w:tcPr>
            <w:tcW w:w="3006" w:type="dxa"/>
            <w:tcMar/>
          </w:tcPr>
          <w:p w:rsidRPr="00BF7557" w:rsidR="0098793D" w:rsidP="0098793D" w:rsidRDefault="0098793D" w14:paraId="30CAD571" w14:textId="77777777">
            <w:pPr>
              <w:spacing w:line="360" w:lineRule="auto"/>
              <w:jc w:val="both"/>
              <w:rPr>
                <w:rFonts w:ascii="Arial" w:hAnsi="Arial" w:cs="Arial"/>
                <w:sz w:val="22"/>
                <w:szCs w:val="22"/>
              </w:rPr>
            </w:pPr>
            <w:r w:rsidRPr="00BF7557">
              <w:rPr>
                <w:rFonts w:ascii="Arial" w:hAnsi="Arial" w:cs="Arial"/>
                <w:sz w:val="22"/>
                <w:szCs w:val="22"/>
              </w:rPr>
              <w:t>Non-English or published before January 2014</w:t>
            </w:r>
          </w:p>
          <w:p w:rsidR="0098793D" w:rsidP="00BF7557" w:rsidRDefault="0098793D" w14:paraId="4EDCDD57" w14:textId="77777777">
            <w:pPr>
              <w:spacing w:line="360" w:lineRule="auto"/>
              <w:jc w:val="both"/>
              <w:rPr>
                <w:rFonts w:ascii="Arial" w:hAnsi="Arial" w:cs="Arial"/>
                <w:sz w:val="22"/>
                <w:szCs w:val="22"/>
              </w:rPr>
            </w:pPr>
          </w:p>
        </w:tc>
      </w:tr>
    </w:tbl>
    <w:p w:rsidR="69A9564F" w:rsidP="0204A69F" w:rsidRDefault="69A9564F" w14:paraId="7A8498E8" w14:textId="4D530E3C">
      <w:pPr>
        <w:pStyle w:val="Heading3"/>
        <w:spacing w:line="360" w:lineRule="auto"/>
        <w:jc w:val="both"/>
      </w:pPr>
      <w:bookmarkStart w:name="_Toc1314371519" w:id="1503247046"/>
      <w:r w:rsidR="69A9564F">
        <w:rPr/>
        <w:t xml:space="preserve">3.5 </w:t>
      </w:r>
      <w:r w:rsidR="1245FD02">
        <w:rPr/>
        <w:t>Study Selection</w:t>
      </w:r>
      <w:bookmarkEnd w:id="1503247046"/>
    </w:p>
    <w:p w:rsidR="1245FD02" w:rsidP="0204A69F" w:rsidRDefault="1245FD02" w14:paraId="055B755D" w14:textId="670873E7">
      <w:pPr>
        <w:pStyle w:val="Normal"/>
        <w:spacing w:line="360" w:lineRule="auto"/>
        <w:jc w:val="both"/>
      </w:pPr>
      <w:r w:rsidRPr="0204A69F" w:rsidR="1245FD02">
        <w:rPr>
          <w:rFonts w:ascii="Arial" w:hAnsi="Arial" w:eastAsia="Arial" w:cs="Arial"/>
          <w:b w:val="0"/>
          <w:bCs w:val="0"/>
          <w:sz w:val="22"/>
          <w:szCs w:val="22"/>
        </w:rPr>
        <w:t>Titles and abstracts were initially screened for relevance, followed by full-text assessment against the eligibility criteria. Five peer-reviewed studies were included because they directly addressed socioeconomic inequalities in obesity among UK adults (Tricco et al., 2018).</w:t>
      </w:r>
    </w:p>
    <w:p w:rsidR="3D55966A" w:rsidP="0204A69F" w:rsidRDefault="3D55966A" w14:paraId="5390F618" w14:textId="0C05251F">
      <w:pPr>
        <w:pStyle w:val="Heading3"/>
        <w:spacing w:line="360" w:lineRule="auto"/>
        <w:jc w:val="both"/>
        <w:rPr>
          <w:rFonts w:ascii="Arial" w:hAnsi="Arial" w:eastAsia="Arial" w:cs="Arial"/>
          <w:b w:val="1"/>
          <w:bCs w:val="1"/>
          <w:sz w:val="24"/>
          <w:szCs w:val="24"/>
        </w:rPr>
      </w:pPr>
      <w:bookmarkStart w:name="_Toc722182568" w:id="738560873"/>
      <w:r w:rsidR="3D55966A">
        <w:rPr/>
        <w:t xml:space="preserve">3.6 </w:t>
      </w:r>
      <w:r w:rsidR="0862A5DE">
        <w:rPr/>
        <w:t>Data Extraction and Analysis</w:t>
      </w:r>
      <w:bookmarkEnd w:id="738560873"/>
    </w:p>
    <w:p w:rsidRPr="00BF7557" w:rsidR="00BF7557" w:rsidP="0204A69F" w:rsidRDefault="00BF7557" w14:paraId="556730CA" w14:textId="4318038E">
      <w:pPr>
        <w:pStyle w:val="Normal"/>
        <w:spacing w:line="360" w:lineRule="auto"/>
        <w:jc w:val="both"/>
      </w:pPr>
      <w:r w:rsidRPr="0204A69F" w:rsidR="14D2E30B">
        <w:rPr>
          <w:rFonts w:ascii="Arial" w:hAnsi="Arial" w:eastAsia="Arial" w:cs="Arial"/>
          <w:sz w:val="22"/>
          <w:szCs w:val="22"/>
        </w:rPr>
        <w:t xml:space="preserve">Data were extracted into a table covering author, year, study design, methodology, sample, key findings, strengths and limitations. The five studies were thematically analysed by identifying and grouping recurring findings. Key themes included income and financial disadvantage, education and employment, area deprivation, food access, and ethnicity and demographic factors (Braun and Clarke, 2006). </w:t>
      </w:r>
    </w:p>
    <w:p w:rsidRPr="00BF7557" w:rsidR="00BF7557" w:rsidP="0204A69F" w:rsidRDefault="00BF7557" w14:paraId="6640B903" w14:textId="7F02BBBE">
      <w:pPr>
        <w:pStyle w:val="Heading3"/>
        <w:spacing w:line="360" w:lineRule="auto"/>
        <w:jc w:val="both"/>
        <w:rPr>
          <w:rFonts w:ascii="Arial" w:hAnsi="Arial" w:eastAsia="Arial" w:cs="Arial"/>
          <w:b w:val="1"/>
          <w:bCs w:val="1"/>
          <w:noProof w:val="0"/>
          <w:sz w:val="24"/>
          <w:szCs w:val="24"/>
          <w:lang w:val="en-GB"/>
        </w:rPr>
      </w:pPr>
      <w:bookmarkStart w:name="_Toc1424580928" w:id="913583534"/>
      <w:r w:rsidRPr="0204A69F" w:rsidR="3E441FDE">
        <w:rPr>
          <w:noProof w:val="0"/>
          <w:lang w:val="en-GB"/>
        </w:rPr>
        <w:t>3.7 Ethical Considerations</w:t>
      </w:r>
      <w:bookmarkEnd w:id="913583534"/>
    </w:p>
    <w:p w:rsidRPr="00BF7557" w:rsidR="00BF7557" w:rsidP="0204A69F" w:rsidRDefault="00BF7557" w14:paraId="2B02E707" w14:textId="726B1A2F">
      <w:pPr>
        <w:spacing w:before="240" w:beforeAutospacing="off" w:after="240" w:afterAutospacing="off" w:line="360" w:lineRule="auto"/>
        <w:jc w:val="both"/>
      </w:pPr>
      <w:r w:rsidRPr="0204A69F" w:rsidR="3E441FDE">
        <w:rPr>
          <w:rFonts w:ascii="Arial" w:hAnsi="Arial" w:eastAsia="Arial" w:cs="Arial"/>
          <w:noProof w:val="0"/>
          <w:sz w:val="22"/>
          <w:szCs w:val="22"/>
          <w:lang w:val="en-GB"/>
        </w:rPr>
        <w:t xml:space="preserve">Ethical approval was not </w:t>
      </w:r>
      <w:r w:rsidRPr="0204A69F" w:rsidR="3E441FDE">
        <w:rPr>
          <w:rFonts w:ascii="Arial" w:hAnsi="Arial" w:eastAsia="Arial" w:cs="Arial"/>
          <w:noProof w:val="0"/>
          <w:sz w:val="22"/>
          <w:szCs w:val="22"/>
          <w:lang w:val="en-GB"/>
        </w:rPr>
        <w:t>required</w:t>
      </w:r>
      <w:r w:rsidRPr="0204A69F" w:rsidR="3E441FDE">
        <w:rPr>
          <w:rFonts w:ascii="Arial" w:hAnsi="Arial" w:eastAsia="Arial" w:cs="Arial"/>
          <w:noProof w:val="0"/>
          <w:sz w:val="22"/>
          <w:szCs w:val="22"/>
          <w:lang w:val="en-GB"/>
        </w:rPr>
        <w:t xml:space="preserve"> because the review used published research and involved no human participants. Ethical principles were </w:t>
      </w:r>
      <w:r w:rsidRPr="0204A69F" w:rsidR="3E441FDE">
        <w:rPr>
          <w:rFonts w:ascii="Arial" w:hAnsi="Arial" w:eastAsia="Arial" w:cs="Arial"/>
          <w:noProof w:val="0"/>
          <w:sz w:val="22"/>
          <w:szCs w:val="22"/>
          <w:lang w:val="en-GB"/>
        </w:rPr>
        <w:t>maintained</w:t>
      </w:r>
      <w:r w:rsidRPr="0204A69F" w:rsidR="3E441FDE">
        <w:rPr>
          <w:rFonts w:ascii="Arial" w:hAnsi="Arial" w:eastAsia="Arial" w:cs="Arial"/>
          <w:noProof w:val="0"/>
          <w:sz w:val="22"/>
          <w:szCs w:val="22"/>
          <w:lang w:val="en-GB"/>
        </w:rPr>
        <w:t xml:space="preserve"> through </w:t>
      </w:r>
      <w:r w:rsidRPr="0204A69F" w:rsidR="3E441FDE">
        <w:rPr>
          <w:rFonts w:ascii="Arial" w:hAnsi="Arial" w:eastAsia="Arial" w:cs="Arial"/>
          <w:noProof w:val="0"/>
          <w:sz w:val="22"/>
          <w:szCs w:val="22"/>
          <w:lang w:val="en-GB"/>
        </w:rPr>
        <w:t>accurate</w:t>
      </w:r>
      <w:r w:rsidRPr="0204A69F" w:rsidR="3E441FDE">
        <w:rPr>
          <w:rFonts w:ascii="Arial" w:hAnsi="Arial" w:eastAsia="Arial" w:cs="Arial"/>
          <w:noProof w:val="0"/>
          <w:sz w:val="22"/>
          <w:szCs w:val="22"/>
          <w:lang w:val="en-GB"/>
        </w:rPr>
        <w:t xml:space="preserve"> reporting, </w:t>
      </w:r>
      <w:r w:rsidRPr="0204A69F" w:rsidR="3E441FDE">
        <w:rPr>
          <w:rFonts w:ascii="Arial" w:hAnsi="Arial" w:eastAsia="Arial" w:cs="Arial"/>
          <w:noProof w:val="0"/>
          <w:sz w:val="22"/>
          <w:szCs w:val="22"/>
          <w:lang w:val="en-GB"/>
        </w:rPr>
        <w:t>appropriate Harvard</w:t>
      </w:r>
      <w:r w:rsidRPr="0204A69F" w:rsidR="3E441FDE">
        <w:rPr>
          <w:rFonts w:ascii="Arial" w:hAnsi="Arial" w:eastAsia="Arial" w:cs="Arial"/>
          <w:noProof w:val="0"/>
          <w:sz w:val="22"/>
          <w:szCs w:val="22"/>
          <w:lang w:val="en-GB"/>
        </w:rPr>
        <w:t xml:space="preserve"> Cite Them Right referencing, acknowledgement of original authors and avoidance of plagiarism and bias. Study strengths and limitations were presented fairly (Aveyard, 2014; </w:t>
      </w:r>
      <w:r w:rsidRPr="0204A69F" w:rsidR="3E441FDE">
        <w:rPr>
          <w:rFonts w:ascii="Arial" w:hAnsi="Arial" w:eastAsia="Arial" w:cs="Arial"/>
          <w:noProof w:val="0"/>
          <w:sz w:val="22"/>
          <w:szCs w:val="22"/>
          <w:lang w:val="en-GB"/>
        </w:rPr>
        <w:t>Tricco</w:t>
      </w:r>
      <w:r w:rsidRPr="0204A69F" w:rsidR="3E441FDE">
        <w:rPr>
          <w:rFonts w:ascii="Arial" w:hAnsi="Arial" w:eastAsia="Arial" w:cs="Arial"/>
          <w:noProof w:val="0"/>
          <w:sz w:val="22"/>
          <w:szCs w:val="22"/>
          <w:lang w:val="en-GB"/>
        </w:rPr>
        <w:t xml:space="preserve"> et al., 2018; Salkind, 2010).</w:t>
      </w:r>
    </w:p>
    <w:p w:rsidRPr="00BF7557" w:rsidR="00BF7557" w:rsidP="0204A69F" w:rsidRDefault="00BF7557" w14:paraId="064EC429" w14:textId="5191B37F">
      <w:pPr>
        <w:pStyle w:val="Heading2"/>
        <w:spacing w:line="360" w:lineRule="auto"/>
        <w:jc w:val="both"/>
      </w:pPr>
      <w:bookmarkStart w:name="_Toc1099274053" w:id="892644122"/>
      <w:r w:rsidR="00BF7557">
        <w:rPr/>
        <w:t>4. Results</w:t>
      </w:r>
      <w:bookmarkEnd w:id="892644122"/>
    </w:p>
    <w:p w:rsidR="18E5495B" w:rsidP="0204A69F" w:rsidRDefault="18E5495B" w14:paraId="46EAFB3D" w14:textId="4F1223EE">
      <w:pPr>
        <w:pStyle w:val="Normal"/>
        <w:spacing w:line="360" w:lineRule="auto"/>
        <w:jc w:val="both"/>
      </w:pPr>
      <w:r w:rsidRPr="0204A69F" w:rsidR="18E5495B">
        <w:rPr>
          <w:rFonts w:ascii="Arial" w:hAnsi="Arial" w:eastAsia="Arial" w:cs="Arial"/>
          <w:sz w:val="22"/>
          <w:szCs w:val="22"/>
        </w:rPr>
        <w:t>Following the database search and screening process, five peer-reviewed studies were included in this scoping review. The studies were selected because they directly examined socioeconomic inequalities in obesity among adults living in the UK. Although each study investigated the topic from a different perspective, they all explored how social and economic factors influence obesity. The studies used different research methods, sample sizes and outcome measures, allowing a broad understanding of the topic.</w:t>
      </w:r>
    </w:p>
    <w:p w:rsidR="18E5495B" w:rsidP="0204A69F" w:rsidRDefault="18E5495B" w14:paraId="29A44B6F" w14:textId="0E5483CE">
      <w:pPr>
        <w:pStyle w:val="Normal"/>
        <w:spacing w:line="360" w:lineRule="auto"/>
        <w:jc w:val="both"/>
      </w:pPr>
      <w:r w:rsidRPr="0204A69F" w:rsidR="18E5495B">
        <w:rPr>
          <w:rFonts w:ascii="Arial" w:hAnsi="Arial" w:eastAsia="Arial" w:cs="Arial"/>
          <w:sz w:val="22"/>
          <w:szCs w:val="22"/>
        </w:rPr>
        <w:t>The findings were analysed using thematic analysis. Five main themes were identified:</w:t>
      </w:r>
    </w:p>
    <w:p w:rsidR="18E5495B" w:rsidP="0204A69F" w:rsidRDefault="18E5495B" w14:paraId="27AD4550" w14:textId="4FF37BF5">
      <w:pPr>
        <w:pStyle w:val="ListParagraph"/>
        <w:numPr>
          <w:ilvl w:val="0"/>
          <w:numId w:val="4"/>
        </w:numPr>
        <w:spacing w:line="360" w:lineRule="auto"/>
        <w:jc w:val="both"/>
        <w:rPr>
          <w:rFonts w:ascii="Arial" w:hAnsi="Arial" w:eastAsia="Arial" w:cs="Arial"/>
          <w:sz w:val="22"/>
          <w:szCs w:val="22"/>
        </w:rPr>
      </w:pPr>
      <w:r w:rsidRPr="0204A69F" w:rsidR="18E5495B">
        <w:rPr>
          <w:rFonts w:ascii="Arial" w:hAnsi="Arial" w:eastAsia="Arial" w:cs="Arial"/>
          <w:sz w:val="22"/>
          <w:szCs w:val="22"/>
        </w:rPr>
        <w:t>Income and financial disadvantage</w:t>
      </w:r>
    </w:p>
    <w:p w:rsidR="18E5495B" w:rsidP="0204A69F" w:rsidRDefault="18E5495B" w14:paraId="3CA0F2FE" w14:textId="79ED6924">
      <w:pPr>
        <w:pStyle w:val="ListParagraph"/>
        <w:numPr>
          <w:ilvl w:val="0"/>
          <w:numId w:val="4"/>
        </w:numPr>
        <w:spacing w:line="360" w:lineRule="auto"/>
        <w:jc w:val="both"/>
        <w:rPr>
          <w:rFonts w:ascii="Arial" w:hAnsi="Arial" w:eastAsia="Arial" w:cs="Arial"/>
          <w:sz w:val="22"/>
          <w:szCs w:val="22"/>
        </w:rPr>
      </w:pPr>
      <w:r w:rsidRPr="0204A69F" w:rsidR="18E5495B">
        <w:rPr>
          <w:rFonts w:ascii="Arial" w:hAnsi="Arial" w:eastAsia="Arial" w:cs="Arial"/>
          <w:sz w:val="22"/>
          <w:szCs w:val="22"/>
        </w:rPr>
        <w:t>Education and employment</w:t>
      </w:r>
    </w:p>
    <w:p w:rsidR="18E5495B" w:rsidP="0204A69F" w:rsidRDefault="18E5495B" w14:paraId="269E5CB4" w14:textId="11A777A3">
      <w:pPr>
        <w:pStyle w:val="ListParagraph"/>
        <w:numPr>
          <w:ilvl w:val="0"/>
          <w:numId w:val="4"/>
        </w:numPr>
        <w:spacing w:line="360" w:lineRule="auto"/>
        <w:jc w:val="both"/>
        <w:rPr>
          <w:rFonts w:ascii="Arial" w:hAnsi="Arial" w:eastAsia="Arial" w:cs="Arial"/>
          <w:sz w:val="22"/>
          <w:szCs w:val="22"/>
        </w:rPr>
      </w:pPr>
      <w:r w:rsidRPr="0204A69F" w:rsidR="18E5495B">
        <w:rPr>
          <w:rFonts w:ascii="Arial" w:hAnsi="Arial" w:eastAsia="Arial" w:cs="Arial"/>
          <w:sz w:val="22"/>
          <w:szCs w:val="22"/>
        </w:rPr>
        <w:t>Area deprivation and neighbourhood environment</w:t>
      </w:r>
    </w:p>
    <w:p w:rsidR="18E5495B" w:rsidP="0204A69F" w:rsidRDefault="18E5495B" w14:paraId="1575594C" w14:textId="303E32A5">
      <w:pPr>
        <w:pStyle w:val="ListParagraph"/>
        <w:numPr>
          <w:ilvl w:val="0"/>
          <w:numId w:val="4"/>
        </w:numPr>
        <w:spacing w:line="360" w:lineRule="auto"/>
        <w:jc w:val="both"/>
        <w:rPr>
          <w:rFonts w:ascii="Arial" w:hAnsi="Arial" w:eastAsia="Arial" w:cs="Arial"/>
          <w:sz w:val="22"/>
          <w:szCs w:val="22"/>
        </w:rPr>
      </w:pPr>
      <w:r w:rsidRPr="0204A69F" w:rsidR="18E5495B">
        <w:rPr>
          <w:rFonts w:ascii="Arial" w:hAnsi="Arial" w:eastAsia="Arial" w:cs="Arial"/>
          <w:sz w:val="22"/>
          <w:szCs w:val="22"/>
        </w:rPr>
        <w:t>Barriers to healthy eating</w:t>
      </w:r>
    </w:p>
    <w:p w:rsidR="18E5495B" w:rsidP="0204A69F" w:rsidRDefault="18E5495B" w14:paraId="7F8ABED7" w14:textId="60C0C52F">
      <w:pPr>
        <w:pStyle w:val="ListParagraph"/>
        <w:numPr>
          <w:ilvl w:val="0"/>
          <w:numId w:val="4"/>
        </w:numPr>
        <w:spacing w:line="360" w:lineRule="auto"/>
        <w:jc w:val="both"/>
        <w:rPr>
          <w:rFonts w:ascii="Arial" w:hAnsi="Arial" w:eastAsia="Arial" w:cs="Arial"/>
          <w:sz w:val="22"/>
          <w:szCs w:val="22"/>
        </w:rPr>
      </w:pPr>
      <w:r w:rsidRPr="0204A69F" w:rsidR="18E5495B">
        <w:rPr>
          <w:rFonts w:ascii="Arial" w:hAnsi="Arial" w:eastAsia="Arial" w:cs="Arial"/>
          <w:sz w:val="22"/>
          <w:szCs w:val="22"/>
        </w:rPr>
        <w:t>Demographic factors including age, sex and ethnicity</w:t>
      </w:r>
    </w:p>
    <w:p w:rsidRPr="00BF7557" w:rsidR="00BF7557" w:rsidP="0204A69F" w:rsidRDefault="00BF7557" w14:paraId="7813FD00" w14:textId="46057697">
      <w:pPr>
        <w:pStyle w:val="Normal"/>
        <w:spacing w:line="360" w:lineRule="auto"/>
        <w:jc w:val="both"/>
      </w:pPr>
      <w:r w:rsidRPr="0204A69F" w:rsidR="18E5495B">
        <w:rPr>
          <w:rFonts w:ascii="Arial" w:hAnsi="Arial" w:eastAsia="Arial" w:cs="Arial"/>
          <w:sz w:val="22"/>
          <w:szCs w:val="22"/>
        </w:rPr>
        <w:t>These themes are discussed below and compared across the selected studies.</w:t>
      </w:r>
    </w:p>
    <w:p w:rsidRPr="00BF7557" w:rsidR="00BF7557" w:rsidP="0204A69F" w:rsidRDefault="00BF7557" w14:paraId="15F0CEC5" w14:textId="270EBAB9">
      <w:pPr>
        <w:pStyle w:val="Heading3"/>
        <w:spacing w:line="360" w:lineRule="auto"/>
        <w:jc w:val="both"/>
      </w:pPr>
      <w:bookmarkStart w:name="_Toc306645304" w:id="2087501856"/>
      <w:r w:rsidR="00BF7557">
        <w:rPr/>
        <w:t>Table 1. Summary of included studies</w:t>
      </w:r>
      <w:bookmarkEnd w:id="2087501856"/>
    </w:p>
    <w:tbl>
      <w:tblPr>
        <w:tblStyle w:val="TableGrid"/>
        <w:tblW w:w="9008" w:type="dxa"/>
        <w:tblLook w:val="04A0" w:firstRow="1" w:lastRow="0" w:firstColumn="1" w:lastColumn="0" w:noHBand="0" w:noVBand="1"/>
      </w:tblPr>
      <w:tblGrid>
        <w:gridCol w:w="1185"/>
        <w:gridCol w:w="1480"/>
        <w:gridCol w:w="1611"/>
        <w:gridCol w:w="1372"/>
        <w:gridCol w:w="1635"/>
        <w:gridCol w:w="1725"/>
      </w:tblGrid>
      <w:tr w:rsidR="008713D8" w:rsidTr="0204A69F" w14:paraId="4FBA3119" w14:textId="77777777">
        <w:trPr>
          <w:trHeight w:val="1155"/>
        </w:trPr>
        <w:tc>
          <w:tcPr>
            <w:tcW w:w="1185" w:type="dxa"/>
            <w:tcMar/>
          </w:tcPr>
          <w:p w:rsidR="008713D8" w:rsidP="0204A69F" w:rsidRDefault="008713D8" w14:paraId="5040C632" w14:textId="3C440AA2">
            <w:pPr>
              <w:pStyle w:val="Normal"/>
            </w:pPr>
            <w:r w:rsidR="48E63B4B">
              <w:rPr/>
              <w:t>Author</w:t>
            </w:r>
          </w:p>
          <w:p w:rsidR="008713D8" w:rsidP="0204A69F" w:rsidRDefault="008713D8" w14:paraId="444B8862" w14:textId="722E894E">
            <w:pPr>
              <w:pStyle w:val="Normal"/>
            </w:pPr>
          </w:p>
        </w:tc>
        <w:tc>
          <w:tcPr>
            <w:tcW w:w="1480" w:type="dxa"/>
            <w:tcMar/>
          </w:tcPr>
          <w:p w:rsidR="008713D8" w:rsidP="0204A69F" w:rsidRDefault="008713D8" w14:paraId="20BBE90D" w14:textId="0785CBF5">
            <w:pPr>
              <w:pStyle w:val="Normal"/>
            </w:pPr>
            <w:r w:rsidR="79E87F96">
              <w:rPr/>
              <w:t>Aim</w:t>
            </w:r>
          </w:p>
        </w:tc>
        <w:tc>
          <w:tcPr>
            <w:tcW w:w="1611" w:type="dxa"/>
            <w:tcMar/>
          </w:tcPr>
          <w:p w:rsidR="008713D8" w:rsidP="0204A69F" w:rsidRDefault="008713D8" w14:paraId="63E85C35" w14:textId="5CFB59C0">
            <w:pPr>
              <w:pStyle w:val="Normal"/>
            </w:pPr>
            <w:r w:rsidR="79E87F96">
              <w:rPr/>
              <w:t>Design</w:t>
            </w:r>
          </w:p>
        </w:tc>
        <w:tc>
          <w:tcPr>
            <w:tcW w:w="1372" w:type="dxa"/>
            <w:tcMar/>
          </w:tcPr>
          <w:p w:rsidR="008713D8" w:rsidP="0204A69F" w:rsidRDefault="008713D8" w14:paraId="642637D7" w14:textId="1BF526B5">
            <w:pPr>
              <w:pStyle w:val="Normal"/>
              <w:rPr>
                <w:rFonts w:ascii="Arial" w:hAnsi="Arial" w:cs="Arial"/>
                <w:sz w:val="22"/>
                <w:szCs w:val="22"/>
              </w:rPr>
            </w:pPr>
            <w:r w:rsidR="74F5B9D0">
              <w:rPr/>
              <w:t>Sample</w:t>
            </w:r>
          </w:p>
        </w:tc>
        <w:tc>
          <w:tcPr>
            <w:tcW w:w="1635" w:type="dxa"/>
            <w:tcMar/>
          </w:tcPr>
          <w:p w:rsidR="008713D8" w:rsidP="0204A69F" w:rsidRDefault="008713D8" w14:paraId="29392419" w14:textId="0DAA8C15">
            <w:pPr>
              <w:pStyle w:val="Normal"/>
            </w:pPr>
            <w:r w:rsidR="4BB993FB">
              <w:rPr/>
              <w:t>Main socio-economic factors examined</w:t>
            </w:r>
          </w:p>
        </w:tc>
        <w:tc>
          <w:tcPr>
            <w:tcW w:w="1725" w:type="dxa"/>
            <w:tcMar/>
          </w:tcPr>
          <w:p w:rsidRPr="00BF7557" w:rsidR="008713D8" w:rsidP="0204A69F" w:rsidRDefault="008713D8" w14:paraId="662D263C" w14:textId="1B8332FF">
            <w:pPr>
              <w:pStyle w:val="Normal"/>
            </w:pPr>
          </w:p>
          <w:p w:rsidR="008713D8" w:rsidP="0204A69F" w:rsidRDefault="008713D8" w14:paraId="26B9A72A" w14:textId="7DDFD52B">
            <w:pPr>
              <w:pStyle w:val="Normal"/>
              <w:rPr>
                <w:rFonts w:ascii="Arial" w:hAnsi="Arial" w:cs="Arial"/>
                <w:sz w:val="22"/>
                <w:szCs w:val="22"/>
              </w:rPr>
            </w:pPr>
            <w:r w:rsidR="37BD78C0">
              <w:rPr/>
              <w:t>Main findings</w:t>
            </w:r>
          </w:p>
          <w:p w:rsidR="008713D8" w:rsidP="0204A69F" w:rsidRDefault="008713D8" w14:paraId="102AA9A1" w14:textId="71BF58A3">
            <w:pPr>
              <w:pStyle w:val="Normal"/>
            </w:pPr>
          </w:p>
        </w:tc>
      </w:tr>
      <w:tr w:rsidR="008713D8" w:rsidTr="0204A69F" w14:paraId="1CDD25BF" w14:textId="77777777">
        <w:tc>
          <w:tcPr>
            <w:tcW w:w="1185" w:type="dxa"/>
            <w:tcMar/>
          </w:tcPr>
          <w:p w:rsidR="008713D8" w:rsidP="0204A69F" w:rsidRDefault="008713D8" w14:paraId="34FA5AFC" w14:textId="5CB5893F">
            <w:pPr>
              <w:pStyle w:val="Normal"/>
            </w:pPr>
            <w:r w:rsidR="3F2C7E2D">
              <w:rPr/>
              <w:t>Bann et al. (2017)</w:t>
            </w:r>
          </w:p>
        </w:tc>
        <w:tc>
          <w:tcPr>
            <w:tcW w:w="1480" w:type="dxa"/>
            <w:tcMar/>
          </w:tcPr>
          <w:p w:rsidR="008713D8" w:rsidP="0204A69F" w:rsidRDefault="008713D8" w14:paraId="0381334B" w14:textId="19B1A23F">
            <w:pPr>
              <w:pStyle w:val="Normal"/>
            </w:pPr>
            <w:r w:rsidR="3F2C7E2D">
              <w:rPr/>
              <w:t>To examine socioeconomic inequalities in BMI across adulthood in Britain</w:t>
            </w:r>
          </w:p>
        </w:tc>
        <w:tc>
          <w:tcPr>
            <w:tcW w:w="1611" w:type="dxa"/>
            <w:tcMar/>
          </w:tcPr>
          <w:p w:rsidR="008713D8" w:rsidP="0204A69F" w:rsidRDefault="008713D8" w14:paraId="0E996B23" w14:textId="633FF863">
            <w:pPr>
              <w:pStyle w:val="Normal"/>
            </w:pPr>
            <w:r w:rsidR="3F2C7E2D">
              <w:rPr/>
              <w:t>Longitudinal cohort study</w:t>
            </w:r>
          </w:p>
        </w:tc>
        <w:tc>
          <w:tcPr>
            <w:tcW w:w="1372" w:type="dxa"/>
            <w:tcMar/>
          </w:tcPr>
          <w:p w:rsidR="008713D8" w:rsidP="0204A69F" w:rsidRDefault="008713D8" w14:paraId="2EAFDB9B" w14:textId="5027A599">
            <w:pPr>
              <w:pStyle w:val="Normal"/>
            </w:pPr>
            <w:r w:rsidR="3F2C7E2D">
              <w:rPr/>
              <w:t>British birth cohort participants</w:t>
            </w:r>
          </w:p>
        </w:tc>
        <w:tc>
          <w:tcPr>
            <w:tcW w:w="1635" w:type="dxa"/>
            <w:tcMar/>
          </w:tcPr>
          <w:p w:rsidR="008713D8" w:rsidP="0204A69F" w:rsidRDefault="008713D8" w14:paraId="2B88A47F" w14:textId="4D859F6E">
            <w:pPr>
              <w:pStyle w:val="Normal"/>
            </w:pPr>
            <w:r w:rsidR="6EDB31AE">
              <w:rPr/>
              <w:t>Childhood and adult socio- economic position, including social and economic circumstances</w:t>
            </w:r>
          </w:p>
        </w:tc>
        <w:tc>
          <w:tcPr>
            <w:tcW w:w="1725" w:type="dxa"/>
            <w:tcMar/>
          </w:tcPr>
          <w:p w:rsidR="008713D8" w:rsidP="0204A69F" w:rsidRDefault="008713D8" w14:textId="77777777" w14:paraId="251EE6EA">
            <w:pPr>
              <w:pStyle w:val="Normal"/>
              <w:rPr>
                <w:rFonts w:ascii="Arial" w:hAnsi="Arial" w:cs="Arial"/>
                <w:sz w:val="22"/>
                <w:szCs w:val="22"/>
              </w:rPr>
            </w:pPr>
            <w:r w:rsidR="7491627D">
              <w:rPr/>
              <w:t>Education contributed most strongly to inequality in excess weight nationally, followed by neighbourhood deprivation; patterns varied by gender and region.</w:t>
            </w:r>
          </w:p>
          <w:p w:rsidR="008713D8" w:rsidP="0204A69F" w:rsidRDefault="008713D8" w14:paraId="341B7826" w14:textId="032AE5A2">
            <w:pPr>
              <w:pStyle w:val="Normal"/>
            </w:pPr>
          </w:p>
        </w:tc>
      </w:tr>
      <w:tr w:rsidR="008713D8" w:rsidTr="0204A69F" w14:paraId="71EBC64E" w14:textId="77777777">
        <w:tc>
          <w:tcPr>
            <w:tcW w:w="1185" w:type="dxa"/>
            <w:tcMar/>
          </w:tcPr>
          <w:p w:rsidR="008713D8" w:rsidP="0204A69F" w:rsidRDefault="008713D8" w14:paraId="6AFDBEFD" w14:textId="0FE4E4F2">
            <w:pPr>
              <w:pStyle w:val="Normal"/>
            </w:pPr>
            <w:r w:rsidR="7491627D">
              <w:rPr/>
              <w:t>Katsoulis et al. (2021)</w:t>
            </w:r>
          </w:p>
        </w:tc>
        <w:tc>
          <w:tcPr>
            <w:tcW w:w="1480" w:type="dxa"/>
            <w:tcMar/>
          </w:tcPr>
          <w:p w:rsidR="008713D8" w:rsidP="0204A69F" w:rsidRDefault="008713D8" w14:paraId="2394EF5E" w14:textId="6E602BD0">
            <w:pPr>
              <w:pStyle w:val="Normal"/>
            </w:pPr>
            <w:r w:rsidR="7276A625">
              <w:rPr/>
              <w:t>To identify adults at greatest risk of future weight gain in England</w:t>
            </w:r>
          </w:p>
        </w:tc>
        <w:tc>
          <w:tcPr>
            <w:tcW w:w="1611" w:type="dxa"/>
            <w:tcMar/>
          </w:tcPr>
          <w:p w:rsidR="008713D8" w:rsidP="0204A69F" w:rsidRDefault="008713D8" w14:paraId="23AF9B94" w14:textId="44884590">
            <w:pPr>
              <w:pStyle w:val="Normal"/>
            </w:pPr>
            <w:r w:rsidR="7276A625">
              <w:rPr/>
              <w:t>Population-based cohort study</w:t>
            </w:r>
          </w:p>
        </w:tc>
        <w:tc>
          <w:tcPr>
            <w:tcW w:w="1372" w:type="dxa"/>
            <w:tcMar/>
          </w:tcPr>
          <w:p w:rsidR="008713D8" w:rsidP="0204A69F" w:rsidRDefault="008713D8" w14:paraId="22F0399C" w14:textId="42E6D0DF">
            <w:pPr>
              <w:pStyle w:val="Normal"/>
            </w:pPr>
            <w:r w:rsidR="7276A625">
              <w:rPr/>
              <w:t>Over 2 million adults</w:t>
            </w:r>
          </w:p>
        </w:tc>
        <w:tc>
          <w:tcPr>
            <w:tcW w:w="1635" w:type="dxa"/>
            <w:tcMar/>
          </w:tcPr>
          <w:p w:rsidR="008713D8" w:rsidP="0204A69F" w:rsidRDefault="008713D8" w14:paraId="74DEDC07" w14:textId="4C94C30F">
            <w:pPr>
              <w:pStyle w:val="Normal"/>
            </w:pPr>
            <w:r w:rsidR="4C6E367B">
              <w:rPr/>
              <w:t xml:space="preserve">Socio-economic </w:t>
            </w:r>
            <w:r w:rsidR="4C6E367B">
              <w:rPr/>
              <w:t>depriviation</w:t>
            </w:r>
            <w:r w:rsidR="4C6E367B">
              <w:rPr/>
              <w:t xml:space="preserve">, age, </w:t>
            </w:r>
            <w:r w:rsidR="4C6E367B">
              <w:rPr/>
              <w:t>sex</w:t>
            </w:r>
            <w:r w:rsidR="4C6E367B">
              <w:rPr/>
              <w:t xml:space="preserve"> and ethnicity.</w:t>
            </w:r>
          </w:p>
        </w:tc>
        <w:tc>
          <w:tcPr>
            <w:tcW w:w="1725" w:type="dxa"/>
            <w:tcMar/>
          </w:tcPr>
          <w:p w:rsidRPr="00BF7557" w:rsidR="008713D8" w:rsidP="0204A69F" w:rsidRDefault="008713D8" w14:paraId="041D9A0C" w14:textId="38BAD238">
            <w:pPr>
              <w:pStyle w:val="Normal"/>
            </w:pPr>
            <w:r w:rsidR="48067066">
              <w:rPr/>
              <w:t xml:space="preserve">Age, deprivation, </w:t>
            </w:r>
            <w:r w:rsidR="48067066">
              <w:rPr/>
              <w:t>ethnicity</w:t>
            </w:r>
            <w:r w:rsidR="48067066">
              <w:rPr/>
              <w:t xml:space="preserve"> and sex influenced future weight gain and obesity </w:t>
            </w:r>
            <w:r w:rsidR="48067066">
              <w:rPr/>
              <w:t>risk.</w:t>
            </w:r>
          </w:p>
          <w:p w:rsidR="008713D8" w:rsidP="0204A69F" w:rsidRDefault="008713D8" w14:paraId="24ABE7E3" w14:textId="77777777">
            <w:pPr>
              <w:pStyle w:val="Normal"/>
            </w:pPr>
          </w:p>
        </w:tc>
      </w:tr>
      <w:tr w:rsidR="008713D8" w:rsidTr="0204A69F" w14:paraId="7763FAEE" w14:textId="77777777">
        <w:trPr>
          <w:trHeight w:val="315"/>
        </w:trPr>
        <w:tc>
          <w:tcPr>
            <w:tcW w:w="1185" w:type="dxa"/>
            <w:tcMar/>
          </w:tcPr>
          <w:p w:rsidR="008713D8" w:rsidP="0204A69F" w:rsidRDefault="008713D8" w14:paraId="7D238C2D" w14:textId="36E620F8">
            <w:pPr>
              <w:pStyle w:val="Normal"/>
            </w:pPr>
            <w:r w:rsidR="353A2DAA">
              <w:rPr/>
              <w:t>Briazu et al. (2024)</w:t>
            </w:r>
          </w:p>
        </w:tc>
        <w:tc>
          <w:tcPr>
            <w:tcW w:w="1480" w:type="dxa"/>
            <w:tcMar/>
          </w:tcPr>
          <w:p w:rsidR="008713D8" w:rsidP="0204A69F" w:rsidRDefault="008713D8" w14:paraId="57C5A5A3" w14:textId="7ECA9482">
            <w:pPr>
              <w:pStyle w:val="Normal"/>
            </w:pPr>
            <w:r w:rsidR="353A2DAA">
              <w:rPr/>
              <w:t>To identify barriers and facilitators to healthy eating among disadvantaged adults</w:t>
            </w:r>
          </w:p>
        </w:tc>
        <w:tc>
          <w:tcPr>
            <w:tcW w:w="1611" w:type="dxa"/>
            <w:tcMar/>
          </w:tcPr>
          <w:p w:rsidR="008713D8" w:rsidP="0204A69F" w:rsidRDefault="008713D8" w14:paraId="547051D4" w14:textId="7BA767E4">
            <w:pPr>
              <w:pStyle w:val="Normal"/>
            </w:pPr>
            <w:r w:rsidR="353A2DAA">
              <w:rPr/>
              <w:t>Scoping review</w:t>
            </w:r>
          </w:p>
        </w:tc>
        <w:tc>
          <w:tcPr>
            <w:tcW w:w="1372" w:type="dxa"/>
            <w:tcMar/>
          </w:tcPr>
          <w:p w:rsidR="008713D8" w:rsidP="0204A69F" w:rsidRDefault="008713D8" w14:paraId="74001644" w14:textId="51A44CFD">
            <w:pPr>
              <w:pStyle w:val="Normal"/>
            </w:pPr>
            <w:r w:rsidR="353A2DAA">
              <w:rPr/>
              <w:t>Multiple UK studies</w:t>
            </w:r>
          </w:p>
        </w:tc>
        <w:tc>
          <w:tcPr>
            <w:tcW w:w="1635" w:type="dxa"/>
            <w:tcMar/>
          </w:tcPr>
          <w:p w:rsidR="008713D8" w:rsidP="0204A69F" w:rsidRDefault="008713D8" w14:paraId="42633041" w14:textId="4EB2B2B1">
            <w:pPr>
              <w:pStyle w:val="Normal"/>
            </w:pPr>
            <w:r w:rsidR="6DC16952">
              <w:rPr/>
              <w:t xml:space="preserve">Socio-economic </w:t>
            </w:r>
            <w:r w:rsidR="3B58A39C">
              <w:rPr/>
              <w:t>disadvantage, food</w:t>
            </w:r>
            <w:r w:rsidR="6DC16952">
              <w:rPr/>
              <w:t xml:space="preserve"> affordability, access to healthy food and wider s</w:t>
            </w:r>
            <w:r w:rsidR="69766BD6">
              <w:rPr/>
              <w:t>ocial circumstances</w:t>
            </w:r>
            <w:r w:rsidR="6DC16952">
              <w:rPr/>
              <w:t xml:space="preserve"> </w:t>
            </w:r>
          </w:p>
        </w:tc>
        <w:tc>
          <w:tcPr>
            <w:tcW w:w="1725" w:type="dxa"/>
            <w:tcMar/>
          </w:tcPr>
          <w:p w:rsidR="008713D8" w:rsidP="0204A69F" w:rsidRDefault="008713D8" w14:paraId="23B18DB1" w14:textId="718CAD6B">
            <w:pPr>
              <w:pStyle w:val="Normal"/>
            </w:pPr>
            <w:r w:rsidR="5DCD18CC">
              <w:rPr/>
              <w:t>Cost of healthy food, limited access, financial pressures and lack of support were common barriers.</w:t>
            </w:r>
          </w:p>
          <w:p w:rsidR="008713D8" w:rsidP="0204A69F" w:rsidRDefault="008713D8" w14:paraId="29737EDA" w14:textId="32EA5EB8">
            <w:pPr>
              <w:pStyle w:val="Normal"/>
            </w:pPr>
            <w:r w:rsidR="5DCD18CC">
              <w:rPr/>
              <w:t xml:space="preserve"> </w:t>
            </w:r>
          </w:p>
          <w:p w:rsidR="008713D8" w:rsidP="0204A69F" w:rsidRDefault="008713D8" w14:paraId="4B60C5CC" w14:textId="537CA6BB">
            <w:pPr>
              <w:pStyle w:val="Normal"/>
            </w:pPr>
            <w:r w:rsidR="5DCD18CC">
              <w:rPr/>
              <w:t xml:space="preserve"> </w:t>
            </w:r>
          </w:p>
          <w:p w:rsidR="008713D8" w:rsidP="0204A69F" w:rsidRDefault="008713D8" w14:paraId="3736878F" w14:textId="1B156B6E">
            <w:pPr>
              <w:pStyle w:val="Normal"/>
            </w:pPr>
          </w:p>
          <w:p w:rsidR="008713D8" w:rsidP="0204A69F" w:rsidRDefault="008713D8" w14:paraId="723F09B3" w14:textId="3297DC88">
            <w:pPr>
              <w:pStyle w:val="Normal"/>
            </w:pPr>
          </w:p>
        </w:tc>
      </w:tr>
      <w:tr w:rsidR="008713D8" w:rsidTr="0204A69F" w14:paraId="3C958538" w14:textId="77777777">
        <w:tc>
          <w:tcPr>
            <w:tcW w:w="1185" w:type="dxa"/>
            <w:tcMar/>
          </w:tcPr>
          <w:p w:rsidR="008713D8" w:rsidP="0204A69F" w:rsidRDefault="008713D8" w14:paraId="519E73AC" w14:textId="0D753B7A">
            <w:pPr>
              <w:pStyle w:val="Normal"/>
            </w:pPr>
            <w:r w:rsidR="3C7C2552">
              <w:rPr/>
              <w:t>Booth et al. (2017)</w:t>
            </w:r>
          </w:p>
        </w:tc>
        <w:tc>
          <w:tcPr>
            <w:tcW w:w="1480" w:type="dxa"/>
            <w:tcMar/>
          </w:tcPr>
          <w:p w:rsidR="008713D8" w:rsidP="0204A69F" w:rsidRDefault="008713D8" w14:paraId="46C86706" w14:textId="67506BAA">
            <w:pPr>
              <w:pStyle w:val="Normal"/>
            </w:pPr>
            <w:r w:rsidR="3C7C2552">
              <w:rPr/>
              <w:t xml:space="preserve">To </w:t>
            </w:r>
            <w:r w:rsidR="3C7C2552">
              <w:rPr/>
              <w:t>investigate</w:t>
            </w:r>
            <w:r w:rsidR="3C7C2552">
              <w:rPr/>
              <w:t xml:space="preserve"> socioeconomic inequalities in severe obesity</w:t>
            </w:r>
          </w:p>
        </w:tc>
        <w:tc>
          <w:tcPr>
            <w:tcW w:w="1611" w:type="dxa"/>
            <w:tcMar/>
          </w:tcPr>
          <w:p w:rsidR="008713D8" w:rsidP="0204A69F" w:rsidRDefault="008713D8" w14:paraId="11252D58" w14:textId="68321074">
            <w:pPr>
              <w:pStyle w:val="Normal"/>
            </w:pPr>
            <w:r w:rsidR="3C7C2552">
              <w:rPr/>
              <w:t>Cross-sectional study</w:t>
            </w:r>
          </w:p>
        </w:tc>
        <w:tc>
          <w:tcPr>
            <w:tcW w:w="1372" w:type="dxa"/>
            <w:tcMar/>
          </w:tcPr>
          <w:p w:rsidR="008713D8" w:rsidP="0204A69F" w:rsidRDefault="008713D8" w14:paraId="5A494C7A" w14:textId="1713D53F">
            <w:pPr>
              <w:pStyle w:val="Normal"/>
            </w:pPr>
            <w:r w:rsidR="3C7C2552">
              <w:rPr/>
              <w:t>English adult population</w:t>
            </w:r>
          </w:p>
        </w:tc>
        <w:tc>
          <w:tcPr>
            <w:tcW w:w="1635" w:type="dxa"/>
            <w:tcMar/>
          </w:tcPr>
          <w:p w:rsidR="008713D8" w:rsidP="0204A69F" w:rsidRDefault="008713D8" w14:paraId="027FF5C8" w14:textId="0227016A">
            <w:pPr>
              <w:pStyle w:val="Normal"/>
            </w:pPr>
            <w:r w:rsidR="4CF9CC96">
              <w:rPr/>
              <w:t>Household</w:t>
            </w:r>
            <w:r w:rsidR="4CF9CC96">
              <w:rPr/>
              <w:t xml:space="preserve"> </w:t>
            </w:r>
          </w:p>
          <w:p w:rsidR="008713D8" w:rsidP="0204A69F" w:rsidRDefault="008713D8" w14:paraId="4907D769" w14:textId="1E89B79A">
            <w:pPr>
              <w:pStyle w:val="Normal"/>
            </w:pPr>
            <w:r w:rsidR="4CF9CC96">
              <w:rPr/>
              <w:t xml:space="preserve">income </w:t>
            </w:r>
            <w:r w:rsidR="72BE396E">
              <w:rPr/>
              <w:t>and educational</w:t>
            </w:r>
            <w:r w:rsidR="4CF9CC96">
              <w:rPr/>
              <w:t xml:space="preserve"> qualifications.</w:t>
            </w:r>
          </w:p>
        </w:tc>
        <w:tc>
          <w:tcPr>
            <w:tcW w:w="1725" w:type="dxa"/>
            <w:tcMar/>
          </w:tcPr>
          <w:p w:rsidR="008713D8" w:rsidP="0204A69F" w:rsidRDefault="008713D8" w14:paraId="4CDFB0FC" w14:textId="32188D34">
            <w:pPr>
              <w:pStyle w:val="Normal"/>
            </w:pPr>
            <w:r w:rsidR="5E618FFF">
              <w:rPr/>
              <w:t>Adults with lower income and lower educational attainment had greater risk of severe obesity.</w:t>
            </w:r>
          </w:p>
        </w:tc>
      </w:tr>
      <w:tr w:rsidR="00081DEB" w:rsidTr="0204A69F" w14:paraId="5AB36F53" w14:textId="77777777">
        <w:tc>
          <w:tcPr>
            <w:tcW w:w="1185" w:type="dxa"/>
            <w:tcMar/>
          </w:tcPr>
          <w:p w:rsidRPr="00BF7557" w:rsidR="00081DEB" w:rsidP="0204A69F" w:rsidRDefault="00081DEB" w14:paraId="575F9833" w14:textId="0DEF256D">
            <w:pPr>
              <w:pStyle w:val="Normal"/>
            </w:pPr>
            <w:r w:rsidR="5E618FFF">
              <w:rPr/>
              <w:t>Davillas and Benzeval (2016)</w:t>
            </w:r>
          </w:p>
        </w:tc>
        <w:tc>
          <w:tcPr>
            <w:tcW w:w="1480" w:type="dxa"/>
            <w:tcMar/>
          </w:tcPr>
          <w:p w:rsidRPr="00BF7557" w:rsidR="00081DEB" w:rsidP="0204A69F" w:rsidRDefault="00081DEB" w14:paraId="095EB087" w14:textId="1D46428B">
            <w:pPr>
              <w:pStyle w:val="Normal"/>
            </w:pPr>
            <w:r w:rsidR="5E618FFF">
              <w:rPr/>
              <w:t>To examine income-related inequalities using different measures of adiposity</w:t>
            </w:r>
          </w:p>
        </w:tc>
        <w:tc>
          <w:tcPr>
            <w:tcW w:w="1611" w:type="dxa"/>
            <w:tcMar/>
          </w:tcPr>
          <w:p w:rsidRPr="00BF7557" w:rsidR="00081DEB" w:rsidP="0204A69F" w:rsidRDefault="00081DEB" w14:paraId="10A6CFE9" w14:textId="65583500">
            <w:pPr>
              <w:pStyle w:val="Normal"/>
            </w:pPr>
            <w:r w:rsidR="5E618FFF">
              <w:rPr/>
              <w:t>Cross-sectional study</w:t>
            </w:r>
          </w:p>
        </w:tc>
        <w:tc>
          <w:tcPr>
            <w:tcW w:w="1372" w:type="dxa"/>
            <w:tcMar/>
          </w:tcPr>
          <w:p w:rsidRPr="00BF7557" w:rsidR="00081DEB" w:rsidP="0204A69F" w:rsidRDefault="00081DEB" w14:paraId="6A82DF34" w14:textId="66F70864">
            <w:pPr>
              <w:pStyle w:val="Normal"/>
            </w:pPr>
            <w:r w:rsidR="5E618FFF">
              <w:rPr/>
              <w:t>UK adults</w:t>
            </w:r>
          </w:p>
        </w:tc>
        <w:tc>
          <w:tcPr>
            <w:tcW w:w="1635" w:type="dxa"/>
            <w:tcMar/>
          </w:tcPr>
          <w:p w:rsidRPr="00BF7557" w:rsidR="00081DEB" w:rsidP="0204A69F" w:rsidRDefault="00081DEB" w14:paraId="39B9CB9F" w14:textId="5F3ACAB0">
            <w:pPr>
              <w:pStyle w:val="Normal"/>
            </w:pPr>
            <w:r w:rsidR="1EC2DE2D">
              <w:rPr/>
              <w:t xml:space="preserve">Household </w:t>
            </w:r>
            <w:r w:rsidR="1B867F0F">
              <w:rPr/>
              <w:t>income</w:t>
            </w:r>
            <w:r w:rsidR="1EC2DE2D">
              <w:rPr/>
              <w:t xml:space="preserve"> and socio-economic position</w:t>
            </w:r>
          </w:p>
        </w:tc>
        <w:tc>
          <w:tcPr>
            <w:tcW w:w="1725" w:type="dxa"/>
            <w:tcMar/>
          </w:tcPr>
          <w:p w:rsidRPr="00BF7557" w:rsidR="00081DEB" w:rsidP="0204A69F" w:rsidRDefault="00081DEB" w14:paraId="0F5588F2" w14:textId="0A633726">
            <w:pPr>
              <w:pStyle w:val="Normal"/>
            </w:pPr>
            <w:r w:rsidR="6354CEA0">
              <w:rPr/>
              <w:t>Income-related inequalities remained regardless of the obesity measure used, although the size of inequalities differed.</w:t>
            </w:r>
          </w:p>
          <w:p w:rsidRPr="00BF7557" w:rsidR="00081DEB" w:rsidP="0204A69F" w:rsidRDefault="00081DEB" w14:paraId="27C564A9" w14:textId="77777777">
            <w:pPr>
              <w:pStyle w:val="Normal"/>
            </w:pPr>
          </w:p>
        </w:tc>
      </w:tr>
    </w:tbl>
    <w:p w:rsidRPr="00BF7557" w:rsidR="00BF7557" w:rsidP="0204A69F" w:rsidRDefault="00BF7557" w14:paraId="0A8C5197" w14:textId="3E558AEF">
      <w:pPr>
        <w:pStyle w:val="Heading3"/>
      </w:pPr>
      <w:bookmarkStart w:name="_Toc99255739" w:id="2041082582"/>
      <w:r w:rsidR="00BF7557">
        <w:rPr/>
        <w:t xml:space="preserve">Table 2. </w:t>
      </w:r>
      <w:r w:rsidR="6F14501B">
        <w:rPr/>
        <w:t>Methodology Comparison</w:t>
      </w:r>
      <w:bookmarkEnd w:id="2041082582"/>
    </w:p>
    <w:tbl>
      <w:tblPr>
        <w:tblStyle w:val="TableGrid"/>
        <w:bidiVisual w:val="0"/>
        <w:tblW w:w="0" w:type="auto"/>
        <w:tblLook w:val="06A0" w:firstRow="1" w:lastRow="0" w:firstColumn="1" w:lastColumn="0" w:noHBand="1" w:noVBand="1"/>
      </w:tblPr>
      <w:tblGrid>
        <w:gridCol w:w="2250"/>
        <w:gridCol w:w="2258"/>
        <w:gridCol w:w="2254"/>
        <w:gridCol w:w="2254"/>
      </w:tblGrid>
      <w:tr xmlns:wp14="http://schemas.microsoft.com/office/word/2010/wordml" w:rsidR="4AF24BA3" w:rsidTr="0204A69F" w14:paraId="63842C5E" wp14:textId="77777777">
        <w:trPr>
          <w:trHeight w:val="300"/>
        </w:trPr>
        <w:tc>
          <w:tcPr>
            <w:tcW w:w="2250" w:type="dxa"/>
            <w:tcMar/>
          </w:tcPr>
          <w:p w:rsidR="590F830D" w:rsidP="0204A69F" w:rsidRDefault="590F830D" w14:paraId="31676F8F" w14:textId="1D133729">
            <w:pPr>
              <w:pStyle w:val="Normal"/>
              <w:rPr>
                <w:rFonts w:ascii="Arial" w:hAnsi="Arial" w:eastAsia="Arial" w:cs="Arial"/>
                <w:sz w:val="22"/>
                <w:szCs w:val="22"/>
              </w:rPr>
            </w:pPr>
            <w:r w:rsidR="27E4797F">
              <w:rPr/>
              <w:t>Study</w:t>
            </w:r>
          </w:p>
        </w:tc>
        <w:tc>
          <w:tcPr>
            <w:tcW w:w="2258" w:type="dxa"/>
            <w:tcMar/>
          </w:tcPr>
          <w:p w:rsidR="6EA93066" w:rsidP="0204A69F" w:rsidRDefault="6EA93066" w14:paraId="2DFF94A1" w14:textId="7FF4BB4E">
            <w:pPr>
              <w:pStyle w:val="Normal"/>
            </w:pPr>
            <w:r w:rsidR="3157CF15">
              <w:rPr/>
              <w:t>Methodology</w:t>
            </w:r>
          </w:p>
        </w:tc>
        <w:tc>
          <w:tcPr>
            <w:tcW w:w="2254" w:type="dxa"/>
            <w:tcMar/>
          </w:tcPr>
          <w:p w:rsidR="590F830D" w:rsidP="0204A69F" w:rsidRDefault="590F830D" w14:paraId="0F37A1E0" w14:textId="6EE0A156">
            <w:pPr>
              <w:pStyle w:val="Normal"/>
              <w:rPr>
                <w:sz w:val="22"/>
                <w:szCs w:val="22"/>
              </w:rPr>
            </w:pPr>
            <w:r w:rsidR="27E4797F">
              <w:rPr/>
              <w:t>Strengths</w:t>
            </w:r>
          </w:p>
        </w:tc>
        <w:tc>
          <w:tcPr>
            <w:tcW w:w="2254" w:type="dxa"/>
            <w:tcMar/>
          </w:tcPr>
          <w:p w:rsidR="590F830D" w:rsidP="0204A69F" w:rsidRDefault="590F830D" w14:paraId="40726AE3" w14:textId="61E83595">
            <w:pPr>
              <w:pStyle w:val="Normal"/>
              <w:rPr>
                <w:sz w:val="22"/>
                <w:szCs w:val="22"/>
              </w:rPr>
            </w:pPr>
            <w:r w:rsidR="27E4797F">
              <w:rPr/>
              <w:t>Limitations</w:t>
            </w:r>
          </w:p>
        </w:tc>
      </w:tr>
      <w:tr xmlns:wp14="http://schemas.microsoft.com/office/word/2010/wordml" w:rsidR="4AF24BA3" w:rsidTr="0204A69F" w14:paraId="6770751A" wp14:textId="77777777">
        <w:trPr>
          <w:trHeight w:val="300"/>
        </w:trPr>
        <w:tc>
          <w:tcPr>
            <w:tcW w:w="2250" w:type="dxa"/>
            <w:tcMar/>
          </w:tcPr>
          <w:p w:rsidR="70636C7A" w:rsidP="0204A69F" w:rsidRDefault="70636C7A" w14:paraId="426EA03E" w14:textId="6481AD8D">
            <w:pPr>
              <w:pStyle w:val="Normal"/>
              <w:rPr>
                <w:rFonts w:ascii="Arial" w:hAnsi="Arial" w:eastAsia="Arial" w:cs="Arial"/>
                <w:b w:val="0"/>
                <w:bCs w:val="0"/>
                <w:sz w:val="22"/>
                <w:szCs w:val="22"/>
              </w:rPr>
            </w:pPr>
            <w:r w:rsidR="1C54BD4C">
              <w:rPr/>
              <w:t>Bann et al. (2017)</w:t>
            </w:r>
          </w:p>
        </w:tc>
        <w:tc>
          <w:tcPr>
            <w:tcW w:w="2258" w:type="dxa"/>
            <w:tcMar/>
          </w:tcPr>
          <w:p w:rsidR="70636C7A" w:rsidP="0204A69F" w:rsidRDefault="70636C7A" w14:paraId="0D62E706" w14:textId="48B850CE">
            <w:pPr>
              <w:pStyle w:val="Normal"/>
              <w:rPr>
                <w:rFonts w:ascii="Arial" w:hAnsi="Arial" w:eastAsia="Arial" w:cs="Arial"/>
                <w:b w:val="0"/>
                <w:bCs w:val="0"/>
                <w:sz w:val="22"/>
                <w:szCs w:val="22"/>
              </w:rPr>
            </w:pPr>
            <w:r w:rsidR="1C54BD4C">
              <w:rPr/>
              <w:t>Longitudinal cohort</w:t>
            </w:r>
          </w:p>
        </w:tc>
        <w:tc>
          <w:tcPr>
            <w:tcW w:w="2254" w:type="dxa"/>
            <w:tcMar/>
          </w:tcPr>
          <w:p w:rsidR="70636C7A" w:rsidP="0204A69F" w:rsidRDefault="70636C7A" w14:paraId="2A3A5122" w14:textId="55EC33D6">
            <w:pPr>
              <w:pStyle w:val="Normal"/>
              <w:rPr>
                <w:rFonts w:ascii="Arial" w:hAnsi="Arial" w:eastAsia="Arial" w:cs="Arial"/>
                <w:b w:val="0"/>
                <w:bCs w:val="0"/>
                <w:sz w:val="22"/>
                <w:szCs w:val="22"/>
              </w:rPr>
            </w:pPr>
            <w:r w:rsidR="1C54BD4C">
              <w:rPr/>
              <w:t>Examined obesity across adulthood</w:t>
            </w:r>
          </w:p>
        </w:tc>
        <w:tc>
          <w:tcPr>
            <w:tcW w:w="2254" w:type="dxa"/>
            <w:tcMar/>
          </w:tcPr>
          <w:p w:rsidR="70636C7A" w:rsidP="0204A69F" w:rsidRDefault="70636C7A" w14:paraId="227A39CF" w14:textId="13EF5C6E">
            <w:pPr>
              <w:pStyle w:val="Normal"/>
              <w:rPr>
                <w:rFonts w:ascii="Arial" w:hAnsi="Arial" w:eastAsia="Arial" w:cs="Arial"/>
                <w:b w:val="0"/>
                <w:bCs w:val="0"/>
                <w:sz w:val="22"/>
                <w:szCs w:val="22"/>
              </w:rPr>
            </w:pPr>
            <w:r w:rsidR="1C54BD4C">
              <w:rPr/>
              <w:t>Cannot prove causation completely</w:t>
            </w:r>
          </w:p>
        </w:tc>
      </w:tr>
      <w:tr xmlns:wp14="http://schemas.microsoft.com/office/word/2010/wordml" w:rsidR="4AF24BA3" w:rsidTr="0204A69F" w14:paraId="3309EFB7" wp14:textId="77777777">
        <w:trPr>
          <w:trHeight w:val="300"/>
        </w:trPr>
        <w:tc>
          <w:tcPr>
            <w:tcW w:w="2250" w:type="dxa"/>
            <w:tcMar/>
          </w:tcPr>
          <w:p w:rsidR="7C81077A" w:rsidP="0204A69F" w:rsidRDefault="7C81077A" w14:paraId="2B024365" w14:textId="10D5FFCD">
            <w:pPr>
              <w:pStyle w:val="Normal"/>
              <w:rPr>
                <w:rFonts w:ascii="Arial" w:hAnsi="Arial" w:eastAsia="Arial" w:cs="Arial"/>
                <w:b w:val="0"/>
                <w:bCs w:val="0"/>
                <w:sz w:val="22"/>
                <w:szCs w:val="22"/>
              </w:rPr>
            </w:pPr>
            <w:r w:rsidR="4D13F112">
              <w:rPr/>
              <w:t>Katsoulis et al. (2021)</w:t>
            </w:r>
          </w:p>
        </w:tc>
        <w:tc>
          <w:tcPr>
            <w:tcW w:w="2258" w:type="dxa"/>
            <w:tcMar/>
          </w:tcPr>
          <w:p w:rsidR="7C81077A" w:rsidP="0204A69F" w:rsidRDefault="7C81077A" w14:paraId="7105577E" w14:textId="03EC7D77">
            <w:pPr>
              <w:pStyle w:val="Normal"/>
              <w:rPr>
                <w:rFonts w:ascii="Arial" w:hAnsi="Arial" w:eastAsia="Arial" w:cs="Arial"/>
                <w:b w:val="0"/>
                <w:bCs w:val="0"/>
                <w:sz w:val="22"/>
                <w:szCs w:val="22"/>
              </w:rPr>
            </w:pPr>
            <w:r w:rsidR="4D13F112">
              <w:rPr/>
              <w:t>Population cohort</w:t>
            </w:r>
          </w:p>
        </w:tc>
        <w:tc>
          <w:tcPr>
            <w:tcW w:w="2254" w:type="dxa"/>
            <w:tcMar/>
          </w:tcPr>
          <w:p w:rsidR="7C81077A" w:rsidP="0204A69F" w:rsidRDefault="7C81077A" w14:paraId="7559234D" w14:textId="52E9C79D">
            <w:pPr>
              <w:pStyle w:val="Normal"/>
              <w:rPr>
                <w:rFonts w:ascii="Arial" w:hAnsi="Arial" w:eastAsia="Arial" w:cs="Arial"/>
                <w:b w:val="0"/>
                <w:bCs w:val="0"/>
                <w:sz w:val="22"/>
                <w:szCs w:val="22"/>
              </w:rPr>
            </w:pPr>
            <w:r w:rsidR="4D13F112">
              <w:rPr/>
              <w:t>Very large sample size</w:t>
            </w:r>
          </w:p>
        </w:tc>
        <w:tc>
          <w:tcPr>
            <w:tcW w:w="2254" w:type="dxa"/>
            <w:tcMar/>
          </w:tcPr>
          <w:p w:rsidR="7C81077A" w:rsidP="0204A69F" w:rsidRDefault="7C81077A" w14:paraId="3E99A19D" w14:textId="7C860D24">
            <w:pPr>
              <w:pStyle w:val="Normal"/>
              <w:rPr>
                <w:rFonts w:ascii="Arial" w:hAnsi="Arial" w:eastAsia="Arial" w:cs="Arial"/>
                <w:b w:val="0"/>
                <w:bCs w:val="0"/>
                <w:sz w:val="22"/>
                <w:szCs w:val="22"/>
              </w:rPr>
            </w:pPr>
            <w:r w:rsidR="4D13F112">
              <w:rPr/>
              <w:t>Mainly English population</w:t>
            </w:r>
          </w:p>
        </w:tc>
      </w:tr>
      <w:tr xmlns:wp14="http://schemas.microsoft.com/office/word/2010/wordml" w:rsidR="4AF24BA3" w:rsidTr="0204A69F" w14:paraId="1C6176F2" wp14:textId="77777777">
        <w:trPr>
          <w:trHeight w:val="300"/>
        </w:trPr>
        <w:tc>
          <w:tcPr>
            <w:tcW w:w="2250" w:type="dxa"/>
            <w:tcMar/>
          </w:tcPr>
          <w:p w:rsidR="7C81077A" w:rsidP="0204A69F" w:rsidRDefault="7C81077A" w14:paraId="27DC0572" w14:textId="08E53D90">
            <w:pPr>
              <w:pStyle w:val="Normal"/>
              <w:rPr>
                <w:rFonts w:ascii="Arial" w:hAnsi="Arial" w:eastAsia="Arial" w:cs="Arial"/>
                <w:b w:val="0"/>
                <w:bCs w:val="0"/>
                <w:sz w:val="22"/>
                <w:szCs w:val="22"/>
              </w:rPr>
            </w:pPr>
            <w:r w:rsidR="4D13F112">
              <w:rPr/>
              <w:t>Briazu et al. (2024)</w:t>
            </w:r>
          </w:p>
        </w:tc>
        <w:tc>
          <w:tcPr>
            <w:tcW w:w="2258" w:type="dxa"/>
            <w:tcMar/>
          </w:tcPr>
          <w:p w:rsidR="7C81077A" w:rsidP="0204A69F" w:rsidRDefault="7C81077A" w14:paraId="2ACD6CA0" w14:textId="3FA997D4">
            <w:pPr>
              <w:pStyle w:val="Normal"/>
              <w:rPr>
                <w:rFonts w:ascii="Arial" w:hAnsi="Arial" w:eastAsia="Arial" w:cs="Arial"/>
                <w:b w:val="0"/>
                <w:bCs w:val="0"/>
                <w:sz w:val="22"/>
                <w:szCs w:val="22"/>
              </w:rPr>
            </w:pPr>
            <w:r w:rsidR="4D13F112">
              <w:rPr/>
              <w:t>Scoping review</w:t>
            </w:r>
          </w:p>
        </w:tc>
        <w:tc>
          <w:tcPr>
            <w:tcW w:w="2254" w:type="dxa"/>
            <w:tcMar/>
          </w:tcPr>
          <w:p w:rsidR="7C81077A" w:rsidP="0204A69F" w:rsidRDefault="7C81077A" w14:paraId="2BC7D1D4" w14:textId="17008DD8">
            <w:pPr>
              <w:pStyle w:val="Normal"/>
              <w:rPr>
                <w:rFonts w:ascii="Arial" w:hAnsi="Arial" w:eastAsia="Arial" w:cs="Arial"/>
                <w:b w:val="0"/>
                <w:bCs w:val="0"/>
                <w:sz w:val="22"/>
                <w:szCs w:val="22"/>
              </w:rPr>
            </w:pPr>
            <w:r w:rsidR="4D13F112">
              <w:rPr/>
              <w:t>Broad overview of existing evidence</w:t>
            </w:r>
          </w:p>
        </w:tc>
        <w:tc>
          <w:tcPr>
            <w:tcW w:w="2254" w:type="dxa"/>
            <w:tcMar/>
          </w:tcPr>
          <w:p w:rsidR="4AF24BA3" w:rsidP="0204A69F" w:rsidRDefault="4AF24BA3" w14:paraId="25692727" w14:textId="0DE7391B">
            <w:pPr>
              <w:pStyle w:val="Normal"/>
            </w:pPr>
          </w:p>
          <w:p w:rsidR="7C81077A" w:rsidP="0204A69F" w:rsidRDefault="7C81077A" w14:paraId="10A3755B" w14:textId="65A27704">
            <w:pPr>
              <w:pStyle w:val="Normal"/>
              <w:rPr>
                <w:rFonts w:ascii="Arial" w:hAnsi="Arial" w:eastAsia="Arial" w:cs="Arial"/>
                <w:b w:val="0"/>
                <w:bCs w:val="0"/>
                <w:sz w:val="22"/>
                <w:szCs w:val="22"/>
              </w:rPr>
            </w:pPr>
            <w:r w:rsidR="4D13F112">
              <w:rPr/>
              <w:t>Dependent on quality of included studies</w:t>
            </w:r>
          </w:p>
        </w:tc>
      </w:tr>
      <w:tr xmlns:wp14="http://schemas.microsoft.com/office/word/2010/wordml" w:rsidR="4AF24BA3" w:rsidTr="0204A69F" w14:paraId="44D283D2" wp14:textId="77777777">
        <w:trPr>
          <w:trHeight w:val="300"/>
        </w:trPr>
        <w:tc>
          <w:tcPr>
            <w:tcW w:w="2250" w:type="dxa"/>
            <w:tcMar/>
          </w:tcPr>
          <w:p w:rsidR="7C81077A" w:rsidP="0204A69F" w:rsidRDefault="7C81077A" w14:paraId="5ADBB7A1" w14:textId="590C91D1">
            <w:pPr>
              <w:pStyle w:val="Normal"/>
              <w:rPr>
                <w:rFonts w:ascii="Arial" w:hAnsi="Arial" w:eastAsia="Arial" w:cs="Arial"/>
                <w:b w:val="0"/>
                <w:bCs w:val="0"/>
                <w:sz w:val="22"/>
                <w:szCs w:val="22"/>
              </w:rPr>
            </w:pPr>
            <w:r w:rsidR="4D13F112">
              <w:rPr/>
              <w:t>Booth et al. (2017)</w:t>
            </w:r>
          </w:p>
        </w:tc>
        <w:tc>
          <w:tcPr>
            <w:tcW w:w="2258" w:type="dxa"/>
            <w:tcMar/>
          </w:tcPr>
          <w:p w:rsidR="7C81077A" w:rsidP="0204A69F" w:rsidRDefault="7C81077A" w14:paraId="78BEBEDA" w14:textId="6E260578">
            <w:pPr>
              <w:pStyle w:val="Normal"/>
              <w:rPr>
                <w:rFonts w:ascii="Arial" w:hAnsi="Arial" w:eastAsia="Arial" w:cs="Arial"/>
                <w:b w:val="0"/>
                <w:bCs w:val="0"/>
                <w:sz w:val="22"/>
                <w:szCs w:val="22"/>
              </w:rPr>
            </w:pPr>
            <w:r w:rsidR="4D13F112">
              <w:rPr/>
              <w:t>Cross-sectional</w:t>
            </w:r>
          </w:p>
        </w:tc>
        <w:tc>
          <w:tcPr>
            <w:tcW w:w="2254" w:type="dxa"/>
            <w:tcMar/>
          </w:tcPr>
          <w:p w:rsidR="7C81077A" w:rsidP="0204A69F" w:rsidRDefault="7C81077A" w14:paraId="2C3CD148" w14:textId="5B864A6E">
            <w:pPr>
              <w:pStyle w:val="Normal"/>
              <w:rPr>
                <w:rFonts w:ascii="Arial" w:hAnsi="Arial" w:eastAsia="Arial" w:cs="Arial"/>
                <w:b w:val="0"/>
                <w:bCs w:val="0"/>
                <w:sz w:val="22"/>
                <w:szCs w:val="22"/>
              </w:rPr>
            </w:pPr>
            <w:r w:rsidR="4D13F112">
              <w:rPr/>
              <w:t>Large national dataset</w:t>
            </w:r>
          </w:p>
        </w:tc>
        <w:tc>
          <w:tcPr>
            <w:tcW w:w="2254" w:type="dxa"/>
            <w:tcMar/>
          </w:tcPr>
          <w:p w:rsidR="7C81077A" w:rsidP="0204A69F" w:rsidRDefault="7C81077A" w14:paraId="2EBB4C3F" w14:textId="2B07C7FC">
            <w:pPr>
              <w:pStyle w:val="Normal"/>
              <w:rPr>
                <w:rFonts w:ascii="Arial" w:hAnsi="Arial" w:eastAsia="Arial" w:cs="Arial"/>
                <w:b w:val="0"/>
                <w:bCs w:val="0"/>
                <w:sz w:val="22"/>
                <w:szCs w:val="22"/>
              </w:rPr>
            </w:pPr>
            <w:r w:rsidR="4D13F112">
              <w:rPr/>
              <w:t>One point in time only</w:t>
            </w:r>
          </w:p>
        </w:tc>
      </w:tr>
      <w:tr xmlns:wp14="http://schemas.microsoft.com/office/word/2010/wordml" w:rsidR="4AF24BA3" w:rsidTr="0204A69F" w14:paraId="3D57FFBE" wp14:textId="77777777">
        <w:trPr>
          <w:trHeight w:val="300"/>
        </w:trPr>
        <w:tc>
          <w:tcPr>
            <w:tcW w:w="2250" w:type="dxa"/>
            <w:tcMar/>
          </w:tcPr>
          <w:p w:rsidR="7C81077A" w:rsidP="0204A69F" w:rsidRDefault="7C81077A" w14:paraId="58901CE3" w14:textId="1C532643">
            <w:pPr>
              <w:pStyle w:val="Normal"/>
              <w:rPr>
                <w:rFonts w:ascii="Arial" w:hAnsi="Arial" w:eastAsia="Arial" w:cs="Arial"/>
                <w:b w:val="0"/>
                <w:bCs w:val="0"/>
                <w:sz w:val="22"/>
                <w:szCs w:val="22"/>
              </w:rPr>
            </w:pPr>
            <w:r w:rsidR="4D13F112">
              <w:rPr/>
              <w:t>Davillas &amp; Benzeval (2016)</w:t>
            </w:r>
          </w:p>
        </w:tc>
        <w:tc>
          <w:tcPr>
            <w:tcW w:w="2258" w:type="dxa"/>
            <w:tcMar/>
          </w:tcPr>
          <w:p w:rsidR="7C81077A" w:rsidP="0204A69F" w:rsidRDefault="7C81077A" w14:paraId="4576B8BA" w14:textId="355C5179">
            <w:pPr>
              <w:pStyle w:val="Normal"/>
              <w:rPr>
                <w:rFonts w:ascii="Arial" w:hAnsi="Arial" w:eastAsia="Arial" w:cs="Arial"/>
                <w:b w:val="0"/>
                <w:bCs w:val="0"/>
                <w:sz w:val="22"/>
                <w:szCs w:val="22"/>
              </w:rPr>
            </w:pPr>
            <w:r w:rsidR="4D13F112">
              <w:rPr/>
              <w:t>Cross-sectional</w:t>
            </w:r>
          </w:p>
        </w:tc>
        <w:tc>
          <w:tcPr>
            <w:tcW w:w="2254" w:type="dxa"/>
            <w:tcMar/>
          </w:tcPr>
          <w:p w:rsidR="7C81077A" w:rsidP="0204A69F" w:rsidRDefault="7C81077A" w14:paraId="30155DA3" w14:textId="071AD5A1">
            <w:pPr>
              <w:pStyle w:val="Normal"/>
              <w:rPr>
                <w:rFonts w:ascii="Arial" w:hAnsi="Arial" w:eastAsia="Arial" w:cs="Arial"/>
                <w:b w:val="0"/>
                <w:bCs w:val="0"/>
                <w:sz w:val="22"/>
                <w:szCs w:val="22"/>
              </w:rPr>
            </w:pPr>
            <w:r w:rsidR="4D13F112">
              <w:rPr/>
              <w:t>Compared different obesity measures</w:t>
            </w:r>
          </w:p>
        </w:tc>
        <w:tc>
          <w:tcPr>
            <w:tcW w:w="2254" w:type="dxa"/>
            <w:tcMar/>
          </w:tcPr>
          <w:p w:rsidR="7C81077A" w:rsidP="0204A69F" w:rsidRDefault="7C81077A" w14:paraId="7163D683" w14:textId="2D1275CE">
            <w:pPr>
              <w:pStyle w:val="Normal"/>
              <w:rPr>
                <w:rFonts w:ascii="Arial" w:hAnsi="Arial" w:eastAsia="Arial" w:cs="Arial"/>
                <w:b w:val="0"/>
                <w:bCs w:val="0"/>
                <w:sz w:val="22"/>
                <w:szCs w:val="22"/>
              </w:rPr>
            </w:pPr>
            <w:r w:rsidR="4D13F112">
              <w:rPr/>
              <w:t>Cannot determine cause and effect</w:t>
            </w:r>
          </w:p>
          <w:p w:rsidR="4AF24BA3" w:rsidP="0204A69F" w:rsidRDefault="4AF24BA3" w14:paraId="526A24C7" w14:textId="583826C5">
            <w:pPr>
              <w:pStyle w:val="Normal"/>
            </w:pPr>
          </w:p>
          <w:p w:rsidR="4AF24BA3" w:rsidP="0204A69F" w:rsidRDefault="4AF24BA3" w14:paraId="60D5DCFB" w14:textId="18AC2D11">
            <w:pPr>
              <w:pStyle w:val="Normal"/>
            </w:pPr>
          </w:p>
        </w:tc>
      </w:tr>
    </w:tbl>
    <w:p w:rsidR="5FDAD043" w:rsidP="0204A69F" w:rsidRDefault="5FDAD043" w14:paraId="42570E6A" w14:textId="0E1FD37C">
      <w:pPr>
        <w:pStyle w:val="Normal"/>
      </w:pPr>
    </w:p>
    <w:p w:rsidR="5FDAD043" w:rsidP="0204A69F" w:rsidRDefault="5FDAD043" w14:paraId="3883E722" w14:textId="185CD9AB">
      <w:pPr>
        <w:suppressLineNumbers w:val="0"/>
        <w:bidi w:val="0"/>
        <w:spacing w:before="160" w:beforeAutospacing="off" w:after="80" w:afterAutospacing="off" w:line="360" w:lineRule="auto"/>
        <w:ind/>
      </w:pPr>
      <w:r>
        <w:br w:type="page"/>
      </w:r>
    </w:p>
    <w:p w:rsidR="5FDAD043" w:rsidP="0204A69F" w:rsidRDefault="5FDAD043" w14:paraId="5E82FCE4" w14:textId="454EBF27">
      <w:pPr>
        <w:pStyle w:val="Heading3"/>
        <w:bidi w:val="0"/>
      </w:pPr>
      <w:bookmarkStart w:name="_Toc457861870" w:id="1957119101"/>
      <w:r w:rsidR="5ECB1819">
        <w:rPr/>
        <w:t>Table 3 Theme Matrix</w:t>
      </w:r>
      <w:bookmarkEnd w:id="1957119101"/>
    </w:p>
    <w:tbl>
      <w:tblPr>
        <w:tblStyle w:val="TableGrid"/>
        <w:bidiVisual w:val="0"/>
        <w:tblW w:w="0" w:type="auto"/>
        <w:tblLook w:val="06A0" w:firstRow="1" w:lastRow="0" w:firstColumn="1" w:lastColumn="0" w:noHBand="1" w:noVBand="1"/>
      </w:tblPr>
      <w:tblGrid>
        <w:gridCol w:w="1502"/>
        <w:gridCol w:w="1502"/>
        <w:gridCol w:w="1502"/>
        <w:gridCol w:w="1502"/>
        <w:gridCol w:w="1502"/>
        <w:gridCol w:w="1502"/>
      </w:tblGrid>
      <w:tr xmlns:wp14="http://schemas.microsoft.com/office/word/2010/wordml" w:rsidR="4AF24BA3" w:rsidTr="0204A69F" w14:paraId="4FD8AFD7" wp14:textId="77777777">
        <w:trPr>
          <w:trHeight w:val="300"/>
        </w:trPr>
        <w:tc>
          <w:tcPr>
            <w:tcW w:w="1502" w:type="dxa"/>
            <w:tcMar/>
          </w:tcPr>
          <w:p w:rsidR="7A142DF3" w:rsidP="0204A69F" w:rsidRDefault="7A142DF3" w14:paraId="6C4782FE" w14:textId="119C3DED">
            <w:pPr>
              <w:pStyle w:val="Normal"/>
              <w:suppressLineNumbers w:val="0"/>
              <w:bidi w:val="0"/>
              <w:spacing w:before="0" w:beforeAutospacing="off" w:after="0" w:afterAutospacing="off" w:line="360" w:lineRule="auto"/>
              <w:ind w:left="0" w:right="0"/>
              <w:jc w:val="both"/>
            </w:pPr>
            <w:r w:rsidRPr="0204A69F" w:rsidR="52B494E1">
              <w:rPr>
                <w:rFonts w:ascii="Arial" w:hAnsi="Arial" w:eastAsia="Arial" w:cs="Arial"/>
                <w:sz w:val="22"/>
                <w:szCs w:val="22"/>
              </w:rPr>
              <w:t>Theme</w:t>
            </w:r>
          </w:p>
        </w:tc>
        <w:tc>
          <w:tcPr>
            <w:tcW w:w="1502" w:type="dxa"/>
            <w:tcMar/>
          </w:tcPr>
          <w:p w:rsidR="7A142DF3" w:rsidP="0204A69F" w:rsidRDefault="7A142DF3" w14:paraId="5420E45D" w14:textId="3696E3CC">
            <w:pPr>
              <w:pStyle w:val="Normal"/>
              <w:spacing w:line="360" w:lineRule="auto"/>
              <w:jc w:val="both"/>
            </w:pPr>
            <w:r w:rsidR="52B494E1">
              <w:rPr/>
              <w:t>Bann</w:t>
            </w:r>
          </w:p>
        </w:tc>
        <w:tc>
          <w:tcPr>
            <w:tcW w:w="1502" w:type="dxa"/>
            <w:tcMar/>
          </w:tcPr>
          <w:p w:rsidR="7A142DF3" w:rsidP="0204A69F" w:rsidRDefault="7A142DF3" w14:paraId="44A7A38A" w14:textId="6A7E0757">
            <w:pPr>
              <w:pStyle w:val="Normal"/>
              <w:spacing w:line="360" w:lineRule="auto"/>
              <w:jc w:val="both"/>
            </w:pPr>
            <w:r w:rsidR="52B494E1">
              <w:rPr/>
              <w:t>Katsoulis</w:t>
            </w:r>
          </w:p>
        </w:tc>
        <w:tc>
          <w:tcPr>
            <w:tcW w:w="1502" w:type="dxa"/>
            <w:tcMar/>
          </w:tcPr>
          <w:p w:rsidR="7A142DF3" w:rsidP="0204A69F" w:rsidRDefault="7A142DF3" w14:paraId="16F2FB48" w14:textId="5D9C0282">
            <w:pPr>
              <w:pStyle w:val="Normal"/>
              <w:spacing w:line="360" w:lineRule="auto"/>
              <w:jc w:val="both"/>
            </w:pPr>
            <w:r w:rsidR="52B494E1">
              <w:rPr/>
              <w:t>Briazu</w:t>
            </w:r>
          </w:p>
        </w:tc>
        <w:tc>
          <w:tcPr>
            <w:tcW w:w="1502" w:type="dxa"/>
            <w:tcMar/>
          </w:tcPr>
          <w:p w:rsidR="7A142DF3" w:rsidP="0204A69F" w:rsidRDefault="7A142DF3" w14:paraId="1B209254" w14:textId="159A1873">
            <w:pPr>
              <w:pStyle w:val="Normal"/>
              <w:spacing w:line="360" w:lineRule="auto"/>
              <w:jc w:val="both"/>
            </w:pPr>
            <w:r w:rsidR="52B494E1">
              <w:rPr/>
              <w:t>Booth</w:t>
            </w:r>
          </w:p>
        </w:tc>
        <w:tc>
          <w:tcPr>
            <w:tcW w:w="1502" w:type="dxa"/>
            <w:tcMar/>
          </w:tcPr>
          <w:p w:rsidR="7A142DF3" w:rsidP="0204A69F" w:rsidRDefault="7A142DF3" w14:paraId="2792233C" w14:textId="0FD801EA">
            <w:pPr>
              <w:pStyle w:val="Normal"/>
              <w:spacing w:line="360" w:lineRule="auto"/>
              <w:jc w:val="both"/>
            </w:pPr>
            <w:r w:rsidR="52B494E1">
              <w:rPr/>
              <w:t>Davillas</w:t>
            </w:r>
          </w:p>
        </w:tc>
      </w:tr>
      <w:tr xmlns:wp14="http://schemas.microsoft.com/office/word/2010/wordml" w:rsidR="4AF24BA3" w:rsidTr="0204A69F" w14:paraId="264513E4" wp14:textId="77777777">
        <w:trPr>
          <w:trHeight w:val="300"/>
        </w:trPr>
        <w:tc>
          <w:tcPr>
            <w:tcW w:w="1502" w:type="dxa"/>
            <w:tcMar/>
          </w:tcPr>
          <w:p w:rsidR="7A142DF3" w:rsidP="0204A69F" w:rsidRDefault="7A142DF3" w14:paraId="2231E5B5" w14:textId="01EDEF04">
            <w:pPr>
              <w:pStyle w:val="Normal"/>
              <w:spacing w:line="360" w:lineRule="auto"/>
              <w:jc w:val="both"/>
            </w:pPr>
            <w:r w:rsidR="52B494E1">
              <w:rPr/>
              <w:t>Income</w:t>
            </w:r>
          </w:p>
        </w:tc>
        <w:tc>
          <w:tcPr>
            <w:tcW w:w="1502" w:type="dxa"/>
            <w:tcMar/>
          </w:tcPr>
          <w:p w:rsidR="05554C8B" w:rsidP="0204A69F" w:rsidRDefault="05554C8B" w14:paraId="1844EECD" w14:textId="00B24AF5">
            <w:pPr>
              <w:pStyle w:val="Normal"/>
              <w:spacing w:line="360" w:lineRule="auto"/>
              <w:jc w:val="both"/>
            </w:pPr>
            <w:r w:rsidR="56A708D1">
              <w:rPr/>
              <w:t xml:space="preserve">    ✓</w:t>
            </w:r>
          </w:p>
        </w:tc>
        <w:tc>
          <w:tcPr>
            <w:tcW w:w="1502" w:type="dxa"/>
            <w:tcMar/>
          </w:tcPr>
          <w:p w:rsidR="05554C8B" w:rsidP="0204A69F" w:rsidRDefault="05554C8B" w14:paraId="6C8C4604" w14:textId="4DDFC3E2">
            <w:pPr>
              <w:pStyle w:val="Normal"/>
              <w:spacing w:line="360" w:lineRule="auto"/>
              <w:jc w:val="both"/>
            </w:pPr>
            <w:r w:rsidR="56A708D1">
              <w:rPr/>
              <w:t xml:space="preserve"> ✓</w:t>
            </w:r>
          </w:p>
        </w:tc>
        <w:tc>
          <w:tcPr>
            <w:tcW w:w="1502" w:type="dxa"/>
            <w:tcMar/>
          </w:tcPr>
          <w:p w:rsidR="05554C8B" w:rsidP="0204A69F" w:rsidRDefault="05554C8B" w14:paraId="2DFE4A55" w14:textId="5F2D6F68">
            <w:pPr>
              <w:pStyle w:val="Normal"/>
              <w:spacing w:line="360" w:lineRule="auto"/>
              <w:jc w:val="both"/>
            </w:pPr>
            <w:r w:rsidR="56A708D1">
              <w:rPr/>
              <w:t xml:space="preserve">    ✓</w:t>
            </w:r>
          </w:p>
        </w:tc>
        <w:tc>
          <w:tcPr>
            <w:tcW w:w="1502" w:type="dxa"/>
            <w:tcMar/>
          </w:tcPr>
          <w:p w:rsidR="05554C8B" w:rsidP="0204A69F" w:rsidRDefault="05554C8B" w14:paraId="334078B2" w14:textId="30A6799C">
            <w:pPr>
              <w:pStyle w:val="Normal"/>
              <w:spacing w:line="360" w:lineRule="auto"/>
              <w:jc w:val="both"/>
            </w:pPr>
            <w:r w:rsidR="56A708D1">
              <w:rPr/>
              <w:t xml:space="preserve">   ✓</w:t>
            </w:r>
          </w:p>
        </w:tc>
        <w:tc>
          <w:tcPr>
            <w:tcW w:w="1502" w:type="dxa"/>
            <w:tcMar/>
          </w:tcPr>
          <w:p w:rsidR="05554C8B" w:rsidP="0204A69F" w:rsidRDefault="05554C8B" w14:paraId="537DA1C5" w14:textId="70B3AC84">
            <w:pPr>
              <w:pStyle w:val="Normal"/>
              <w:spacing w:line="360" w:lineRule="auto"/>
              <w:jc w:val="both"/>
            </w:pPr>
            <w:r w:rsidR="56A708D1">
              <w:rPr/>
              <w:t xml:space="preserve">     ✓</w:t>
            </w:r>
          </w:p>
        </w:tc>
      </w:tr>
      <w:tr xmlns:wp14="http://schemas.microsoft.com/office/word/2010/wordml" w:rsidR="4AF24BA3" w:rsidTr="0204A69F" w14:paraId="5D437C02" wp14:textId="77777777">
        <w:trPr>
          <w:trHeight w:val="300"/>
        </w:trPr>
        <w:tc>
          <w:tcPr>
            <w:tcW w:w="1502" w:type="dxa"/>
            <w:tcMar/>
          </w:tcPr>
          <w:p w:rsidR="7A142DF3" w:rsidP="0204A69F" w:rsidRDefault="7A142DF3" w14:paraId="7852E34F" w14:textId="53FC1357">
            <w:pPr>
              <w:pStyle w:val="Normal"/>
              <w:spacing w:line="360" w:lineRule="auto"/>
              <w:jc w:val="both"/>
            </w:pPr>
            <w:r w:rsidR="52B494E1">
              <w:rPr/>
              <w:t>Education</w:t>
            </w:r>
          </w:p>
        </w:tc>
        <w:tc>
          <w:tcPr>
            <w:tcW w:w="1502" w:type="dxa"/>
            <w:tcMar/>
          </w:tcPr>
          <w:p w:rsidR="221037D0" w:rsidP="0204A69F" w:rsidRDefault="221037D0" w14:paraId="436CF183" w14:textId="506336A8">
            <w:pPr>
              <w:pStyle w:val="Normal"/>
              <w:spacing w:line="360" w:lineRule="auto"/>
              <w:jc w:val="both"/>
            </w:pPr>
            <w:r w:rsidR="721056BE">
              <w:rPr/>
              <w:t xml:space="preserve">    ✓</w:t>
            </w:r>
          </w:p>
        </w:tc>
        <w:tc>
          <w:tcPr>
            <w:tcW w:w="1502" w:type="dxa"/>
            <w:tcMar/>
          </w:tcPr>
          <w:p w:rsidR="221037D0" w:rsidP="0204A69F" w:rsidRDefault="221037D0" w14:paraId="2359720F" w14:textId="392E0A8D">
            <w:pPr>
              <w:pStyle w:val="Normal"/>
              <w:spacing w:line="360" w:lineRule="auto"/>
              <w:jc w:val="both"/>
            </w:pPr>
            <w:r w:rsidR="721056BE">
              <w:rPr/>
              <w:t xml:space="preserve"> ✓</w:t>
            </w:r>
          </w:p>
        </w:tc>
        <w:tc>
          <w:tcPr>
            <w:tcW w:w="1502" w:type="dxa"/>
            <w:tcMar/>
          </w:tcPr>
          <w:p w:rsidR="221037D0" w:rsidP="0204A69F" w:rsidRDefault="221037D0" w14:paraId="21863380" w14:textId="610ED7C3">
            <w:pPr>
              <w:pStyle w:val="Normal"/>
              <w:spacing w:line="360" w:lineRule="auto"/>
              <w:jc w:val="both"/>
            </w:pPr>
            <w:r w:rsidR="721056BE">
              <w:rPr/>
              <w:t xml:space="preserve">    ✓</w:t>
            </w:r>
          </w:p>
        </w:tc>
        <w:tc>
          <w:tcPr>
            <w:tcW w:w="1502" w:type="dxa"/>
            <w:tcMar/>
          </w:tcPr>
          <w:p w:rsidR="221037D0" w:rsidP="0204A69F" w:rsidRDefault="221037D0" w14:paraId="37DFB8C8" w14:textId="0370D9A0">
            <w:pPr>
              <w:pStyle w:val="Normal"/>
              <w:spacing w:line="360" w:lineRule="auto"/>
              <w:jc w:val="both"/>
            </w:pPr>
            <w:r w:rsidR="721056BE">
              <w:rPr/>
              <w:t xml:space="preserve">   ✓</w:t>
            </w:r>
          </w:p>
        </w:tc>
        <w:tc>
          <w:tcPr>
            <w:tcW w:w="1502" w:type="dxa"/>
            <w:tcMar/>
          </w:tcPr>
          <w:p w:rsidR="4AF24BA3" w:rsidP="0204A69F" w:rsidRDefault="4AF24BA3" w14:paraId="5667975E" w14:textId="4735B28F">
            <w:pPr>
              <w:pStyle w:val="Normal"/>
              <w:spacing w:line="360" w:lineRule="auto"/>
              <w:jc w:val="both"/>
            </w:pPr>
          </w:p>
        </w:tc>
      </w:tr>
      <w:tr xmlns:wp14="http://schemas.microsoft.com/office/word/2010/wordml" w:rsidR="4AF24BA3" w:rsidTr="0204A69F" w14:paraId="4884CD19" wp14:textId="77777777">
        <w:trPr>
          <w:trHeight w:val="300"/>
        </w:trPr>
        <w:tc>
          <w:tcPr>
            <w:tcW w:w="1502" w:type="dxa"/>
            <w:tcMar/>
          </w:tcPr>
          <w:p w:rsidR="7A142DF3" w:rsidP="0204A69F" w:rsidRDefault="7A142DF3" w14:paraId="422761BF" w14:textId="2AAE58C2">
            <w:pPr>
              <w:pStyle w:val="Normal"/>
              <w:spacing w:line="360" w:lineRule="auto"/>
              <w:jc w:val="both"/>
            </w:pPr>
            <w:r w:rsidR="31AD52E4">
              <w:rPr/>
              <w:t>Deprivation</w:t>
            </w:r>
          </w:p>
        </w:tc>
        <w:tc>
          <w:tcPr>
            <w:tcW w:w="1502" w:type="dxa"/>
            <w:tcMar/>
          </w:tcPr>
          <w:p w:rsidR="42DA4E1A" w:rsidP="0204A69F" w:rsidRDefault="42DA4E1A" w14:paraId="3CFECDE6" w14:textId="44A014F6">
            <w:pPr>
              <w:pStyle w:val="Normal"/>
              <w:spacing w:line="360" w:lineRule="auto"/>
              <w:jc w:val="both"/>
            </w:pPr>
            <w:r w:rsidR="4B8D7658">
              <w:rPr/>
              <w:t xml:space="preserve">    ✓</w:t>
            </w:r>
          </w:p>
        </w:tc>
        <w:tc>
          <w:tcPr>
            <w:tcW w:w="1502" w:type="dxa"/>
            <w:tcMar/>
          </w:tcPr>
          <w:p w:rsidR="42DA4E1A" w:rsidP="0204A69F" w:rsidRDefault="42DA4E1A" w14:paraId="1B23837A" w14:textId="2F4EF10D">
            <w:pPr>
              <w:pStyle w:val="Normal"/>
              <w:spacing w:line="360" w:lineRule="auto"/>
              <w:jc w:val="both"/>
            </w:pPr>
            <w:r w:rsidR="4B8D7658">
              <w:rPr/>
              <w:t xml:space="preserve"> ✓</w:t>
            </w:r>
          </w:p>
        </w:tc>
        <w:tc>
          <w:tcPr>
            <w:tcW w:w="1502" w:type="dxa"/>
            <w:tcMar/>
          </w:tcPr>
          <w:p w:rsidR="42DA4E1A" w:rsidP="0204A69F" w:rsidRDefault="42DA4E1A" w14:paraId="30CE2A2B" w14:textId="1E02D761">
            <w:pPr>
              <w:pStyle w:val="Normal"/>
              <w:spacing w:line="360" w:lineRule="auto"/>
              <w:jc w:val="both"/>
            </w:pPr>
            <w:r w:rsidR="4B8D7658">
              <w:rPr/>
              <w:t xml:space="preserve">    ✓</w:t>
            </w:r>
          </w:p>
        </w:tc>
        <w:tc>
          <w:tcPr>
            <w:tcW w:w="1502" w:type="dxa"/>
            <w:tcMar/>
          </w:tcPr>
          <w:p w:rsidR="42DA4E1A" w:rsidP="0204A69F" w:rsidRDefault="42DA4E1A" w14:paraId="5AC52D7B" w14:textId="58933D50">
            <w:pPr>
              <w:pStyle w:val="Normal"/>
              <w:spacing w:line="360" w:lineRule="auto"/>
              <w:jc w:val="both"/>
            </w:pPr>
            <w:r w:rsidR="4B8D7658">
              <w:rPr/>
              <w:t xml:space="preserve">   ✓     </w:t>
            </w:r>
          </w:p>
        </w:tc>
        <w:tc>
          <w:tcPr>
            <w:tcW w:w="1502" w:type="dxa"/>
            <w:tcMar/>
          </w:tcPr>
          <w:p w:rsidR="42DA4E1A" w:rsidP="0204A69F" w:rsidRDefault="42DA4E1A" w14:paraId="4032072B" w14:textId="5FB707CB">
            <w:pPr>
              <w:pStyle w:val="Normal"/>
              <w:spacing w:line="360" w:lineRule="auto"/>
              <w:jc w:val="both"/>
            </w:pPr>
            <w:r w:rsidR="4B8D7658">
              <w:rPr/>
              <w:t xml:space="preserve">      ✓</w:t>
            </w:r>
          </w:p>
        </w:tc>
      </w:tr>
      <w:tr xmlns:wp14="http://schemas.microsoft.com/office/word/2010/wordml" w:rsidR="4AF24BA3" w:rsidTr="0204A69F" w14:paraId="67EA6402" wp14:textId="77777777">
        <w:trPr>
          <w:trHeight w:val="300"/>
        </w:trPr>
        <w:tc>
          <w:tcPr>
            <w:tcW w:w="1502" w:type="dxa"/>
            <w:tcMar/>
          </w:tcPr>
          <w:p w:rsidR="7A142DF3" w:rsidP="0204A69F" w:rsidRDefault="7A142DF3" w14:paraId="2734E00D" w14:textId="3DC1AE40">
            <w:pPr>
              <w:pStyle w:val="Normal"/>
              <w:spacing w:line="360" w:lineRule="auto"/>
              <w:jc w:val="both"/>
            </w:pPr>
            <w:r w:rsidR="52B494E1">
              <w:rPr/>
              <w:t>Healthy eating barriers</w:t>
            </w:r>
          </w:p>
        </w:tc>
        <w:tc>
          <w:tcPr>
            <w:tcW w:w="1502" w:type="dxa"/>
            <w:tcMar/>
          </w:tcPr>
          <w:p w:rsidR="143B18EB" w:rsidP="0204A69F" w:rsidRDefault="143B18EB" w14:paraId="04467331" w14:textId="401261C6">
            <w:pPr>
              <w:pStyle w:val="Normal"/>
              <w:spacing w:line="360" w:lineRule="auto"/>
              <w:jc w:val="both"/>
            </w:pPr>
            <w:r w:rsidR="2CB008E2">
              <w:rPr/>
              <w:t xml:space="preserve">    </w:t>
            </w:r>
          </w:p>
        </w:tc>
        <w:tc>
          <w:tcPr>
            <w:tcW w:w="1502" w:type="dxa"/>
            <w:tcMar/>
          </w:tcPr>
          <w:p w:rsidR="4AF24BA3" w:rsidP="0204A69F" w:rsidRDefault="4AF24BA3" w14:paraId="4F7F90B4" w14:textId="4735B28F">
            <w:pPr>
              <w:pStyle w:val="Normal"/>
              <w:spacing w:line="360" w:lineRule="auto"/>
              <w:jc w:val="both"/>
            </w:pPr>
          </w:p>
        </w:tc>
        <w:tc>
          <w:tcPr>
            <w:tcW w:w="1502" w:type="dxa"/>
            <w:tcMar/>
          </w:tcPr>
          <w:p w:rsidR="143B18EB" w:rsidP="0204A69F" w:rsidRDefault="143B18EB" w14:paraId="52F9FC65" w14:textId="283E8BE3">
            <w:pPr>
              <w:pStyle w:val="Normal"/>
              <w:spacing w:line="360" w:lineRule="auto"/>
              <w:jc w:val="both"/>
            </w:pPr>
            <w:r w:rsidR="2CB008E2">
              <w:rPr/>
              <w:t xml:space="preserve">    ✓</w:t>
            </w:r>
          </w:p>
        </w:tc>
        <w:tc>
          <w:tcPr>
            <w:tcW w:w="1502" w:type="dxa"/>
            <w:tcMar/>
          </w:tcPr>
          <w:p w:rsidR="4AF24BA3" w:rsidP="0204A69F" w:rsidRDefault="4AF24BA3" w14:paraId="3D7CD17D" w14:textId="4735B28F">
            <w:pPr>
              <w:pStyle w:val="Normal"/>
              <w:spacing w:line="360" w:lineRule="auto"/>
              <w:jc w:val="both"/>
            </w:pPr>
          </w:p>
        </w:tc>
        <w:tc>
          <w:tcPr>
            <w:tcW w:w="1502" w:type="dxa"/>
            <w:tcMar/>
          </w:tcPr>
          <w:p w:rsidR="4AF24BA3" w:rsidP="0204A69F" w:rsidRDefault="4AF24BA3" w14:paraId="37D50543" w14:textId="4735B28F">
            <w:pPr>
              <w:pStyle w:val="Normal"/>
              <w:spacing w:line="360" w:lineRule="auto"/>
              <w:jc w:val="both"/>
            </w:pPr>
          </w:p>
        </w:tc>
      </w:tr>
      <w:tr xmlns:wp14="http://schemas.microsoft.com/office/word/2010/wordml" w:rsidR="4AF24BA3" w:rsidTr="0204A69F" w14:paraId="22EB6D34" wp14:textId="77777777">
        <w:trPr>
          <w:trHeight w:val="300"/>
        </w:trPr>
        <w:tc>
          <w:tcPr>
            <w:tcW w:w="1502" w:type="dxa"/>
            <w:tcMar/>
          </w:tcPr>
          <w:p w:rsidR="7A142DF3" w:rsidP="0204A69F" w:rsidRDefault="7A142DF3" w14:paraId="3AE036BB" w14:textId="19D73E26">
            <w:pPr>
              <w:pStyle w:val="Normal"/>
              <w:spacing w:line="360" w:lineRule="auto"/>
              <w:jc w:val="both"/>
            </w:pPr>
            <w:r w:rsidR="52B494E1">
              <w:rPr/>
              <w:t>Ethnicity</w:t>
            </w:r>
          </w:p>
        </w:tc>
        <w:tc>
          <w:tcPr>
            <w:tcW w:w="1502" w:type="dxa"/>
            <w:tcMar/>
          </w:tcPr>
          <w:p w:rsidR="4AF24BA3" w:rsidP="0204A69F" w:rsidRDefault="4AF24BA3" w14:paraId="6C85C54B" w14:textId="4735B28F">
            <w:pPr>
              <w:pStyle w:val="Normal"/>
              <w:spacing w:line="360" w:lineRule="auto"/>
              <w:jc w:val="both"/>
            </w:pPr>
          </w:p>
        </w:tc>
        <w:tc>
          <w:tcPr>
            <w:tcW w:w="1502" w:type="dxa"/>
            <w:tcMar/>
          </w:tcPr>
          <w:p w:rsidR="361C2F2A" w:rsidP="0204A69F" w:rsidRDefault="361C2F2A" w14:paraId="1317623D" w14:textId="0C09D042">
            <w:pPr>
              <w:pStyle w:val="Normal"/>
              <w:spacing w:line="360" w:lineRule="auto"/>
              <w:jc w:val="both"/>
            </w:pPr>
            <w:r w:rsidR="3407CAD2">
              <w:rPr/>
              <w:t xml:space="preserve">  ✓</w:t>
            </w:r>
          </w:p>
        </w:tc>
        <w:tc>
          <w:tcPr>
            <w:tcW w:w="1502" w:type="dxa"/>
            <w:tcMar/>
          </w:tcPr>
          <w:p w:rsidR="361C2F2A" w:rsidP="0204A69F" w:rsidRDefault="361C2F2A" w14:paraId="601E1EFD" w14:textId="304407F3">
            <w:pPr>
              <w:pStyle w:val="Normal"/>
              <w:spacing w:line="360" w:lineRule="auto"/>
              <w:jc w:val="both"/>
            </w:pPr>
            <w:r w:rsidR="3407CAD2">
              <w:rPr/>
              <w:t xml:space="preserve">     ✓</w:t>
            </w:r>
          </w:p>
        </w:tc>
        <w:tc>
          <w:tcPr>
            <w:tcW w:w="1502" w:type="dxa"/>
            <w:tcMar/>
          </w:tcPr>
          <w:p w:rsidR="4AF24BA3" w:rsidP="0204A69F" w:rsidRDefault="4AF24BA3" w14:paraId="6B57835A" w14:textId="4735B28F">
            <w:pPr>
              <w:pStyle w:val="Normal"/>
              <w:spacing w:line="360" w:lineRule="auto"/>
              <w:jc w:val="both"/>
            </w:pPr>
          </w:p>
        </w:tc>
        <w:tc>
          <w:tcPr>
            <w:tcW w:w="1502" w:type="dxa"/>
            <w:tcMar/>
          </w:tcPr>
          <w:p w:rsidR="4AF24BA3" w:rsidP="0204A69F" w:rsidRDefault="4AF24BA3" w14:paraId="0B65CB36" w14:textId="4735B28F">
            <w:pPr>
              <w:pStyle w:val="Normal"/>
              <w:spacing w:line="360" w:lineRule="auto"/>
              <w:jc w:val="both"/>
            </w:pPr>
          </w:p>
        </w:tc>
      </w:tr>
      <w:tr xmlns:wp14="http://schemas.microsoft.com/office/word/2010/wordml" w:rsidR="4AF24BA3" w:rsidTr="0204A69F" w14:paraId="3BDDD061" wp14:textId="77777777">
        <w:trPr>
          <w:trHeight w:val="300"/>
        </w:trPr>
        <w:tc>
          <w:tcPr>
            <w:tcW w:w="1502" w:type="dxa"/>
            <w:tcMar/>
          </w:tcPr>
          <w:p w:rsidR="7A142DF3" w:rsidP="0204A69F" w:rsidRDefault="7A142DF3" w14:paraId="4AC94945" w14:textId="3F557078">
            <w:pPr>
              <w:pStyle w:val="Normal"/>
              <w:spacing w:line="360" w:lineRule="auto"/>
              <w:jc w:val="both"/>
            </w:pPr>
            <w:r w:rsidR="52B494E1">
              <w:rPr/>
              <w:t>Age</w:t>
            </w:r>
          </w:p>
        </w:tc>
        <w:tc>
          <w:tcPr>
            <w:tcW w:w="1502" w:type="dxa"/>
            <w:tcMar/>
          </w:tcPr>
          <w:p w:rsidR="35AF3F98" w:rsidP="0204A69F" w:rsidRDefault="35AF3F98" w14:paraId="46529990" w14:textId="441C4E33">
            <w:pPr>
              <w:pStyle w:val="Normal"/>
              <w:spacing w:line="360" w:lineRule="auto"/>
              <w:jc w:val="both"/>
            </w:pPr>
            <w:r w:rsidR="4363C7AF">
              <w:rPr/>
              <w:t xml:space="preserve">   ✓</w:t>
            </w:r>
          </w:p>
        </w:tc>
        <w:tc>
          <w:tcPr>
            <w:tcW w:w="1502" w:type="dxa"/>
            <w:tcMar/>
          </w:tcPr>
          <w:p w:rsidR="35AF3F98" w:rsidP="0204A69F" w:rsidRDefault="35AF3F98" w14:paraId="1BF327B0" w14:textId="5A8792D0">
            <w:pPr>
              <w:pStyle w:val="Normal"/>
              <w:spacing w:line="360" w:lineRule="auto"/>
              <w:jc w:val="both"/>
            </w:pPr>
            <w:r w:rsidR="4363C7AF">
              <w:rPr/>
              <w:t xml:space="preserve">  ✓</w:t>
            </w:r>
          </w:p>
        </w:tc>
        <w:tc>
          <w:tcPr>
            <w:tcW w:w="1502" w:type="dxa"/>
            <w:tcMar/>
          </w:tcPr>
          <w:p w:rsidR="4AF24BA3" w:rsidP="0204A69F" w:rsidRDefault="4AF24BA3" w14:paraId="7D9E6864" w14:textId="4735B28F">
            <w:pPr>
              <w:pStyle w:val="Normal"/>
              <w:spacing w:line="360" w:lineRule="auto"/>
              <w:jc w:val="both"/>
            </w:pPr>
          </w:p>
        </w:tc>
        <w:tc>
          <w:tcPr>
            <w:tcW w:w="1502" w:type="dxa"/>
            <w:tcMar/>
          </w:tcPr>
          <w:p w:rsidR="4AF24BA3" w:rsidP="0204A69F" w:rsidRDefault="4AF24BA3" w14:paraId="79A7728B" w14:textId="4735B28F">
            <w:pPr>
              <w:pStyle w:val="Normal"/>
              <w:spacing w:line="360" w:lineRule="auto"/>
              <w:jc w:val="both"/>
            </w:pPr>
          </w:p>
        </w:tc>
        <w:tc>
          <w:tcPr>
            <w:tcW w:w="1502" w:type="dxa"/>
            <w:tcMar/>
          </w:tcPr>
          <w:p w:rsidR="4AF24BA3" w:rsidP="0204A69F" w:rsidRDefault="4AF24BA3" w14:paraId="4C59F8AC" w14:textId="4735B28F">
            <w:pPr>
              <w:pStyle w:val="Normal"/>
              <w:spacing w:line="360" w:lineRule="auto"/>
              <w:jc w:val="both"/>
            </w:pPr>
          </w:p>
        </w:tc>
      </w:tr>
      <w:tr xmlns:wp14="http://schemas.microsoft.com/office/word/2010/wordml" w:rsidR="4AF24BA3" w:rsidTr="0204A69F" w14:paraId="7777FE4D" wp14:textId="77777777">
        <w:trPr>
          <w:trHeight w:val="300"/>
        </w:trPr>
        <w:tc>
          <w:tcPr>
            <w:tcW w:w="1502" w:type="dxa"/>
            <w:tcMar/>
          </w:tcPr>
          <w:p w:rsidR="7A142DF3" w:rsidP="0204A69F" w:rsidRDefault="7A142DF3" w14:paraId="18EC2715" w14:textId="53BE1FA7">
            <w:pPr>
              <w:pStyle w:val="Normal"/>
              <w:spacing w:line="360" w:lineRule="auto"/>
              <w:jc w:val="both"/>
            </w:pPr>
            <w:r w:rsidR="52B494E1">
              <w:rPr/>
              <w:t>Gender</w:t>
            </w:r>
          </w:p>
        </w:tc>
        <w:tc>
          <w:tcPr>
            <w:tcW w:w="1502" w:type="dxa"/>
            <w:tcMar/>
          </w:tcPr>
          <w:p w:rsidR="1BD83CC4" w:rsidP="0204A69F" w:rsidRDefault="1BD83CC4" w14:paraId="1A68FEB2" w14:textId="074C6B37">
            <w:pPr>
              <w:pStyle w:val="Normal"/>
              <w:spacing w:line="360" w:lineRule="auto"/>
              <w:jc w:val="both"/>
            </w:pPr>
            <w:r w:rsidR="2AD4C65F">
              <w:rPr/>
              <w:t xml:space="preserve">   ✓</w:t>
            </w:r>
          </w:p>
        </w:tc>
        <w:tc>
          <w:tcPr>
            <w:tcW w:w="1502" w:type="dxa"/>
            <w:tcMar/>
          </w:tcPr>
          <w:p w:rsidR="1BD83CC4" w:rsidP="0204A69F" w:rsidRDefault="1BD83CC4" w14:paraId="0B0CDEB9" w14:textId="4F823A9C">
            <w:pPr>
              <w:pStyle w:val="Normal"/>
              <w:spacing w:line="360" w:lineRule="auto"/>
              <w:jc w:val="both"/>
            </w:pPr>
            <w:r w:rsidR="2AD4C65F">
              <w:rPr/>
              <w:t xml:space="preserve">  ✓</w:t>
            </w:r>
          </w:p>
        </w:tc>
        <w:tc>
          <w:tcPr>
            <w:tcW w:w="1502" w:type="dxa"/>
            <w:tcMar/>
          </w:tcPr>
          <w:p w:rsidR="1BD83CC4" w:rsidP="0204A69F" w:rsidRDefault="1BD83CC4" w14:paraId="294A6D91" w14:textId="6C3B373B">
            <w:pPr>
              <w:pStyle w:val="Normal"/>
              <w:spacing w:line="360" w:lineRule="auto"/>
              <w:jc w:val="both"/>
            </w:pPr>
            <w:r w:rsidR="2AD4C65F">
              <w:rPr/>
              <w:t xml:space="preserve">      ✓</w:t>
            </w:r>
          </w:p>
        </w:tc>
        <w:tc>
          <w:tcPr>
            <w:tcW w:w="1502" w:type="dxa"/>
            <w:tcMar/>
          </w:tcPr>
          <w:p w:rsidR="1BD83CC4" w:rsidP="0204A69F" w:rsidRDefault="1BD83CC4" w14:paraId="12B81F49" w14:textId="2AE3FF7A">
            <w:pPr>
              <w:pStyle w:val="Normal"/>
              <w:spacing w:line="360" w:lineRule="auto"/>
              <w:jc w:val="both"/>
            </w:pPr>
            <w:r w:rsidR="2AD4C65F">
              <w:rPr/>
              <w:t xml:space="preserve">   ✓</w:t>
            </w:r>
          </w:p>
        </w:tc>
        <w:tc>
          <w:tcPr>
            <w:tcW w:w="1502" w:type="dxa"/>
            <w:tcMar/>
          </w:tcPr>
          <w:p w:rsidR="1BD83CC4" w:rsidP="0204A69F" w:rsidRDefault="1BD83CC4" w14:paraId="31969F9C" w14:textId="79863DBF">
            <w:pPr>
              <w:pStyle w:val="Normal"/>
              <w:spacing w:line="360" w:lineRule="auto"/>
              <w:jc w:val="both"/>
            </w:pPr>
            <w:r w:rsidR="2AD4C65F">
              <w:rPr/>
              <w:t xml:space="preserve">      ✓</w:t>
            </w:r>
          </w:p>
        </w:tc>
      </w:tr>
    </w:tbl>
    <w:p w:rsidR="4AF24BA3" w:rsidP="0204A69F" w:rsidRDefault="4AF24BA3" w14:paraId="4334374F" w14:textId="3B5A8EDC">
      <w:pPr>
        <w:pStyle w:val="Normal"/>
        <w:suppressLineNumbers w:val="0"/>
        <w:bidi w:val="0"/>
        <w:spacing w:before="0" w:beforeAutospacing="off" w:after="160" w:afterAutospacing="off" w:line="360" w:lineRule="auto"/>
        <w:ind w:left="0" w:right="0"/>
        <w:jc w:val="both"/>
      </w:pPr>
    </w:p>
    <w:p w:rsidRPr="00FE4D42" w:rsidR="00BF7557" w:rsidP="0204A69F" w:rsidRDefault="00BF7557" w14:paraId="4B9D0529" w14:textId="77777777">
      <w:pPr>
        <w:pStyle w:val="Heading3"/>
        <w:spacing w:line="360" w:lineRule="auto"/>
        <w:jc w:val="both"/>
      </w:pPr>
      <w:bookmarkStart w:name="_Toc34778479" w:id="1328841694"/>
      <w:r w:rsidR="00BF7557">
        <w:rPr/>
        <w:t>4.1 Income and material disadvantage</w:t>
      </w:r>
      <w:bookmarkEnd w:id="1328841694"/>
    </w:p>
    <w:p w:rsidR="4AF24BA3" w:rsidP="0204A69F" w:rsidRDefault="4AF24BA3" w14:paraId="7DA50828" w14:textId="756B6BD5">
      <w:pPr>
        <w:pStyle w:val="Normal"/>
        <w:spacing w:line="360" w:lineRule="auto"/>
        <w:jc w:val="both"/>
      </w:pPr>
      <w:r w:rsidR="77EF9B7E">
        <w:rPr/>
        <w:t xml:space="preserve">Income was a strong theme across the studies, with lower income and socioeconomic disadvantage associated with poorer obesity outcomes (Bann et al., 2017; Booth, </w:t>
      </w:r>
      <w:r w:rsidR="77EF9B7E">
        <w:rPr/>
        <w:t>Charlton</w:t>
      </w:r>
      <w:r w:rsidR="77EF9B7E">
        <w:rPr/>
        <w:t xml:space="preserve"> and Gulliford, 2017; </w:t>
      </w:r>
      <w:r w:rsidR="77EF9B7E">
        <w:rPr/>
        <w:t>Davillas</w:t>
      </w:r>
      <w:r w:rsidR="77EF9B7E">
        <w:rPr/>
        <w:t xml:space="preserve"> and </w:t>
      </w:r>
      <w:r w:rsidR="77EF9B7E">
        <w:rPr/>
        <w:t>Benzeval</w:t>
      </w:r>
      <w:r w:rsidR="77EF9B7E">
        <w:rPr/>
        <w:t>, 2016). Financial constraints may limit access to healthier food and opportunities for physical activity.</w:t>
      </w:r>
    </w:p>
    <w:p w:rsidRPr="00FE4D42" w:rsidR="00BF7557" w:rsidP="0204A69F" w:rsidRDefault="00BF7557" w14:paraId="4ABFB9D2" w14:textId="35CBD9D4">
      <w:pPr>
        <w:pStyle w:val="Heading3"/>
        <w:spacing w:line="360" w:lineRule="auto"/>
        <w:jc w:val="both"/>
      </w:pPr>
      <w:bookmarkStart w:name="_Toc361947128" w:id="1902497406"/>
      <w:r w:rsidR="00BF7557">
        <w:rPr/>
        <w:t>4.2 Education and occupational position</w:t>
      </w:r>
      <w:bookmarkEnd w:id="1902497406"/>
    </w:p>
    <w:p w:rsidRPr="00FE4D42" w:rsidR="00BF7557" w:rsidP="00BF7557" w:rsidRDefault="00BF7557" w14:paraId="0AFCECC0" w14:textId="2906FED9">
      <w:pPr>
        <w:spacing w:line="360" w:lineRule="auto"/>
        <w:jc w:val="both"/>
      </w:pPr>
      <w:r w:rsidRPr="0204A69F" w:rsidR="4E619E53">
        <w:rPr>
          <w:rFonts w:ascii="Arial" w:hAnsi="Arial" w:cs="Arial"/>
          <w:b w:val="0"/>
          <w:bCs w:val="0"/>
          <w:sz w:val="22"/>
          <w:szCs w:val="22"/>
        </w:rPr>
        <w:t xml:space="preserve">Lower educational attainment was associated with higher BMI and severe obesity (Bann et al., 2017; Booth, </w:t>
      </w:r>
      <w:r w:rsidRPr="0204A69F" w:rsidR="4E619E53">
        <w:rPr>
          <w:rFonts w:ascii="Arial" w:hAnsi="Arial" w:cs="Arial"/>
          <w:b w:val="0"/>
          <w:bCs w:val="0"/>
          <w:sz w:val="22"/>
          <w:szCs w:val="22"/>
        </w:rPr>
        <w:t>Charlton</w:t>
      </w:r>
      <w:r w:rsidRPr="0204A69F" w:rsidR="4E619E53">
        <w:rPr>
          <w:rFonts w:ascii="Arial" w:hAnsi="Arial" w:cs="Arial"/>
          <w:b w:val="0"/>
          <w:bCs w:val="0"/>
          <w:sz w:val="22"/>
          <w:szCs w:val="22"/>
        </w:rPr>
        <w:t xml:space="preserve"> and Gulliford, 2017). Education may influence health literacy, </w:t>
      </w:r>
      <w:r w:rsidRPr="0204A69F" w:rsidR="4E619E53">
        <w:rPr>
          <w:rFonts w:ascii="Arial" w:hAnsi="Arial" w:cs="Arial"/>
          <w:b w:val="0"/>
          <w:bCs w:val="0"/>
          <w:sz w:val="22"/>
          <w:szCs w:val="22"/>
        </w:rPr>
        <w:t>employment</w:t>
      </w:r>
      <w:r w:rsidRPr="0204A69F" w:rsidR="4E619E53">
        <w:rPr>
          <w:rFonts w:ascii="Arial" w:hAnsi="Arial" w:cs="Arial"/>
          <w:b w:val="0"/>
          <w:bCs w:val="0"/>
          <w:sz w:val="22"/>
          <w:szCs w:val="22"/>
        </w:rPr>
        <w:t xml:space="preserve"> and income, although its effects are </w:t>
      </w:r>
      <w:r w:rsidRPr="0204A69F" w:rsidR="4E619E53">
        <w:rPr>
          <w:rFonts w:ascii="Arial" w:hAnsi="Arial" w:cs="Arial"/>
          <w:b w:val="0"/>
          <w:bCs w:val="0"/>
          <w:sz w:val="22"/>
          <w:szCs w:val="22"/>
        </w:rPr>
        <w:t>closely linked</w:t>
      </w:r>
      <w:r w:rsidRPr="0204A69F" w:rsidR="4E619E53">
        <w:rPr>
          <w:rFonts w:ascii="Arial" w:hAnsi="Arial" w:cs="Arial"/>
          <w:b w:val="0"/>
          <w:bCs w:val="0"/>
          <w:sz w:val="22"/>
          <w:szCs w:val="22"/>
        </w:rPr>
        <w:t xml:space="preserve"> to wider socioeconomic circumstances.</w:t>
      </w:r>
    </w:p>
    <w:p w:rsidRPr="00FE4D42" w:rsidR="00BF7557" w:rsidP="00BF7557" w:rsidRDefault="00BF7557" w14:paraId="7E72E1AE" w14:textId="131043BE">
      <w:pPr>
        <w:spacing w:line="360" w:lineRule="auto"/>
        <w:jc w:val="both"/>
      </w:pPr>
      <w:r>
        <w:br w:type="page"/>
      </w:r>
    </w:p>
    <w:p w:rsidRPr="00FE4D42" w:rsidR="00BF7557" w:rsidP="0204A69F" w:rsidRDefault="00BF7557" w14:paraId="50133E91" w14:textId="23855481">
      <w:pPr>
        <w:pStyle w:val="Heading3"/>
        <w:spacing w:line="360" w:lineRule="auto"/>
        <w:jc w:val="both"/>
      </w:pPr>
      <w:bookmarkStart w:name="_Toc1607773331" w:id="785417759"/>
      <w:r w:rsidR="00BF7557">
        <w:rPr/>
        <w:t>4.3 Neighbourhood deprivation and insecurity</w:t>
      </w:r>
      <w:bookmarkEnd w:id="785417759"/>
    </w:p>
    <w:p w:rsidR="22D4289F" w:rsidP="0204A69F" w:rsidRDefault="22D4289F" w14:paraId="1E794828" w14:textId="50EF2C91">
      <w:pPr>
        <w:pStyle w:val="Normal"/>
        <w:spacing w:line="360" w:lineRule="auto"/>
        <w:jc w:val="both"/>
      </w:pPr>
      <w:r w:rsidRPr="0204A69F" w:rsidR="22D4289F">
        <w:rPr>
          <w:rFonts w:ascii="Arial" w:hAnsi="Arial" w:cs="Arial"/>
          <w:b w:val="0"/>
          <w:bCs w:val="0"/>
          <w:sz w:val="22"/>
          <w:szCs w:val="22"/>
        </w:rPr>
        <w:t>Neighbourhood deprivation was associated with increased obesity risk and future weight gain (Katsoulis et al., 2021). Disadvantaged communities may also have fewer affordable healthy food options, creating barriers to healthier eating (Briazu et al., 2024).</w:t>
      </w:r>
    </w:p>
    <w:p w:rsidRPr="00FE4D42" w:rsidR="00BF7557" w:rsidP="0204A69F" w:rsidRDefault="00BF7557" w14:paraId="6FB21E4D" w14:textId="77777777">
      <w:pPr>
        <w:pStyle w:val="Heading3"/>
        <w:spacing w:line="360" w:lineRule="auto"/>
        <w:jc w:val="both"/>
      </w:pPr>
      <w:bookmarkStart w:name="_Toc79852334" w:id="1707080323"/>
      <w:r w:rsidR="00BF7557">
        <w:rPr/>
        <w:t>4.4 Ethnicity, migration and gender</w:t>
      </w:r>
      <w:bookmarkEnd w:id="1707080323"/>
    </w:p>
    <w:p w:rsidR="766DBBBC" w:rsidP="0204A69F" w:rsidRDefault="766DBBBC" w14:paraId="25E5FB65" w14:textId="235451C4">
      <w:pPr>
        <w:spacing w:line="360" w:lineRule="auto"/>
        <w:jc w:val="both"/>
      </w:pPr>
      <w:r w:rsidRPr="0204A69F" w:rsidR="766DBBBC">
        <w:rPr>
          <w:rFonts w:ascii="Arial" w:hAnsi="Arial" w:cs="Arial"/>
          <w:b w:val="0"/>
          <w:bCs w:val="0"/>
          <w:sz w:val="22"/>
          <w:szCs w:val="22"/>
        </w:rPr>
        <w:t>Obesity inequalities varied across population groups. Higgins, Nazroo and Brown (2019) identified interconnected influences involving ethnicity, migration, socioeconomic position and neighbourhood circumstances. Gender differences were also reported, with some socioeconomic inequalities more pronounced among women (Booth, Charlton and Gulliford, 2017; Candio, Parra Mujica and Frew, 2023; Davillas and Benzeval, 2016).</w:t>
      </w:r>
    </w:p>
    <w:p w:rsidRPr="00FE4D42" w:rsidR="00BF7557" w:rsidP="0204A69F" w:rsidRDefault="00BF7557" w14:paraId="2C092511" w14:textId="77777777">
      <w:pPr>
        <w:pStyle w:val="Heading3"/>
        <w:spacing w:line="360" w:lineRule="auto"/>
        <w:jc w:val="both"/>
      </w:pPr>
      <w:bookmarkStart w:name="_Toc905152622" w:id="167617720"/>
      <w:r w:rsidR="00BF7557">
        <w:rPr/>
        <w:t>4.5 Measurement of obesity and inequality</w:t>
      </w:r>
      <w:bookmarkEnd w:id="167617720"/>
    </w:p>
    <w:p w:rsidR="235A7820" w:rsidP="0204A69F" w:rsidRDefault="235A7820" w14:paraId="26A0E749" w14:textId="68CB4027">
      <w:pPr>
        <w:spacing w:line="360" w:lineRule="auto"/>
        <w:jc w:val="both"/>
      </w:pPr>
      <w:r w:rsidRPr="0204A69F" w:rsidR="235A7820">
        <w:rPr>
          <w:rFonts w:ascii="Arial" w:hAnsi="Arial" w:cs="Arial"/>
          <w:b w:val="0"/>
          <w:bCs w:val="0"/>
          <w:sz w:val="22"/>
          <w:szCs w:val="22"/>
        </w:rPr>
        <w:t>Differences in measurement influenced the findings. Studies used BMI, waist circumference and other adiposity measures, limiting direct comparison (Booth, Charlton and Gulliford, 2017; Candio, Parra Mujica and Frew, 2023; Davillas and Benzeval, 2016). This suggests that BMI alone may not capture all dimensions of obesity inequality.</w:t>
      </w:r>
    </w:p>
    <w:p w:rsidR="235A7820" w:rsidP="0204A69F" w:rsidRDefault="235A7820" w14:paraId="7BC3CE1F" w14:textId="4EC36A68">
      <w:pPr>
        <w:pStyle w:val="Normal"/>
        <w:spacing w:line="360" w:lineRule="auto"/>
        <w:jc w:val="both"/>
        <w:rPr>
          <w:rFonts w:ascii="Arial" w:hAnsi="Arial" w:cs="Arial"/>
          <w:b w:val="1"/>
          <w:bCs w:val="1"/>
          <w:sz w:val="22"/>
          <w:szCs w:val="22"/>
        </w:rPr>
      </w:pPr>
      <w:r w:rsidRPr="0204A69F" w:rsidR="235A7820">
        <w:rPr>
          <w:rFonts w:ascii="Arial" w:hAnsi="Arial" w:cs="Arial"/>
          <w:b w:val="1"/>
          <w:bCs w:val="1"/>
          <w:sz w:val="22"/>
          <w:szCs w:val="22"/>
        </w:rPr>
        <w:t>Overall synthesis</w:t>
      </w:r>
    </w:p>
    <w:p w:rsidR="235A7820" w:rsidP="0204A69F" w:rsidRDefault="235A7820" w14:paraId="0D011876" w14:textId="7E34D037">
      <w:pPr>
        <w:pStyle w:val="Normal"/>
        <w:spacing w:line="360" w:lineRule="auto"/>
        <w:jc w:val="both"/>
      </w:pPr>
      <w:r w:rsidRPr="0204A69F" w:rsidR="235A7820">
        <w:rPr>
          <w:rFonts w:ascii="Arial" w:hAnsi="Arial" w:cs="Arial"/>
          <w:b w:val="0"/>
          <w:bCs w:val="0"/>
          <w:sz w:val="22"/>
          <w:szCs w:val="22"/>
        </w:rPr>
        <w:t>Overall, obesity inequalities were linked to interconnected material, educational, occupational and environmental factors, with differences across gender, ethnicity and migration history. The evidence challenges explanations based solely on individual responsibility. However, the predominantly observational evidence identifies associations rather than causation</w:t>
      </w:r>
    </w:p>
    <w:p w:rsidRPr="00BF7557" w:rsidR="00BF7557" w:rsidP="0204A69F" w:rsidRDefault="00BF7557" w14:paraId="7F56892E" w14:textId="77777777">
      <w:pPr>
        <w:pStyle w:val="Heading2"/>
        <w:spacing w:line="360" w:lineRule="auto"/>
        <w:jc w:val="both"/>
      </w:pPr>
      <w:bookmarkStart w:name="_Toc2102637517" w:id="251269835"/>
      <w:r w:rsidR="00BF7557">
        <w:rPr/>
        <w:t>5. Discussion</w:t>
      </w:r>
      <w:bookmarkEnd w:id="251269835"/>
    </w:p>
    <w:p w:rsidR="451E24B8" w:rsidP="0204A69F" w:rsidRDefault="451E24B8" w14:paraId="06CD9E79" w14:textId="46F969D3">
      <w:pPr>
        <w:pStyle w:val="Heading3"/>
        <w:spacing w:line="360" w:lineRule="auto"/>
        <w:jc w:val="both"/>
        <w:rPr>
          <w:rFonts w:ascii="Arial" w:hAnsi="Arial" w:eastAsia="Arial" w:cs="Arial"/>
          <w:b w:val="1"/>
          <w:bCs w:val="1"/>
          <w:noProof w:val="0"/>
          <w:sz w:val="24"/>
          <w:szCs w:val="24"/>
          <w:lang w:val="en-GB"/>
        </w:rPr>
      </w:pPr>
      <w:bookmarkStart w:name="_Toc148719522" w:id="390326813"/>
      <w:r w:rsidRPr="0204A69F" w:rsidR="451E24B8">
        <w:rPr>
          <w:noProof w:val="0"/>
          <w:lang w:val="en-GB"/>
        </w:rPr>
        <w:t>5.1 Comparison and Critical Discussion of the Findings</w:t>
      </w:r>
      <w:bookmarkEnd w:id="390326813"/>
      <w:r w:rsidRPr="0204A69F" w:rsidR="451E24B8">
        <w:rPr>
          <w:noProof w:val="0"/>
          <w:lang w:val="en-GB"/>
        </w:rPr>
        <w:t xml:space="preserve"> </w:t>
      </w:r>
    </w:p>
    <w:p w:rsidR="451E24B8" w:rsidP="0204A69F" w:rsidRDefault="451E24B8" w14:paraId="136A2E81" w14:textId="7D6E2A9B">
      <w:pPr>
        <w:spacing w:before="240" w:beforeAutospacing="off" w:after="240" w:afterAutospacing="off" w:line="360" w:lineRule="auto"/>
        <w:jc w:val="both"/>
      </w:pPr>
      <w:r w:rsidRPr="0204A69F" w:rsidR="451E24B8">
        <w:rPr>
          <w:rFonts w:ascii="Arial" w:hAnsi="Arial" w:eastAsia="Arial" w:cs="Arial"/>
          <w:noProof w:val="0"/>
          <w:sz w:val="22"/>
          <w:szCs w:val="22"/>
          <w:lang w:val="en-GB"/>
        </w:rPr>
        <w:t>This scoping review explored factors contributing to socioeconomic inequalities in obesity among adults in the UK. Overall, the five studies indicate that obesity inequalities are shaped by interconnected social and economic factors rather than individual lifestyle choices alone. Bann et al. (2017) linked socioeconomic position with BMI across adulthood, while Katsoulis et al. (2021) associated deprivation with future weight and BMI gain. Briazu et al. (2024) identified barriers including food costs and limited access to healthier food. Booth, Charlton and Gulliford (2017) associated lower income and educational attainment with severe obesity, while Davillas and Benzeval (2016) found that income-related inequalities varied according to adiposity measurement. Together, these findings demonstrate that socioeconomic disadvantage may influence obesity through multiple pathways. The studies also used different approaches and outcomes, providing complementary perspectives. Bann et al. (2017) examined socioeconomic position across adulthood, Katsoulis et al. (2021) focused on future weight gain, and Briazu et al. (2024) explored lived experiences and barriers to healthy eating. Booth, Charlton and Gulliford (2017) examined severe obesity, while Davillas and Benzeval (2016) compared adiposity measures. This diversity strengthens the review but limits direct comparison because obesity and socioeconomic position were measured differently.</w:t>
      </w:r>
    </w:p>
    <w:p w:rsidR="451E24B8" w:rsidP="0204A69F" w:rsidRDefault="451E24B8" w14:paraId="0A5D989A" w14:textId="4E75F390">
      <w:pPr>
        <w:pStyle w:val="Heading3"/>
        <w:spacing w:line="360" w:lineRule="auto"/>
        <w:jc w:val="both"/>
        <w:rPr>
          <w:rFonts w:ascii="Arial" w:hAnsi="Arial" w:eastAsia="Arial" w:cs="Arial"/>
          <w:b w:val="1"/>
          <w:bCs w:val="1"/>
          <w:noProof w:val="0"/>
          <w:sz w:val="24"/>
          <w:szCs w:val="24"/>
          <w:lang w:val="en-GB"/>
        </w:rPr>
      </w:pPr>
      <w:bookmarkStart w:name="_Toc528333144" w:id="922487977"/>
      <w:r w:rsidRPr="0204A69F" w:rsidR="451E24B8">
        <w:rPr>
          <w:noProof w:val="0"/>
          <w:lang w:val="en-GB"/>
        </w:rPr>
        <w:t>5.2 Income, Education and Socioeconomic Position</w:t>
      </w:r>
      <w:bookmarkEnd w:id="922487977"/>
      <w:r w:rsidRPr="0204A69F" w:rsidR="451E24B8">
        <w:rPr>
          <w:noProof w:val="0"/>
          <w:lang w:val="en-GB"/>
        </w:rPr>
        <w:t xml:space="preserve"> </w:t>
      </w:r>
    </w:p>
    <w:p w:rsidR="451E24B8" w:rsidP="0204A69F" w:rsidRDefault="451E24B8" w14:paraId="3DD98CE6" w14:textId="7E93709E">
      <w:pPr>
        <w:spacing w:before="240" w:beforeAutospacing="off" w:after="240" w:afterAutospacing="off" w:line="360" w:lineRule="auto"/>
        <w:jc w:val="both"/>
      </w:pPr>
      <w:r w:rsidRPr="0204A69F" w:rsidR="451E24B8">
        <w:rPr>
          <w:rFonts w:ascii="Arial" w:hAnsi="Arial" w:eastAsia="Arial" w:cs="Arial"/>
          <w:noProof w:val="0"/>
          <w:sz w:val="22"/>
          <w:szCs w:val="22"/>
          <w:lang w:val="en-GB"/>
        </w:rPr>
        <w:t xml:space="preserve">Income and education were consistently associated with obesity inequalities. Lower income and educational attainment were linked to higher BMI, severe </w:t>
      </w:r>
      <w:r w:rsidRPr="0204A69F" w:rsidR="451E24B8">
        <w:rPr>
          <w:rFonts w:ascii="Arial" w:hAnsi="Arial" w:eastAsia="Arial" w:cs="Arial"/>
          <w:noProof w:val="0"/>
          <w:sz w:val="22"/>
          <w:szCs w:val="22"/>
          <w:lang w:val="en-GB"/>
        </w:rPr>
        <w:t>obesity</w:t>
      </w:r>
      <w:r w:rsidRPr="0204A69F" w:rsidR="451E24B8">
        <w:rPr>
          <w:rFonts w:ascii="Arial" w:hAnsi="Arial" w:eastAsia="Arial" w:cs="Arial"/>
          <w:noProof w:val="0"/>
          <w:sz w:val="22"/>
          <w:szCs w:val="22"/>
          <w:lang w:val="en-GB"/>
        </w:rPr>
        <w:t xml:space="preserve"> and greater adiposity (Bann et al., 2017; Booth, </w:t>
      </w:r>
      <w:r w:rsidRPr="0204A69F" w:rsidR="451E24B8">
        <w:rPr>
          <w:rFonts w:ascii="Arial" w:hAnsi="Arial" w:eastAsia="Arial" w:cs="Arial"/>
          <w:noProof w:val="0"/>
          <w:sz w:val="22"/>
          <w:szCs w:val="22"/>
          <w:lang w:val="en-GB"/>
        </w:rPr>
        <w:t>Charlton</w:t>
      </w:r>
      <w:r w:rsidRPr="0204A69F" w:rsidR="451E24B8">
        <w:rPr>
          <w:rFonts w:ascii="Arial" w:hAnsi="Arial" w:eastAsia="Arial" w:cs="Arial"/>
          <w:noProof w:val="0"/>
          <w:sz w:val="22"/>
          <w:szCs w:val="22"/>
          <w:lang w:val="en-GB"/>
        </w:rPr>
        <w:t xml:space="preserve"> and Gulliford, 2017; </w:t>
      </w:r>
      <w:r w:rsidRPr="0204A69F" w:rsidR="451E24B8">
        <w:rPr>
          <w:rFonts w:ascii="Arial" w:hAnsi="Arial" w:eastAsia="Arial" w:cs="Arial"/>
          <w:noProof w:val="0"/>
          <w:sz w:val="22"/>
          <w:szCs w:val="22"/>
          <w:lang w:val="en-GB"/>
        </w:rPr>
        <w:t>Davillas</w:t>
      </w:r>
      <w:r w:rsidRPr="0204A69F" w:rsidR="451E24B8">
        <w:rPr>
          <w:rFonts w:ascii="Arial" w:hAnsi="Arial" w:eastAsia="Arial" w:cs="Arial"/>
          <w:noProof w:val="0"/>
          <w:sz w:val="22"/>
          <w:szCs w:val="22"/>
          <w:lang w:val="en-GB"/>
        </w:rPr>
        <w:t xml:space="preserve"> and </w:t>
      </w:r>
      <w:r w:rsidRPr="0204A69F" w:rsidR="451E24B8">
        <w:rPr>
          <w:rFonts w:ascii="Arial" w:hAnsi="Arial" w:eastAsia="Arial" w:cs="Arial"/>
          <w:noProof w:val="0"/>
          <w:sz w:val="22"/>
          <w:szCs w:val="22"/>
          <w:lang w:val="en-GB"/>
        </w:rPr>
        <w:t>Benzeval</w:t>
      </w:r>
      <w:r w:rsidRPr="0204A69F" w:rsidR="451E24B8">
        <w:rPr>
          <w:rFonts w:ascii="Arial" w:hAnsi="Arial" w:eastAsia="Arial" w:cs="Arial"/>
          <w:noProof w:val="0"/>
          <w:sz w:val="22"/>
          <w:szCs w:val="22"/>
          <w:lang w:val="en-GB"/>
        </w:rPr>
        <w:t xml:space="preserve">, 2016). However, socioeconomic position is broader than income alone. Education may influence employment, </w:t>
      </w:r>
      <w:r w:rsidRPr="0204A69F" w:rsidR="451E24B8">
        <w:rPr>
          <w:rFonts w:ascii="Arial" w:hAnsi="Arial" w:eastAsia="Arial" w:cs="Arial"/>
          <w:noProof w:val="0"/>
          <w:sz w:val="22"/>
          <w:szCs w:val="22"/>
          <w:lang w:val="en-GB"/>
        </w:rPr>
        <w:t>income</w:t>
      </w:r>
      <w:r w:rsidRPr="0204A69F" w:rsidR="451E24B8">
        <w:rPr>
          <w:rFonts w:ascii="Arial" w:hAnsi="Arial" w:eastAsia="Arial" w:cs="Arial"/>
          <w:noProof w:val="0"/>
          <w:sz w:val="22"/>
          <w:szCs w:val="22"/>
          <w:lang w:val="en-GB"/>
        </w:rPr>
        <w:t xml:space="preserve"> and health literacy, while employment affects financial security, working conditions and stress. Therefore, these factors may </w:t>
      </w:r>
      <w:r w:rsidRPr="0204A69F" w:rsidR="451E24B8">
        <w:rPr>
          <w:rFonts w:ascii="Arial" w:hAnsi="Arial" w:eastAsia="Arial" w:cs="Arial"/>
          <w:noProof w:val="0"/>
          <w:sz w:val="22"/>
          <w:szCs w:val="22"/>
          <w:lang w:val="en-GB"/>
        </w:rPr>
        <w:t>represent</w:t>
      </w:r>
      <w:r w:rsidRPr="0204A69F" w:rsidR="451E24B8">
        <w:rPr>
          <w:rFonts w:ascii="Arial" w:hAnsi="Arial" w:eastAsia="Arial" w:cs="Arial"/>
          <w:noProof w:val="0"/>
          <w:sz w:val="22"/>
          <w:szCs w:val="22"/>
          <w:lang w:val="en-GB"/>
        </w:rPr>
        <w:t xml:space="preserve"> interconnected forms of disadvantage rather than independent causes of obesity. Briazu et al. (2024) helps explain these statistical associations by showing how financial constraints and limited access to healthier food can affect everyday choices. This suggests that disadvantaged adults may face structural barriers to healthy lifestyles rather than simply lacking motivation or knowledge. Consequently, health education alone may have limited impact without addressing wider socioeconomic circumstances.</w:t>
      </w:r>
    </w:p>
    <w:p w:rsidR="451E24B8" w:rsidP="0204A69F" w:rsidRDefault="451E24B8" w14:paraId="7CE78B05" w14:textId="2CD7BAB9">
      <w:pPr>
        <w:pStyle w:val="Heading3"/>
        <w:spacing w:line="360" w:lineRule="auto"/>
        <w:jc w:val="both"/>
        <w:rPr>
          <w:rFonts w:ascii="Arial" w:hAnsi="Arial" w:eastAsia="Arial" w:cs="Arial"/>
          <w:b w:val="1"/>
          <w:bCs w:val="1"/>
          <w:noProof w:val="0"/>
          <w:sz w:val="24"/>
          <w:szCs w:val="24"/>
          <w:lang w:val="en-GB"/>
        </w:rPr>
      </w:pPr>
      <w:bookmarkStart w:name="_Toc2076989517" w:id="2020447831"/>
      <w:r w:rsidRPr="0204A69F" w:rsidR="451E24B8">
        <w:rPr>
          <w:noProof w:val="0"/>
          <w:lang w:val="en-GB"/>
        </w:rPr>
        <w:t>5.3 Neighbourhood Deprivation and Wider Social Determinants</w:t>
      </w:r>
      <w:bookmarkEnd w:id="2020447831"/>
    </w:p>
    <w:p w:rsidR="451E24B8" w:rsidP="0204A69F" w:rsidRDefault="451E24B8" w14:paraId="1801DC1F" w14:textId="1E706D03">
      <w:pPr>
        <w:spacing w:before="240" w:beforeAutospacing="off" w:after="240" w:afterAutospacing="off" w:line="360" w:lineRule="auto"/>
        <w:jc w:val="both"/>
      </w:pPr>
      <w:r w:rsidRPr="0204A69F" w:rsidR="451E24B8">
        <w:rPr>
          <w:rFonts w:ascii="Arial" w:hAnsi="Arial" w:eastAsia="Arial" w:cs="Arial"/>
          <w:noProof w:val="0"/>
          <w:sz w:val="22"/>
          <w:szCs w:val="22"/>
          <w:lang w:val="en-GB"/>
        </w:rPr>
        <w:t xml:space="preserve">The evidence suggests that the environments in which people live can contribute to obesity inequalities. Katsoulis et al. (2021) associated area deprivation with future weight and BMI gain, while Briazu et al. (2024) </w:t>
      </w:r>
      <w:r w:rsidRPr="0204A69F" w:rsidR="451E24B8">
        <w:rPr>
          <w:rFonts w:ascii="Arial" w:hAnsi="Arial" w:eastAsia="Arial" w:cs="Arial"/>
          <w:noProof w:val="0"/>
          <w:sz w:val="22"/>
          <w:szCs w:val="22"/>
          <w:lang w:val="en-GB"/>
        </w:rPr>
        <w:t>identified</w:t>
      </w:r>
      <w:r w:rsidRPr="0204A69F" w:rsidR="451E24B8">
        <w:rPr>
          <w:rFonts w:ascii="Arial" w:hAnsi="Arial" w:eastAsia="Arial" w:cs="Arial"/>
          <w:noProof w:val="0"/>
          <w:sz w:val="22"/>
          <w:szCs w:val="22"/>
          <w:lang w:val="en-GB"/>
        </w:rPr>
        <w:t xml:space="preserve"> barriers related to food affordability and access. These findings </w:t>
      </w:r>
      <w:r w:rsidRPr="0204A69F" w:rsidR="451E24B8">
        <w:rPr>
          <w:rFonts w:ascii="Arial" w:hAnsi="Arial" w:eastAsia="Arial" w:cs="Arial"/>
          <w:noProof w:val="0"/>
          <w:sz w:val="22"/>
          <w:szCs w:val="22"/>
          <w:lang w:val="en-GB"/>
        </w:rPr>
        <w:t>indicate</w:t>
      </w:r>
      <w:r w:rsidRPr="0204A69F" w:rsidR="451E24B8">
        <w:rPr>
          <w:rFonts w:ascii="Arial" w:hAnsi="Arial" w:eastAsia="Arial" w:cs="Arial"/>
          <w:noProof w:val="0"/>
          <w:sz w:val="22"/>
          <w:szCs w:val="22"/>
          <w:lang w:val="en-GB"/>
        </w:rPr>
        <w:t xml:space="preserve"> that individual behaviour is influenced by wider social and environmental conditions. However, area-level deprivation does not necessarily reflect every individual's circumstances. Therefore, neighbourhood measures should be considered alongside individual socioeconomic factors (Katsoulis et al., 2021). Obesity prevention should </w:t>
      </w:r>
      <w:r w:rsidRPr="0204A69F" w:rsidR="451E24B8">
        <w:rPr>
          <w:rFonts w:ascii="Arial" w:hAnsi="Arial" w:eastAsia="Arial" w:cs="Arial"/>
          <w:noProof w:val="0"/>
          <w:sz w:val="22"/>
          <w:szCs w:val="22"/>
          <w:lang w:val="en-GB"/>
        </w:rPr>
        <w:t>consequently</w:t>
      </w:r>
      <w:r w:rsidRPr="0204A69F" w:rsidR="451E24B8">
        <w:rPr>
          <w:rFonts w:ascii="Arial" w:hAnsi="Arial" w:eastAsia="Arial" w:cs="Arial"/>
          <w:noProof w:val="0"/>
          <w:sz w:val="22"/>
          <w:szCs w:val="22"/>
          <w:lang w:val="en-GB"/>
        </w:rPr>
        <w:t xml:space="preserve"> extend beyond individual weight-management advice to address the social determinants that influence people's ability to make healthy choices.</w:t>
      </w:r>
    </w:p>
    <w:p w:rsidR="0204A69F" w:rsidP="0204A69F" w:rsidRDefault="0204A69F" w14:paraId="49016B16" w14:textId="522A89BA">
      <w:pPr>
        <w:jc w:val="both"/>
      </w:pPr>
      <w:r>
        <w:br w:type="page"/>
      </w:r>
    </w:p>
    <w:p w:rsidR="0204A69F" w:rsidP="0204A69F" w:rsidRDefault="0204A69F" w14:paraId="34C73D9D" w14:textId="6CADBB6E">
      <w:pPr>
        <w:pStyle w:val="Normal"/>
        <w:spacing w:before="240" w:beforeAutospacing="off" w:after="240" w:afterAutospacing="off" w:line="360" w:lineRule="auto"/>
        <w:jc w:val="both"/>
        <w:rPr>
          <w:rFonts w:ascii="Arial" w:hAnsi="Arial" w:eastAsia="Arial" w:cs="Arial"/>
          <w:noProof w:val="0"/>
          <w:sz w:val="22"/>
          <w:szCs w:val="22"/>
          <w:lang w:val="en-GB"/>
        </w:rPr>
      </w:pPr>
    </w:p>
    <w:p w:rsidR="451E24B8" w:rsidP="0204A69F" w:rsidRDefault="451E24B8" w14:paraId="02209615" w14:textId="30C1CD33">
      <w:pPr>
        <w:pStyle w:val="Heading3"/>
        <w:spacing w:line="360" w:lineRule="auto"/>
        <w:jc w:val="both"/>
        <w:rPr>
          <w:rFonts w:ascii="Arial" w:hAnsi="Arial" w:eastAsia="Arial" w:cs="Arial"/>
          <w:b w:val="1"/>
          <w:bCs w:val="1"/>
          <w:noProof w:val="0"/>
          <w:sz w:val="24"/>
          <w:szCs w:val="24"/>
          <w:lang w:val="en-GB"/>
        </w:rPr>
      </w:pPr>
      <w:bookmarkStart w:name="_Toc1709882722" w:id="2031458186"/>
      <w:r w:rsidRPr="0204A69F" w:rsidR="451E24B8">
        <w:rPr>
          <w:noProof w:val="0"/>
          <w:lang w:val="en-GB"/>
        </w:rPr>
        <w:t>5.4 Ethnicity, Gender and Other Inequalities</w:t>
      </w:r>
      <w:bookmarkEnd w:id="2031458186"/>
      <w:r w:rsidRPr="0204A69F" w:rsidR="451E24B8">
        <w:rPr>
          <w:noProof w:val="0"/>
          <w:lang w:val="en-GB"/>
        </w:rPr>
        <w:t xml:space="preserve"> </w:t>
      </w:r>
    </w:p>
    <w:p w:rsidR="451E24B8" w:rsidP="0204A69F" w:rsidRDefault="451E24B8" w14:paraId="5AA3F9E6" w14:textId="7530BC16">
      <w:pPr>
        <w:spacing w:before="240" w:beforeAutospacing="off" w:after="240" w:afterAutospacing="off" w:line="360" w:lineRule="auto"/>
        <w:jc w:val="both"/>
      </w:pPr>
      <w:r w:rsidRPr="0204A69F" w:rsidR="451E24B8">
        <w:rPr>
          <w:rFonts w:ascii="Arial" w:hAnsi="Arial" w:eastAsia="Arial" w:cs="Arial"/>
          <w:noProof w:val="0"/>
          <w:sz w:val="22"/>
          <w:szCs w:val="22"/>
          <w:lang w:val="en-GB"/>
        </w:rPr>
        <w:t>Socioeconomic inequalities in obesity are not experienced equally across population groups. Katsoulis et al. (2021) identified differences associated with age, sex and ethnicity, while Davillas and Benzeval (2016) found income-related adiposity inequalities particularly among women. These differences may reflect interacting factors such as employment, caring responsibilities, income and social circumstances, although the available evidence cannot fully establish why they occur. Ethnicity should also not be treated as a direct cause of obesity. Differences may interact with socioeconomic position, migration, discrimination, employment and neighbourhood conditions. Therefore, health and social care professionals should avoid assumptions based on ethnicity alone and consider individual circumstances when providing support. Overall, the findings support an intersectional approach that recognises how multiple disadvantages may overlap (Katsoulis et al., 2021; Davillas and Benzeval, 2016).</w:t>
      </w:r>
    </w:p>
    <w:p w:rsidR="3CCD8DB3" w:rsidP="0204A69F" w:rsidRDefault="3CCD8DB3" w14:paraId="737E5173" w14:textId="29EB2752">
      <w:pPr>
        <w:pStyle w:val="Heading3"/>
        <w:spacing w:line="360" w:lineRule="auto"/>
        <w:jc w:val="both"/>
        <w:rPr>
          <w:rFonts w:ascii="Arial" w:hAnsi="Arial" w:eastAsia="Arial" w:cs="Arial"/>
          <w:b w:val="1"/>
          <w:bCs w:val="1"/>
          <w:noProof w:val="0"/>
          <w:sz w:val="24"/>
          <w:szCs w:val="24"/>
          <w:lang w:val="en-GB"/>
        </w:rPr>
      </w:pPr>
      <w:bookmarkStart w:name="_Toc1644951184" w:id="798781519"/>
      <w:r w:rsidRPr="0204A69F" w:rsidR="3CCD8DB3">
        <w:rPr>
          <w:noProof w:val="0"/>
          <w:lang w:val="en-GB"/>
        </w:rPr>
        <w:t>5.5 Strengths and Limitations of the Evidence</w:t>
      </w:r>
      <w:bookmarkEnd w:id="798781519"/>
      <w:r w:rsidRPr="0204A69F" w:rsidR="3CCD8DB3">
        <w:rPr>
          <w:noProof w:val="0"/>
          <w:lang w:val="en-GB"/>
        </w:rPr>
        <w:t xml:space="preserve"> </w:t>
      </w:r>
    </w:p>
    <w:p w:rsidR="3CCD8DB3" w:rsidP="0204A69F" w:rsidRDefault="3CCD8DB3" w14:paraId="0B1348F2" w14:textId="30D6F2F4">
      <w:pPr>
        <w:spacing w:before="240" w:beforeAutospacing="off" w:after="240" w:afterAutospacing="off" w:line="360" w:lineRule="auto"/>
        <w:jc w:val="both"/>
      </w:pPr>
      <w:r w:rsidRPr="0204A69F" w:rsidR="3CCD8DB3">
        <w:rPr>
          <w:rFonts w:ascii="Arial" w:hAnsi="Arial" w:eastAsia="Arial" w:cs="Arial"/>
          <w:noProof w:val="0"/>
          <w:sz w:val="22"/>
          <w:szCs w:val="22"/>
          <w:lang w:val="en-GB"/>
        </w:rPr>
        <w:t>A key strength of the evidence is the use of large datasets and varied research approaches. Katsoulis et al. (2021) used data from approximately two million adults in England, while Booth, Charlton and Gulliford (2017) examined severe obesity and Davillas and Benzeval (2016) compared different adiposity measures. Bann et al. (2017) examined socioeconomic position across adulthood, while Briazu et al. (2024) provided insight into barriers experienced by disadvantaged adults. Together, these studies provide complementary evidence about both the patterns and potential explanations of obesity inequalities.</w:t>
      </w:r>
    </w:p>
    <w:p w:rsidR="3CCD8DB3" w:rsidP="0204A69F" w:rsidRDefault="3CCD8DB3" w14:paraId="0DAF3FFE" w14:textId="201A3EE6">
      <w:pPr>
        <w:spacing w:before="240" w:beforeAutospacing="off" w:after="240" w:afterAutospacing="off" w:line="360" w:lineRule="auto"/>
        <w:jc w:val="both"/>
      </w:pPr>
      <w:r w:rsidRPr="0204A69F" w:rsidR="3CCD8DB3">
        <w:rPr>
          <w:rFonts w:ascii="Arial" w:hAnsi="Arial" w:eastAsia="Arial" w:cs="Arial"/>
          <w:noProof w:val="0"/>
          <w:sz w:val="22"/>
          <w:szCs w:val="22"/>
          <w:lang w:val="en-GB"/>
        </w:rPr>
        <w:t>However, several studies were observational or cross-sectional, limiting conclusions about cause and effect. Associations between income, deprivation and obesity do not prove that socioeconomic disadvantage directly causes obesity, as these factors may influence each other over time. Differences in measuring socioeconomic position and obesity also limit direct comparison, while reliance on BMI may not capture all forms of adiposity inequality (Davillas and Benzeval, 2016).</w:t>
      </w:r>
    </w:p>
    <w:p w:rsidR="3CCD8DB3" w:rsidP="0204A69F" w:rsidRDefault="3CCD8DB3" w14:paraId="710C3597" w14:textId="2B11C170">
      <w:pPr>
        <w:pStyle w:val="Normal"/>
        <w:spacing w:before="240" w:beforeAutospacing="off" w:after="240" w:afterAutospacing="off" w:line="360" w:lineRule="auto"/>
        <w:jc w:val="both"/>
      </w:pPr>
      <w:r w:rsidRPr="0204A69F" w:rsidR="3CCD8DB3">
        <w:rPr>
          <w:rFonts w:ascii="Arial" w:hAnsi="Arial" w:eastAsia="Arial" w:cs="Arial"/>
          <w:noProof w:val="0"/>
          <w:sz w:val="22"/>
          <w:szCs w:val="22"/>
          <w:lang w:val="en-GB"/>
        </w:rPr>
        <w:t xml:space="preserve">Finally, the evidence was </w:t>
      </w:r>
      <w:r w:rsidRPr="0204A69F" w:rsidR="3CCD8DB3">
        <w:rPr>
          <w:rFonts w:ascii="Arial" w:hAnsi="Arial" w:eastAsia="Arial" w:cs="Arial"/>
          <w:noProof w:val="0"/>
          <w:sz w:val="22"/>
          <w:szCs w:val="22"/>
          <w:lang w:val="en-GB"/>
        </w:rPr>
        <w:t>mainly quantitative</w:t>
      </w:r>
      <w:r w:rsidRPr="0204A69F" w:rsidR="3CCD8DB3">
        <w:rPr>
          <w:rFonts w:ascii="Arial" w:hAnsi="Arial" w:eastAsia="Arial" w:cs="Arial"/>
          <w:noProof w:val="0"/>
          <w:sz w:val="22"/>
          <w:szCs w:val="22"/>
          <w:lang w:val="en-GB"/>
        </w:rPr>
        <w:t xml:space="preserve">, </w:t>
      </w:r>
      <w:r w:rsidRPr="0204A69F" w:rsidR="3CCD8DB3">
        <w:rPr>
          <w:rFonts w:ascii="Arial" w:hAnsi="Arial" w:eastAsia="Arial" w:cs="Arial"/>
          <w:noProof w:val="0"/>
          <w:sz w:val="22"/>
          <w:szCs w:val="22"/>
          <w:lang w:val="en-GB"/>
        </w:rPr>
        <w:t>providing</w:t>
      </w:r>
      <w:r w:rsidRPr="0204A69F" w:rsidR="3CCD8DB3">
        <w:rPr>
          <w:rFonts w:ascii="Arial" w:hAnsi="Arial" w:eastAsia="Arial" w:cs="Arial"/>
          <w:noProof w:val="0"/>
          <w:sz w:val="22"/>
          <w:szCs w:val="22"/>
          <w:lang w:val="en-GB"/>
        </w:rPr>
        <w:t xml:space="preserve"> less insight into the lived experiences of disadvantaged adults. Further qualitative research could explore how factors such as poverty, food costs, employment, </w:t>
      </w:r>
      <w:r w:rsidRPr="0204A69F" w:rsidR="3CCD8DB3">
        <w:rPr>
          <w:rFonts w:ascii="Arial" w:hAnsi="Arial" w:eastAsia="Arial" w:cs="Arial"/>
          <w:noProof w:val="0"/>
          <w:sz w:val="22"/>
          <w:szCs w:val="22"/>
          <w:lang w:val="en-GB"/>
        </w:rPr>
        <w:t>housing</w:t>
      </w:r>
      <w:r w:rsidRPr="0204A69F" w:rsidR="3CCD8DB3">
        <w:rPr>
          <w:rFonts w:ascii="Arial" w:hAnsi="Arial" w:eastAsia="Arial" w:cs="Arial"/>
          <w:noProof w:val="0"/>
          <w:sz w:val="22"/>
          <w:szCs w:val="22"/>
          <w:lang w:val="en-GB"/>
        </w:rPr>
        <w:t xml:space="preserve"> and caring responsibilities affect the ability to </w:t>
      </w:r>
      <w:r w:rsidRPr="0204A69F" w:rsidR="3CCD8DB3">
        <w:rPr>
          <w:rFonts w:ascii="Arial" w:hAnsi="Arial" w:eastAsia="Arial" w:cs="Arial"/>
          <w:noProof w:val="0"/>
          <w:sz w:val="22"/>
          <w:szCs w:val="22"/>
          <w:lang w:val="en-GB"/>
        </w:rPr>
        <w:t>maintain</w:t>
      </w:r>
      <w:r w:rsidRPr="0204A69F" w:rsidR="3CCD8DB3">
        <w:rPr>
          <w:rFonts w:ascii="Arial" w:hAnsi="Arial" w:eastAsia="Arial" w:cs="Arial"/>
          <w:noProof w:val="0"/>
          <w:sz w:val="22"/>
          <w:szCs w:val="22"/>
          <w:lang w:val="en-GB"/>
        </w:rPr>
        <w:t xml:space="preserve"> a healthy lifestyle (Briazu et al., 2024).</w:t>
      </w:r>
    </w:p>
    <w:p w:rsidR="00BF7557" w:rsidP="0204A69F" w:rsidRDefault="00BF7557" w14:paraId="6BC4D8AC" w14:textId="6AE76004">
      <w:pPr>
        <w:pStyle w:val="Heading2"/>
        <w:suppressLineNumbers w:val="0"/>
        <w:bidi w:val="0"/>
        <w:spacing w:before="160" w:beforeAutospacing="off" w:after="80" w:afterAutospacing="off" w:line="360" w:lineRule="auto"/>
        <w:ind w:left="0" w:right="0"/>
        <w:jc w:val="both"/>
      </w:pPr>
      <w:bookmarkStart w:name="_Toc89046905" w:id="755569994"/>
      <w:r w:rsidR="00BF7557">
        <w:rPr/>
        <w:t xml:space="preserve">6. </w:t>
      </w:r>
      <w:r w:rsidR="6BB15F7A">
        <w:rPr/>
        <w:t>Conclusion</w:t>
      </w:r>
      <w:bookmarkEnd w:id="755569994"/>
    </w:p>
    <w:p w:rsidR="6BB15F7A" w:rsidP="0204A69F" w:rsidRDefault="6BB15F7A" w14:paraId="162FEC9A" w14:textId="1DD7751F">
      <w:pPr>
        <w:pStyle w:val="Normal"/>
        <w:bidi w:val="0"/>
        <w:spacing w:line="360" w:lineRule="auto"/>
        <w:jc w:val="both"/>
      </w:pPr>
      <w:r w:rsidRPr="0204A69F" w:rsidR="6BB15F7A">
        <w:rPr>
          <w:rFonts w:ascii="Arial" w:hAnsi="Arial" w:eastAsia="Arial" w:cs="Arial"/>
          <w:sz w:val="22"/>
          <w:szCs w:val="22"/>
        </w:rPr>
        <w:t>This scoping review explored factors contributing to socioeconomic inequalities in obesity among adults in the UK. Findings from the five selected studies show that obesity is influenced by interconnected social and economic factors, rather than individual lifestyle choices alone. Lower socioeconomic position, deprivation, income, education and employment were commonly associated with poorer obesity outcomes (Bann et al., 2017; Booth, Charlton and Gulliford, 2017; Davillas and Benzeval, 2016; Katsoulis et al., 2021).</w:t>
      </w:r>
    </w:p>
    <w:p w:rsidR="6BB15F7A" w:rsidP="0204A69F" w:rsidRDefault="6BB15F7A" w14:paraId="54FEFFB8" w14:textId="547CF500">
      <w:pPr>
        <w:pStyle w:val="Normal"/>
        <w:bidi w:val="0"/>
        <w:spacing w:line="360" w:lineRule="auto"/>
        <w:jc w:val="both"/>
      </w:pPr>
      <w:r w:rsidRPr="0204A69F" w:rsidR="6BB15F7A">
        <w:rPr>
          <w:rFonts w:ascii="Arial" w:hAnsi="Arial" w:eastAsia="Arial" w:cs="Arial"/>
          <w:sz w:val="22"/>
          <w:szCs w:val="22"/>
        </w:rPr>
        <w:t>The review also identified differences related to age, sex and ethnicity. Katsoulis et al. (2021) highlighted variations in weight gain risk between population groups, while Briazu et al. (2024) found that disadvantaged adults may face barriers to healthy eating, including the cost and availability of healthier food. This suggests that socioeconomic disadvantage can limit opportunities to make healthy choices, even when people have knowledge of healthy lifestyles.</w:t>
      </w:r>
    </w:p>
    <w:p w:rsidR="6BB15F7A" w:rsidP="0204A69F" w:rsidRDefault="6BB15F7A" w14:paraId="37F97328" w14:textId="00A1253B">
      <w:pPr>
        <w:pStyle w:val="Normal"/>
        <w:bidi w:val="0"/>
        <w:spacing w:line="360" w:lineRule="auto"/>
        <w:jc w:val="both"/>
      </w:pPr>
      <w:r w:rsidRPr="0204A69F" w:rsidR="6BB15F7A">
        <w:rPr>
          <w:rFonts w:ascii="Arial" w:hAnsi="Arial" w:eastAsia="Arial" w:cs="Arial"/>
          <w:sz w:val="22"/>
          <w:szCs w:val="22"/>
        </w:rPr>
        <w:t>Overall, obesity inequalities are complex and result from interactions between individual, social, economic and environmental factors. Although individual behaviour is relevant, focusing only on personal responsibility may overlook the wider circumstances influencing people's choices. Obesity prevention should therefore address social determinants of health alongside individual support and healthcare interventions (Marmot et al., 2020; NICE, 2025).</w:t>
      </w:r>
    </w:p>
    <w:p w:rsidR="6BB15F7A" w:rsidP="0204A69F" w:rsidRDefault="6BB15F7A" w14:paraId="4C7FB0E9" w14:textId="77DCE126">
      <w:pPr>
        <w:pStyle w:val="Normal"/>
        <w:bidi w:val="0"/>
        <w:spacing w:line="360" w:lineRule="auto"/>
        <w:jc w:val="both"/>
      </w:pPr>
      <w:r w:rsidRPr="0204A69F" w:rsidR="6BB15F7A">
        <w:rPr>
          <w:rFonts w:ascii="Arial" w:hAnsi="Arial" w:eastAsia="Arial" w:cs="Arial"/>
          <w:sz w:val="22"/>
          <w:szCs w:val="22"/>
        </w:rPr>
        <w:t>The evidence was strengthened by large population datasets and varied research methods. However, much of the quantitative evidence was observational, limiting conclusions about cause and effect. Differences in measuring socioeconomic position and obesity also made comparisons difficult. Further research should explore how socioeconomic disadvantage contributes to obesity over time and how individuals experience these inequalities.</w:t>
      </w:r>
    </w:p>
    <w:p w:rsidR="6BB15F7A" w:rsidP="0204A69F" w:rsidRDefault="6BB15F7A" w14:paraId="17D1AE4D" w14:textId="35E20329">
      <w:pPr>
        <w:pStyle w:val="Normal"/>
        <w:bidi w:val="0"/>
        <w:spacing w:line="360" w:lineRule="auto"/>
        <w:jc w:val="both"/>
        <w:rPr>
          <w:rFonts w:ascii="Arial" w:hAnsi="Arial" w:eastAsia="Arial" w:cs="Arial"/>
          <w:sz w:val="22"/>
          <w:szCs w:val="22"/>
        </w:rPr>
      </w:pPr>
      <w:r w:rsidRPr="0204A69F" w:rsidR="6BB15F7A">
        <w:rPr>
          <w:rFonts w:ascii="Arial" w:hAnsi="Arial" w:eastAsia="Arial" w:cs="Arial"/>
          <w:sz w:val="22"/>
          <w:szCs w:val="22"/>
        </w:rPr>
        <w:t xml:space="preserve">In conclusion, reducing obesity inequalities requires action at both individual and structural levels. Health and social care professionals should provide person-centred support, while policymakers address wider issues including poverty, food affordability, education, </w:t>
      </w:r>
      <w:r w:rsidRPr="0204A69F" w:rsidR="6BB15F7A">
        <w:rPr>
          <w:rFonts w:ascii="Arial" w:hAnsi="Arial" w:eastAsia="Arial" w:cs="Arial"/>
          <w:sz w:val="22"/>
          <w:szCs w:val="22"/>
        </w:rPr>
        <w:t>employment</w:t>
      </w:r>
      <w:r w:rsidRPr="0204A69F" w:rsidR="6BB15F7A">
        <w:rPr>
          <w:rFonts w:ascii="Arial" w:hAnsi="Arial" w:eastAsia="Arial" w:cs="Arial"/>
          <w:sz w:val="22"/>
          <w:szCs w:val="22"/>
        </w:rPr>
        <w:t xml:space="preserve"> and neighbourhood conditions. A combined approach is more likely to reduce health inequalities and improve outcomes for disadvantaged adults in the UK.</w:t>
      </w:r>
    </w:p>
    <w:p w:rsidRPr="00BF7557" w:rsidR="00BF7557" w:rsidP="0204A69F" w:rsidRDefault="00BF7557" w14:paraId="51C0C208" w14:textId="77777777">
      <w:pPr>
        <w:pStyle w:val="Heading2"/>
        <w:spacing w:line="360" w:lineRule="auto"/>
        <w:jc w:val="both"/>
      </w:pPr>
      <w:bookmarkStart w:name="_Toc1668997246" w:id="1502122282"/>
      <w:r w:rsidR="00BF7557">
        <w:rPr/>
        <w:t>7. Recommendations</w:t>
      </w:r>
      <w:bookmarkEnd w:id="1502122282"/>
    </w:p>
    <w:p w:rsidR="46396705" w:rsidP="4AF24BA3" w:rsidRDefault="46396705" w14:paraId="7FF1E466" w14:textId="4B32D56C">
      <w:pPr>
        <w:pStyle w:val="Normal"/>
        <w:spacing w:line="360" w:lineRule="auto"/>
        <w:jc w:val="both"/>
      </w:pPr>
      <w:r w:rsidRPr="4AF24BA3" w:rsidR="46396705">
        <w:rPr>
          <w:rFonts w:ascii="Arial" w:hAnsi="Arial" w:eastAsia="Arial" w:cs="Arial"/>
          <w:sz w:val="22"/>
          <w:szCs w:val="22"/>
        </w:rPr>
        <w:t>Based on the findings of this scoping review, the following recommendations are made:</w:t>
      </w:r>
    </w:p>
    <w:p w:rsidR="46396705" w:rsidP="4AF24BA3" w:rsidRDefault="46396705" w14:paraId="2C3517EE" w14:textId="017D70CC">
      <w:pPr>
        <w:pStyle w:val="Normal"/>
        <w:spacing w:line="360" w:lineRule="auto"/>
        <w:jc w:val="both"/>
      </w:pPr>
      <w:r w:rsidRPr="4AF24BA3" w:rsidR="46396705">
        <w:rPr>
          <w:rFonts w:ascii="Arial" w:hAnsi="Arial" w:eastAsia="Arial" w:cs="Arial"/>
          <w:sz w:val="22"/>
          <w:szCs w:val="22"/>
        </w:rPr>
        <w:t>1. Future research</w:t>
      </w:r>
    </w:p>
    <w:p w:rsidR="46396705" w:rsidP="4AF24BA3" w:rsidRDefault="46396705" w14:paraId="64CF8A07" w14:textId="403A6397">
      <w:pPr>
        <w:pStyle w:val="Normal"/>
        <w:spacing w:line="360" w:lineRule="auto"/>
        <w:jc w:val="both"/>
      </w:pPr>
      <w:r w:rsidRPr="4AF24BA3" w:rsidR="46396705">
        <w:rPr>
          <w:rFonts w:ascii="Arial" w:hAnsi="Arial" w:eastAsia="Arial" w:cs="Arial"/>
          <w:sz w:val="22"/>
          <w:szCs w:val="22"/>
        </w:rPr>
        <w:t>Future research should use more longitudinal studies to explore how socioeconomic factors influence obesity and weight gain over time. This would help researchers understand the relationship between socioeconomic disadvantage and obesity more clearly and identify possible causal pathways (Bann et al., 2017; Katsoulis et al., 2021).</w:t>
      </w:r>
    </w:p>
    <w:p w:rsidR="46396705" w:rsidP="4AF24BA3" w:rsidRDefault="46396705" w14:paraId="10AD3CFB" w14:textId="76813A6B">
      <w:pPr>
        <w:pStyle w:val="Normal"/>
        <w:spacing w:line="360" w:lineRule="auto"/>
        <w:jc w:val="both"/>
      </w:pPr>
      <w:r w:rsidRPr="4AF24BA3" w:rsidR="46396705">
        <w:rPr>
          <w:rFonts w:ascii="Arial" w:hAnsi="Arial" w:eastAsia="Arial" w:cs="Arial"/>
          <w:sz w:val="22"/>
          <w:szCs w:val="22"/>
        </w:rPr>
        <w:t>2. Wider UK research</w:t>
      </w:r>
    </w:p>
    <w:p w:rsidR="46396705" w:rsidP="4AF24BA3" w:rsidRDefault="46396705" w14:paraId="14DDC2C9" w14:textId="7C8BB742">
      <w:pPr>
        <w:pStyle w:val="Normal"/>
        <w:spacing w:line="360" w:lineRule="auto"/>
        <w:jc w:val="both"/>
      </w:pPr>
      <w:r w:rsidRPr="4AF24BA3" w:rsidR="46396705">
        <w:rPr>
          <w:rFonts w:ascii="Arial" w:hAnsi="Arial" w:eastAsia="Arial" w:cs="Arial"/>
          <w:sz w:val="22"/>
          <w:szCs w:val="22"/>
        </w:rPr>
        <w:t>More research should be conducted across Scotland, Wales and Northern Ireland, as much of the available evidence focuses on England. Research should also include different ethnic, migrant, rural and coastal communities to improve understanding of how inequalities vary between population groups (Katsoulis et al., 2021).</w:t>
      </w:r>
    </w:p>
    <w:p w:rsidR="46396705" w:rsidP="4AF24BA3" w:rsidRDefault="46396705" w14:paraId="3AC8BE4E" w14:textId="4EE9CDC4">
      <w:pPr>
        <w:pStyle w:val="Normal"/>
        <w:spacing w:line="360" w:lineRule="auto"/>
        <w:jc w:val="both"/>
      </w:pPr>
      <w:r w:rsidRPr="4AF24BA3" w:rsidR="46396705">
        <w:rPr>
          <w:rFonts w:ascii="Arial" w:hAnsi="Arial" w:eastAsia="Arial" w:cs="Arial"/>
          <w:sz w:val="22"/>
          <w:szCs w:val="22"/>
        </w:rPr>
        <w:t>3. Address barriers to healthy eating</w:t>
      </w:r>
    </w:p>
    <w:p w:rsidR="46396705" w:rsidP="4AF24BA3" w:rsidRDefault="46396705" w14:paraId="454ABB12" w14:textId="042979BE">
      <w:pPr>
        <w:pStyle w:val="Normal"/>
        <w:spacing w:line="360" w:lineRule="auto"/>
        <w:jc w:val="both"/>
      </w:pPr>
      <w:r w:rsidRPr="4AF24BA3" w:rsidR="46396705">
        <w:rPr>
          <w:rFonts w:ascii="Arial" w:hAnsi="Arial" w:eastAsia="Arial" w:cs="Arial"/>
          <w:sz w:val="22"/>
          <w:szCs w:val="22"/>
        </w:rPr>
        <w:t>Public health strategies should consider the affordability and availability of healthy food. Providing information about healthy eating may have limited impact when people are experiencing financial difficulties or have limited access to affordable nutritious food (Briazu et al., 2024).</w:t>
      </w:r>
    </w:p>
    <w:p w:rsidR="46396705" w:rsidP="4AF24BA3" w:rsidRDefault="46396705" w14:paraId="62970A99" w14:textId="1C8CBC09">
      <w:pPr>
        <w:pStyle w:val="Normal"/>
        <w:spacing w:line="360" w:lineRule="auto"/>
        <w:jc w:val="both"/>
      </w:pPr>
      <w:r w:rsidRPr="4AF24BA3" w:rsidR="46396705">
        <w:rPr>
          <w:rFonts w:ascii="Arial" w:hAnsi="Arial" w:eastAsia="Arial" w:cs="Arial"/>
          <w:sz w:val="22"/>
          <w:szCs w:val="22"/>
        </w:rPr>
        <w:t>4. Improve health and social care practice</w:t>
      </w:r>
    </w:p>
    <w:p w:rsidR="46396705" w:rsidP="4AF24BA3" w:rsidRDefault="46396705" w14:paraId="715FA8FD" w14:textId="679065A1">
      <w:pPr>
        <w:pStyle w:val="Normal"/>
        <w:spacing w:line="360" w:lineRule="auto"/>
        <w:jc w:val="both"/>
      </w:pPr>
      <w:r w:rsidRPr="4AF24BA3" w:rsidR="46396705">
        <w:rPr>
          <w:rFonts w:ascii="Arial" w:hAnsi="Arial" w:eastAsia="Arial" w:cs="Arial"/>
          <w:sz w:val="22"/>
          <w:szCs w:val="22"/>
        </w:rPr>
        <w:t>Health and social care professionals should use person-centred and non-stigmatising communication when discussing weight. Services should consider individual circumstances, including financial pressures, cultural needs, employment, caring responsibilities and access to healthy food and physical activity (NICE, 2025).</w:t>
      </w:r>
    </w:p>
    <w:p w:rsidR="46396705" w:rsidP="4AF24BA3" w:rsidRDefault="46396705" w14:paraId="67766765" w14:textId="3C1FE66B">
      <w:pPr>
        <w:pStyle w:val="Normal"/>
        <w:spacing w:line="360" w:lineRule="auto"/>
        <w:jc w:val="both"/>
      </w:pPr>
      <w:r w:rsidRPr="4AF24BA3" w:rsidR="46396705">
        <w:rPr>
          <w:rFonts w:ascii="Arial" w:hAnsi="Arial" w:eastAsia="Arial" w:cs="Arial"/>
          <w:sz w:val="22"/>
          <w:szCs w:val="22"/>
        </w:rPr>
        <w:t>5. Reduce wider socioeconomic inequalities</w:t>
      </w:r>
    </w:p>
    <w:p w:rsidR="46396705" w:rsidP="4AF24BA3" w:rsidRDefault="46396705" w14:paraId="22FB1FDC" w14:textId="384C08E1">
      <w:pPr>
        <w:pStyle w:val="Normal"/>
        <w:spacing w:line="360" w:lineRule="auto"/>
        <w:jc w:val="both"/>
      </w:pPr>
      <w:r w:rsidRPr="4AF24BA3" w:rsidR="46396705">
        <w:rPr>
          <w:rFonts w:ascii="Arial" w:hAnsi="Arial" w:eastAsia="Arial" w:cs="Arial"/>
          <w:sz w:val="22"/>
          <w:szCs w:val="22"/>
        </w:rPr>
        <w:t>Policies aimed at reducing obesity should be combined with wider action to address poverty, insecure employment, education, housing and deprived neighbourhoods. Tackling these wider determinants may help reduce the unequal conditions that contribute to obesity (Marmot et al., 2020).</w:t>
      </w:r>
    </w:p>
    <w:p w:rsidR="46396705" w:rsidP="4AF24BA3" w:rsidRDefault="46396705" w14:paraId="35B23598" w14:textId="57A2F0E6">
      <w:pPr>
        <w:pStyle w:val="Normal"/>
        <w:spacing w:line="360" w:lineRule="auto"/>
        <w:jc w:val="both"/>
      </w:pPr>
      <w:r w:rsidRPr="4AF24BA3" w:rsidR="46396705">
        <w:rPr>
          <w:rFonts w:ascii="Arial" w:hAnsi="Arial" w:eastAsia="Arial" w:cs="Arial"/>
          <w:sz w:val="22"/>
          <w:szCs w:val="22"/>
        </w:rPr>
        <w:t>6. Improve monitoring</w:t>
      </w:r>
    </w:p>
    <w:p w:rsidR="46396705" w:rsidP="4AF24BA3" w:rsidRDefault="46396705" w14:paraId="02132568" w14:textId="0573AB57">
      <w:pPr>
        <w:pStyle w:val="Normal"/>
        <w:spacing w:line="360" w:lineRule="auto"/>
        <w:jc w:val="both"/>
      </w:pPr>
      <w:r w:rsidRPr="0204A69F" w:rsidR="46396705">
        <w:rPr>
          <w:rFonts w:ascii="Arial" w:hAnsi="Arial" w:eastAsia="Arial" w:cs="Arial"/>
          <w:sz w:val="22"/>
          <w:szCs w:val="22"/>
        </w:rPr>
        <w:t xml:space="preserve">Future public health monitoring should continue to examine obesity inequalities according to deprivation, income, education, </w:t>
      </w:r>
      <w:r w:rsidRPr="0204A69F" w:rsidR="46396705">
        <w:rPr>
          <w:rFonts w:ascii="Arial" w:hAnsi="Arial" w:eastAsia="Arial" w:cs="Arial"/>
          <w:sz w:val="22"/>
          <w:szCs w:val="22"/>
        </w:rPr>
        <w:t>sex</w:t>
      </w:r>
      <w:r w:rsidRPr="0204A69F" w:rsidR="46396705">
        <w:rPr>
          <w:rFonts w:ascii="Arial" w:hAnsi="Arial" w:eastAsia="Arial" w:cs="Arial"/>
          <w:sz w:val="22"/>
          <w:szCs w:val="22"/>
        </w:rPr>
        <w:t xml:space="preserve"> and ethnicity. Using more than one measure of adiposity may also provide a more complete understanding of inequalities in obesity (</w:t>
      </w:r>
      <w:r w:rsidRPr="0204A69F" w:rsidR="46396705">
        <w:rPr>
          <w:rFonts w:ascii="Arial" w:hAnsi="Arial" w:eastAsia="Arial" w:cs="Arial"/>
          <w:sz w:val="22"/>
          <w:szCs w:val="22"/>
        </w:rPr>
        <w:t>Davillas</w:t>
      </w:r>
      <w:r w:rsidRPr="0204A69F" w:rsidR="46396705">
        <w:rPr>
          <w:rFonts w:ascii="Arial" w:hAnsi="Arial" w:eastAsia="Arial" w:cs="Arial"/>
          <w:sz w:val="22"/>
          <w:szCs w:val="22"/>
        </w:rPr>
        <w:t xml:space="preserve"> and </w:t>
      </w:r>
      <w:r w:rsidRPr="0204A69F" w:rsidR="46396705">
        <w:rPr>
          <w:rFonts w:ascii="Arial" w:hAnsi="Arial" w:eastAsia="Arial" w:cs="Arial"/>
          <w:sz w:val="22"/>
          <w:szCs w:val="22"/>
        </w:rPr>
        <w:t>Benzeval</w:t>
      </w:r>
      <w:r w:rsidRPr="0204A69F" w:rsidR="46396705">
        <w:rPr>
          <w:rFonts w:ascii="Arial" w:hAnsi="Arial" w:eastAsia="Arial" w:cs="Arial"/>
          <w:sz w:val="22"/>
          <w:szCs w:val="22"/>
        </w:rPr>
        <w:t>, 2016).</w:t>
      </w:r>
      <w:r w:rsidRPr="0204A69F" w:rsidR="46396705">
        <w:rPr>
          <w:rFonts w:ascii="Arial" w:hAnsi="Arial" w:eastAsia="Arial" w:cs="Arial"/>
          <w:sz w:val="22"/>
          <w:szCs w:val="22"/>
        </w:rPr>
        <w:t xml:space="preserve"> </w:t>
      </w:r>
    </w:p>
    <w:p w:rsidR="00C774D5" w:rsidP="0204A69F" w:rsidRDefault="00C774D5" w14:paraId="14499BE4" w14:textId="37E60BDF">
      <w:pPr>
        <w:pStyle w:val="Heading2"/>
        <w:spacing w:line="360" w:lineRule="auto"/>
        <w:jc w:val="both"/>
      </w:pPr>
      <w:bookmarkStart w:name="_Toc899024909" w:id="849861315"/>
      <w:r w:rsidR="00C774D5">
        <w:rPr/>
        <w:t>References</w:t>
      </w:r>
      <w:bookmarkEnd w:id="849861315"/>
    </w:p>
    <w:p w:rsidR="3744648D" w:rsidP="4AF24BA3" w:rsidRDefault="3744648D" w14:paraId="4F8D09C1" w14:textId="480A1A52">
      <w:pPr>
        <w:pStyle w:val="Normal"/>
        <w:spacing w:line="360" w:lineRule="auto"/>
        <w:jc w:val="both"/>
      </w:pPr>
      <w:r w:rsidRPr="0204A69F" w:rsidR="3744648D">
        <w:rPr>
          <w:rFonts w:ascii="Arial" w:hAnsi="Arial" w:eastAsia="Arial" w:cs="Arial"/>
          <w:sz w:val="22"/>
          <w:szCs w:val="22"/>
        </w:rPr>
        <w:t>Bann, D., Johnson, W., Li, L., Kuh, D. and Hardy, R. (2017) ‘Socioeconomic inequalities in body mass index across adulthood: an examination of longitudinal change in the British 1946 birth cohort’, American Journal of Epidemiology, 185(11), pp. 1031–1041.</w:t>
      </w:r>
    </w:p>
    <w:p w:rsidR="3D71013E" w:rsidP="0204A69F" w:rsidRDefault="3D71013E" w14:paraId="4C39A65F" w14:textId="1D1CEFDC">
      <w:pPr>
        <w:pStyle w:val="Normal"/>
        <w:spacing w:line="360" w:lineRule="auto"/>
        <w:jc w:val="both"/>
      </w:pPr>
      <w:r w:rsidRPr="0204A69F" w:rsidR="3D71013E">
        <w:rPr>
          <w:rFonts w:ascii="Arial" w:hAnsi="Arial" w:eastAsia="Arial" w:cs="Arial"/>
          <w:sz w:val="22"/>
          <w:szCs w:val="22"/>
        </w:rPr>
        <w:t>Birch, J.M., Mueller, J., Damery, S. et al. (2025) ‘Are there inequalities in the attendance at and effectiveness of behavioural weight management interventions for adults in the UK? An individual participant data meta-analysis’, BMJ Public Health, 3(2), e001382. doi: 10.1136/bmjph-2024-001382.</w:t>
      </w:r>
    </w:p>
    <w:p w:rsidR="00C774D5" w:rsidP="4AF24BA3" w:rsidRDefault="00C774D5" w14:paraId="5E18D0E4" w14:textId="77777777">
      <w:pPr>
        <w:spacing w:line="360" w:lineRule="auto"/>
        <w:jc w:val="both"/>
      </w:pPr>
      <w:r w:rsidRPr="0204A69F" w:rsidR="00C774D5">
        <w:rPr>
          <w:rFonts w:ascii="Arial" w:hAnsi="Arial" w:eastAsia="Arial" w:cs="Arial"/>
          <w:sz w:val="22"/>
          <w:szCs w:val="22"/>
        </w:rPr>
        <w:t>Booth, H.P., Charlton, J. and Gulliford, M.C. (2017) ‘Socioeconomic inequality in morbid obesity with body mass index more than 40 kg/m² in the United States and England’, SSM - Population Health, 3, pp. 172-178. doi: 10.1016/j.ssmph.2016.12.012.</w:t>
      </w:r>
    </w:p>
    <w:p w:rsidR="22A3B3A4" w:rsidP="0204A69F" w:rsidRDefault="22A3B3A4" w14:paraId="2F5B06D0" w14:textId="7F030647">
      <w:pPr>
        <w:spacing w:line="360" w:lineRule="auto"/>
        <w:jc w:val="both"/>
      </w:pPr>
      <w:r w:rsidRPr="0204A69F" w:rsidR="22A3B3A4">
        <w:rPr>
          <w:rFonts w:ascii="Arial" w:hAnsi="Arial" w:eastAsia="Arial" w:cs="Arial"/>
          <w:sz w:val="22"/>
          <w:szCs w:val="22"/>
        </w:rPr>
        <w:t>Briggs, R. et al. (2024) ‘The lived experience of food insecurity among adults with obesity: a quantitative and qualitative systematic review’, Journal of Public Health, 46(2), pp. 230–249. doi: 10.1093/pubmed/fdae016.</w:t>
      </w:r>
    </w:p>
    <w:p w:rsidR="00C774D5" w:rsidP="4AF24BA3" w:rsidRDefault="00C774D5" w14:paraId="7912A140" w14:textId="77777777">
      <w:pPr>
        <w:spacing w:line="360" w:lineRule="auto"/>
        <w:jc w:val="both"/>
      </w:pPr>
      <w:r w:rsidRPr="0204A69F" w:rsidR="00C774D5">
        <w:rPr>
          <w:rFonts w:ascii="Arial" w:hAnsi="Arial" w:eastAsia="Arial" w:cs="Arial"/>
          <w:sz w:val="22"/>
          <w:szCs w:val="22"/>
        </w:rPr>
        <w:t>Candio, P., Parra Mujica, F. and Frew, E. (2023) ‘Socio-economic accounting of inequalities in excess weight: a population-based analysis’, BMC Public Health, 23, 721. doi: 10.1186/s12889-023-15592-0.</w:t>
      </w:r>
    </w:p>
    <w:p w:rsidR="188548A4" w:rsidP="0204A69F" w:rsidRDefault="188548A4" w14:paraId="785AF1E5" w14:textId="17FF4F67">
      <w:pPr>
        <w:spacing w:line="360" w:lineRule="auto"/>
        <w:jc w:val="both"/>
      </w:pPr>
      <w:r w:rsidRPr="0204A69F" w:rsidR="188548A4">
        <w:rPr>
          <w:rFonts w:ascii="Arial" w:hAnsi="Arial" w:eastAsia="Arial" w:cs="Arial"/>
          <w:sz w:val="22"/>
          <w:szCs w:val="22"/>
        </w:rPr>
        <w:t>Colombet, Z. et al. (2024) ‘Effect of calorie labelling in the out-of-home food sector on adult obesity prevalence, cardiovascular mortality, and social inequalities in England: a modelling study’, The Lancet Public Health, 9(3), pp. e178–e185.</w:t>
      </w:r>
    </w:p>
    <w:p w:rsidR="00C774D5" w:rsidP="4AF24BA3" w:rsidRDefault="00C774D5" w14:paraId="5AC12011" w14:textId="77777777">
      <w:pPr>
        <w:spacing w:line="360" w:lineRule="auto"/>
        <w:jc w:val="both"/>
        <w:rPr>
          <w:rFonts w:ascii="Arial" w:hAnsi="Arial" w:eastAsia="Arial" w:cs="Arial"/>
          <w:sz w:val="22"/>
          <w:szCs w:val="22"/>
        </w:rPr>
      </w:pPr>
      <w:r w:rsidRPr="4AF24BA3" w:rsidR="00C774D5">
        <w:rPr>
          <w:rFonts w:ascii="Arial" w:hAnsi="Arial" w:eastAsia="Arial" w:cs="Arial"/>
          <w:sz w:val="22"/>
          <w:szCs w:val="22"/>
        </w:rPr>
        <w:t>Davillas, A. and Benzeval, M. (2016) ‘Alternative measures to BMI: Exploring income-related inequalities in adiposity in Great Britain’, Social Science &amp; Medicine, 166, pp. 223-232. doi: 10.1016/j.socscimed.2016.08.032.</w:t>
      </w:r>
    </w:p>
    <w:p w:rsidR="00C774D5" w:rsidP="4AF24BA3" w:rsidRDefault="00C774D5" w14:paraId="3DF803EB" w14:textId="77777777">
      <w:pPr>
        <w:spacing w:line="360" w:lineRule="auto"/>
        <w:jc w:val="both"/>
      </w:pPr>
      <w:r w:rsidRPr="0204A69F" w:rsidR="00C774D5">
        <w:rPr>
          <w:rFonts w:ascii="Arial" w:hAnsi="Arial" w:eastAsia="Arial" w:cs="Arial"/>
          <w:sz w:val="22"/>
          <w:szCs w:val="22"/>
        </w:rPr>
        <w:t>Higgins, V., Nazroo, J. and Brown, M. (2019) ‘Pathways to ethnic differences in obesity: The role of migration, culture and socio-economic position in the UK’, SSM - Population Health, 7, 100394. doi: 10.1016/j.ssmph.2019.100394.</w:t>
      </w:r>
    </w:p>
    <w:p w:rsidR="72D5AC26" w:rsidP="0204A69F" w:rsidRDefault="72D5AC26" w14:paraId="553A7178" w14:textId="5DB7C578">
      <w:pPr>
        <w:spacing w:line="360" w:lineRule="auto"/>
        <w:jc w:val="both"/>
      </w:pPr>
      <w:r w:rsidRPr="0204A69F" w:rsidR="72D5AC26">
        <w:rPr>
          <w:rFonts w:ascii="Arial" w:hAnsi="Arial" w:eastAsia="Arial" w:cs="Arial"/>
          <w:sz w:val="22"/>
          <w:szCs w:val="22"/>
        </w:rPr>
        <w:t>Johnstone, A.M. and Lonnie, M. (2023) ‘The cost-of-living crisis is feeding the paradox of obesity and food insecurities in the UK’, Obesity, 31(6), pp. 1461–1462.</w:t>
      </w:r>
    </w:p>
    <w:p w:rsidR="727DE897" w:rsidP="4AF24BA3" w:rsidRDefault="727DE897" w14:paraId="380ACF47" w14:textId="0A2A535A">
      <w:pPr>
        <w:spacing w:line="360" w:lineRule="auto"/>
        <w:jc w:val="both"/>
      </w:pPr>
      <w:r w:rsidRPr="0204A69F" w:rsidR="727DE897">
        <w:rPr>
          <w:rFonts w:ascii="Arial" w:hAnsi="Arial" w:eastAsia="Arial" w:cs="Arial"/>
          <w:sz w:val="22"/>
          <w:szCs w:val="22"/>
        </w:rPr>
        <w:t xml:space="preserve">Katsoulis, M. et al. (2021) </w:t>
      </w:r>
      <w:r w:rsidRPr="0204A69F" w:rsidR="4C963C46">
        <w:rPr>
          <w:rFonts w:ascii="Arial" w:hAnsi="Arial" w:eastAsia="Arial" w:cs="Arial"/>
          <w:sz w:val="22"/>
          <w:szCs w:val="22"/>
        </w:rPr>
        <w:t>dentifying adults at high-risk for change in weight and BMI in England: A longitudinal, large-scale, population-based cohort study using electronic health records. The lancet diabetes &amp; endocrinology, 9(10), pp.681–694. doi:10.1016/s2213-8587(21)00207-2.</w:t>
      </w:r>
    </w:p>
    <w:p w:rsidR="4FABAB81" w:rsidP="0204A69F" w:rsidRDefault="4FABAB81" w14:paraId="18D0FE39" w14:textId="6FD358F8">
      <w:pPr>
        <w:spacing w:line="360" w:lineRule="auto"/>
        <w:jc w:val="both"/>
      </w:pPr>
      <w:r w:rsidRPr="0204A69F" w:rsidR="4FABAB81">
        <w:rPr>
          <w:rFonts w:ascii="Arial" w:hAnsi="Arial" w:eastAsia="Arial" w:cs="Arial"/>
          <w:sz w:val="22"/>
          <w:szCs w:val="22"/>
        </w:rPr>
        <w:t>Keenan, G.S., Christiansen, P. and Hardman, C.A. (2021) ‘Household food insecurity, diet quality, and obesity: an explanatory model’, Obesity, 29(1), pp. 143–149. doi: 10.1002/oby.23033.</w:t>
      </w:r>
    </w:p>
    <w:p w:rsidR="00C774D5" w:rsidP="4AF24BA3" w:rsidRDefault="00C774D5" w14:paraId="346C6B69" w14:textId="4832FEAC">
      <w:pPr>
        <w:spacing w:line="360" w:lineRule="auto"/>
        <w:jc w:val="both"/>
      </w:pPr>
      <w:r w:rsidRPr="0204A69F" w:rsidR="00C774D5">
        <w:rPr>
          <w:rFonts w:ascii="Arial" w:hAnsi="Arial" w:eastAsia="Arial" w:cs="Arial"/>
          <w:sz w:val="22"/>
          <w:szCs w:val="22"/>
        </w:rPr>
        <w:t>National Institute for Health and Care Excellence (NICE) (2025) Overweight and obesity management. NICE guideline NG246. Available at: https://www.nice.org.uk/guidance/ng246 (Accessed: 15 July 2026).</w:t>
      </w:r>
    </w:p>
    <w:p w:rsidR="00C774D5" w:rsidP="0204A69F" w:rsidRDefault="00C774D5" w14:paraId="6D48A205" w14:textId="60D14AC6">
      <w:pPr>
        <w:spacing w:before="0" w:beforeAutospacing="off" w:after="220" w:afterAutospacing="off" w:line="360" w:lineRule="auto"/>
        <w:jc w:val="left"/>
      </w:pPr>
      <w:r w:rsidRPr="0204A69F" w:rsidR="0FCD97F7">
        <w:rPr>
          <w:rFonts w:ascii="Arial" w:hAnsi="Arial" w:eastAsia="Arial" w:cs="Arial"/>
          <w:noProof w:val="0"/>
          <w:sz w:val="22"/>
          <w:szCs w:val="22"/>
          <w:lang w:val="en-GB"/>
        </w:rPr>
        <w:t xml:space="preserve">NHS England (2019). </w:t>
      </w:r>
      <w:r w:rsidRPr="0204A69F" w:rsidR="0FCD97F7">
        <w:rPr>
          <w:rFonts w:ascii="Arial" w:hAnsi="Arial" w:eastAsia="Arial" w:cs="Arial"/>
          <w:i w:val="1"/>
          <w:iCs w:val="1"/>
          <w:noProof w:val="0"/>
          <w:sz w:val="22"/>
          <w:szCs w:val="22"/>
          <w:lang w:val="en-GB"/>
        </w:rPr>
        <w:t xml:space="preserve">NHS </w:t>
      </w:r>
      <w:r w:rsidRPr="0204A69F" w:rsidR="0FCD97F7">
        <w:rPr>
          <w:rFonts w:ascii="Arial" w:hAnsi="Arial" w:eastAsia="Arial" w:cs="Arial"/>
          <w:i w:val="1"/>
          <w:iCs w:val="1"/>
          <w:noProof w:val="0"/>
          <w:sz w:val="22"/>
          <w:szCs w:val="22"/>
          <w:lang w:val="en-GB"/>
        </w:rPr>
        <w:t>england</w:t>
      </w:r>
      <w:r w:rsidRPr="0204A69F" w:rsidR="0FCD97F7">
        <w:rPr>
          <w:rFonts w:ascii="Arial" w:hAnsi="Arial" w:eastAsia="Arial" w:cs="Arial"/>
          <w:i w:val="1"/>
          <w:iCs w:val="1"/>
          <w:noProof w:val="0"/>
          <w:sz w:val="22"/>
          <w:szCs w:val="22"/>
          <w:lang w:val="en-GB"/>
        </w:rPr>
        <w:t> » obesity</w:t>
      </w:r>
      <w:r w:rsidRPr="0204A69F" w:rsidR="0FCD97F7">
        <w:rPr>
          <w:rFonts w:ascii="Arial" w:hAnsi="Arial" w:eastAsia="Arial" w:cs="Arial"/>
          <w:noProof w:val="0"/>
          <w:sz w:val="22"/>
          <w:szCs w:val="22"/>
          <w:lang w:val="en-GB"/>
        </w:rPr>
        <w:t xml:space="preserve">. [online] </w:t>
      </w:r>
      <w:r w:rsidRPr="0204A69F" w:rsidR="0FCD97F7">
        <w:rPr>
          <w:rFonts w:ascii="Arial" w:hAnsi="Arial" w:eastAsia="Arial" w:cs="Arial"/>
          <w:i w:val="1"/>
          <w:iCs w:val="1"/>
          <w:noProof w:val="0"/>
          <w:sz w:val="22"/>
          <w:szCs w:val="22"/>
          <w:lang w:val="en-GB"/>
        </w:rPr>
        <w:t>England.nhs.uk</w:t>
      </w:r>
      <w:r w:rsidRPr="0204A69F" w:rsidR="0FCD97F7">
        <w:rPr>
          <w:rFonts w:ascii="Arial" w:hAnsi="Arial" w:eastAsia="Arial" w:cs="Arial"/>
          <w:noProof w:val="0"/>
          <w:sz w:val="22"/>
          <w:szCs w:val="22"/>
          <w:lang w:val="en-GB"/>
        </w:rPr>
        <w:t xml:space="preserve">. Available at: </w:t>
      </w:r>
      <w:hyperlink r:id="Rdd068a26aede48b3">
        <w:r w:rsidRPr="0204A69F" w:rsidR="0FCD97F7">
          <w:rPr>
            <w:rStyle w:val="Hyperlink"/>
            <w:rFonts w:ascii="Arial" w:hAnsi="Arial" w:eastAsia="Arial" w:cs="Arial"/>
            <w:noProof w:val="0"/>
            <w:sz w:val="22"/>
            <w:szCs w:val="22"/>
            <w:lang w:val="en-GB"/>
          </w:rPr>
          <w:t>https://www.england.nhs.uk/ourwork/prevention/obesity/</w:t>
        </w:r>
      </w:hyperlink>
      <w:r w:rsidRPr="0204A69F" w:rsidR="0FCD97F7">
        <w:rPr>
          <w:rFonts w:ascii="Arial" w:hAnsi="Arial" w:eastAsia="Arial" w:cs="Arial"/>
          <w:noProof w:val="0"/>
          <w:sz w:val="22"/>
          <w:szCs w:val="22"/>
          <w:lang w:val="en-GB"/>
        </w:rPr>
        <w:t xml:space="preserve"> [Accessed 23 June 2026].</w:t>
      </w:r>
    </w:p>
    <w:p w:rsidR="00C774D5" w:rsidP="0204A69F" w:rsidRDefault="00C774D5" w14:paraId="19ABB414" w14:textId="3A26251C">
      <w:pPr>
        <w:spacing w:before="0" w:beforeAutospacing="off" w:after="220" w:afterAutospacing="off" w:line="360" w:lineRule="auto"/>
        <w:jc w:val="left"/>
      </w:pPr>
      <w:r w:rsidRPr="0204A69F" w:rsidR="00C774D5">
        <w:rPr>
          <w:rFonts w:ascii="Arial" w:hAnsi="Arial" w:eastAsia="Arial" w:cs="Arial"/>
          <w:sz w:val="22"/>
          <w:szCs w:val="22"/>
        </w:rPr>
        <w:t>NHS England (n.d.) Our approach to reducing healthcare inequalities. Available at: https://www.england.nhs.uk/about/equality/equality-hub/national-healthcare-inequalities-improvement-programme/our-approach-to-reducing-healthcare-inequalities/ (Accessed: 15 July 2026).</w:t>
      </w:r>
    </w:p>
    <w:p w:rsidR="00C774D5" w:rsidP="4AF24BA3" w:rsidRDefault="00C774D5" w14:paraId="6B282580" w14:textId="77777777">
      <w:pPr>
        <w:spacing w:line="360" w:lineRule="auto"/>
        <w:jc w:val="both"/>
        <w:rPr>
          <w:rFonts w:ascii="Arial" w:hAnsi="Arial" w:eastAsia="Arial" w:cs="Arial"/>
          <w:sz w:val="22"/>
          <w:szCs w:val="22"/>
        </w:rPr>
      </w:pPr>
      <w:r w:rsidRPr="4AF24BA3" w:rsidR="00C774D5">
        <w:rPr>
          <w:rFonts w:ascii="Arial" w:hAnsi="Arial" w:eastAsia="Arial" w:cs="Arial"/>
          <w:sz w:val="22"/>
          <w:szCs w:val="22"/>
        </w:rPr>
        <w:t>Office for Health Improvement and Disparities (2024) Obesity Profile: short statistical commentary, May 2024. Available at: https://www.gov.uk/government/statistics/update-to-the-obesity-profile-on-fingertips/obesity-profile-short-statistical-commentary-may-2024 (Accessed: 15 July 2026).</w:t>
      </w:r>
    </w:p>
    <w:p w:rsidR="00C774D5" w:rsidP="4AF24BA3" w:rsidRDefault="00C774D5" w14:paraId="7E338F37" w14:textId="77777777">
      <w:pPr>
        <w:spacing w:line="360" w:lineRule="auto"/>
        <w:jc w:val="both"/>
      </w:pPr>
      <w:r w:rsidRPr="0204A69F" w:rsidR="00C774D5">
        <w:rPr>
          <w:rFonts w:ascii="Arial" w:hAnsi="Arial" w:eastAsia="Arial" w:cs="Arial"/>
          <w:sz w:val="22"/>
          <w:szCs w:val="22"/>
        </w:rPr>
        <w:t>Office for Health Improvement and Disparities (2025) Obesity profile: short statistical commentary, May 2025. Available at: https://www.gov.uk/government/statistics/obesity-profile-may-2025-update/obesity-profile-short-statistical-commentary-may-2025 (Accessed: 15 July 2026).</w:t>
      </w:r>
    </w:p>
    <w:p w:rsidR="26BA0ED5" w:rsidP="0204A69F" w:rsidRDefault="26BA0ED5" w14:paraId="4946EC2F" w14:textId="4F4D3C3F">
      <w:pPr>
        <w:spacing w:line="360" w:lineRule="auto"/>
        <w:jc w:val="both"/>
      </w:pPr>
      <w:r w:rsidRPr="0204A69F" w:rsidR="26BA0ED5">
        <w:rPr>
          <w:rFonts w:ascii="Arial" w:hAnsi="Arial" w:eastAsia="Arial" w:cs="Arial"/>
          <w:sz w:val="22"/>
          <w:szCs w:val="22"/>
        </w:rPr>
        <w:t>Stone, R.A., Brown, A., Douglas, F. et al. (2024) ‘The impact of the cost of living crisis and food insecurity on food purchasing behaviours and food preparation practices in people living with obesity’, Appetite, 196, 107255. doi: 10.1016/j.appet.2024.107255.</w:t>
      </w:r>
    </w:p>
    <w:p w:rsidR="00C774D5" w:rsidP="4AF24BA3" w:rsidRDefault="00C774D5" w14:paraId="1B0A2A97" w14:textId="77777777">
      <w:pPr>
        <w:spacing w:line="360" w:lineRule="auto"/>
        <w:jc w:val="both"/>
        <w:rPr>
          <w:rFonts w:ascii="Arial" w:hAnsi="Arial" w:eastAsia="Arial" w:cs="Arial"/>
          <w:sz w:val="22"/>
          <w:szCs w:val="22"/>
        </w:rPr>
      </w:pPr>
      <w:r w:rsidRPr="4AF24BA3" w:rsidR="00C774D5">
        <w:rPr>
          <w:rFonts w:ascii="Arial" w:hAnsi="Arial" w:eastAsia="Arial" w:cs="Arial"/>
          <w:sz w:val="22"/>
          <w:szCs w:val="22"/>
        </w:rPr>
        <w:t>Tricco, A.C. et al. (2018) ‘PRISMA extension for scoping reviews (PRISMA-ScR): checklist and explanation’, Annals of Internal Medicine, 169(7), pp. 467-473. doi: 10.7326/M18-0850.</w:t>
      </w:r>
    </w:p>
    <w:p w:rsidRPr="00C774D5" w:rsidR="00C774D5" w:rsidP="4AF24BA3" w:rsidRDefault="00C774D5" w14:paraId="45DACA80" w14:textId="7010B533">
      <w:pPr>
        <w:spacing w:line="360" w:lineRule="auto"/>
        <w:jc w:val="both"/>
        <w:rPr>
          <w:rFonts w:ascii="Arial" w:hAnsi="Arial" w:eastAsia="Arial" w:cs="Arial"/>
          <w:sz w:val="22"/>
          <w:szCs w:val="22"/>
        </w:rPr>
      </w:pPr>
      <w:r w:rsidRPr="4AF24BA3" w:rsidR="00C774D5">
        <w:rPr>
          <w:rFonts w:ascii="Arial" w:hAnsi="Arial" w:eastAsia="Arial" w:cs="Arial"/>
          <w:sz w:val="22"/>
          <w:szCs w:val="22"/>
        </w:rPr>
        <w:t>Ulijaszek, S.J. (2014) ‘Do adult obesity rates in England vary by insecurity as well as by inequality? An ecological cross-sectional study’, BMJ Open, 4(5), e004430. doi: 10.1136/bmjopen-2013-004430.</w:t>
      </w:r>
    </w:p>
    <w:p w:rsidR="7DCCB46D" w:rsidP="4AF24BA3" w:rsidRDefault="7DCCB46D" w14:paraId="5B446ACF" w14:textId="79245609">
      <w:pPr>
        <w:spacing w:line="360" w:lineRule="auto"/>
        <w:jc w:val="both"/>
        <w:rPr>
          <w:rFonts w:ascii="Arial" w:hAnsi="Arial" w:eastAsia="Arial" w:cs="Arial"/>
          <w:sz w:val="22"/>
          <w:szCs w:val="22"/>
        </w:rPr>
      </w:pPr>
    </w:p>
    <w:sectPr w:rsidRPr="00C774D5" w:rsidR="00C774D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SOVj8UjcBNizHJ" int2:id="CuDXTKcB">
      <int2:state int2:type="spell" int2:value="Rejected"/>
    </int2:textHash>
    <int2:textHash int2:hashCode="RiX1o7GzaBU0M7" int2:id="lskUpkz2">
      <int2:state int2:type="spell" int2:value="Rejected"/>
    </int2:textHash>
    <int2:textHash int2:hashCode="5bt3XLHvGLfV9g" int2:id="e3bLkANk">
      <int2:state int2:type="spell" int2:value="Rejected"/>
    </int2:textHash>
    <int2:textHash int2:hashCode="9kwGEe0ffXU6L/" int2:id="X0W4zu7U">
      <int2:state int2:type="spell" int2:value="Rejected"/>
    </int2:textHash>
    <int2:textHash int2:hashCode="NweMsqXxZqZRO5" int2:id="cTKx2ji7">
      <int2:state int2:type="spell" int2:value="Rejected"/>
    </int2:textHash>
    <int2:textHash int2:hashCode="lkacWeUcQ2a64p" int2:id="zBcLf71L">
      <int2:state int2:type="spell" int2:value="Rejected"/>
    </int2:textHash>
    <int2:textHash int2:hashCode="BDtPCybh6HuRkZ" int2:id="daxeXnwA">
      <int2:state int2:type="spell" int2:value="Rejected"/>
    </int2:textHash>
    <int2:textHash int2:hashCode="+K45qoYI0/iaxR" int2:id="HpQATZ0P">
      <int2:state int2:type="spell" int2:value="Rejected"/>
    </int2:textHash>
    <int2:textHash int2:hashCode="mdvv8ENMPIbu6t" int2:id="0TygUGkx">
      <int2:state int2:type="spell" int2:value="Rejected"/>
    </int2:textHash>
    <int2:textHash int2:hashCode="HyHVaSMSpsRcrp" int2:id="JkQ2MphB">
      <int2:state int2:type="spell" int2:value="Rejected"/>
    </int2:textHash>
    <int2:textHash int2:hashCode="TVNRLLhH2I+2zh" int2:id="wARcsLz6">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
    <w:nsid w:val="3d93041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ab12c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B5E0CD9"/>
    <w:multiLevelType w:val="hybridMultilevel"/>
    <w:tmpl w:val="1CAC72F4"/>
    <w:lvl w:ilvl="0" w:tplc="FA46D23E">
      <w:numFmt w:val="bullet"/>
      <w:lvlText w:val="•"/>
      <w:lvlJc w:val="left"/>
      <w:pPr>
        <w:ind w:left="1080" w:hanging="72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8C30297"/>
    <w:multiLevelType w:val="hybridMultilevel"/>
    <w:tmpl w:val="FE3E14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4">
    <w:abstractNumId w:val="3"/>
  </w:num>
  <w:num w:numId="3">
    <w:abstractNumId w:val="2"/>
  </w:num>
  <w:num w:numId="1" w16cid:durableId="2005233011">
    <w:abstractNumId w:val="1"/>
  </w:num>
  <w:num w:numId="2" w16cid:durableId="123990286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77"/>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557"/>
    <w:rsid w:val="00000000"/>
    <w:rsid w:val="00081DEB"/>
    <w:rsid w:val="0032419B"/>
    <w:rsid w:val="00366AFD"/>
    <w:rsid w:val="0050A351"/>
    <w:rsid w:val="008713D8"/>
    <w:rsid w:val="0089550E"/>
    <w:rsid w:val="0098793D"/>
    <w:rsid w:val="00BF7557"/>
    <w:rsid w:val="00C42BD8"/>
    <w:rsid w:val="00C774D5"/>
    <w:rsid w:val="00C94913"/>
    <w:rsid w:val="00D94120"/>
    <w:rsid w:val="00E3162C"/>
    <w:rsid w:val="00F36751"/>
    <w:rsid w:val="00FE4D42"/>
    <w:rsid w:val="00FE7FD0"/>
    <w:rsid w:val="017B9484"/>
    <w:rsid w:val="0204A69F"/>
    <w:rsid w:val="02B3C1E9"/>
    <w:rsid w:val="038920A9"/>
    <w:rsid w:val="038AE060"/>
    <w:rsid w:val="03FECC8F"/>
    <w:rsid w:val="042111F0"/>
    <w:rsid w:val="04B70091"/>
    <w:rsid w:val="05554C8B"/>
    <w:rsid w:val="05732171"/>
    <w:rsid w:val="058A8146"/>
    <w:rsid w:val="059EFCB5"/>
    <w:rsid w:val="060A0DA1"/>
    <w:rsid w:val="070C7A91"/>
    <w:rsid w:val="078AD758"/>
    <w:rsid w:val="078C6DB0"/>
    <w:rsid w:val="0807A9F0"/>
    <w:rsid w:val="080AB598"/>
    <w:rsid w:val="080AB598"/>
    <w:rsid w:val="083ABAE9"/>
    <w:rsid w:val="084889E4"/>
    <w:rsid w:val="0855968C"/>
    <w:rsid w:val="0862A5DE"/>
    <w:rsid w:val="093B170F"/>
    <w:rsid w:val="0969A753"/>
    <w:rsid w:val="0A32579E"/>
    <w:rsid w:val="0A42E064"/>
    <w:rsid w:val="0A42E064"/>
    <w:rsid w:val="0A93A762"/>
    <w:rsid w:val="0AE4DBA1"/>
    <w:rsid w:val="0B2BE1CD"/>
    <w:rsid w:val="0BA46631"/>
    <w:rsid w:val="0C157BF6"/>
    <w:rsid w:val="0C172D46"/>
    <w:rsid w:val="0C394420"/>
    <w:rsid w:val="0C61322E"/>
    <w:rsid w:val="0C688AD9"/>
    <w:rsid w:val="0C830BE5"/>
    <w:rsid w:val="0DE794E6"/>
    <w:rsid w:val="0E0D258C"/>
    <w:rsid w:val="0E2FEE80"/>
    <w:rsid w:val="0E67F945"/>
    <w:rsid w:val="0EE721F6"/>
    <w:rsid w:val="0EE721F6"/>
    <w:rsid w:val="0F17F4D2"/>
    <w:rsid w:val="0FCD97F7"/>
    <w:rsid w:val="0FD4A59E"/>
    <w:rsid w:val="10518A95"/>
    <w:rsid w:val="1068BBF4"/>
    <w:rsid w:val="107D6E5B"/>
    <w:rsid w:val="108FBB40"/>
    <w:rsid w:val="10AD5AF5"/>
    <w:rsid w:val="10E8D963"/>
    <w:rsid w:val="11D57F73"/>
    <w:rsid w:val="12104D1E"/>
    <w:rsid w:val="1245FD02"/>
    <w:rsid w:val="12647150"/>
    <w:rsid w:val="12647150"/>
    <w:rsid w:val="12F6C05F"/>
    <w:rsid w:val="1324C958"/>
    <w:rsid w:val="133AA4D9"/>
    <w:rsid w:val="13B730BF"/>
    <w:rsid w:val="13E0755E"/>
    <w:rsid w:val="1429D718"/>
    <w:rsid w:val="143B18EB"/>
    <w:rsid w:val="145A8071"/>
    <w:rsid w:val="14BE89E2"/>
    <w:rsid w:val="14D2E30B"/>
    <w:rsid w:val="15248B72"/>
    <w:rsid w:val="1544BCC5"/>
    <w:rsid w:val="167D3572"/>
    <w:rsid w:val="170D0B6F"/>
    <w:rsid w:val="176886AD"/>
    <w:rsid w:val="17D92A69"/>
    <w:rsid w:val="186FACB0"/>
    <w:rsid w:val="188548A4"/>
    <w:rsid w:val="18E5495B"/>
    <w:rsid w:val="193CFE14"/>
    <w:rsid w:val="19B136D9"/>
    <w:rsid w:val="19EFDEE3"/>
    <w:rsid w:val="1A2EAECD"/>
    <w:rsid w:val="1A803582"/>
    <w:rsid w:val="1AA76A37"/>
    <w:rsid w:val="1B282EFE"/>
    <w:rsid w:val="1B3D3600"/>
    <w:rsid w:val="1B3ECE4B"/>
    <w:rsid w:val="1B570AF6"/>
    <w:rsid w:val="1B867F0F"/>
    <w:rsid w:val="1B8DCDE5"/>
    <w:rsid w:val="1BD83CC4"/>
    <w:rsid w:val="1C54BD4C"/>
    <w:rsid w:val="1C627FD6"/>
    <w:rsid w:val="1CCD87B5"/>
    <w:rsid w:val="1CD1F8AD"/>
    <w:rsid w:val="1CE8CBA1"/>
    <w:rsid w:val="1D053458"/>
    <w:rsid w:val="1D660A5C"/>
    <w:rsid w:val="1DEF8146"/>
    <w:rsid w:val="1E252A02"/>
    <w:rsid w:val="1E43A98F"/>
    <w:rsid w:val="1EC2DE2D"/>
    <w:rsid w:val="1ECDA1EE"/>
    <w:rsid w:val="1F25D400"/>
    <w:rsid w:val="1F72FC06"/>
    <w:rsid w:val="1FE79E03"/>
    <w:rsid w:val="207B0533"/>
    <w:rsid w:val="20B500E1"/>
    <w:rsid w:val="21B6F1FE"/>
    <w:rsid w:val="221037D0"/>
    <w:rsid w:val="22A3B3A4"/>
    <w:rsid w:val="22D4289F"/>
    <w:rsid w:val="22E99694"/>
    <w:rsid w:val="235A7820"/>
    <w:rsid w:val="23B5321F"/>
    <w:rsid w:val="23D18D2F"/>
    <w:rsid w:val="23F137D0"/>
    <w:rsid w:val="2403E1E1"/>
    <w:rsid w:val="2457A162"/>
    <w:rsid w:val="250E5203"/>
    <w:rsid w:val="250E81DC"/>
    <w:rsid w:val="25E62DCC"/>
    <w:rsid w:val="260C3196"/>
    <w:rsid w:val="2613CE7A"/>
    <w:rsid w:val="263C6FF8"/>
    <w:rsid w:val="26899C53"/>
    <w:rsid w:val="26BA0ED5"/>
    <w:rsid w:val="26D050BA"/>
    <w:rsid w:val="26E2718F"/>
    <w:rsid w:val="27D8994A"/>
    <w:rsid w:val="27E4797F"/>
    <w:rsid w:val="2806BD01"/>
    <w:rsid w:val="2857A165"/>
    <w:rsid w:val="28E05D71"/>
    <w:rsid w:val="291BF470"/>
    <w:rsid w:val="292A2D12"/>
    <w:rsid w:val="292E8179"/>
    <w:rsid w:val="297A3008"/>
    <w:rsid w:val="2986224C"/>
    <w:rsid w:val="2AD04258"/>
    <w:rsid w:val="2AD4C65F"/>
    <w:rsid w:val="2AFBACD8"/>
    <w:rsid w:val="2B0476F3"/>
    <w:rsid w:val="2B0C1FE0"/>
    <w:rsid w:val="2B3EE67D"/>
    <w:rsid w:val="2B512CE2"/>
    <w:rsid w:val="2BB10218"/>
    <w:rsid w:val="2C957378"/>
    <w:rsid w:val="2CB008E2"/>
    <w:rsid w:val="2CB85332"/>
    <w:rsid w:val="2CF7E07B"/>
    <w:rsid w:val="2D257099"/>
    <w:rsid w:val="2DD91F7B"/>
    <w:rsid w:val="2DEAA429"/>
    <w:rsid w:val="2E1706A5"/>
    <w:rsid w:val="2EE77382"/>
    <w:rsid w:val="2F214B09"/>
    <w:rsid w:val="3069CB8E"/>
    <w:rsid w:val="30B9F0AA"/>
    <w:rsid w:val="3157CF15"/>
    <w:rsid w:val="31AD52E4"/>
    <w:rsid w:val="31E5F5B2"/>
    <w:rsid w:val="321C853E"/>
    <w:rsid w:val="327E3419"/>
    <w:rsid w:val="331F2D75"/>
    <w:rsid w:val="3328D9A9"/>
    <w:rsid w:val="33A3F679"/>
    <w:rsid w:val="3407CAD2"/>
    <w:rsid w:val="353A2DAA"/>
    <w:rsid w:val="354B4F76"/>
    <w:rsid w:val="359B9A4B"/>
    <w:rsid w:val="35AF3F98"/>
    <w:rsid w:val="361C2F2A"/>
    <w:rsid w:val="3656B399"/>
    <w:rsid w:val="3678AB6F"/>
    <w:rsid w:val="36B6CAB7"/>
    <w:rsid w:val="36D54BFF"/>
    <w:rsid w:val="3744648D"/>
    <w:rsid w:val="374CE847"/>
    <w:rsid w:val="37ACD942"/>
    <w:rsid w:val="37BD78C0"/>
    <w:rsid w:val="37FA4F47"/>
    <w:rsid w:val="383D9271"/>
    <w:rsid w:val="3841C41E"/>
    <w:rsid w:val="3867F564"/>
    <w:rsid w:val="38D01D9A"/>
    <w:rsid w:val="3901D213"/>
    <w:rsid w:val="39770891"/>
    <w:rsid w:val="39BF9A0B"/>
    <w:rsid w:val="3A16302C"/>
    <w:rsid w:val="3ADD7AA5"/>
    <w:rsid w:val="3B58A39C"/>
    <w:rsid w:val="3C185BF9"/>
    <w:rsid w:val="3C2C0B52"/>
    <w:rsid w:val="3C4E074D"/>
    <w:rsid w:val="3C7C2552"/>
    <w:rsid w:val="3CADABA9"/>
    <w:rsid w:val="3CCD8DB3"/>
    <w:rsid w:val="3CF25878"/>
    <w:rsid w:val="3D387DE5"/>
    <w:rsid w:val="3D55966A"/>
    <w:rsid w:val="3D71013E"/>
    <w:rsid w:val="3E441FDE"/>
    <w:rsid w:val="3E461A74"/>
    <w:rsid w:val="3E568BB7"/>
    <w:rsid w:val="3E56C0ED"/>
    <w:rsid w:val="3EC82C67"/>
    <w:rsid w:val="3F2C7E2D"/>
    <w:rsid w:val="3F5E75F3"/>
    <w:rsid w:val="3FD619FE"/>
    <w:rsid w:val="402FEC27"/>
    <w:rsid w:val="40F180C6"/>
    <w:rsid w:val="41A46FBA"/>
    <w:rsid w:val="41EE29D2"/>
    <w:rsid w:val="42087978"/>
    <w:rsid w:val="4235D7DB"/>
    <w:rsid w:val="4240F3D2"/>
    <w:rsid w:val="42D67683"/>
    <w:rsid w:val="42DA4E1A"/>
    <w:rsid w:val="4359534C"/>
    <w:rsid w:val="4363C7AF"/>
    <w:rsid w:val="436BAD3C"/>
    <w:rsid w:val="436F0B88"/>
    <w:rsid w:val="43D4BCE4"/>
    <w:rsid w:val="44032508"/>
    <w:rsid w:val="446027B6"/>
    <w:rsid w:val="44763883"/>
    <w:rsid w:val="44860C70"/>
    <w:rsid w:val="44B4F280"/>
    <w:rsid w:val="451E24B8"/>
    <w:rsid w:val="451E8CE2"/>
    <w:rsid w:val="454B9291"/>
    <w:rsid w:val="4599F2DA"/>
    <w:rsid w:val="46086103"/>
    <w:rsid w:val="463862C6"/>
    <w:rsid w:val="46396705"/>
    <w:rsid w:val="46434DD9"/>
    <w:rsid w:val="46A489DC"/>
    <w:rsid w:val="46E6ECCE"/>
    <w:rsid w:val="47817B0E"/>
    <w:rsid w:val="47A704B1"/>
    <w:rsid w:val="48067066"/>
    <w:rsid w:val="48600679"/>
    <w:rsid w:val="4899FAC0"/>
    <w:rsid w:val="48E63B4B"/>
    <w:rsid w:val="4929BAAA"/>
    <w:rsid w:val="4959E9FD"/>
    <w:rsid w:val="497C0FF3"/>
    <w:rsid w:val="49E62BF8"/>
    <w:rsid w:val="4A646C81"/>
    <w:rsid w:val="4AF24BA3"/>
    <w:rsid w:val="4B538772"/>
    <w:rsid w:val="4B77B734"/>
    <w:rsid w:val="4B8D7658"/>
    <w:rsid w:val="4BA373E4"/>
    <w:rsid w:val="4BB993FB"/>
    <w:rsid w:val="4BC7227A"/>
    <w:rsid w:val="4C0AC664"/>
    <w:rsid w:val="4C44B732"/>
    <w:rsid w:val="4C4E82D8"/>
    <w:rsid w:val="4C6E367B"/>
    <w:rsid w:val="4C963C46"/>
    <w:rsid w:val="4CEC3B01"/>
    <w:rsid w:val="4CF9CC96"/>
    <w:rsid w:val="4D13F112"/>
    <w:rsid w:val="4DC9EAF7"/>
    <w:rsid w:val="4E028104"/>
    <w:rsid w:val="4E1A2DBD"/>
    <w:rsid w:val="4E55E8A1"/>
    <w:rsid w:val="4E619E53"/>
    <w:rsid w:val="4E9EAC9E"/>
    <w:rsid w:val="4EB545B6"/>
    <w:rsid w:val="4FABAB81"/>
    <w:rsid w:val="4FF5B026"/>
    <w:rsid w:val="515901A1"/>
    <w:rsid w:val="51AF9BB5"/>
    <w:rsid w:val="51F92593"/>
    <w:rsid w:val="5202E94B"/>
    <w:rsid w:val="5219AEC5"/>
    <w:rsid w:val="52371C87"/>
    <w:rsid w:val="52B494E1"/>
    <w:rsid w:val="52C5E23D"/>
    <w:rsid w:val="539C0F88"/>
    <w:rsid w:val="53D40E7A"/>
    <w:rsid w:val="53E7CF4A"/>
    <w:rsid w:val="547AC67A"/>
    <w:rsid w:val="5534AEAF"/>
    <w:rsid w:val="55530D5C"/>
    <w:rsid w:val="555E3131"/>
    <w:rsid w:val="55D39A32"/>
    <w:rsid w:val="56A708D1"/>
    <w:rsid w:val="56A823F2"/>
    <w:rsid w:val="56C7F02B"/>
    <w:rsid w:val="5726F760"/>
    <w:rsid w:val="57955731"/>
    <w:rsid w:val="58E3CA60"/>
    <w:rsid w:val="590F830D"/>
    <w:rsid w:val="5927F4FF"/>
    <w:rsid w:val="59999689"/>
    <w:rsid w:val="5AD88C81"/>
    <w:rsid w:val="5B06462A"/>
    <w:rsid w:val="5C9D895A"/>
    <w:rsid w:val="5D1AD0BD"/>
    <w:rsid w:val="5D637733"/>
    <w:rsid w:val="5D824305"/>
    <w:rsid w:val="5D9A4761"/>
    <w:rsid w:val="5DAFCB2C"/>
    <w:rsid w:val="5DCD18CC"/>
    <w:rsid w:val="5E2B5B2D"/>
    <w:rsid w:val="5E618FFF"/>
    <w:rsid w:val="5ECB1819"/>
    <w:rsid w:val="5F00ABB1"/>
    <w:rsid w:val="5F2A76F4"/>
    <w:rsid w:val="5F7DB808"/>
    <w:rsid w:val="5F87101F"/>
    <w:rsid w:val="5FDAD043"/>
    <w:rsid w:val="60102FCA"/>
    <w:rsid w:val="604E39F8"/>
    <w:rsid w:val="6083F033"/>
    <w:rsid w:val="60A5E0AB"/>
    <w:rsid w:val="61983F81"/>
    <w:rsid w:val="62A8B549"/>
    <w:rsid w:val="6303CAC6"/>
    <w:rsid w:val="6354CEA0"/>
    <w:rsid w:val="636A4A10"/>
    <w:rsid w:val="63E8F3D3"/>
    <w:rsid w:val="64568985"/>
    <w:rsid w:val="645BF227"/>
    <w:rsid w:val="64B3F4A5"/>
    <w:rsid w:val="650D1D66"/>
    <w:rsid w:val="65D8F939"/>
    <w:rsid w:val="65F0622D"/>
    <w:rsid w:val="66B8292F"/>
    <w:rsid w:val="66BF0DD8"/>
    <w:rsid w:val="67BAEBF8"/>
    <w:rsid w:val="67E2BD75"/>
    <w:rsid w:val="680CA712"/>
    <w:rsid w:val="680DCEE1"/>
    <w:rsid w:val="685E111F"/>
    <w:rsid w:val="68C89042"/>
    <w:rsid w:val="69766BD6"/>
    <w:rsid w:val="6990EA98"/>
    <w:rsid w:val="69A84F71"/>
    <w:rsid w:val="69A9564F"/>
    <w:rsid w:val="6A1EEC0C"/>
    <w:rsid w:val="6A836609"/>
    <w:rsid w:val="6BB15F7A"/>
    <w:rsid w:val="6BB8B8E7"/>
    <w:rsid w:val="6C8074AB"/>
    <w:rsid w:val="6CC3DA96"/>
    <w:rsid w:val="6D1F4480"/>
    <w:rsid w:val="6D3F7D3F"/>
    <w:rsid w:val="6DC16952"/>
    <w:rsid w:val="6DEFD071"/>
    <w:rsid w:val="6E2836A6"/>
    <w:rsid w:val="6E43830A"/>
    <w:rsid w:val="6E5DF195"/>
    <w:rsid w:val="6E856759"/>
    <w:rsid w:val="6EA93066"/>
    <w:rsid w:val="6EDB31AE"/>
    <w:rsid w:val="6F05A0AD"/>
    <w:rsid w:val="6F07C021"/>
    <w:rsid w:val="6F14501B"/>
    <w:rsid w:val="6F3E9152"/>
    <w:rsid w:val="6F8E1040"/>
    <w:rsid w:val="6FB0538B"/>
    <w:rsid w:val="704FC1B7"/>
    <w:rsid w:val="70636C7A"/>
    <w:rsid w:val="708D4FFF"/>
    <w:rsid w:val="70E867A7"/>
    <w:rsid w:val="71369306"/>
    <w:rsid w:val="71ADC56E"/>
    <w:rsid w:val="71BDF7BF"/>
    <w:rsid w:val="71D1A948"/>
    <w:rsid w:val="720EB1C5"/>
    <w:rsid w:val="721056BE"/>
    <w:rsid w:val="722F53B9"/>
    <w:rsid w:val="7275DAAF"/>
    <w:rsid w:val="7276A625"/>
    <w:rsid w:val="727DE897"/>
    <w:rsid w:val="72A640AB"/>
    <w:rsid w:val="72BE396E"/>
    <w:rsid w:val="72D5AC26"/>
    <w:rsid w:val="72E71B69"/>
    <w:rsid w:val="73896649"/>
    <w:rsid w:val="73CDE13C"/>
    <w:rsid w:val="73D8C42F"/>
    <w:rsid w:val="73F758F1"/>
    <w:rsid w:val="7491627D"/>
    <w:rsid w:val="74F5B9D0"/>
    <w:rsid w:val="75137EEE"/>
    <w:rsid w:val="7535EF38"/>
    <w:rsid w:val="75584074"/>
    <w:rsid w:val="758F40B8"/>
    <w:rsid w:val="76494075"/>
    <w:rsid w:val="766DBBBC"/>
    <w:rsid w:val="77EF9B7E"/>
    <w:rsid w:val="77F7B787"/>
    <w:rsid w:val="780CC33B"/>
    <w:rsid w:val="7813A26D"/>
    <w:rsid w:val="78581634"/>
    <w:rsid w:val="789AB428"/>
    <w:rsid w:val="78EBAC89"/>
    <w:rsid w:val="79E68B0E"/>
    <w:rsid w:val="79E87F96"/>
    <w:rsid w:val="7A142DF3"/>
    <w:rsid w:val="7AC04D5F"/>
    <w:rsid w:val="7B43026C"/>
    <w:rsid w:val="7B5345C6"/>
    <w:rsid w:val="7B95DB9B"/>
    <w:rsid w:val="7BB1720E"/>
    <w:rsid w:val="7BC1D4D5"/>
    <w:rsid w:val="7BC26DDB"/>
    <w:rsid w:val="7C2071B7"/>
    <w:rsid w:val="7C71D038"/>
    <w:rsid w:val="7C81077A"/>
    <w:rsid w:val="7C829E23"/>
    <w:rsid w:val="7CF11B36"/>
    <w:rsid w:val="7CF5A408"/>
    <w:rsid w:val="7D523312"/>
    <w:rsid w:val="7D788F33"/>
    <w:rsid w:val="7DCCB46D"/>
    <w:rsid w:val="7DF8339B"/>
    <w:rsid w:val="7F2CCEF4"/>
    <w:rsid w:val="7F4A6361"/>
    <w:rsid w:val="7F9129DA"/>
    <w:rsid w:val="7FA32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839D2"/>
  <w15:chartTrackingRefBased/>
  <w15:docId w15:val="{E8F434FA-FFC3-4D90-9769-853F78B5E9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E4D42"/>
    <w:pPr>
      <w:keepNext/>
      <w:keepLines/>
      <w:spacing w:before="360" w:after="80"/>
      <w:outlineLvl w:val="0"/>
    </w:pPr>
    <w:rPr>
      <w:rFonts w:ascii="Arial" w:hAnsi="Arial" w:eastAsiaTheme="majorEastAsia" w:cstheme="majorBidi"/>
      <w:b/>
      <w:color w:val="0F4761" w:themeColor="accent1" w:themeShade="BF"/>
      <w:sz w:val="40"/>
      <w:szCs w:val="40"/>
    </w:rPr>
  </w:style>
  <w:style w:type="paragraph" w:styleId="Heading2">
    <w:name w:val="heading 2"/>
    <w:basedOn w:val="Normal"/>
    <w:next w:val="Normal"/>
    <w:link w:val="Heading2Char"/>
    <w:uiPriority w:val="9"/>
    <w:unhideWhenUsed/>
    <w:qFormat/>
    <w:rsid w:val="00FE4D42"/>
    <w:pPr>
      <w:keepNext/>
      <w:keepLines/>
      <w:spacing w:before="160" w:after="80"/>
      <w:outlineLvl w:val="1"/>
    </w:pPr>
    <w:rPr>
      <w:rFonts w:ascii="Arial" w:hAnsi="Arial" w:eastAsiaTheme="majorEastAsia" w:cstheme="majorBidi"/>
      <w:b/>
      <w:color w:val="000000" w:themeColor="text1"/>
      <w:sz w:val="32"/>
      <w:szCs w:val="32"/>
    </w:rPr>
  </w:style>
  <w:style w:type="paragraph" w:styleId="Heading3">
    <w:uiPriority w:val="9"/>
    <w:name w:val="heading 3"/>
    <w:basedOn w:val="Normal"/>
    <w:next w:val="Normal"/>
    <w:unhideWhenUsed/>
    <w:link w:val="Heading3Char"/>
    <w:qFormat/>
    <w:rsid w:val="0204A69F"/>
    <w:rPr>
      <w:rFonts w:ascii="Arial" w:hAnsi="Arial" w:eastAsia="Arial" w:cs="Arial"/>
      <w:b w:val="1"/>
      <w:bCs w:val="1"/>
      <w:noProof w:val="0"/>
      <w:color w:val="000000" w:themeColor="text1" w:themeTint="FF" w:themeShade="FF"/>
      <w:sz w:val="24"/>
      <w:szCs w:val="24"/>
      <w:lang w:val="en-GB"/>
    </w:rPr>
    <w:pPr>
      <w:spacing w:before="240" w:beforeAutospacing="off" w:after="240" w:afterAutospacing="off" w:line="360" w:lineRule="auto"/>
      <w:jc w:val="both"/>
    </w:pPr>
  </w:style>
  <w:style w:type="paragraph" w:styleId="Heading4">
    <w:name w:val="heading 4"/>
    <w:basedOn w:val="Normal"/>
    <w:next w:val="Normal"/>
    <w:link w:val="Heading4Char"/>
    <w:uiPriority w:val="9"/>
    <w:semiHidden/>
    <w:unhideWhenUsed/>
    <w:qFormat/>
    <w:rsid w:val="00BF75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75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75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75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75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755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E4D42"/>
    <w:rPr>
      <w:rFonts w:ascii="Arial" w:hAnsi="Arial" w:eastAsiaTheme="majorEastAsia" w:cstheme="majorBidi"/>
      <w:b/>
      <w:color w:val="0F4761" w:themeColor="accent1" w:themeShade="BF"/>
      <w:sz w:val="40"/>
      <w:szCs w:val="40"/>
    </w:rPr>
  </w:style>
  <w:style w:type="character" w:styleId="Heading2Char" w:customStyle="1">
    <w:name w:val="Heading 2 Char"/>
    <w:basedOn w:val="DefaultParagraphFont"/>
    <w:link w:val="Heading2"/>
    <w:uiPriority w:val="9"/>
    <w:rsid w:val="00FE4D42"/>
    <w:rPr>
      <w:rFonts w:ascii="Arial" w:hAnsi="Arial" w:eastAsiaTheme="majorEastAsia" w:cstheme="majorBidi"/>
      <w:b/>
      <w:color w:val="000000" w:themeColor="text1"/>
      <w:sz w:val="32"/>
      <w:szCs w:val="32"/>
    </w:rPr>
  </w:style>
  <w:style w:type="character" w:styleId="Heading3Char" w:customStyle="true">
    <w:uiPriority w:val="9"/>
    <w:name w:val="Heading 3 Char"/>
    <w:basedOn w:val="DefaultParagraphFont"/>
    <w:link w:val="Heading3"/>
    <w:rsid w:val="0204A69F"/>
    <w:rPr>
      <w:rFonts w:ascii="Arial" w:hAnsi="Arial" w:eastAsia="Arial" w:cs="Arial"/>
      <w:b w:val="1"/>
      <w:bCs w:val="1"/>
      <w:noProof w:val="0"/>
      <w:color w:val="000000" w:themeColor="text1" w:themeTint="FF" w:themeShade="FF"/>
      <w:sz w:val="24"/>
      <w:szCs w:val="24"/>
      <w:lang w:val="en-GB"/>
    </w:rPr>
  </w:style>
  <w:style w:type="character" w:styleId="Heading4Char" w:customStyle="1">
    <w:name w:val="Heading 4 Char"/>
    <w:basedOn w:val="DefaultParagraphFont"/>
    <w:link w:val="Heading4"/>
    <w:uiPriority w:val="9"/>
    <w:semiHidden/>
    <w:rsid w:val="00BF755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F755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F755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F755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F755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F7557"/>
    <w:rPr>
      <w:rFonts w:eastAsiaTheme="majorEastAsia" w:cstheme="majorBidi"/>
      <w:color w:val="272727" w:themeColor="text1" w:themeTint="D8"/>
    </w:rPr>
  </w:style>
  <w:style w:type="paragraph" w:styleId="Title">
    <w:name w:val="Title"/>
    <w:basedOn w:val="Normal"/>
    <w:next w:val="Normal"/>
    <w:link w:val="TitleChar"/>
    <w:uiPriority w:val="10"/>
    <w:qFormat/>
    <w:rsid w:val="00BF755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F755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F755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F75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7557"/>
    <w:pPr>
      <w:spacing w:before="160"/>
      <w:jc w:val="center"/>
    </w:pPr>
    <w:rPr>
      <w:i/>
      <w:iCs/>
      <w:color w:val="404040" w:themeColor="text1" w:themeTint="BF"/>
    </w:rPr>
  </w:style>
  <w:style w:type="character" w:styleId="QuoteChar" w:customStyle="1">
    <w:name w:val="Quote Char"/>
    <w:basedOn w:val="DefaultParagraphFont"/>
    <w:link w:val="Quote"/>
    <w:uiPriority w:val="29"/>
    <w:rsid w:val="00BF7557"/>
    <w:rPr>
      <w:i/>
      <w:iCs/>
      <w:color w:val="404040" w:themeColor="text1" w:themeTint="BF"/>
    </w:rPr>
  </w:style>
  <w:style w:type="paragraph" w:styleId="ListParagraph">
    <w:name w:val="List Paragraph"/>
    <w:basedOn w:val="Normal"/>
    <w:uiPriority w:val="34"/>
    <w:qFormat/>
    <w:rsid w:val="00BF7557"/>
    <w:pPr>
      <w:ind w:left="720"/>
      <w:contextualSpacing/>
    </w:pPr>
  </w:style>
  <w:style w:type="character" w:styleId="IntenseEmphasis">
    <w:name w:val="Intense Emphasis"/>
    <w:basedOn w:val="DefaultParagraphFont"/>
    <w:uiPriority w:val="21"/>
    <w:qFormat/>
    <w:rsid w:val="00BF7557"/>
    <w:rPr>
      <w:i/>
      <w:iCs/>
      <w:color w:val="0F4761" w:themeColor="accent1" w:themeShade="BF"/>
    </w:rPr>
  </w:style>
  <w:style w:type="paragraph" w:styleId="IntenseQuote">
    <w:name w:val="Intense Quote"/>
    <w:basedOn w:val="Normal"/>
    <w:next w:val="Normal"/>
    <w:link w:val="IntenseQuoteChar"/>
    <w:uiPriority w:val="30"/>
    <w:qFormat/>
    <w:rsid w:val="00BF755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F7557"/>
    <w:rPr>
      <w:i/>
      <w:iCs/>
      <w:color w:val="0F4761" w:themeColor="accent1" w:themeShade="BF"/>
    </w:rPr>
  </w:style>
  <w:style w:type="character" w:styleId="IntenseReference">
    <w:name w:val="Intense Reference"/>
    <w:basedOn w:val="DefaultParagraphFont"/>
    <w:uiPriority w:val="32"/>
    <w:qFormat/>
    <w:rsid w:val="00BF7557"/>
    <w:rPr>
      <w:b/>
      <w:bCs/>
      <w:smallCaps/>
      <w:color w:val="0F4761" w:themeColor="accent1" w:themeShade="BF"/>
      <w:spacing w:val="5"/>
    </w:rPr>
  </w:style>
  <w:style w:type="table" w:styleId="TableGrid">
    <w:name w:val="Table Grid"/>
    <w:basedOn w:val="TableNormal"/>
    <w:uiPriority w:val="39"/>
    <w:rsid w:val="0098793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00C774D5"/>
    <w:pPr>
      <w:spacing w:before="240" w:after="0" w:line="259" w:lineRule="auto"/>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C774D5"/>
    <w:pPr>
      <w:spacing w:after="100"/>
    </w:pPr>
  </w:style>
  <w:style w:type="paragraph" w:styleId="TOC2">
    <w:name w:val="toc 2"/>
    <w:basedOn w:val="Normal"/>
    <w:next w:val="Normal"/>
    <w:autoRedefine/>
    <w:uiPriority w:val="39"/>
    <w:unhideWhenUsed/>
    <w:rsid w:val="00C774D5"/>
    <w:pPr>
      <w:spacing w:after="100"/>
      <w:ind w:left="240"/>
    </w:pPr>
  </w:style>
  <w:style w:type="paragraph" w:styleId="TOC3">
    <w:name w:val="toc 3"/>
    <w:basedOn w:val="Normal"/>
    <w:next w:val="Normal"/>
    <w:autoRedefine/>
    <w:uiPriority w:val="39"/>
    <w:unhideWhenUsed/>
    <w:rsid w:val="00C774D5"/>
    <w:pPr>
      <w:spacing w:after="100"/>
      <w:ind w:left="480"/>
    </w:pPr>
  </w:style>
  <w:style w:type="character" w:styleId="Hyperlink">
    <w:name w:val="Hyperlink"/>
    <w:basedOn w:val="DefaultParagraphFont"/>
    <w:uiPriority w:val="99"/>
    <w:unhideWhenUsed/>
    <w:rsid w:val="00C774D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7889898">
      <w:bodyDiv w:val="1"/>
      <w:marLeft w:val="0"/>
      <w:marRight w:val="0"/>
      <w:marTop w:val="0"/>
      <w:marBottom w:val="0"/>
      <w:divBdr>
        <w:top w:val="none" w:sz="0" w:space="0" w:color="auto"/>
        <w:left w:val="none" w:sz="0" w:space="0" w:color="auto"/>
        <w:bottom w:val="none" w:sz="0" w:space="0" w:color="auto"/>
        <w:right w:val="none" w:sz="0" w:space="0" w:color="auto"/>
      </w:divBdr>
      <w:divsChild>
        <w:div w:id="476337606">
          <w:marLeft w:val="0"/>
          <w:marRight w:val="0"/>
          <w:marTop w:val="0"/>
          <w:marBottom w:val="0"/>
          <w:divBdr>
            <w:top w:val="none" w:sz="0" w:space="0" w:color="auto"/>
            <w:left w:val="none" w:sz="0" w:space="0" w:color="auto"/>
            <w:bottom w:val="none" w:sz="0" w:space="0" w:color="auto"/>
            <w:right w:val="none" w:sz="0" w:space="0" w:color="auto"/>
          </w:divBdr>
        </w:div>
        <w:div w:id="583611905">
          <w:marLeft w:val="0"/>
          <w:marRight w:val="0"/>
          <w:marTop w:val="0"/>
          <w:marBottom w:val="0"/>
          <w:divBdr>
            <w:top w:val="none" w:sz="0" w:space="0" w:color="auto"/>
            <w:left w:val="none" w:sz="0" w:space="0" w:color="auto"/>
            <w:bottom w:val="none" w:sz="0" w:space="0" w:color="auto"/>
            <w:right w:val="none" w:sz="0" w:space="0" w:color="auto"/>
          </w:divBdr>
        </w:div>
        <w:div w:id="1623225311">
          <w:marLeft w:val="0"/>
          <w:marRight w:val="0"/>
          <w:marTop w:val="0"/>
          <w:marBottom w:val="0"/>
          <w:divBdr>
            <w:top w:val="none" w:sz="0" w:space="0" w:color="auto"/>
            <w:left w:val="none" w:sz="0" w:space="0" w:color="auto"/>
            <w:bottom w:val="none" w:sz="0" w:space="0" w:color="auto"/>
            <w:right w:val="none" w:sz="0" w:space="0" w:color="auto"/>
          </w:divBdr>
        </w:div>
        <w:div w:id="1389258754">
          <w:marLeft w:val="0"/>
          <w:marRight w:val="0"/>
          <w:marTop w:val="0"/>
          <w:marBottom w:val="0"/>
          <w:divBdr>
            <w:top w:val="none" w:sz="0" w:space="0" w:color="auto"/>
            <w:left w:val="none" w:sz="0" w:space="0" w:color="auto"/>
            <w:bottom w:val="none" w:sz="0" w:space="0" w:color="auto"/>
            <w:right w:val="none" w:sz="0" w:space="0" w:color="auto"/>
          </w:divBdr>
        </w:div>
        <w:div w:id="1219590115">
          <w:marLeft w:val="0"/>
          <w:marRight w:val="0"/>
          <w:marTop w:val="0"/>
          <w:marBottom w:val="0"/>
          <w:divBdr>
            <w:top w:val="none" w:sz="0" w:space="0" w:color="auto"/>
            <w:left w:val="none" w:sz="0" w:space="0" w:color="auto"/>
            <w:bottom w:val="none" w:sz="0" w:space="0" w:color="auto"/>
            <w:right w:val="none" w:sz="0" w:space="0" w:color="auto"/>
          </w:divBdr>
        </w:div>
        <w:div w:id="1998682533">
          <w:marLeft w:val="0"/>
          <w:marRight w:val="0"/>
          <w:marTop w:val="0"/>
          <w:marBottom w:val="0"/>
          <w:divBdr>
            <w:top w:val="none" w:sz="0" w:space="0" w:color="auto"/>
            <w:left w:val="none" w:sz="0" w:space="0" w:color="auto"/>
            <w:bottom w:val="none" w:sz="0" w:space="0" w:color="auto"/>
            <w:right w:val="none" w:sz="0" w:space="0" w:color="auto"/>
          </w:divBdr>
        </w:div>
        <w:div w:id="1782142886">
          <w:marLeft w:val="0"/>
          <w:marRight w:val="0"/>
          <w:marTop w:val="0"/>
          <w:marBottom w:val="0"/>
          <w:divBdr>
            <w:top w:val="none" w:sz="0" w:space="0" w:color="auto"/>
            <w:left w:val="none" w:sz="0" w:space="0" w:color="auto"/>
            <w:bottom w:val="none" w:sz="0" w:space="0" w:color="auto"/>
            <w:right w:val="none" w:sz="0" w:space="0" w:color="auto"/>
          </w:divBdr>
        </w:div>
        <w:div w:id="549538640">
          <w:marLeft w:val="0"/>
          <w:marRight w:val="0"/>
          <w:marTop w:val="0"/>
          <w:marBottom w:val="0"/>
          <w:divBdr>
            <w:top w:val="none" w:sz="0" w:space="0" w:color="auto"/>
            <w:left w:val="none" w:sz="0" w:space="0" w:color="auto"/>
            <w:bottom w:val="none" w:sz="0" w:space="0" w:color="auto"/>
            <w:right w:val="none" w:sz="0" w:space="0" w:color="auto"/>
          </w:divBdr>
        </w:div>
        <w:div w:id="1790933640">
          <w:marLeft w:val="0"/>
          <w:marRight w:val="0"/>
          <w:marTop w:val="0"/>
          <w:marBottom w:val="0"/>
          <w:divBdr>
            <w:top w:val="none" w:sz="0" w:space="0" w:color="auto"/>
            <w:left w:val="none" w:sz="0" w:space="0" w:color="auto"/>
            <w:bottom w:val="none" w:sz="0" w:space="0" w:color="auto"/>
            <w:right w:val="none" w:sz="0" w:space="0" w:color="auto"/>
          </w:divBdr>
        </w:div>
      </w:divsChild>
    </w:div>
    <w:div w:id="1892882548">
      <w:bodyDiv w:val="1"/>
      <w:marLeft w:val="0"/>
      <w:marRight w:val="0"/>
      <w:marTop w:val="0"/>
      <w:marBottom w:val="0"/>
      <w:divBdr>
        <w:top w:val="none" w:sz="0" w:space="0" w:color="auto"/>
        <w:left w:val="none" w:sz="0" w:space="0" w:color="auto"/>
        <w:bottom w:val="none" w:sz="0" w:space="0" w:color="auto"/>
        <w:right w:val="none" w:sz="0" w:space="0" w:color="auto"/>
      </w:divBdr>
      <w:divsChild>
        <w:div w:id="707029492">
          <w:marLeft w:val="0"/>
          <w:marRight w:val="0"/>
          <w:marTop w:val="0"/>
          <w:marBottom w:val="0"/>
          <w:divBdr>
            <w:top w:val="none" w:sz="0" w:space="0" w:color="auto"/>
            <w:left w:val="none" w:sz="0" w:space="0" w:color="auto"/>
            <w:bottom w:val="none" w:sz="0" w:space="0" w:color="auto"/>
            <w:right w:val="none" w:sz="0" w:space="0" w:color="auto"/>
          </w:divBdr>
        </w:div>
        <w:div w:id="1400860462">
          <w:marLeft w:val="0"/>
          <w:marRight w:val="0"/>
          <w:marTop w:val="0"/>
          <w:marBottom w:val="0"/>
          <w:divBdr>
            <w:top w:val="none" w:sz="0" w:space="0" w:color="auto"/>
            <w:left w:val="none" w:sz="0" w:space="0" w:color="auto"/>
            <w:bottom w:val="none" w:sz="0" w:space="0" w:color="auto"/>
            <w:right w:val="none" w:sz="0" w:space="0" w:color="auto"/>
          </w:divBdr>
        </w:div>
        <w:div w:id="1587231441">
          <w:marLeft w:val="0"/>
          <w:marRight w:val="0"/>
          <w:marTop w:val="0"/>
          <w:marBottom w:val="0"/>
          <w:divBdr>
            <w:top w:val="none" w:sz="0" w:space="0" w:color="auto"/>
            <w:left w:val="none" w:sz="0" w:space="0" w:color="auto"/>
            <w:bottom w:val="none" w:sz="0" w:space="0" w:color="auto"/>
            <w:right w:val="none" w:sz="0" w:space="0" w:color="auto"/>
          </w:divBdr>
        </w:div>
        <w:div w:id="2075619008">
          <w:marLeft w:val="0"/>
          <w:marRight w:val="0"/>
          <w:marTop w:val="0"/>
          <w:marBottom w:val="0"/>
          <w:divBdr>
            <w:top w:val="none" w:sz="0" w:space="0" w:color="auto"/>
            <w:left w:val="none" w:sz="0" w:space="0" w:color="auto"/>
            <w:bottom w:val="none" w:sz="0" w:space="0" w:color="auto"/>
            <w:right w:val="none" w:sz="0" w:space="0" w:color="auto"/>
          </w:divBdr>
        </w:div>
        <w:div w:id="1723021912">
          <w:marLeft w:val="0"/>
          <w:marRight w:val="0"/>
          <w:marTop w:val="0"/>
          <w:marBottom w:val="0"/>
          <w:divBdr>
            <w:top w:val="none" w:sz="0" w:space="0" w:color="auto"/>
            <w:left w:val="none" w:sz="0" w:space="0" w:color="auto"/>
            <w:bottom w:val="none" w:sz="0" w:space="0" w:color="auto"/>
            <w:right w:val="none" w:sz="0" w:space="0" w:color="auto"/>
          </w:divBdr>
        </w:div>
        <w:div w:id="1406681968">
          <w:marLeft w:val="0"/>
          <w:marRight w:val="0"/>
          <w:marTop w:val="0"/>
          <w:marBottom w:val="0"/>
          <w:divBdr>
            <w:top w:val="none" w:sz="0" w:space="0" w:color="auto"/>
            <w:left w:val="none" w:sz="0" w:space="0" w:color="auto"/>
            <w:bottom w:val="none" w:sz="0" w:space="0" w:color="auto"/>
            <w:right w:val="none" w:sz="0" w:space="0" w:color="auto"/>
          </w:divBdr>
        </w:div>
        <w:div w:id="1165516689">
          <w:marLeft w:val="0"/>
          <w:marRight w:val="0"/>
          <w:marTop w:val="0"/>
          <w:marBottom w:val="0"/>
          <w:divBdr>
            <w:top w:val="none" w:sz="0" w:space="0" w:color="auto"/>
            <w:left w:val="none" w:sz="0" w:space="0" w:color="auto"/>
            <w:bottom w:val="none" w:sz="0" w:space="0" w:color="auto"/>
            <w:right w:val="none" w:sz="0" w:space="0" w:color="auto"/>
          </w:divBdr>
        </w:div>
        <w:div w:id="1754160274">
          <w:marLeft w:val="0"/>
          <w:marRight w:val="0"/>
          <w:marTop w:val="0"/>
          <w:marBottom w:val="0"/>
          <w:divBdr>
            <w:top w:val="none" w:sz="0" w:space="0" w:color="auto"/>
            <w:left w:val="none" w:sz="0" w:space="0" w:color="auto"/>
            <w:bottom w:val="none" w:sz="0" w:space="0" w:color="auto"/>
            <w:right w:val="none" w:sz="0" w:space="0" w:color="auto"/>
          </w:divBdr>
        </w:div>
        <w:div w:id="17515857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 Type="http://schemas.microsoft.com/office/2020/10/relationships/intelligence" Target="intelligence2.xml" Id="Rc9d954a12e4347a5" /><Relationship Type="http://schemas.openxmlformats.org/officeDocument/2006/relationships/hyperlink" Target="https://www.england.nhs.uk/ourwork/prevention/obesity/" TargetMode="External" Id="Rdd068a26aede48b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F0FA1-0FD6-468C-AA04-25B77C2A47F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Saima Khan</dc:creator>
  <keywords/>
  <dc:description/>
  <lastModifiedBy>Saima Khan (2407142)</lastModifiedBy>
  <revision>11</revision>
  <dcterms:created xsi:type="dcterms:W3CDTF">2026-07-15T21:58:00.0000000Z</dcterms:created>
  <dcterms:modified xsi:type="dcterms:W3CDTF">2026-07-21T14:44:00.4052329Z</dcterms:modified>
</coreProperties>
</file>