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asciiTheme="majorHAnsi" w:hAnsiTheme="majorHAnsi" w:eastAsiaTheme="majorEastAsia" w:cstheme="majorBidi"/>
          <w:caps/>
          <w:lang w:val="en-IN" w:eastAsia="en-IN"/>
        </w:rPr>
      </w:pPr>
      <w:r>
        <w:rPr>
          <w:rFonts w:asciiTheme="majorHAnsi" w:hAnsiTheme="majorHAnsi" w:eastAsiaTheme="majorEastAsia" w:cstheme="majorBidi"/>
          <w:caps/>
          <w:lang w:val="en-IN" w:eastAsia="en-IN"/>
        </w:rPr>
        <w:drawing>
          <wp:inline distT="0" distB="0" distL="0" distR="0">
            <wp:extent cx="2143125" cy="2143125"/>
            <wp:effectExtent l="0" t="0" r="9525" b="9525"/>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download.jpg"/>
                    <pic:cNvPicPr>
                      <a:picLocks noChangeAspect="1"/>
                    </pic:cNvPicPr>
                  </pic:nvPicPr>
                  <pic:blipFill>
                    <a:blip r:embed="rId6"/>
                    <a:stretch>
                      <a:fillRect/>
                    </a:stretch>
                  </pic:blipFill>
                  <pic:spPr>
                    <a:xfrm>
                      <a:off x="0" y="0"/>
                      <a:ext cx="2143125" cy="2143125"/>
                    </a:xfrm>
                    <a:prstGeom prst="rect">
                      <a:avLst/>
                    </a:prstGeom>
                  </pic:spPr>
                </pic:pic>
              </a:graphicData>
            </a:graphic>
          </wp:inline>
        </w:drawing>
      </w:r>
    </w:p>
    <w:p>
      <w:pPr>
        <w:spacing w:line="360" w:lineRule="auto"/>
        <w:jc w:val="center"/>
        <w:rPr>
          <w:rFonts w:hint="default" w:ascii="Times New Roman" w:hAnsi="Times New Roman" w:cs="Times New Roman" w:eastAsiaTheme="majorEastAsia"/>
          <w:b/>
          <w:bCs/>
          <w:caps/>
          <w:sz w:val="32"/>
          <w:szCs w:val="32"/>
          <w:u w:val="single"/>
          <w:lang w:val="en-GB" w:eastAsia="en-IN"/>
        </w:rPr>
      </w:pPr>
    </w:p>
    <w:p>
      <w:pPr>
        <w:spacing w:line="360" w:lineRule="auto"/>
        <w:jc w:val="center"/>
        <w:rPr>
          <w:rFonts w:hint="default" w:ascii="Times New Roman" w:hAnsi="Times New Roman" w:cs="Times New Roman" w:eastAsiaTheme="majorEastAsia"/>
          <w:b/>
          <w:bCs/>
          <w:caps/>
          <w:sz w:val="32"/>
          <w:szCs w:val="32"/>
          <w:u w:val="single"/>
          <w:lang w:val="en-GB" w:eastAsia="en-IN"/>
        </w:rPr>
      </w:pPr>
      <w:r>
        <w:rPr>
          <w:rFonts w:hint="default" w:ascii="Times New Roman" w:hAnsi="Times New Roman" w:cs="Times New Roman" w:eastAsiaTheme="majorEastAsia"/>
          <w:b/>
          <w:bCs/>
          <w:caps/>
          <w:sz w:val="32"/>
          <w:szCs w:val="32"/>
          <w:u w:val="single"/>
          <w:lang w:val="en-GB" w:eastAsia="en-IN"/>
        </w:rPr>
        <w:t>MBA TERM 2</w:t>
      </w:r>
    </w:p>
    <w:p>
      <w:pPr>
        <w:spacing w:line="360" w:lineRule="auto"/>
        <w:jc w:val="center"/>
        <w:rPr>
          <w:rFonts w:hint="default" w:ascii="Times New Roman" w:hAnsi="Times New Roman" w:cs="Times New Roman" w:eastAsiaTheme="majorEastAsia"/>
          <w:caps/>
          <w:sz w:val="32"/>
          <w:szCs w:val="32"/>
          <w:u w:val="single"/>
          <w:lang w:val="en-GB" w:eastAsia="en-IN"/>
        </w:rPr>
      </w:pPr>
    </w:p>
    <w:p>
      <w:pPr>
        <w:jc w:val="center"/>
        <w:rPr>
          <w:rFonts w:hint="default" w:ascii="Times New Roman" w:hAnsi="Times New Roman" w:cs="Times New Roman"/>
          <w:b/>
          <w:bCs/>
          <w:sz w:val="32"/>
          <w:szCs w:val="32"/>
          <w:u w:val="single"/>
          <w:lang w:val="en-GB" w:eastAsia="en-IN"/>
        </w:rPr>
      </w:pPr>
      <w:r>
        <w:rPr>
          <w:rFonts w:hint="default" w:ascii="Times New Roman" w:hAnsi="Times New Roman" w:cs="Times New Roman"/>
          <w:b/>
          <w:bCs/>
          <w:sz w:val="32"/>
          <w:szCs w:val="32"/>
          <w:u w:val="single"/>
          <w:lang w:val="en-GB" w:eastAsia="en-IN"/>
        </w:rPr>
        <w:t>Strategic Management</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default" w:ascii="Times New Roman" w:hAnsi="Times New Roman" w:cs="Times New Roman" w:eastAsiaTheme="majorEastAsia"/>
          <w:caps/>
          <w:sz w:val="28"/>
          <w:szCs w:val="28"/>
          <w:lang w:val="en-GB" w:eastAsia="en-IN"/>
        </w:rPr>
      </w:pPr>
      <w:r>
        <w:rPr>
          <w:rFonts w:hint="default" w:ascii="Times New Roman" w:hAnsi="Times New Roman" w:cs="Times New Roman" w:eastAsiaTheme="majorEastAsia"/>
          <w:caps/>
          <w:sz w:val="28"/>
          <w:szCs w:val="28"/>
          <w:lang w:val="en-GB" w:eastAsia="en-IN"/>
        </w:rPr>
        <w:t>(LCMB7003)</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default" w:ascii="Times New Roman" w:hAnsi="Times New Roman" w:cs="Times New Roman" w:eastAsiaTheme="majorEastAsia"/>
          <w:caps/>
          <w:sz w:val="28"/>
          <w:szCs w:val="28"/>
          <w:lang w:val="en-GB" w:eastAsia="en-IN"/>
        </w:rPr>
      </w:pP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default" w:ascii="Times New Roman" w:hAnsi="Times New Roman" w:cs="Times New Roman" w:eastAsiaTheme="majorEastAsia"/>
          <w:caps/>
          <w:sz w:val="28"/>
          <w:szCs w:val="28"/>
          <w:lang w:val="en-GB" w:eastAsia="en-IN"/>
        </w:rPr>
      </w:pP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default" w:ascii="Times New Roman" w:hAnsi="Times New Roman" w:cs="Times New Roman" w:eastAsiaTheme="majorEastAsia"/>
          <w:caps/>
          <w:sz w:val="28"/>
          <w:szCs w:val="28"/>
          <w:lang w:val="en-GB" w:eastAsia="en-IN"/>
        </w:rPr>
      </w:pPr>
    </w:p>
    <w:p>
      <w:pPr>
        <w:jc w:val="center"/>
        <w:rPr>
          <w:rFonts w:hint="default" w:ascii="Times New Roman" w:hAnsi="Times New Roman" w:cs="Times New Roman"/>
          <w:b/>
          <w:bCs/>
          <w:sz w:val="32"/>
          <w:szCs w:val="32"/>
          <w:u w:val="single"/>
          <w:lang w:val="en-GB" w:eastAsia="en-IN"/>
        </w:rPr>
      </w:pPr>
      <w:r>
        <w:rPr>
          <w:rFonts w:hint="default" w:ascii="Times New Roman" w:hAnsi="Times New Roman" w:cs="Times New Roman"/>
          <w:b/>
          <w:bCs/>
          <w:sz w:val="32"/>
          <w:szCs w:val="32"/>
          <w:u w:val="single"/>
          <w:lang w:val="en-GB" w:eastAsia="en-IN"/>
        </w:rPr>
        <w:t>Topic</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default" w:ascii="Times New Roman" w:hAnsi="Times New Roman" w:cs="Times New Roman" w:eastAsiaTheme="majorEastAsia"/>
          <w:caps/>
          <w:sz w:val="28"/>
          <w:szCs w:val="28"/>
          <w:lang w:val="en-GB" w:eastAsia="en-IN"/>
        </w:rPr>
      </w:pPr>
      <w:r>
        <w:rPr>
          <w:rFonts w:hint="default" w:ascii="Times New Roman" w:hAnsi="Times New Roman" w:cs="Times New Roman" w:eastAsiaTheme="majorEastAsia"/>
          <w:caps/>
          <w:sz w:val="28"/>
          <w:szCs w:val="28"/>
          <w:lang w:val="en-GB" w:eastAsia="en-IN"/>
        </w:rPr>
        <w:t>INEOS</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default" w:ascii="Times New Roman" w:hAnsi="Times New Roman" w:cs="Times New Roman" w:eastAsiaTheme="majorEastAsia"/>
          <w:caps/>
          <w:sz w:val="28"/>
          <w:szCs w:val="28"/>
          <w:lang w:val="en-GB" w:eastAsia="en-IN"/>
        </w:rPr>
      </w:pP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default" w:ascii="Times New Roman" w:hAnsi="Times New Roman" w:cs="Times New Roman" w:eastAsiaTheme="majorEastAsia"/>
          <w:caps/>
          <w:sz w:val="28"/>
          <w:szCs w:val="28"/>
          <w:lang w:val="en-GB" w:eastAsia="en-IN"/>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rFonts w:hint="default" w:ascii="Times New Roman" w:hAnsi="Times New Roman" w:cs="Times New Roman" w:eastAsiaTheme="majorEastAsia"/>
          <w:caps/>
          <w:sz w:val="32"/>
          <w:szCs w:val="32"/>
          <w:u w:val="none"/>
          <w:lang w:val="en-GB" w:eastAsia="en-IN"/>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rFonts w:hint="default" w:ascii="Times New Roman" w:hAnsi="Times New Roman" w:cs="Times New Roman" w:eastAsiaTheme="majorEastAsia"/>
          <w:caps/>
          <w:sz w:val="32"/>
          <w:szCs w:val="32"/>
          <w:u w:val="none"/>
          <w:lang w:val="en-GB" w:eastAsia="en-IN"/>
        </w:rPr>
      </w:pPr>
    </w:p>
    <w:p>
      <w:pPr>
        <w:keepNext w:val="0"/>
        <w:keepLines w:val="0"/>
        <w:pageBreakBefore w:val="0"/>
        <w:widowControl/>
        <w:kinsoku/>
        <w:wordWrap/>
        <w:overflowPunct/>
        <w:topLinePunct w:val="0"/>
        <w:autoSpaceDE/>
        <w:autoSpaceDN/>
        <w:bidi w:val="0"/>
        <w:adjustRightInd/>
        <w:snapToGrid/>
        <w:spacing w:after="0" w:line="240" w:lineRule="auto"/>
        <w:textAlignment w:val="auto"/>
        <w:outlineLvl w:val="9"/>
        <w:rPr>
          <w:rFonts w:hint="default" w:ascii="Times New Roman" w:hAnsi="Times New Roman" w:cs="Times New Roman"/>
          <w:b/>
          <w:bCs/>
          <w:sz w:val="32"/>
          <w:szCs w:val="32"/>
          <w:u w:val="none"/>
          <w:lang w:val="en-GB" w:eastAsia="en-IN"/>
        </w:rPr>
      </w:pPr>
      <w:r>
        <w:rPr>
          <w:rFonts w:hint="default" w:ascii="Times New Roman" w:hAnsi="Times New Roman" w:cs="Times New Roman"/>
          <w:b/>
          <w:bCs/>
          <w:sz w:val="32"/>
          <w:szCs w:val="32"/>
          <w:u w:val="single"/>
          <w:lang w:val="en-GB" w:eastAsia="en-IN"/>
        </w:rPr>
        <w:t>Lacturer:</w:t>
      </w:r>
      <w:r>
        <w:rPr>
          <w:rFonts w:hint="default" w:ascii="Times New Roman" w:hAnsi="Times New Roman" w:cs="Times New Roman"/>
          <w:b/>
          <w:bCs/>
          <w:sz w:val="32"/>
          <w:szCs w:val="32"/>
          <w:u w:val="none"/>
          <w:lang w:val="en-GB" w:eastAsia="en-IN"/>
        </w:rPr>
        <w:t xml:space="preserve">                                                                    </w:t>
      </w:r>
      <w:r>
        <w:rPr>
          <w:rFonts w:hint="default" w:ascii="Times New Roman" w:hAnsi="Times New Roman" w:cs="Times New Roman"/>
          <w:b/>
          <w:bCs/>
          <w:sz w:val="32"/>
          <w:szCs w:val="32"/>
          <w:u w:val="single"/>
          <w:lang w:val="en-GB" w:eastAsia="en-IN"/>
        </w:rPr>
        <w:t>Submitted by:</w:t>
      </w:r>
    </w:p>
    <w:p>
      <w:pPr>
        <w:keepNext w:val="0"/>
        <w:keepLines w:val="0"/>
        <w:pageBreakBefore w:val="0"/>
        <w:widowControl/>
        <w:kinsoku/>
        <w:wordWrap/>
        <w:overflowPunct/>
        <w:topLinePunct w:val="0"/>
        <w:autoSpaceDE/>
        <w:autoSpaceDN/>
        <w:bidi w:val="0"/>
        <w:adjustRightInd/>
        <w:snapToGrid/>
        <w:spacing w:after="0" w:line="240" w:lineRule="auto"/>
        <w:textAlignment w:val="auto"/>
        <w:outlineLvl w:val="9"/>
        <w:rPr>
          <w:rFonts w:hint="default" w:ascii="Times New Roman" w:hAnsi="Times New Roman" w:cs="Times New Roman"/>
          <w:sz w:val="28"/>
          <w:szCs w:val="28"/>
          <w:lang w:val="en-GB" w:eastAsia="en-IN"/>
        </w:rPr>
      </w:pPr>
      <w:r>
        <w:rPr>
          <w:rFonts w:hint="default" w:ascii="Times New Roman" w:hAnsi="Times New Roman" w:cs="Times New Roman"/>
          <w:sz w:val="28"/>
          <w:szCs w:val="28"/>
          <w:lang w:val="en-GB" w:eastAsia="en-IN"/>
        </w:rPr>
        <w:t>Husam Helmi                                                                          Shilpa Sharma</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ascii="Times New Roman" w:hAnsi="Times New Roman" w:cs="Times New Roman"/>
          <w:sz w:val="24"/>
          <w:szCs w:val="24"/>
        </w:rPr>
      </w:pPr>
      <w:r>
        <w:rPr>
          <w:rFonts w:hint="default" w:ascii="Times New Roman" w:hAnsi="Times New Roman" w:cs="Times New Roman"/>
          <w:sz w:val="28"/>
          <w:szCs w:val="28"/>
          <w:lang w:val="en-GB" w:eastAsia="en-IN"/>
        </w:rPr>
        <w:t xml:space="preserve">                                                                                                Student Id:- (1704927)</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asciiTheme="majorHAnsi" w:hAnsiTheme="majorHAnsi" w:eastAsiaTheme="majorEastAsia" w:cstheme="majorBidi"/>
          <w:caps/>
          <w:lang w:val="en-IN" w:eastAsia="en-IN"/>
        </w:rPr>
      </w:pPr>
    </w:p>
    <w:sdt>
      <w:sdtPr>
        <w:rPr>
          <w:rFonts w:cs="Times New Roman" w:asciiTheme="minorHAnsi" w:hAnsiTheme="minorHAnsi" w:eastAsiaTheme="minorHAnsi"/>
          <w:b w:val="0"/>
          <w:bCs w:val="0"/>
          <w:sz w:val="22"/>
          <w:szCs w:val="24"/>
        </w:rPr>
        <w:id w:val="218122247"/>
        <w:docPartObj>
          <w:docPartGallery w:val="Table of Contents"/>
          <w:docPartUnique/>
        </w:docPartObj>
      </w:sdtPr>
      <w:sdtEndPr>
        <w:rPr>
          <w:rFonts w:cs="Times New Roman" w:asciiTheme="minorHAnsi" w:hAnsiTheme="minorHAnsi" w:eastAsiaTheme="minorHAnsi"/>
          <w:b w:val="0"/>
          <w:bCs w:val="0"/>
          <w:sz w:val="22"/>
          <w:szCs w:val="24"/>
        </w:rPr>
      </w:sdtEndPr>
      <w:sdtContent>
        <w:p>
          <w:pPr>
            <w:pStyle w:val="14"/>
            <w:spacing w:line="360" w:lineRule="auto"/>
            <w:jc w:val="center"/>
            <w:rPr>
              <w:rFonts w:hint="default" w:ascii="Times New Roman" w:hAnsi="Times New Roman" w:cs="Times New Roman"/>
              <w:szCs w:val="24"/>
            </w:rPr>
          </w:pPr>
          <w:r>
            <w:rPr>
              <w:rFonts w:hint="default" w:ascii="Times New Roman" w:hAnsi="Times New Roman" w:cs="Times New Roman" w:eastAsiaTheme="minorHAnsi"/>
              <w:b/>
              <w:bCs/>
              <w:color w:val="0000FF"/>
              <w:sz w:val="28"/>
              <w:szCs w:val="28"/>
              <w:lang w:val="en-GB"/>
            </w:rPr>
            <w:t xml:space="preserve">Table of </w:t>
          </w:r>
          <w:r>
            <w:rPr>
              <w:rFonts w:hint="default" w:ascii="Times New Roman" w:hAnsi="Times New Roman" w:cs="Times New Roman"/>
              <w:b/>
              <w:bCs/>
              <w:color w:val="0000FF"/>
              <w:sz w:val="28"/>
              <w:szCs w:val="28"/>
            </w:rPr>
            <w:t>Contents</w:t>
          </w:r>
        </w:p>
        <w:p>
          <w:pPr>
            <w:pStyle w:val="7"/>
            <w:tabs>
              <w:tab w:val="right" w:leader="dot" w:pos="9350"/>
            </w:tabs>
            <w:rPr>
              <w:rFonts w:hint="default" w:ascii="Times New Roman" w:hAnsi="Times New Roman" w:cs="Times New Roman" w:eastAsiaTheme="minorEastAsia"/>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TOC \o "1-3" \h \z \u </w:instrText>
          </w:r>
          <w:r>
            <w:rPr>
              <w:rFonts w:hint="default" w:ascii="Times New Roman" w:hAnsi="Times New Roman" w:cs="Times New Roman"/>
              <w:sz w:val="24"/>
              <w:szCs w:val="24"/>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"_Toc534921455" </w:instrText>
          </w:r>
          <w:r>
            <w:rPr>
              <w:rFonts w:hint="default" w:ascii="Times New Roman" w:hAnsi="Times New Roman" w:cs="Times New Roman"/>
            </w:rPr>
            <w:fldChar w:fldCharType="separate"/>
          </w:r>
          <w:r>
            <w:rPr>
              <w:rStyle w:val="9"/>
              <w:rFonts w:hint="default" w:ascii="Times New Roman" w:hAnsi="Times New Roman" w:cs="Times New Roman"/>
            </w:rPr>
            <w:t>Introduction</w:t>
          </w:r>
          <w:r>
            <w:rPr>
              <w:rStyle w:val="9"/>
              <w:rFonts w:hint="default" w:ascii="Times New Roman" w:hAnsi="Times New Roman" w:cs="Times New Roman"/>
              <w:lang w:val="en-GB"/>
            </w:rPr>
            <w: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_Toc534921455 \h </w:instrText>
          </w:r>
          <w:r>
            <w:rPr>
              <w:rFonts w:hint="default" w:ascii="Times New Roman" w:hAnsi="Times New Roman" w:cs="Times New Roman"/>
            </w:rPr>
            <w:fldChar w:fldCharType="separate"/>
          </w:r>
          <w:r>
            <w:rPr>
              <w:rFonts w:hint="default" w:ascii="Times New Roman" w:hAnsi="Times New Roman" w:cs="Times New Roman"/>
            </w:rPr>
            <w:t>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7"/>
            <w:tabs>
              <w:tab w:val="right" w:leader="dot" w:pos="9350"/>
            </w:tabs>
            <w:rPr>
              <w:rFonts w:hint="default" w:ascii="Times New Roman" w:hAnsi="Times New Roman" w:cs="Times New Roman" w:eastAsiaTheme="minorEastAsia"/>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"_Toc534921456" </w:instrText>
          </w:r>
          <w:r>
            <w:rPr>
              <w:rFonts w:hint="default" w:ascii="Times New Roman" w:hAnsi="Times New Roman" w:cs="Times New Roman"/>
            </w:rPr>
            <w:fldChar w:fldCharType="separate"/>
          </w:r>
          <w:r>
            <w:rPr>
              <w:rStyle w:val="9"/>
              <w:rFonts w:hint="default" w:ascii="Times New Roman" w:hAnsi="Times New Roman" w:cs="Times New Roman"/>
            </w:rPr>
            <w:t>PESTLE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_Toc534921456 \h </w:instrText>
          </w:r>
          <w:r>
            <w:rPr>
              <w:rFonts w:hint="default" w:ascii="Times New Roman" w:hAnsi="Times New Roman" w:cs="Times New Roman"/>
            </w:rPr>
            <w:fldChar w:fldCharType="separate"/>
          </w:r>
          <w:r>
            <w:rPr>
              <w:rFonts w:hint="default" w:ascii="Times New Roman" w:hAnsi="Times New Roman" w:cs="Times New Roman"/>
            </w:rPr>
            <w:t>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7"/>
            <w:tabs>
              <w:tab w:val="right" w:leader="dot" w:pos="9350"/>
            </w:tabs>
            <w:rPr>
              <w:rFonts w:hint="default" w:ascii="Times New Roman" w:hAnsi="Times New Roman" w:cs="Times New Roman" w:eastAsiaTheme="minorEastAsia"/>
              <w:lang w:val="en-G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"_Toc534921457" </w:instrText>
          </w:r>
          <w:r>
            <w:rPr>
              <w:rFonts w:hint="default" w:ascii="Times New Roman" w:hAnsi="Times New Roman" w:cs="Times New Roman"/>
            </w:rPr>
            <w:fldChar w:fldCharType="separate"/>
          </w:r>
          <w:r>
            <w:rPr>
              <w:rStyle w:val="9"/>
              <w:rFonts w:hint="default" w:ascii="Times New Roman" w:hAnsi="Times New Roman" w:cs="Times New Roman"/>
            </w:rPr>
            <w:t>Porter’s five forces</w:t>
          </w:r>
          <w:r>
            <w:rPr>
              <w:rFonts w:hint="default" w:ascii="Times New Roman" w:hAnsi="Times New Roman" w:cs="Times New Roman"/>
            </w:rPr>
            <w:tab/>
          </w:r>
          <w:r>
            <w:rPr>
              <w:rFonts w:hint="default" w:ascii="Times New Roman" w:hAnsi="Times New Roman" w:cs="Times New Roman"/>
            </w:rPr>
            <w:fldChar w:fldCharType="end"/>
          </w:r>
          <w:r>
            <w:rPr>
              <w:rFonts w:hint="default" w:ascii="Times New Roman" w:hAnsi="Times New Roman" w:cs="Times New Roman"/>
              <w:lang w:val="en-GB"/>
            </w:rPr>
            <w:t>7</w:t>
          </w:r>
        </w:p>
        <w:p>
          <w:pPr>
            <w:pStyle w:val="7"/>
            <w:tabs>
              <w:tab w:val="right" w:leader="dot" w:pos="9350"/>
            </w:tabs>
            <w:rPr>
              <w:rFonts w:hint="default" w:ascii="Times New Roman" w:hAnsi="Times New Roman" w:cs="Times New Roman" w:eastAsiaTheme="minorEastAsia"/>
              <w:lang w:val="en-G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"_Toc534921458" </w:instrText>
          </w:r>
          <w:r>
            <w:rPr>
              <w:rFonts w:hint="default" w:ascii="Times New Roman" w:hAnsi="Times New Roman" w:cs="Times New Roman"/>
            </w:rPr>
            <w:fldChar w:fldCharType="separate"/>
          </w:r>
          <w:r>
            <w:rPr>
              <w:rStyle w:val="9"/>
              <w:rFonts w:hint="default" w:ascii="Times New Roman" w:hAnsi="Times New Roman" w:cs="Times New Roman"/>
            </w:rPr>
            <w:t>SWOT analysis</w:t>
          </w:r>
          <w:r>
            <w:rPr>
              <w:rFonts w:hint="default" w:ascii="Times New Roman" w:hAnsi="Times New Roman" w:cs="Times New Roman"/>
            </w:rPr>
            <w:tab/>
          </w:r>
          <w:r>
            <w:rPr>
              <w:rFonts w:hint="default" w:ascii="Times New Roman" w:hAnsi="Times New Roman" w:cs="Times New Roman"/>
            </w:rPr>
            <w:fldChar w:fldCharType="end"/>
          </w:r>
          <w:r>
            <w:rPr>
              <w:rFonts w:hint="default" w:ascii="Times New Roman" w:hAnsi="Times New Roman" w:cs="Times New Roman"/>
              <w:lang w:val="en-GB"/>
            </w:rPr>
            <w:t>10</w:t>
          </w:r>
        </w:p>
        <w:p>
          <w:pPr>
            <w:pStyle w:val="7"/>
            <w:tabs>
              <w:tab w:val="right" w:leader="dot" w:pos="9350"/>
            </w:tabs>
            <w:rPr>
              <w:rFonts w:hint="default" w:ascii="Times New Roman" w:hAnsi="Times New Roman" w:cs="Times New Roman" w:eastAsiaTheme="minorEastAsia"/>
              <w:lang w:val="en-G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"_Toc534921459" </w:instrText>
          </w:r>
          <w:r>
            <w:rPr>
              <w:rFonts w:hint="default" w:ascii="Times New Roman" w:hAnsi="Times New Roman" w:cs="Times New Roman"/>
            </w:rPr>
            <w:fldChar w:fldCharType="separate"/>
          </w:r>
          <w:r>
            <w:rPr>
              <w:rStyle w:val="9"/>
              <w:rFonts w:hint="default" w:ascii="Times New Roman" w:hAnsi="Times New Roman" w:cs="Times New Roman"/>
            </w:rPr>
            <w:t>Strategic capability mapping</w:t>
          </w:r>
          <w:r>
            <w:rPr>
              <w:rFonts w:hint="default" w:ascii="Times New Roman" w:hAnsi="Times New Roman" w:cs="Times New Roman"/>
            </w:rPr>
            <w:tab/>
          </w:r>
          <w:r>
            <w:rPr>
              <w:rFonts w:hint="default" w:ascii="Times New Roman" w:hAnsi="Times New Roman" w:cs="Times New Roman"/>
            </w:rPr>
            <w:fldChar w:fldCharType="end"/>
          </w:r>
          <w:r>
            <w:rPr>
              <w:rFonts w:hint="default" w:ascii="Times New Roman" w:hAnsi="Times New Roman" w:cs="Times New Roman"/>
              <w:lang w:val="en-GB"/>
            </w:rPr>
            <w:t>11</w:t>
          </w:r>
        </w:p>
        <w:p>
          <w:pPr>
            <w:pStyle w:val="7"/>
            <w:tabs>
              <w:tab w:val="right" w:leader="dot" w:pos="9350"/>
            </w:tabs>
            <w:rPr>
              <w:rFonts w:hint="default" w:ascii="Times New Roman" w:hAnsi="Times New Roman" w:cs="Times New Roman" w:eastAsiaTheme="minorEastAsia"/>
              <w:lang w:val="en-G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"_Toc534921460" </w:instrText>
          </w:r>
          <w:r>
            <w:rPr>
              <w:rFonts w:hint="default" w:ascii="Times New Roman" w:hAnsi="Times New Roman" w:cs="Times New Roman"/>
            </w:rPr>
            <w:fldChar w:fldCharType="separate"/>
          </w:r>
          <w:r>
            <w:rPr>
              <w:rStyle w:val="9"/>
              <w:rFonts w:hint="default" w:ascii="Times New Roman" w:hAnsi="Times New Roman" w:cs="Times New Roman"/>
            </w:rPr>
            <w:t>VRIO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_Toc534921460 \h </w:instrText>
          </w:r>
          <w:r>
            <w:rPr>
              <w:rFonts w:hint="default" w:ascii="Times New Roman" w:hAnsi="Times New Roman" w:cs="Times New Roman"/>
            </w:rPr>
            <w:fldChar w:fldCharType="separate"/>
          </w:r>
          <w:r>
            <w:rPr>
              <w:rFonts w:hint="default" w:ascii="Times New Roman" w:hAnsi="Times New Roman" w:cs="Times New Roman"/>
            </w:rPr>
            <w:t>13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7"/>
            <w:tabs>
              <w:tab w:val="right" w:leader="dot" w:pos="9350"/>
            </w:tabs>
            <w:rPr>
              <w:rFonts w:hint="default" w:ascii="Times New Roman" w:hAnsi="Times New Roman" w:cs="Times New Roman" w:eastAsiaTheme="minorEastAsia"/>
              <w:lang w:val="en-G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"_Toc534921461" </w:instrText>
          </w:r>
          <w:r>
            <w:rPr>
              <w:rFonts w:hint="default" w:ascii="Times New Roman" w:hAnsi="Times New Roman" w:cs="Times New Roman"/>
            </w:rPr>
            <w:fldChar w:fldCharType="separate"/>
          </w:r>
          <w:r>
            <w:rPr>
              <w:rStyle w:val="9"/>
              <w:rFonts w:hint="default" w:ascii="Times New Roman" w:hAnsi="Times New Roman" w:cs="Times New Roman"/>
            </w:rPr>
            <w:t>SAFe analysis</w:t>
          </w:r>
          <w:r>
            <w:rPr>
              <w:rFonts w:hint="default" w:ascii="Times New Roman" w:hAnsi="Times New Roman" w:cs="Times New Roman"/>
            </w:rPr>
            <w:tab/>
          </w:r>
          <w:r>
            <w:rPr>
              <w:rFonts w:hint="default" w:ascii="Times New Roman" w:hAnsi="Times New Roman" w:cs="Times New Roman"/>
            </w:rPr>
            <w:fldChar w:fldCharType="end"/>
          </w:r>
          <w:r>
            <w:rPr>
              <w:rFonts w:hint="default" w:ascii="Times New Roman" w:hAnsi="Times New Roman" w:cs="Times New Roman"/>
              <w:lang w:val="en-GB"/>
            </w:rPr>
            <w:t>14</w:t>
          </w:r>
        </w:p>
        <w:p>
          <w:pPr>
            <w:pStyle w:val="7"/>
            <w:tabs>
              <w:tab w:val="right" w:leader="dot" w:pos="9350"/>
            </w:tabs>
            <w:rPr>
              <w:rFonts w:hint="default" w:ascii="Times New Roman" w:hAnsi="Times New Roman" w:cs="Times New Roman" w:eastAsiaTheme="minorEastAsia"/>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"_Toc534921462" </w:instrText>
          </w:r>
          <w:r>
            <w:rPr>
              <w:rFonts w:hint="default" w:ascii="Times New Roman" w:hAnsi="Times New Roman" w:cs="Times New Roman"/>
            </w:rPr>
            <w:fldChar w:fldCharType="separate"/>
          </w:r>
          <w:r>
            <w:rPr>
              <w:rStyle w:val="9"/>
              <w:rFonts w:hint="default" w:ascii="Times New Roman" w:hAnsi="Times New Roman" w:cs="Times New Roman"/>
            </w:rPr>
            <w:t>Accounting ratios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_Toc534921462 \h </w:instrText>
          </w:r>
          <w:r>
            <w:rPr>
              <w:rFonts w:hint="default" w:ascii="Times New Roman" w:hAnsi="Times New Roman" w:cs="Times New Roman"/>
            </w:rPr>
            <w:fldChar w:fldCharType="separate"/>
          </w:r>
          <w:r>
            <w:rPr>
              <w:rFonts w:hint="default" w:ascii="Times New Roman" w:hAnsi="Times New Roman" w:cs="Times New Roman"/>
            </w:rPr>
            <w:t>16</w:t>
          </w:r>
          <w:r>
            <w:rPr>
              <w:rFonts w:hint="default" w:ascii="Times New Roman" w:hAnsi="Times New Roman" w:cs="Times New Roman"/>
            </w:rPr>
            <w:fldChar w:fldCharType="end"/>
          </w:r>
          <w:r>
            <w:rPr>
              <w:rFonts w:hint="default" w:ascii="Times New Roman" w:hAnsi="Times New Roman" w:cs="Times New Roman"/>
            </w:rPr>
            <w:fldChar w:fldCharType="end"/>
          </w:r>
        </w:p>
        <w:p>
          <w:pPr>
            <w:pStyle w:val="7"/>
            <w:tabs>
              <w:tab w:val="right" w:leader="dot" w:pos="9350"/>
            </w:tabs>
            <w:rPr>
              <w:rFonts w:hint="default" w:ascii="Times New Roman" w:hAnsi="Times New Roman" w:cs="Times New Roman" w:eastAsiaTheme="minorEastAsia"/>
              <w:lang w:val="en-G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"_Toc534921463" </w:instrText>
          </w:r>
          <w:r>
            <w:rPr>
              <w:rFonts w:hint="default" w:ascii="Times New Roman" w:hAnsi="Times New Roman" w:cs="Times New Roman"/>
            </w:rPr>
            <w:fldChar w:fldCharType="separate"/>
          </w:r>
          <w:r>
            <w:rPr>
              <w:rStyle w:val="9"/>
              <w:rFonts w:hint="default" w:ascii="Times New Roman" w:hAnsi="Times New Roman" w:cs="Times New Roman"/>
            </w:rPr>
            <w:t>Recommendations</w:t>
          </w:r>
          <w:r>
            <w:rPr>
              <w:rFonts w:hint="default" w:ascii="Times New Roman" w:hAnsi="Times New Roman" w:cs="Times New Roman"/>
            </w:rPr>
            <w:tab/>
          </w:r>
          <w:r>
            <w:rPr>
              <w:rFonts w:hint="default" w:ascii="Times New Roman" w:hAnsi="Times New Roman" w:cs="Times New Roman"/>
            </w:rPr>
            <w:fldChar w:fldCharType="end"/>
          </w:r>
          <w:r>
            <w:rPr>
              <w:rFonts w:hint="default" w:ascii="Times New Roman" w:hAnsi="Times New Roman" w:cs="Times New Roman"/>
              <w:lang w:val="en-GB"/>
            </w:rPr>
            <w:t>16</w:t>
          </w:r>
        </w:p>
        <w:p>
          <w:pPr>
            <w:pStyle w:val="7"/>
            <w:tabs>
              <w:tab w:val="right" w:leader="dot" w:pos="9350"/>
            </w:tabs>
            <w:rPr>
              <w:rFonts w:hint="default" w:ascii="Times New Roman" w:hAnsi="Times New Roman" w:cs="Times New Roman" w:eastAsiaTheme="minorEastAsia"/>
              <w:lang w:val="en-G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"_Toc534921464" </w:instrText>
          </w:r>
          <w:r>
            <w:rPr>
              <w:rFonts w:hint="default" w:ascii="Times New Roman" w:hAnsi="Times New Roman" w:cs="Times New Roman"/>
            </w:rPr>
            <w:fldChar w:fldCharType="separate"/>
          </w:r>
          <w:r>
            <w:rPr>
              <w:rStyle w:val="9"/>
              <w:rFonts w:hint="default" w:ascii="Times New Roman" w:hAnsi="Times New Roman" w:cs="Times New Roman"/>
            </w:rPr>
            <w:t>Conclusion</w:t>
          </w:r>
          <w:r>
            <w:rPr>
              <w:rFonts w:hint="default" w:ascii="Times New Roman" w:hAnsi="Times New Roman" w:cs="Times New Roman"/>
            </w:rPr>
            <w:tab/>
          </w:r>
          <w:r>
            <w:rPr>
              <w:rFonts w:hint="default" w:ascii="Times New Roman" w:hAnsi="Times New Roman" w:cs="Times New Roman"/>
            </w:rPr>
            <w:fldChar w:fldCharType="end"/>
          </w:r>
          <w:r>
            <w:rPr>
              <w:rFonts w:hint="default" w:ascii="Times New Roman" w:hAnsi="Times New Roman" w:cs="Times New Roman"/>
              <w:lang w:val="en-GB"/>
            </w:rPr>
            <w:t>18</w:t>
          </w:r>
        </w:p>
        <w:p>
          <w:pPr>
            <w:pStyle w:val="7"/>
            <w:tabs>
              <w:tab w:val="right" w:leader="dot" w:pos="9350"/>
            </w:tabs>
            <w:rPr>
              <w:rFonts w:hint="default" w:ascii="Times New Roman" w:hAnsi="Times New Roman" w:cs="Times New Roman" w:eastAsiaTheme="minorEastAsia"/>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"_Toc534921465" </w:instrText>
          </w:r>
          <w:r>
            <w:rPr>
              <w:rFonts w:hint="default" w:ascii="Times New Roman" w:hAnsi="Times New Roman" w:cs="Times New Roman"/>
            </w:rPr>
            <w:fldChar w:fldCharType="separate"/>
          </w:r>
          <w:r>
            <w:rPr>
              <w:rStyle w:val="9"/>
              <w:rFonts w:hint="default" w:ascii="Times New Roman" w:hAnsi="Times New Roman" w:cs="Times New Roman"/>
            </w:rPr>
            <w:t>Reference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_Toc534921465 \h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rPr>
            <w:fldChar w:fldCharType="end"/>
          </w:r>
        </w:p>
        <w:p>
          <w:pPr>
            <w:spacing w:line="360" w:lineRule="auto"/>
            <w:jc w:val="both"/>
            <w:rPr>
              <w:rFonts w:ascii="Times New Roman" w:hAnsi="Times New Roman" w:cs="Times New Roman"/>
              <w:sz w:val="24"/>
              <w:szCs w:val="24"/>
            </w:rPr>
          </w:pPr>
          <w:r>
            <w:rPr>
              <w:rFonts w:hint="default" w:ascii="Times New Roman" w:hAnsi="Times New Roman" w:cs="Times New Roman"/>
              <w:sz w:val="24"/>
              <w:szCs w:val="24"/>
            </w:rPr>
            <w:fldChar w:fldCharType="end"/>
          </w:r>
        </w:p>
      </w:sdtContent>
    </w:sdt>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pStyle w:val="2"/>
        <w:spacing w:line="360" w:lineRule="auto"/>
        <w:jc w:val="left"/>
        <w:rPr>
          <w:rFonts w:cs="Times New Roman"/>
          <w:color w:val="0000FF"/>
          <w:sz w:val="28"/>
          <w:szCs w:val="28"/>
        </w:rPr>
      </w:pPr>
      <w:bookmarkStart w:id="0" w:name="_Toc534921455"/>
      <w:r>
        <w:rPr>
          <w:rFonts w:cs="Times New Roman"/>
          <w:color w:val="0000FF"/>
          <w:sz w:val="28"/>
          <w:szCs w:val="28"/>
        </w:rPr>
        <w:t>Introduction</w:t>
      </w:r>
      <w:bookmarkEnd w:id="0"/>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INEOS Group AG is a leading chemical company with $60 billion sales. The company’s products are improving with enhanced standards of living and improved health of people. The business produces essential products from paints to plastics, medicines, chemicals, technology and mobile phones (Frue, 2015). Almost every aspect of modern life are covered with the products that are manufactured by INEOS UK. INEOS chemical company was established in the year 1998 with several products to serve the UK market. The industry has considered almost 19,000 employees working in 24 countries with 171 sites in the world. The report contains a detail of PESTLE analysis, Porter’s force and SWOT analysis. </w:t>
      </w:r>
    </w:p>
    <w:p>
      <w:pPr>
        <w:pStyle w:val="2"/>
        <w:spacing w:line="360" w:lineRule="auto"/>
        <w:jc w:val="both"/>
        <w:rPr>
          <w:rFonts w:cs="Times New Roman"/>
          <w:color w:val="0000FF"/>
          <w:szCs w:val="24"/>
        </w:rPr>
      </w:pPr>
      <w:bookmarkStart w:id="1" w:name="_Toc534921456"/>
      <w:r>
        <w:rPr>
          <w:rFonts w:cs="Times New Roman"/>
          <w:color w:val="0000FF"/>
          <w:szCs w:val="24"/>
        </w:rPr>
        <w:t>PESTLE analysis</w:t>
      </w:r>
      <w:bookmarkEnd w:id="1"/>
    </w:p>
    <w:p>
      <w:pPr>
        <w:spacing w:line="360" w:lineRule="auto"/>
        <w:jc w:val="both"/>
        <w:rPr>
          <w:rFonts w:ascii="Times New Roman" w:hAnsi="Times New Roman" w:cs="Times New Roman"/>
          <w:sz w:val="24"/>
          <w:szCs w:val="24"/>
        </w:rPr>
      </w:pPr>
      <w:r>
        <w:rPr>
          <w:rFonts w:ascii="Times New Roman" w:hAnsi="Times New Roman" w:cs="Times New Roman"/>
          <w:sz w:val="24"/>
          <w:szCs w:val="24"/>
        </w:rPr>
        <w:t>PESTLE analysis of INEOS as a chemical company has been carried out for improving the strategic performance of the company.</w:t>
      </w:r>
      <w:r>
        <w:rPr>
          <w:rFonts w:ascii="Times New Roman" w:hAnsi="Times New Roman" w:cs="Times New Roman"/>
          <w:sz w:val="24"/>
          <w:szCs w:val="24"/>
          <w:lang w:val="en-GB"/>
        </w:rPr>
        <w:t xml:space="preserve"> </w:t>
      </w:r>
      <w:r>
        <w:rPr>
          <w:rFonts w:ascii="Times New Roman" w:hAnsi="Times New Roman" w:cs="Times New Roman"/>
          <w:sz w:val="24"/>
          <w:szCs w:val="24"/>
        </w:rPr>
        <w:t xml:space="preserve">The United Kingdom is a developed country that ranks fifth in Europe with its nominal Gross Domestic Product and is a sixth country while considering PPP Purchasing Power Parity. A permanent seat is considered on United Nations Security Council with economic cooperation and development. The political, economic, social, technological, legal and environmental factors affect in the company operations as these are the factors that help to consider the growth and opportunities of the business (Yüksel, 2012). </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Political factors:</w:t>
      </w:r>
      <w:r>
        <w:rPr>
          <w:rFonts w:ascii="Times New Roman" w:hAnsi="Times New Roman" w:cs="Times New Roman"/>
          <w:sz w:val="24"/>
          <w:szCs w:val="24"/>
        </w:rPr>
        <w:t xml:space="preserve"> With the inception of the Industrial Revolution, the first industrialized country was the UK government with significant growth factor to be noticed in early 20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century. Political factor are the external factors that are considered towards growth in the company’s operations. There are government policies and political stability that work towards working on important decisions to be made by INEOS. Industry regulations lead to a major impact on the company growth with the impact of political factors that hinder the business with a certain perspective (Oxford Learning Lab, 2012).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Due to adequate levels of political stability of this proactive government, it can concentrate on the areas of providing unique opportunities and scopes to the business initiatives (</w:t>
      </w:r>
      <w:r>
        <w:rPr>
          <w:rFonts w:ascii="Times New Roman" w:hAnsi="Times New Roman" w:cs="Times New Roman"/>
          <w:sz w:val="24"/>
          <w:szCs w:val="24"/>
          <w:shd w:val="clear" w:color="auto" w:fill="FFFFFF"/>
        </w:rPr>
        <w:t>Dockalikova&amp;Klozikova, 2014</w:t>
      </w:r>
      <w:r>
        <w:rPr>
          <w:rFonts w:ascii="Times New Roman" w:hAnsi="Times New Roman" w:cs="Times New Roman"/>
          <w:sz w:val="24"/>
          <w:szCs w:val="24"/>
        </w:rPr>
        <w:t>).It is observed that the steps adopted by the UK Government for addressing the deteriorating economy, the aspects of fiscal and monetary policies are very important steps by the UK Government towards developing the overall business and industrial environment in UK. Apart from this, during 2011-12, the important step taken by the government for helping and reviving banks for the aim of restricting the growing unemployment was an effective step controlling the growing unemployment in the country (</w:t>
      </w:r>
      <w:r>
        <w:rPr>
          <w:rFonts w:ascii="Times New Roman" w:hAnsi="Times New Roman" w:cs="Times New Roman"/>
          <w:sz w:val="24"/>
          <w:szCs w:val="24"/>
          <w:shd w:val="clear" w:color="auto" w:fill="FFFFFF"/>
        </w:rPr>
        <w:t>Grünig&amp;Kühn, 2015</w:t>
      </w: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UK is also one of the most attractive destinations for the Foreign Direct Investments. Most of the important business brands from around the world markets have expanded their business in UK along with investing fair amount in a variety of industries in the country.This initiatives taken by UK for helping all those brands and business initiatives have opened the doors of further investment in the industrial sector of UK. However, though particular level of uncertainty has been developed due to the political reasons following Brexit incident but to many of the analytics, this will open the doors to immense scopes and opportunities for the country in future (</w:t>
      </w:r>
      <w:r>
        <w:rPr>
          <w:rFonts w:ascii="Times New Roman" w:hAnsi="Times New Roman" w:cs="Times New Roman"/>
          <w:sz w:val="24"/>
          <w:szCs w:val="24"/>
          <w:shd w:val="clear" w:color="auto" w:fill="FFFFFF"/>
        </w:rPr>
        <w:t>Grünig&amp;Morschett, 2017</w:t>
      </w: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Economic factors:</w:t>
      </w:r>
      <w:r>
        <w:rPr>
          <w:rFonts w:ascii="Times New Roman" w:hAnsi="Times New Roman" w:cs="Times New Roman"/>
          <w:sz w:val="24"/>
          <w:szCs w:val="24"/>
        </w:rPr>
        <w:t xml:space="preserve"> The current situation of UK has led to a major trend of growth which seems that the currency inflation has reduced. The country has recovered from financial crisis currently but has still remained in the sluggish stage where there is no growth into work. It is important that the country concentrates on rising productivity and not focused on the growth of work. INEOS would find a difficult situation after analyzing the economic growth of the country as the economic condition of the country depends on the current growth of the company.</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UK is the country that has the 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largest GDP considering from the perspectives of position in global level and UK is second only from this considerations after Germany in the whole Europe. The existence of the diversified economy with larger private and public sectors in the country has been one of the larger strength of UK considering from the financial situations in the country (</w:t>
      </w:r>
      <w:r>
        <w:rPr>
          <w:rFonts w:ascii="Times New Roman" w:hAnsi="Times New Roman" w:cs="Times New Roman"/>
          <w:sz w:val="24"/>
          <w:szCs w:val="24"/>
          <w:shd w:val="clear" w:color="auto" w:fill="FFFFFF"/>
        </w:rPr>
        <w:t>Anton, 2015</w:t>
      </w:r>
      <w:r>
        <w:rPr>
          <w:rFonts w:ascii="Times New Roman" w:hAnsi="Times New Roman" w:cs="Times New Roman"/>
          <w:sz w:val="24"/>
          <w:szCs w:val="24"/>
        </w:rPr>
        <w:t>). It has helped in gaining some additional advantages for the business and trade initiatives when the organizations area operating in the UK market. This particular advantage of diversified economy in the free financial market of the UK has increased the opportunity of attracting Foreign Direct Investment in UK. The nominal GDP of the 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largest economy</w:t>
      </w:r>
      <w:r>
        <w:rPr>
          <w:rFonts w:ascii="Times New Roman" w:hAnsi="Times New Roman" w:cs="Times New Roman"/>
          <w:sz w:val="24"/>
          <w:szCs w:val="24"/>
          <w:lang w:val="en-GB"/>
        </w:rPr>
        <w:t xml:space="preserve"> </w:t>
      </w:r>
      <w:r>
        <w:rPr>
          <w:rFonts w:ascii="Times New Roman" w:hAnsi="Times New Roman" w:cs="Times New Roman"/>
          <w:sz w:val="24"/>
          <w:szCs w:val="24"/>
        </w:rPr>
        <w:t>also has helped the country in achieving such financial positions. Though, economic recession, from time to time, has put the UK economy in trouble but necessary steps were adopted by the Government for dealing with those situations in meaningful ways (</w:t>
      </w:r>
      <w:r>
        <w:rPr>
          <w:rFonts w:ascii="Times New Roman" w:hAnsi="Times New Roman" w:cs="Times New Roman"/>
          <w:sz w:val="24"/>
          <w:szCs w:val="24"/>
          <w:shd w:val="clear" w:color="auto" w:fill="FFFFFF"/>
        </w:rPr>
        <w:t>Grünig&amp;Kühn, 2015</w:t>
      </w:r>
      <w:r>
        <w:rPr>
          <w:rFonts w:ascii="Times New Roman" w:hAnsi="Times New Roman" w:cs="Times New Roman"/>
          <w:sz w:val="24"/>
          <w:szCs w:val="24"/>
        </w:rPr>
        <w:t>).</w:t>
      </w:r>
    </w:p>
    <w:p>
      <w:pPr>
        <w:spacing w:line="360" w:lineRule="auto"/>
        <w:jc w:val="both"/>
        <w:rPr>
          <w:rFonts w:ascii="Times New Roman" w:hAnsi="Times New Roman" w:cs="Times New Roman"/>
          <w:b/>
          <w:sz w:val="24"/>
          <w:szCs w:val="24"/>
        </w:rPr>
      </w:pPr>
      <w:r>
        <w:rPr>
          <w:rFonts w:ascii="Times New Roman" w:hAnsi="Times New Roman" w:cs="Times New Roman"/>
          <w:sz w:val="24"/>
          <w:szCs w:val="24"/>
        </w:rPr>
        <w:t>The British households faced specific challenges during 2017, when</w:t>
      </w:r>
      <w:r>
        <w:rPr>
          <w:rFonts w:ascii="Times New Roman" w:hAnsi="Times New Roman" w:cs="Times New Roman"/>
          <w:sz w:val="24"/>
          <w:szCs w:val="24"/>
          <w:lang w:val="en-GB"/>
        </w:rPr>
        <w:t xml:space="preserve"> </w:t>
      </w:r>
      <w:r>
        <w:rPr>
          <w:rFonts w:ascii="Times New Roman" w:hAnsi="Times New Roman" w:cs="Times New Roman"/>
          <w:sz w:val="24"/>
          <w:szCs w:val="24"/>
        </w:rPr>
        <w:t>prices in the shops rose at the considerably fast rates due to the increase of the weak pound and thereby increase of the cost of goods importing to UK. However, the wages did not go high in line with the increased prices. The rate of inflation went to 3.1% during 2017 and 2% inflation target has been set by the Bank of England during this time (</w:t>
      </w:r>
      <w:r>
        <w:rPr>
          <w:rFonts w:ascii="Times New Roman" w:hAnsi="Times New Roman" w:cs="Times New Roman"/>
          <w:sz w:val="24"/>
          <w:szCs w:val="24"/>
          <w:shd w:val="clear" w:color="auto" w:fill="FFFFFF"/>
        </w:rPr>
        <w:t>Grünig&amp;Morschett, 2017</w:t>
      </w:r>
      <w:r>
        <w:rPr>
          <w:rFonts w:ascii="Times New Roman" w:hAnsi="Times New Roman" w:cs="Times New Roman"/>
          <w:sz w:val="24"/>
          <w:szCs w:val="24"/>
        </w:rPr>
        <w:t>).</w:t>
      </w:r>
      <w:r>
        <w:rPr>
          <w:rFonts w:ascii="Times New Roman" w:hAnsi="Times New Roman" w:cs="Times New Roman"/>
          <w:sz w:val="24"/>
          <w:szCs w:val="24"/>
          <w:lang w:val="en-GB"/>
        </w:rPr>
        <w:t xml:space="preserve"> T</w:t>
      </w:r>
      <w:r>
        <w:rPr>
          <w:rFonts w:ascii="Times New Roman" w:hAnsi="Times New Roman" w:cs="Times New Roman"/>
          <w:sz w:val="24"/>
          <w:szCs w:val="24"/>
        </w:rPr>
        <w:t>he falling sterling rate will be helpful in easing the situation of current account deficit position for the UK, which will help in decrease of the burden of UK economy.Therefore, these are the importance of the overall financial area of UK that will help the government in taking the effective steps for helping industrial and business</w:t>
      </w:r>
      <w:r>
        <w:rPr>
          <w:rFonts w:ascii="Times New Roman" w:hAnsi="Times New Roman" w:cs="Times New Roman"/>
          <w:sz w:val="24"/>
          <w:szCs w:val="24"/>
          <w:lang w:val="en-GB"/>
        </w:rPr>
        <w:t xml:space="preserve"> </w:t>
      </w:r>
      <w:r>
        <w:rPr>
          <w:rFonts w:ascii="Times New Roman" w:hAnsi="Times New Roman" w:cs="Times New Roman"/>
          <w:sz w:val="24"/>
          <w:szCs w:val="24"/>
        </w:rPr>
        <w:t>initiatives and establishment in the country. This will definitely help INEOS in finding the right opportunity of development while operating in the UK market.</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Social factors:</w:t>
      </w:r>
      <w:r>
        <w:rPr>
          <w:rFonts w:ascii="Times New Roman" w:hAnsi="Times New Roman" w:cs="Times New Roman"/>
          <w:sz w:val="24"/>
          <w:szCs w:val="24"/>
        </w:rPr>
        <w:t xml:space="preserve"> For growth reasons, social factors are analyzed as it is important to know the cultural norms, attitudes of the product, consumer preferences and gender distribution. UK considers a equal opportunities for men and women while youth in the country are more compared to the other age people. Consumers prefer various products that improve the life standard of the people. Solvents, bio</w:t>
      </w:r>
      <w:r>
        <w:rPr>
          <w:rFonts w:ascii="Times New Roman" w:hAnsi="Times New Roman" w:cs="Times New Roman"/>
          <w:sz w:val="24"/>
          <w:szCs w:val="24"/>
          <w:lang w:val="en-GB"/>
        </w:rPr>
        <w:t>-</w:t>
      </w:r>
      <w:r>
        <w:rPr>
          <w:rFonts w:ascii="Times New Roman" w:hAnsi="Times New Roman" w:cs="Times New Roman"/>
          <w:sz w:val="24"/>
          <w:szCs w:val="24"/>
        </w:rPr>
        <w:t xml:space="preserve">fuels, chlorine, synthetic oils, modern plastics and automotive parts are manufactured by INEOS, these are highly been used by the people in day to day life while it helps to enhance the modern life approach.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As per the released data during July, 2017 by Office of National Statistics, population in UK was 65.6 million in 2016. It is highly hopeful that population growth in the country has outnumbered the death rate, which is also the reflection that the UK society has been sincere regarding proper maintenance of the important factors for living.The population of the UK is expected to reach the number of 74 million by 2039 (</w:t>
      </w:r>
      <w:r>
        <w:rPr>
          <w:rFonts w:ascii="Times New Roman" w:hAnsi="Times New Roman" w:cs="Times New Roman"/>
          <w:sz w:val="24"/>
          <w:szCs w:val="24"/>
          <w:shd w:val="clear" w:color="auto" w:fill="FFFFFF"/>
        </w:rPr>
        <w:t>Dockalikova&amp;Klozikova, 2014</w:t>
      </w:r>
      <w:r>
        <w:rPr>
          <w:rFonts w:ascii="Times New Roman" w:hAnsi="Times New Roman" w:cs="Times New Roman"/>
          <w:sz w:val="24"/>
          <w:szCs w:val="24"/>
        </w:rPr>
        <w:t>). Due to the significant rise of the aged population in the UK society, this has greater implications on the overall heath and labor market in UK. The organizations have lots of scopes for catering with the needs of older population. Therefore, similar are the opportunity scopes for INEOS by development of its product market for particularly helping the aged population in UK with offering many different products and services.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multicultural population in UK is also another highly effective scope for all levels of industrial fields. This has been helpful fir the companies in caser of developing the variety if new products and markets for catering the requirements of different</w:t>
      </w:r>
      <w:r>
        <w:rPr>
          <w:rFonts w:ascii="Times New Roman" w:hAnsi="Times New Roman" w:cs="Times New Roman"/>
          <w:sz w:val="24"/>
          <w:szCs w:val="24"/>
          <w:lang w:val="en-GB"/>
        </w:rPr>
        <w:t xml:space="preserve"> </w:t>
      </w:r>
      <w:r>
        <w:rPr>
          <w:rFonts w:ascii="Times New Roman" w:hAnsi="Times New Roman" w:cs="Times New Roman"/>
          <w:sz w:val="24"/>
          <w:szCs w:val="24"/>
        </w:rPr>
        <w:t>religions and races.Thus, for the companies like INEOS have similar opportunities for exploring in the UK business market (</w:t>
      </w:r>
      <w:r>
        <w:rPr>
          <w:rFonts w:ascii="Times New Roman" w:hAnsi="Times New Roman" w:cs="Times New Roman"/>
          <w:sz w:val="24"/>
          <w:szCs w:val="24"/>
          <w:shd w:val="clear" w:color="auto" w:fill="FFFFFF"/>
        </w:rPr>
        <w:t>Grünig&amp;Kühn, 2015</w:t>
      </w:r>
      <w:r>
        <w:rPr>
          <w:rFonts w:ascii="Times New Roman" w:hAnsi="Times New Roman" w:cs="Times New Roman"/>
          <w:sz w:val="24"/>
          <w:szCs w:val="24"/>
        </w:rPr>
        <w:t>).In addition to this, UK has been one of the most important countries that have highly educated base of population and they are ever aware of the needs and utilities of the many different kinds of business opportunities and products and services.</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Technological factors:</w:t>
      </w:r>
      <w:r>
        <w:rPr>
          <w:rFonts w:ascii="Times New Roman" w:hAnsi="Times New Roman" w:cs="Times New Roman"/>
          <w:sz w:val="24"/>
          <w:szCs w:val="24"/>
        </w:rPr>
        <w:t xml:space="preserve"> The advanced techniques and tools are the basic requirement for any country thereby accepting the latest challenges and working towards growth leads to a major intention of increased sales volume for the company. INEOS is a chemical industry that lies an impact towards growth for preserving the telecommunications and electrical materials for houses. There are modern techniques used for improving these criteria in order to work towards a successful industry in the UK economy (Pestle Analysis, 2015). Advanced research has led to a developmental stage in chemical industry, thereby INEOS benefits with the latest trends in the business. The latest trends used in chemical industry affects the productivity of the company. While increase in the productivity helps to increase the business and growth (Feys&amp;Probert, 2015). The marketing strategies focus on digital strategies to be used that help in automation and product enlargement.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Technology sector has been one of the top</w:t>
      </w:r>
      <w:r>
        <w:rPr>
          <w:rFonts w:ascii="Times New Roman" w:hAnsi="Times New Roman" w:cs="Times New Roman"/>
          <w:sz w:val="24"/>
          <w:szCs w:val="24"/>
          <w:lang w:val="en-GB"/>
        </w:rPr>
        <w:t xml:space="preserve"> </w:t>
      </w:r>
      <w:r>
        <w:rPr>
          <w:rFonts w:ascii="Times New Roman" w:hAnsi="Times New Roman" w:cs="Times New Roman"/>
          <w:sz w:val="24"/>
          <w:szCs w:val="24"/>
        </w:rPr>
        <w:t>most contributors to the UK economy and the government is much supportive and careful regarding helping technological development in the country. The society is also technology conscious in significant ways</w:t>
      </w:r>
      <w:r>
        <w:rPr>
          <w:rFonts w:ascii="Times New Roman" w:hAnsi="Times New Roman" w:cs="Times New Roman"/>
          <w:sz w:val="24"/>
          <w:szCs w:val="24"/>
          <w:lang w:val="en-GB"/>
        </w:rPr>
        <w:t xml:space="preserve">. </w:t>
      </w:r>
      <w:r>
        <w:rPr>
          <w:rFonts w:ascii="Times New Roman" w:hAnsi="Times New Roman" w:cs="Times New Roman"/>
          <w:sz w:val="24"/>
          <w:szCs w:val="24"/>
        </w:rPr>
        <w:t>London is an important hub for both of the financial and technological institutions (</w:t>
      </w:r>
      <w:r>
        <w:rPr>
          <w:rFonts w:ascii="Times New Roman" w:hAnsi="Times New Roman" w:cs="Times New Roman"/>
          <w:sz w:val="24"/>
          <w:szCs w:val="24"/>
          <w:shd w:val="clear" w:color="auto" w:fill="FFFFFF"/>
        </w:rPr>
        <w:t>Dockalikova&amp;Klozikova, 2014</w:t>
      </w:r>
      <w:r>
        <w:rPr>
          <w:rFonts w:ascii="Times New Roman" w:hAnsi="Times New Roman" w:cs="Times New Roman"/>
          <w:sz w:val="24"/>
          <w:szCs w:val="24"/>
        </w:rPr>
        <w:t>). With the help of the new technological development and implementation in the industrial fields, all sorts of business organizations are developing their</w:t>
      </w:r>
      <w:r>
        <w:rPr>
          <w:rFonts w:ascii="Times New Roman" w:hAnsi="Times New Roman" w:cs="Times New Roman"/>
          <w:sz w:val="24"/>
          <w:szCs w:val="24"/>
          <w:lang w:val="en-GB"/>
        </w:rPr>
        <w:t xml:space="preserve"> </w:t>
      </w:r>
      <w:r>
        <w:rPr>
          <w:rFonts w:ascii="Times New Roman" w:hAnsi="Times New Roman" w:cs="Times New Roman"/>
          <w:sz w:val="24"/>
          <w:szCs w:val="24"/>
        </w:rPr>
        <w:t>opportunities of working by embracing this technological scope in UK.</w:t>
      </w:r>
      <w:r>
        <w:rPr>
          <w:rFonts w:ascii="Times New Roman" w:hAnsi="Times New Roman" w:cs="Times New Roman"/>
          <w:sz w:val="24"/>
          <w:szCs w:val="24"/>
          <w:lang w:val="en-GB"/>
        </w:rPr>
        <w:t xml:space="preserve"> </w:t>
      </w:r>
      <w:r>
        <w:rPr>
          <w:rFonts w:ascii="Times New Roman" w:hAnsi="Times New Roman" w:cs="Times New Roman"/>
          <w:sz w:val="24"/>
          <w:szCs w:val="24"/>
        </w:rPr>
        <w:t>In addition to, this rapid advancement in technology field has helped the business initiatives in development of its technological infrastructure by offering the entrepreneurs with unlimited opportunities for doing business in UK successfully.In the thoughts of</w:t>
      </w:r>
      <w:r>
        <w:rPr>
          <w:rFonts w:ascii="Times New Roman" w:hAnsi="Times New Roman" w:cs="Times New Roman"/>
          <w:sz w:val="24"/>
          <w:szCs w:val="24"/>
          <w:lang w:val="en-GB"/>
        </w:rPr>
        <w:t xml:space="preserve"> </w:t>
      </w:r>
      <w:r>
        <w:rPr>
          <w:rFonts w:ascii="Times New Roman" w:hAnsi="Times New Roman" w:cs="Times New Roman"/>
          <w:sz w:val="24"/>
          <w:szCs w:val="24"/>
          <w:shd w:val="clear" w:color="auto" w:fill="FFFFFF"/>
        </w:rPr>
        <w:t>Anton (2015)</w:t>
      </w:r>
      <w:r>
        <w:rPr>
          <w:rFonts w:ascii="Times New Roman" w:hAnsi="Times New Roman" w:cs="Times New Roman"/>
          <w:sz w:val="24"/>
          <w:szCs w:val="24"/>
        </w:rPr>
        <w:t>, lots of talents and investment are coming in the technological sector in UK and this is effective in case of helping the new businesses in their investment and technological infrastructure development.</w:t>
      </w:r>
      <w:r>
        <w:rPr>
          <w:rFonts w:ascii="Times New Roman" w:hAnsi="Times New Roman" w:cs="Times New Roman"/>
          <w:sz w:val="24"/>
          <w:szCs w:val="24"/>
          <w:lang w:val="en-GB"/>
        </w:rPr>
        <w:t xml:space="preserve"> </w:t>
      </w:r>
      <w:r>
        <w:rPr>
          <w:rFonts w:ascii="Times New Roman" w:hAnsi="Times New Roman" w:cs="Times New Roman"/>
          <w:sz w:val="24"/>
          <w:szCs w:val="24"/>
        </w:rPr>
        <w:t>Technological the overall investment in the technology sector of UK is even higher that France and Germany. Thus, a technological factor in the UK market has been one of the most influential factors for business sectors that will definitely be helpful for INEOS  (</w:t>
      </w:r>
      <w:r>
        <w:rPr>
          <w:rFonts w:ascii="Times New Roman" w:hAnsi="Times New Roman" w:cs="Times New Roman"/>
          <w:sz w:val="24"/>
          <w:szCs w:val="24"/>
          <w:shd w:val="clear" w:color="auto" w:fill="FFFFFF"/>
        </w:rPr>
        <w:t>Dockalikova&amp;Klozikova, 2014</w:t>
      </w:r>
      <w:r>
        <w:rPr>
          <w:rFonts w:ascii="Times New Roman" w:hAnsi="Times New Roman" w:cs="Times New Roman"/>
          <w:sz w:val="24"/>
          <w:szCs w:val="24"/>
        </w:rPr>
        <w:t>).</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Legal factors:</w:t>
      </w:r>
      <w:r>
        <w:rPr>
          <w:rFonts w:ascii="Times New Roman" w:hAnsi="Times New Roman" w:cs="Times New Roman"/>
          <w:sz w:val="24"/>
          <w:szCs w:val="24"/>
        </w:rPr>
        <w:t xml:space="preserve"> There are several legislative issues that contribute towards a particular situation of the business. As such the consumer protection laws are important for improving the legal aspect of the business by INEOS. The health and safety laws are most important in the chemical industry which will decide the employee engagement and employee retention rate. INEOS works on employee safety which is the prime objective to be carried out with certain rules and regulations for the business. The chemical products are allowed in the market as it helps to maintain the business standards and comply towards growth when people are satisfied with the business practices of INEOS in the UK market. </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Environmental factors:</w:t>
      </w:r>
      <w:r>
        <w:rPr>
          <w:rFonts w:ascii="Times New Roman" w:hAnsi="Times New Roman" w:cs="Times New Roman"/>
          <w:sz w:val="24"/>
          <w:szCs w:val="24"/>
        </w:rPr>
        <w:t xml:space="preserve"> INEOS focuses on sustainability and waste management. Chemical industries have mainly focused in maintaining the environment and considering growth of the company. Pollution rate is highest in chemical industry thereby there are efforts by INEOS that consider the control of pollution implications in terms of air pollution and transportation. Green practices are applied and this helps to manage the business with measures taken to control pollution.  Therefore, operating in the UK market will surely be advantageous for the INEOS as it will get the benefit of legal and legislative supports for operating in sustainable and environment friendly ways. This is one of the most significant opportunities of operating in the UK market.</w:t>
      </w:r>
    </w:p>
    <w:p>
      <w:pPr>
        <w:pStyle w:val="2"/>
        <w:spacing w:line="360" w:lineRule="auto"/>
        <w:jc w:val="both"/>
        <w:rPr>
          <w:rFonts w:cs="Times New Roman"/>
          <w:color w:val="0000FF"/>
          <w:sz w:val="28"/>
          <w:szCs w:val="28"/>
        </w:rPr>
      </w:pPr>
      <w:bookmarkStart w:id="2" w:name="_Toc534921457"/>
      <w:r>
        <w:rPr>
          <w:rFonts w:cs="Times New Roman"/>
          <w:color w:val="0000FF"/>
          <w:sz w:val="28"/>
          <w:szCs w:val="28"/>
        </w:rPr>
        <w:t>Porter’s five forces</w:t>
      </w:r>
      <w:bookmarkEnd w:id="2"/>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Porter’s five forces provide competitive picture of INEOS that impact the profitability and sales of INEOS chemical company in the UK market. The company has a control over the impact of the approach that considers the growth of the company. There are five forces that impact the growth of the company such as threat of new entrants, threat of substitutes, bargaining power of suppliers, bargaining power of customers and industry rivals (Wikinson, 2014). The rapid change in the chemical industry has been observed in the economy and this reveals the real condition of INEOS while measuring the five forces model. The demand and the consumption of the product depends on the manufacturing facility of the UK market (Cadiat&amp;Probert, 2015). There are new production capacities that are being developed in the market with challenging forces. </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Industry rivals:</w:t>
      </w:r>
      <w:r>
        <w:rPr>
          <w:rFonts w:ascii="Times New Roman" w:hAnsi="Times New Roman" w:cs="Times New Roman"/>
          <w:sz w:val="24"/>
          <w:szCs w:val="24"/>
        </w:rPr>
        <w:t xml:space="preserve"> The chemical industry in the UK market is growing intensively which is a negative factor for INEOS as there are several competitors in the market. MossiGhisolfi Group, Borregaard ASA and Guardian Energy are the competitors of INEOS who have a tough fight in the chemical industry (Magretta, 2012). There are more than 10,000 firms operating in the country while observing in a research that produces more than 70,000 products in the market. It is difficult for the company to work on differentiation rate and produce effective results to consider the price of the products. INEOS have focused on differentiated products to be one among all. Therefore, it is clear that due to the ever growing presence of different chemical business organizations and firms in the UK market, considering from the overall perspectives, the rivals in the UK market have tough competition among them. Therefore, threat from the market rivals is high for the chemical based organization INEOS.</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Threat of new entrants:</w:t>
      </w:r>
      <w:r>
        <w:rPr>
          <w:rFonts w:ascii="Times New Roman" w:hAnsi="Times New Roman" w:cs="Times New Roman"/>
          <w:sz w:val="24"/>
          <w:szCs w:val="24"/>
        </w:rPr>
        <w:t xml:space="preserve"> The chemical industry has medium threat of new entrants in the UK market as the chemical industry has dominant players with a large investment in producing several products with a change in the global chemical production (Cameron, 2011). This is significantly noted that producers have a greater threat and have challenges that depend on the factors of improving the R&amp;D capabilities and management skills to improvise the business in the near future. Apart from this, the requirements of huge amount of capital and need for investing high cost for developing the infrastructure for creation of the significant protection barriers have been of higher importance. The new entrants cannot always bear the responsibility of investing such high cost in development of the overall infrastructure. Apart from this, other import5ant barriers are also there, which essentially involve the aspects of personal requirements and R&amp;D associated needs fulfillment. Considering the need of managing all these areas, it is clear that it is quite difficult for the new entrants to cope up with the existing chemical businesses in the UK markets and therefore, threat from the entrants is low.</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Bargaining power of customers:</w:t>
      </w:r>
      <w:r>
        <w:rPr>
          <w:rFonts w:ascii="Times New Roman" w:hAnsi="Times New Roman" w:cs="Times New Roman"/>
          <w:sz w:val="24"/>
          <w:szCs w:val="24"/>
        </w:rPr>
        <w:t xml:space="preserve"> The customers have a high bargaining power due to large variety of suppliers that produce a similar product. There are wide varieties and range of options that consider the buyer price and other purchase decisions (Wikinson, 2013). Online portals are used to search several suppliers details to meet their demands and needs. This can be of a great deal if the supplier has a online portal to communicate with consumer. In the UK market, the customers have the multiple sources for supplying the required products and services in case of the chemical products requirements.This has helped the customers in not relying on particular suppliers for required services.</w:t>
      </w:r>
      <w:r>
        <w:rPr>
          <w:rFonts w:ascii="Times New Roman" w:hAnsi="Times New Roman" w:cs="Times New Roman"/>
          <w:sz w:val="24"/>
          <w:szCs w:val="24"/>
          <w:lang w:val="en-GB"/>
        </w:rPr>
        <w:t xml:space="preserve"> </w:t>
      </w:r>
      <w:r>
        <w:rPr>
          <w:rFonts w:ascii="Times New Roman" w:hAnsi="Times New Roman" w:cs="Times New Roman"/>
          <w:sz w:val="24"/>
          <w:szCs w:val="24"/>
        </w:rPr>
        <w:t>Only the niche specialty</w:t>
      </w:r>
      <w:r>
        <w:rPr>
          <w:rFonts w:ascii="Times New Roman" w:hAnsi="Times New Roman" w:cs="Times New Roman"/>
          <w:sz w:val="24"/>
          <w:szCs w:val="24"/>
          <w:lang w:val="en-GB"/>
        </w:rPr>
        <w:t xml:space="preserve"> </w:t>
      </w:r>
      <w:r>
        <w:rPr>
          <w:rFonts w:ascii="Times New Roman" w:hAnsi="Times New Roman" w:cs="Times New Roman"/>
          <w:sz w:val="24"/>
          <w:szCs w:val="24"/>
        </w:rPr>
        <w:t>chemicals in the market have some pricing power. Therefore, bargaining power of the customers is high in the UK chemical industry market.</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Bargaining power of suppliers:</w:t>
      </w:r>
      <w:r>
        <w:rPr>
          <w:rFonts w:ascii="Times New Roman" w:hAnsi="Times New Roman" w:cs="Times New Roman"/>
          <w:sz w:val="24"/>
          <w:szCs w:val="24"/>
        </w:rPr>
        <w:t xml:space="preserve"> The bargaining power of suppliers is severely limited due to thousands of suppliers. The B2B portal that has details contains information of the companies thereby the bargaining power of suppliers is low in chemical industry in the UK market (Magretta, 2013). The small chemical organizations in UK are relying on suppliers from the larger plants as well as the petrochemical units in the UK market. Apart from this, there are lots of suppliers of the chemical products in the market. Therefore, the industry and the clients are not required to be reliant on the specific conditions and term of the suppliers and it is easy for the customers to swift their position. This is the reason why the suppliers in the UK chemical industry market do not enjoy higher range of bargaining powers.  Thus the bargaining power of the suppliers is low.</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Substitute products:</w:t>
      </w:r>
      <w:r>
        <w:rPr>
          <w:rFonts w:ascii="Times New Roman" w:hAnsi="Times New Roman" w:cs="Times New Roman"/>
          <w:sz w:val="24"/>
          <w:szCs w:val="24"/>
        </w:rPr>
        <w:t xml:space="preserve"> There are substitute products that are offered by a supplier and thereby the substitute product force is medium while considering the chemical industry. It is a difficult task for customers to focus on a substitute chemical product as there is a high degree of knowledge that is required for the supplier to use substitute products and consider the new low-cost product that is viable option for the business (Babatunde&amp;Adebisi, 2012). There can be significant competitive advantage felt by INEOS when considering the substitute products because consumers are offered wide range of products in terms of low-cost and quality product (Hines, 2013). Different categories of buyers of the chemical products in the UK market tend to demand specific chemical requirements and there are no scopes for having the opportunity of direct substitutes for specific chemical requirements. Therefore, threat from the substitute of the products is low in the UK chemical market.</w:t>
      </w:r>
    </w:p>
    <w:p>
      <w:pPr>
        <w:keepNext/>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3406140" cy="34290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stretch>
                      <a:fillRect/>
                    </a:stretch>
                  </pic:blipFill>
                  <pic:spPr>
                    <a:xfrm>
                      <a:off x="0" y="0"/>
                      <a:ext cx="3406140" cy="3429000"/>
                    </a:xfrm>
                    <a:prstGeom prst="rect">
                      <a:avLst/>
                    </a:prstGeom>
                  </pic:spPr>
                </pic:pic>
              </a:graphicData>
            </a:graphic>
          </wp:inline>
        </w:drawing>
      </w:r>
    </w:p>
    <w:p>
      <w:pPr>
        <w:pStyle w:val="4"/>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Figure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SEQ Figure \* ARABIC </w:instrText>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1</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Porter 5 Force Analysis of the Chemical Industry market in UK</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Source: (Babatunde&amp;Adebisi, 2012)</w:t>
      </w:r>
    </w:p>
    <w:p>
      <w:pPr>
        <w:pStyle w:val="2"/>
        <w:spacing w:line="360" w:lineRule="auto"/>
        <w:jc w:val="both"/>
        <w:rPr>
          <w:rFonts w:cs="Times New Roman"/>
          <w:color w:val="0000FF"/>
          <w:sz w:val="28"/>
          <w:szCs w:val="28"/>
        </w:rPr>
      </w:pPr>
      <w:bookmarkStart w:id="3" w:name="_Toc534921458"/>
      <w:r>
        <w:rPr>
          <w:rFonts w:cs="Times New Roman"/>
          <w:color w:val="0000FF"/>
          <w:sz w:val="28"/>
          <w:szCs w:val="28"/>
        </w:rPr>
        <w:t>SWOT analysis</w:t>
      </w:r>
      <w:bookmarkEnd w:id="3"/>
      <w:r>
        <w:rPr>
          <w:rFonts w:cs="Times New Roman"/>
          <w:color w:val="0000FF"/>
          <w:sz w:val="28"/>
          <w:szCs w:val="28"/>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strategic SWOT analysis review deals with a comprehensive insight of company’s strategic operations and structure. SWOT analysis deals with internal and external information of INEOS Group. The information about strength, weaknesses, threats and opportunities are focused here. </w:t>
      </w:r>
    </w:p>
    <w:tbl>
      <w:tblPr>
        <w:tblStyle w:val="11"/>
        <w:tblW w:w="957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788"/>
        <w:gridCol w:w="478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Ex>
        <w:tc>
          <w:tcPr>
            <w:tcW w:w="4788" w:type="dxa"/>
          </w:tcPr>
          <w:p>
            <w:pPr>
              <w:spacing w:after="0" w:line="360" w:lineRule="auto"/>
              <w:jc w:val="both"/>
              <w:rPr>
                <w:rFonts w:ascii="Times New Roman" w:hAnsi="Times New Roman" w:cs="Times New Roman"/>
                <w:sz w:val="24"/>
                <w:szCs w:val="24"/>
                <w:highlight w:val="none"/>
                <w:shd w:val="clear" w:color="auto" w:fill="auto"/>
              </w:rPr>
            </w:pPr>
            <w:r>
              <w:rPr>
                <w:rFonts w:ascii="Times New Roman" w:hAnsi="Times New Roman" w:cs="Times New Roman"/>
                <w:b/>
                <w:bCs/>
                <w:sz w:val="24"/>
                <w:szCs w:val="24"/>
                <w:highlight w:val="none"/>
                <w:shd w:val="clear" w:color="auto" w:fill="auto"/>
              </w:rPr>
              <w:t xml:space="preserve">Strength </w:t>
            </w:r>
          </w:p>
          <w:p>
            <w:pPr>
              <w:pStyle w:val="17"/>
              <w:numPr>
                <w:ilvl w:val="0"/>
                <w:numId w:val="1"/>
              </w:numPr>
              <w:spacing w:after="0" w:line="360" w:lineRule="auto"/>
              <w:jc w:val="both"/>
              <w:rPr>
                <w:rFonts w:ascii="Times New Roman" w:hAnsi="Times New Roman" w:cs="Times New Roman"/>
                <w:sz w:val="24"/>
                <w:szCs w:val="24"/>
                <w:highlight w:val="none"/>
                <w:shd w:val="clear" w:color="auto" w:fill="auto"/>
              </w:rPr>
            </w:pPr>
            <w:r>
              <w:rPr>
                <w:rFonts w:ascii="Times New Roman" w:hAnsi="Times New Roman" w:cs="Times New Roman"/>
                <w:sz w:val="24"/>
                <w:szCs w:val="24"/>
                <w:highlight w:val="none"/>
                <w:shd w:val="clear" w:color="auto" w:fill="auto"/>
              </w:rPr>
              <w:t xml:space="preserve">Wide products </w:t>
            </w:r>
          </w:p>
          <w:p>
            <w:pPr>
              <w:pStyle w:val="17"/>
              <w:numPr>
                <w:ilvl w:val="0"/>
                <w:numId w:val="1"/>
              </w:numPr>
              <w:spacing w:after="0" w:line="360" w:lineRule="auto"/>
              <w:jc w:val="both"/>
              <w:rPr>
                <w:rFonts w:ascii="Times New Roman" w:hAnsi="Times New Roman" w:cs="Times New Roman"/>
                <w:sz w:val="24"/>
                <w:szCs w:val="24"/>
                <w:highlight w:val="none"/>
                <w:shd w:val="clear" w:color="auto" w:fill="auto"/>
              </w:rPr>
            </w:pPr>
            <w:r>
              <w:rPr>
                <w:rFonts w:ascii="Times New Roman" w:hAnsi="Times New Roman" w:cs="Times New Roman"/>
                <w:sz w:val="24"/>
                <w:szCs w:val="24"/>
                <w:highlight w:val="none"/>
                <w:shd w:val="clear" w:color="auto" w:fill="auto"/>
              </w:rPr>
              <w:t xml:space="preserve">Differentiated market </w:t>
            </w:r>
          </w:p>
          <w:p>
            <w:pPr>
              <w:pStyle w:val="17"/>
              <w:numPr>
                <w:ilvl w:val="0"/>
                <w:numId w:val="1"/>
              </w:numPr>
              <w:spacing w:after="0" w:line="360" w:lineRule="auto"/>
              <w:jc w:val="both"/>
              <w:rPr>
                <w:rFonts w:ascii="Times New Roman" w:hAnsi="Times New Roman" w:cs="Times New Roman"/>
                <w:sz w:val="24"/>
                <w:szCs w:val="24"/>
                <w:highlight w:val="none"/>
                <w:shd w:val="clear" w:color="auto" w:fill="auto"/>
              </w:rPr>
            </w:pPr>
            <w:r>
              <w:rPr>
                <w:rFonts w:ascii="Times New Roman" w:hAnsi="Times New Roman" w:cs="Times New Roman"/>
                <w:sz w:val="24"/>
                <w:szCs w:val="24"/>
                <w:highlight w:val="none"/>
                <w:shd w:val="clear" w:color="auto" w:fill="auto"/>
              </w:rPr>
              <w:t xml:space="preserve">Strong position in the market </w:t>
            </w:r>
          </w:p>
        </w:tc>
        <w:tc>
          <w:tcPr>
            <w:tcW w:w="4788" w:type="dxa"/>
          </w:tcPr>
          <w:p>
            <w:pPr>
              <w:spacing w:after="0" w:line="360" w:lineRule="auto"/>
              <w:jc w:val="both"/>
              <w:rPr>
                <w:rFonts w:ascii="Times New Roman" w:hAnsi="Times New Roman" w:cs="Times New Roman"/>
                <w:b/>
                <w:bCs/>
                <w:sz w:val="24"/>
                <w:szCs w:val="24"/>
                <w:highlight w:val="none"/>
                <w:shd w:val="clear" w:color="auto" w:fill="auto"/>
              </w:rPr>
            </w:pPr>
            <w:r>
              <w:rPr>
                <w:rFonts w:ascii="Times New Roman" w:hAnsi="Times New Roman" w:cs="Times New Roman"/>
                <w:b/>
                <w:bCs/>
                <w:sz w:val="24"/>
                <w:szCs w:val="24"/>
                <w:highlight w:val="none"/>
                <w:shd w:val="clear" w:color="auto" w:fill="auto"/>
              </w:rPr>
              <w:t xml:space="preserve">Weakness </w:t>
            </w:r>
          </w:p>
          <w:p>
            <w:pPr>
              <w:pStyle w:val="17"/>
              <w:numPr>
                <w:ilvl w:val="0"/>
                <w:numId w:val="2"/>
              </w:numPr>
              <w:spacing w:after="0" w:line="360" w:lineRule="auto"/>
              <w:jc w:val="both"/>
              <w:rPr>
                <w:rFonts w:ascii="Times New Roman" w:hAnsi="Times New Roman" w:cs="Times New Roman"/>
                <w:sz w:val="24"/>
                <w:szCs w:val="24"/>
                <w:highlight w:val="none"/>
                <w:shd w:val="clear" w:color="auto" w:fill="auto"/>
              </w:rPr>
            </w:pPr>
            <w:r>
              <w:rPr>
                <w:rFonts w:ascii="Times New Roman" w:hAnsi="Times New Roman" w:cs="Times New Roman"/>
                <w:sz w:val="24"/>
                <w:szCs w:val="24"/>
                <w:highlight w:val="none"/>
                <w:shd w:val="clear" w:color="auto" w:fill="auto"/>
              </w:rPr>
              <w:t>Lack of training and development programs</w:t>
            </w:r>
          </w:p>
          <w:p>
            <w:pPr>
              <w:pStyle w:val="17"/>
              <w:numPr>
                <w:ilvl w:val="0"/>
                <w:numId w:val="2"/>
              </w:numPr>
              <w:spacing w:after="0" w:line="360" w:lineRule="auto"/>
              <w:jc w:val="both"/>
              <w:rPr>
                <w:rFonts w:ascii="Times New Roman" w:hAnsi="Times New Roman" w:cs="Times New Roman"/>
                <w:sz w:val="24"/>
                <w:szCs w:val="24"/>
                <w:highlight w:val="none"/>
                <w:shd w:val="clear" w:color="auto" w:fill="auto"/>
              </w:rPr>
            </w:pPr>
            <w:r>
              <w:rPr>
                <w:rFonts w:ascii="Times New Roman" w:hAnsi="Times New Roman" w:cs="Times New Roman"/>
                <w:sz w:val="24"/>
                <w:szCs w:val="24"/>
                <w:highlight w:val="none"/>
                <w:shd w:val="clear" w:color="auto" w:fill="auto"/>
              </w:rPr>
              <w:t xml:space="preserve">Lack of transparency </w:t>
            </w:r>
          </w:p>
          <w:p>
            <w:pPr>
              <w:spacing w:after="0" w:line="360" w:lineRule="auto"/>
              <w:jc w:val="both"/>
              <w:rPr>
                <w:rFonts w:ascii="Times New Roman" w:hAnsi="Times New Roman" w:cs="Times New Roman"/>
                <w:sz w:val="24"/>
                <w:szCs w:val="24"/>
                <w:highlight w:val="none"/>
                <w:shd w:val="clear" w:color="auto" w:fill="aut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788" w:type="dxa"/>
          </w:tcPr>
          <w:p>
            <w:pPr>
              <w:spacing w:after="0" w:line="360" w:lineRule="auto"/>
              <w:jc w:val="both"/>
              <w:rPr>
                <w:rFonts w:ascii="Times New Roman" w:hAnsi="Times New Roman" w:cs="Times New Roman"/>
                <w:b/>
                <w:bCs/>
                <w:sz w:val="24"/>
                <w:szCs w:val="24"/>
                <w:highlight w:val="none"/>
                <w:shd w:val="clear" w:color="auto" w:fill="auto"/>
              </w:rPr>
            </w:pPr>
            <w:r>
              <w:rPr>
                <w:rFonts w:ascii="Times New Roman" w:hAnsi="Times New Roman" w:cs="Times New Roman"/>
                <w:b/>
                <w:bCs/>
                <w:sz w:val="24"/>
                <w:szCs w:val="24"/>
                <w:highlight w:val="none"/>
                <w:shd w:val="clear" w:color="auto" w:fill="auto"/>
              </w:rPr>
              <w:t xml:space="preserve">Opportunity </w:t>
            </w:r>
          </w:p>
          <w:p>
            <w:pPr>
              <w:pStyle w:val="17"/>
              <w:numPr>
                <w:ilvl w:val="0"/>
                <w:numId w:val="3"/>
              </w:numPr>
              <w:spacing w:after="0" w:line="360" w:lineRule="auto"/>
              <w:jc w:val="both"/>
              <w:rPr>
                <w:rFonts w:ascii="Times New Roman" w:hAnsi="Times New Roman" w:cs="Times New Roman"/>
                <w:sz w:val="24"/>
                <w:szCs w:val="24"/>
                <w:highlight w:val="none"/>
                <w:shd w:val="clear" w:color="auto" w:fill="auto"/>
              </w:rPr>
            </w:pPr>
            <w:r>
              <w:rPr>
                <w:rFonts w:ascii="Times New Roman" w:hAnsi="Times New Roman" w:cs="Times New Roman"/>
                <w:sz w:val="24"/>
                <w:szCs w:val="24"/>
                <w:highlight w:val="none"/>
                <w:shd w:val="clear" w:color="auto" w:fill="auto"/>
              </w:rPr>
              <w:t xml:space="preserve">Market expansion in several countries like India </w:t>
            </w:r>
          </w:p>
          <w:p>
            <w:pPr>
              <w:pStyle w:val="17"/>
              <w:numPr>
                <w:ilvl w:val="0"/>
                <w:numId w:val="3"/>
              </w:numPr>
              <w:spacing w:after="0" w:line="360" w:lineRule="auto"/>
              <w:jc w:val="both"/>
              <w:rPr>
                <w:rFonts w:ascii="Times New Roman" w:hAnsi="Times New Roman" w:cs="Times New Roman"/>
                <w:sz w:val="24"/>
                <w:szCs w:val="24"/>
                <w:highlight w:val="none"/>
                <w:shd w:val="clear" w:color="auto" w:fill="auto"/>
              </w:rPr>
            </w:pPr>
            <w:r>
              <w:rPr>
                <w:rFonts w:ascii="Times New Roman" w:hAnsi="Times New Roman" w:cs="Times New Roman"/>
                <w:sz w:val="24"/>
                <w:szCs w:val="24"/>
                <w:highlight w:val="none"/>
                <w:shd w:val="clear" w:color="auto" w:fill="auto"/>
              </w:rPr>
              <w:t xml:space="preserve">Key business elements can strongly work for acquisitions </w:t>
            </w:r>
          </w:p>
          <w:p>
            <w:pPr>
              <w:spacing w:after="0" w:line="360" w:lineRule="auto"/>
              <w:jc w:val="both"/>
              <w:rPr>
                <w:rFonts w:ascii="Times New Roman" w:hAnsi="Times New Roman" w:cs="Times New Roman"/>
                <w:sz w:val="24"/>
                <w:szCs w:val="24"/>
                <w:highlight w:val="none"/>
                <w:shd w:val="clear" w:color="auto" w:fill="auto"/>
              </w:rPr>
            </w:pPr>
          </w:p>
        </w:tc>
        <w:tc>
          <w:tcPr>
            <w:tcW w:w="4788" w:type="dxa"/>
          </w:tcPr>
          <w:p>
            <w:pPr>
              <w:spacing w:after="0" w:line="360" w:lineRule="auto"/>
              <w:jc w:val="both"/>
              <w:rPr>
                <w:rFonts w:ascii="Times New Roman" w:hAnsi="Times New Roman" w:cs="Times New Roman"/>
                <w:b/>
                <w:bCs/>
                <w:sz w:val="24"/>
                <w:szCs w:val="24"/>
                <w:highlight w:val="none"/>
                <w:shd w:val="clear" w:color="auto" w:fill="auto"/>
              </w:rPr>
            </w:pPr>
            <w:r>
              <w:rPr>
                <w:rFonts w:ascii="Times New Roman" w:hAnsi="Times New Roman" w:cs="Times New Roman"/>
                <w:b/>
                <w:bCs/>
                <w:sz w:val="24"/>
                <w:szCs w:val="24"/>
                <w:highlight w:val="none"/>
                <w:shd w:val="clear" w:color="auto" w:fill="auto"/>
              </w:rPr>
              <w:t xml:space="preserve">Threat </w:t>
            </w:r>
          </w:p>
          <w:p>
            <w:pPr>
              <w:pStyle w:val="17"/>
              <w:numPr>
                <w:ilvl w:val="0"/>
                <w:numId w:val="4"/>
              </w:numPr>
              <w:spacing w:after="0" w:line="360" w:lineRule="auto"/>
              <w:jc w:val="both"/>
              <w:rPr>
                <w:rFonts w:ascii="Times New Roman" w:hAnsi="Times New Roman" w:cs="Times New Roman"/>
                <w:sz w:val="24"/>
                <w:szCs w:val="24"/>
                <w:highlight w:val="none"/>
                <w:shd w:val="clear" w:color="auto" w:fill="auto"/>
              </w:rPr>
            </w:pPr>
            <w:r>
              <w:rPr>
                <w:rFonts w:ascii="Times New Roman" w:hAnsi="Times New Roman" w:cs="Times New Roman"/>
                <w:sz w:val="24"/>
                <w:szCs w:val="24"/>
                <w:highlight w:val="none"/>
                <w:shd w:val="clear" w:color="auto" w:fill="auto"/>
              </w:rPr>
              <w:t xml:space="preserve">Key competitors </w:t>
            </w:r>
          </w:p>
          <w:p>
            <w:pPr>
              <w:pStyle w:val="17"/>
              <w:numPr>
                <w:ilvl w:val="0"/>
                <w:numId w:val="4"/>
              </w:numPr>
              <w:spacing w:after="0" w:line="360" w:lineRule="auto"/>
              <w:jc w:val="both"/>
              <w:rPr>
                <w:rFonts w:ascii="Times New Roman" w:hAnsi="Times New Roman" w:cs="Times New Roman"/>
                <w:sz w:val="24"/>
                <w:szCs w:val="24"/>
                <w:highlight w:val="none"/>
                <w:shd w:val="clear" w:color="auto" w:fill="auto"/>
              </w:rPr>
            </w:pPr>
            <w:r>
              <w:rPr>
                <w:rFonts w:ascii="Times New Roman" w:hAnsi="Times New Roman" w:cs="Times New Roman"/>
                <w:sz w:val="24"/>
                <w:szCs w:val="24"/>
                <w:highlight w:val="none"/>
                <w:shd w:val="clear" w:color="auto" w:fill="auto"/>
              </w:rPr>
              <w:t xml:space="preserve">Increasing competitiveness </w:t>
            </w:r>
          </w:p>
          <w:p>
            <w:pPr>
              <w:spacing w:after="0" w:line="360" w:lineRule="auto"/>
              <w:jc w:val="both"/>
              <w:rPr>
                <w:rFonts w:ascii="Times New Roman" w:hAnsi="Times New Roman" w:cs="Times New Roman"/>
                <w:sz w:val="24"/>
                <w:szCs w:val="24"/>
                <w:highlight w:val="none"/>
                <w:shd w:val="clear" w:color="auto" w:fill="auto"/>
              </w:rPr>
            </w:pPr>
          </w:p>
        </w:tc>
      </w:tr>
    </w:tbl>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company’s key employees are the major strength of the company that means the HR department depicts the future of the company. The company’s product are one of the strength that the company has its vision towards achieving the results and performance of each of the product in every field (Ayub, 2013). The company manufactures several products and sells petrochemicals and several other products that offer a good service accordingly. The weakness lies in several area that include training and development and focusing on each of the department. The key competitors are the threat of the company that include Huntsman, Mossi Ghisofi Group and Guardian Energy. There are several areas that INEOS can focus on while expanding its market and services in several countries like India.  </w:t>
      </w:r>
    </w:p>
    <w:p>
      <w:pPr>
        <w:pStyle w:val="2"/>
        <w:spacing w:line="360" w:lineRule="auto"/>
        <w:jc w:val="both"/>
        <w:rPr>
          <w:rFonts w:cs="Times New Roman"/>
          <w:color w:val="0000FF"/>
          <w:sz w:val="28"/>
          <w:szCs w:val="28"/>
        </w:rPr>
      </w:pPr>
      <w:bookmarkStart w:id="4" w:name="_Toc534921459"/>
      <w:r>
        <w:rPr>
          <w:rFonts w:cs="Times New Roman"/>
          <w:color w:val="0000FF"/>
          <w:sz w:val="28"/>
          <w:szCs w:val="28"/>
        </w:rPr>
        <w:t>Strategic capability mapping</w:t>
      </w:r>
      <w:bookmarkEnd w:id="4"/>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Strategic capability mapping includes resources and capabilities of a company that are the success measures for the company. Moreover, the business capabilities are the set of tools and processes that are used by experts in order to manifest the production capacity and work towards delivering value in an organization. The business achieves growth while using the organizational skills and the resources that best match with the landscape in order to allow a spectrum growth of the company. There are tools and technologies that are designed in order to improve the holistic nature of business outcome. As such INEOS has used tangible resources, intangible resources and human resources in order to achieve a strong on boarding capability analysis. INEOS has a huge venture with a high degree of activities that help to attract stakeholders and a good alignment is felt with the complex nature of an organization. The benefits and </w:t>
      </w:r>
      <w:r>
        <w:rPr>
          <w:rFonts w:ascii="Times New Roman" w:hAnsi="Times New Roman" w:cs="Times New Roman"/>
          <w:sz w:val="24"/>
          <w:szCs w:val="24"/>
          <w:lang w:val="en-GB"/>
        </w:rPr>
        <w:t>dis-benefits</w:t>
      </w:r>
      <w:r>
        <w:rPr>
          <w:rFonts w:ascii="Times New Roman" w:hAnsi="Times New Roman" w:cs="Times New Roman"/>
          <w:sz w:val="24"/>
          <w:szCs w:val="24"/>
        </w:rPr>
        <w:t xml:space="preserve"> are the major emphasizes that have a massive power in order to refine the challenge that has upstream capability. There styrenics</w:t>
      </w:r>
      <w:r>
        <w:rPr>
          <w:rFonts w:ascii="Times New Roman" w:hAnsi="Times New Roman" w:cs="Times New Roman"/>
          <w:sz w:val="24"/>
          <w:szCs w:val="24"/>
          <w:lang w:val="en-GB"/>
        </w:rPr>
        <w:t xml:space="preserve"> </w:t>
      </w:r>
      <w:r>
        <w:rPr>
          <w:rFonts w:ascii="Times New Roman" w:hAnsi="Times New Roman" w:cs="Times New Roman"/>
          <w:sz w:val="24"/>
          <w:szCs w:val="24"/>
        </w:rPr>
        <w:t xml:space="preserve">business tend to put together the resources and capabilities of the business towards simply consider the reduced form of finance and human resource agenda for growth. </w:t>
      </w:r>
    </w:p>
    <w:tbl>
      <w:tblPr>
        <w:tblStyle w:val="11"/>
        <w:tblW w:w="957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788"/>
        <w:gridCol w:w="478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788" w:type="dxa"/>
          </w:tcPr>
          <w:p>
            <w:pPr>
              <w:spacing w:after="0" w:line="360" w:lineRule="auto"/>
              <w:jc w:val="both"/>
              <w:rPr>
                <w:rFonts w:ascii="Times New Roman" w:hAnsi="Times New Roman" w:cs="Times New Roman"/>
                <w:sz w:val="24"/>
                <w:szCs w:val="24"/>
              </w:rPr>
            </w:pPr>
          </w:p>
        </w:tc>
        <w:tc>
          <w:tcPr>
            <w:tcW w:w="4788" w:type="dxa"/>
          </w:tcPr>
          <w:p>
            <w:pPr>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Resources and capabilities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788"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Threshold </w:t>
            </w:r>
          </w:p>
          <w:p>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Tangible </w:t>
            </w:r>
            <w:r>
              <w:rPr>
                <w:rFonts w:ascii="Times New Roman" w:hAnsi="Times New Roman" w:cs="Times New Roman"/>
                <w:sz w:val="24"/>
                <w:szCs w:val="24"/>
                <w:lang w:val="en-GB"/>
              </w:rPr>
              <w:t>&amp;</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Intangible </w:t>
            </w:r>
          </w:p>
        </w:tc>
        <w:tc>
          <w:tcPr>
            <w:tcW w:w="4788" w:type="dxa"/>
          </w:tcPr>
          <w:p>
            <w:pPr>
              <w:spacing w:after="0" w:line="360" w:lineRule="auto"/>
              <w:jc w:val="center"/>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Raw materials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788"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Strategic (competitive) </w:t>
            </w:r>
          </w:p>
          <w:p>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Tangible </w:t>
            </w:r>
            <w:r>
              <w:rPr>
                <w:rFonts w:ascii="Times New Roman" w:hAnsi="Times New Roman" w:cs="Times New Roman"/>
                <w:sz w:val="24"/>
                <w:szCs w:val="24"/>
                <w:lang w:val="en-GB"/>
              </w:rPr>
              <w:t>&amp;</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Intangible </w:t>
            </w:r>
          </w:p>
        </w:tc>
        <w:tc>
          <w:tcPr>
            <w:tcW w:w="4788" w:type="dxa"/>
          </w:tcPr>
          <w:p>
            <w:pPr>
              <w:spacing w:after="0" w:line="360" w:lineRule="auto"/>
              <w:jc w:val="center"/>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Human resources</w:t>
            </w:r>
          </w:p>
        </w:tc>
      </w:tr>
    </w:tbl>
    <w:p>
      <w:pPr>
        <w:tabs>
          <w:tab w:val="left" w:pos="3120"/>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includes tangible resources, intangible resources, human resources and finances as the basic resource. The chemical industry is considered to be the most influential industry. INEOS deals with plastic products, automobile, bio fuels, etc., While it is highly dependent on the major product that is chemical material. The company includes the inorganic products chemistry and petrochemicals. The global chemical revenue is from the chemical sector hat has regional and market data emphasizing the growth of INEOS. The resources include reserves, consumption and production respectively in order to make important energy resources and minerals. Energy sources such as coal, oil and gas are the basic cornerstone for the industrialized world. There are metals and minerals that are used by the consumers in the daily life that is especially focusing on the precious metals which drive the chemical industry products. Oil, gas and coal are the basics for mining industry which help in the worldwide earning for INEOS. Tangible resources like financial and physical resources are mentioned such as plant, land, equipment and reserves. The intangible resources include latest and advanced technology, copyrights, patents and trade secrets. Human resource include skills, capacity and motivation that emphasize the growth of the company. These are the industry key success factors that are mentioned in order to consider competitive advantage. Research and development function is one of the functional areas that include research as the core capability of INEOS. Chemical innovation is an investment for INEOS which pays off with the smart innovation portfolio products that have better marketing insight. Furthermore, innovation has been a cornerstone for profitability and growth of the company which is one of the major key components of growth for the company. The company focuses on R&amp;D in order to have a new look towards innovation and growth. A new cut on the innovative strategy applied by INEOS is well mentioned with the highest degree of approach that drives success on the megatrend analysis in chemical industry.  </w:t>
      </w:r>
    </w:p>
    <w:p>
      <w:pPr>
        <w:pStyle w:val="2"/>
        <w:spacing w:line="360" w:lineRule="auto"/>
        <w:jc w:val="both"/>
        <w:rPr>
          <w:rFonts w:cs="Times New Roman"/>
          <w:color w:val="0000FF"/>
          <w:sz w:val="28"/>
          <w:szCs w:val="28"/>
        </w:rPr>
      </w:pPr>
      <w:bookmarkStart w:id="5" w:name="_Toc534921460"/>
      <w:r>
        <w:rPr>
          <w:rFonts w:cs="Times New Roman"/>
          <w:color w:val="0000FF"/>
          <w:sz w:val="28"/>
          <w:szCs w:val="28"/>
        </w:rPr>
        <w:t>VRIO analysis</w:t>
      </w:r>
      <w:bookmarkEnd w:id="5"/>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VRIO analysis helps to evaluate the company’s resources that turn into better competitive advantage for an organization. The resources are evaluated while considering the impact of the components of VRIO framework. Moreover, the evaluation dimension is considered with the resource analysis which builds the company’s image. The resources like strong financial position, innovative ideas and excellent leadership are mentioned with the evaluation of each of the resources for analyzing the process. VRIO is the process that helps to analyze the internal resources and capabilities of INEOS that is used for sustained competitive advantage. For understanding the tool, the report considers the external environment while analyzing Porter’s five forces and PESTLE analysis. For internal environment analysis, Value chain analysis and BCG matrix is used. One such internal resource analysis tool is VRIO analysis that considers the internal resource analysis. VRIO stands for Valuable, Rare, Imitate and Organized analysis. While it is important that the resource analysis is based on several questions to be asked while evaluating the resources and its importance that helps in sustained competitive advantage (Analoui&amp;Karami, 2003). </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Valuable:</w:t>
      </w:r>
      <w:r>
        <w:rPr>
          <w:rFonts w:ascii="Times New Roman" w:hAnsi="Times New Roman" w:cs="Times New Roman"/>
          <w:sz w:val="24"/>
          <w:szCs w:val="24"/>
        </w:rPr>
        <w:t xml:space="preserve"> The first question to be asked is if a resource is valuable and does it add value for sustained competitive advantage. If the resource is considered valuable then the organization tends to work on the next question that means the resource is capable enough to work towards leading competitive advantage (Hitt, 2009). The value of the resource is to be constantly measured in order to compete in the market with the internal and external environment. If the resources does not meet the particular condition, it leads to a major competitive disadvantage. </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Rare:</w:t>
      </w:r>
      <w:r>
        <w:rPr>
          <w:rFonts w:ascii="Times New Roman" w:hAnsi="Times New Roman" w:cs="Times New Roman"/>
          <w:sz w:val="24"/>
          <w:szCs w:val="24"/>
        </w:rPr>
        <w:t xml:space="preserve"> The resources that are acquired by few companies lead to a rare situation. Resources that are available and are used by many companies similarly lead to a competitive parity. With identical resource, same strategies can be applied and this in turn leads to a situation wherein competition is strong enough (Cousins, 2005). INEOS resources such as innovative ideas and excellent leadership lead to a competitive parity situation as there are several companies that have profound resources similar in the chemical industry in UK. </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Costly to imitate:</w:t>
      </w:r>
      <w:r>
        <w:rPr>
          <w:rFonts w:ascii="Times New Roman" w:hAnsi="Times New Roman" w:cs="Times New Roman"/>
          <w:sz w:val="24"/>
          <w:szCs w:val="24"/>
        </w:rPr>
        <w:t xml:space="preserve"> Imitation can largely occur in two different ways such as duplicating or providing a comparable product. Innovative ideas cannot be duplicated by rivals thereby it is a valuable means of resources that is not easy to achieve by several companies. The innovative tools and techniques need to be highlighted and this can be the major sustained result that can be achieved by an organization. INEOS have considered strategic and innovative ideas that have led to a competitive advantage while brainstorming the ideas and concepts by the people. </w:t>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Organized to capture value:</w:t>
      </w:r>
      <w:r>
        <w:rPr>
          <w:rFonts w:ascii="Times New Roman" w:hAnsi="Times New Roman" w:cs="Times New Roman"/>
          <w:sz w:val="24"/>
          <w:szCs w:val="24"/>
        </w:rPr>
        <w:t xml:space="preserve"> The resources are organized and capture value for INEOS. The management systems and processes are organized at INEOS. Excellent leadership and innovative ideas capture value and realize the potential effects for sustained competitive advantage. </w:t>
      </w:r>
    </w:p>
    <w:tbl>
      <w:tblPr>
        <w:tblStyle w:val="11"/>
        <w:tblW w:w="957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177"/>
        <w:gridCol w:w="1488"/>
        <w:gridCol w:w="1402"/>
        <w:gridCol w:w="1449"/>
        <w:gridCol w:w="1516"/>
        <w:gridCol w:w="154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177"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Resource/Capability</w:t>
            </w:r>
          </w:p>
        </w:tc>
        <w:tc>
          <w:tcPr>
            <w:tcW w:w="1488"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Valuable </w:t>
            </w:r>
          </w:p>
        </w:tc>
        <w:tc>
          <w:tcPr>
            <w:tcW w:w="140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Rare </w:t>
            </w:r>
          </w:p>
        </w:tc>
        <w:tc>
          <w:tcPr>
            <w:tcW w:w="1449"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Imitate </w:t>
            </w:r>
          </w:p>
        </w:tc>
        <w:tc>
          <w:tcPr>
            <w:tcW w:w="1516"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Organized to capture value </w:t>
            </w:r>
          </w:p>
        </w:tc>
        <w:tc>
          <w:tcPr>
            <w:tcW w:w="1544"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Impact on competitive advantage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177"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Innovative ideas </w:t>
            </w:r>
          </w:p>
        </w:tc>
        <w:tc>
          <w:tcPr>
            <w:tcW w:w="1488"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40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449"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516"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544"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Realized competitive advantage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177"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Human resources </w:t>
            </w:r>
          </w:p>
        </w:tc>
        <w:tc>
          <w:tcPr>
            <w:tcW w:w="1488"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40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449"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516"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544"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Realized competitive parity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177"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Excellent leadership </w:t>
            </w:r>
          </w:p>
        </w:tc>
        <w:tc>
          <w:tcPr>
            <w:tcW w:w="1488"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40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449"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516"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1544"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Temporary competitive advantage </w:t>
            </w:r>
          </w:p>
        </w:tc>
      </w:tr>
    </w:tbl>
    <w:p>
      <w:pPr>
        <w:spacing w:line="360" w:lineRule="auto"/>
        <w:jc w:val="both"/>
        <w:rPr>
          <w:rFonts w:ascii="Times New Roman" w:hAnsi="Times New Roman" w:cs="Times New Roman"/>
          <w:sz w:val="24"/>
          <w:szCs w:val="24"/>
        </w:rPr>
      </w:pPr>
    </w:p>
    <w:p>
      <w:pPr>
        <w:pStyle w:val="2"/>
        <w:spacing w:line="360" w:lineRule="auto"/>
        <w:jc w:val="both"/>
        <w:rPr>
          <w:rFonts w:cs="Times New Roman"/>
          <w:color w:val="0000FF"/>
          <w:sz w:val="28"/>
          <w:szCs w:val="28"/>
        </w:rPr>
      </w:pPr>
      <w:bookmarkStart w:id="6" w:name="_Toc534921461"/>
      <w:r>
        <w:rPr>
          <w:rFonts w:cs="Times New Roman"/>
          <w:color w:val="0000FF"/>
          <w:sz w:val="28"/>
          <w:szCs w:val="28"/>
        </w:rPr>
        <w:t>SAFe analysis</w:t>
      </w:r>
      <w:bookmarkEnd w:id="6"/>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strategy selected for growth and development should satisfy the three major criteria of suitability, acceptability and feasibility. Strategy selection can be a difficult term as it leads to actual implementation of the strategy in the business. The first step for strategy selection is to consider the criteria and to satisfy the strategy model. Suitability is an important factor that leads to a situation where the company wants the strategy to perform well in the business while considering environmental suitability, capability suitability and expectation suitability. There are directions such as product development and market development strategy that enhance the knowledge of the strategic options to consider in INEOS. The strategic options need to be analyzed while working on the suitable terms to</w:t>
      </w:r>
      <w:r>
        <w:rPr>
          <w:rFonts w:ascii="Times New Roman" w:hAnsi="Times New Roman" w:cs="Times New Roman"/>
          <w:sz w:val="24"/>
          <w:szCs w:val="24"/>
          <w:lang w:val="en-GB"/>
        </w:rPr>
        <w:t xml:space="preserve"> </w:t>
      </w:r>
      <w:r>
        <w:rPr>
          <w:rFonts w:ascii="Times New Roman" w:hAnsi="Times New Roman" w:cs="Times New Roman"/>
          <w:sz w:val="24"/>
          <w:szCs w:val="24"/>
        </w:rPr>
        <w:t xml:space="preserve">measure the environmental analysis and capability analysis (Grant, 2000). Suitability has several criteria in which the analysis depends on the major strength of the company while the strategy focuses on the company’s strength and overcomes difficulties in terms of achieving business goals.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Acceptability is about measuring the risk, return and stakeholder analysis. S The returns are based on stakeholders expectation and this is on the basis of financial and non-financial analysis. The returns calculations are measured by the method of cost-benefit analysis and real-options analysis. There is shareholder value analysis that is applied by INEOS. Risk is measured with impact of sensitivity analysis and liquidity analysis.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Feasibility portion is an important criteria to meet the chosen strategy’s make or break situation. The business has several abilities, resources and aptitude and it is important to work on analyzing the cash flows and consider the break even analysis point for INEOS with several other financial tests to be measured. </w:t>
      </w:r>
    </w:p>
    <w:p>
      <w:pPr>
        <w:spacing w:line="360" w:lineRule="auto"/>
        <w:jc w:val="both"/>
        <w:rPr>
          <w:rFonts w:ascii="Times New Roman" w:hAnsi="Times New Roman" w:cs="Times New Roman"/>
          <w:sz w:val="24"/>
          <w:szCs w:val="24"/>
        </w:rPr>
      </w:pPr>
    </w:p>
    <w:tbl>
      <w:tblPr>
        <w:tblStyle w:val="11"/>
        <w:tblW w:w="957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3192"/>
        <w:gridCol w:w="3192"/>
        <w:gridCol w:w="319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3192" w:type="dxa"/>
          </w:tcPr>
          <w:p>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Directions/ Strategy options </w:t>
            </w:r>
          </w:p>
        </w:tc>
        <w:tc>
          <w:tcPr>
            <w:tcW w:w="3192" w:type="dxa"/>
          </w:tcPr>
          <w:p>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Environment </w:t>
            </w:r>
          </w:p>
        </w:tc>
        <w:tc>
          <w:tcPr>
            <w:tcW w:w="3192" w:type="dxa"/>
          </w:tcPr>
          <w:p>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Capability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319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Product development </w:t>
            </w:r>
          </w:p>
        </w:tc>
        <w:tc>
          <w:tcPr>
            <w:tcW w:w="319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Customer needs are focused </w:t>
            </w:r>
          </w:p>
        </w:tc>
        <w:tc>
          <w:tcPr>
            <w:tcW w:w="319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Exploit R&amp;D</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319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 development </w:t>
            </w:r>
          </w:p>
        </w:tc>
        <w:tc>
          <w:tcPr>
            <w:tcW w:w="319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Opportunities for growth and success is offered with new techniques and segments </w:t>
            </w:r>
          </w:p>
        </w:tc>
        <w:tc>
          <w:tcPr>
            <w:tcW w:w="319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Current products are introduced in new market.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319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Diversification </w:t>
            </w:r>
          </w:p>
        </w:tc>
        <w:tc>
          <w:tcPr>
            <w:tcW w:w="319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Current market is declined </w:t>
            </w:r>
          </w:p>
        </w:tc>
        <w:tc>
          <w:tcPr>
            <w:tcW w:w="3192"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New strategies are considered </w:t>
            </w:r>
          </w:p>
        </w:tc>
      </w:tr>
    </w:tbl>
    <w:p>
      <w:pPr>
        <w:spacing w:line="360" w:lineRule="auto"/>
        <w:jc w:val="both"/>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r>
        <w:drawing>
          <wp:inline distT="0" distB="0" distL="0" distR="0">
            <wp:extent cx="3048000" cy="1666875"/>
            <wp:effectExtent l="19050" t="0" r="0" b="0"/>
            <wp:docPr id="2" name="Picture 1" descr="Image result for suitability accetability feasibility SAF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age result for suitability accetability feasibility SAFe analysis"/>
                    <pic:cNvPicPr>
                      <a:picLocks noChangeAspect="1" noChangeArrowheads="1"/>
                    </pic:cNvPicPr>
                  </pic:nvPicPr>
                  <pic:blipFill>
                    <a:blip r:embed="rId8"/>
                    <a:srcRect/>
                    <a:stretch>
                      <a:fillRect/>
                    </a:stretch>
                  </pic:blipFill>
                  <pic:spPr>
                    <a:xfrm>
                      <a:off x="0" y="0"/>
                      <a:ext cx="3048000" cy="1666875"/>
                    </a:xfrm>
                    <a:prstGeom prst="rect">
                      <a:avLst/>
                    </a:prstGeom>
                    <a:noFill/>
                    <a:ln w="9525">
                      <a:noFill/>
                      <a:miter lim="800000"/>
                      <a:headEnd/>
                      <a:tailEnd/>
                    </a:ln>
                  </pic:spPr>
                </pic:pic>
              </a:graphicData>
            </a:graphic>
          </wp:inline>
        </w:drawing>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Choosing a right strategy model is important for INEOS as it helps to consider several criteria and specific organizational goals to be achieved. The marketing strategy helps to consider the product development and market development stage while considering suitability, acceptability and feasibility stage. These are favorable in terms of choice of strategy that helps to manage the feasibility criteria with machinery, management, manpower, money and materials. The M word model is implemented by INEOS in order to frame the marketing strategy and consider the basics strategic analysis while using SAFe analysis.</w:t>
      </w:r>
    </w:p>
    <w:p>
      <w:pPr>
        <w:pStyle w:val="2"/>
        <w:spacing w:line="360" w:lineRule="auto"/>
        <w:jc w:val="both"/>
        <w:rPr>
          <w:rFonts w:cs="Times New Roman"/>
          <w:color w:val="0000FF"/>
          <w:sz w:val="28"/>
          <w:szCs w:val="28"/>
        </w:rPr>
      </w:pPr>
      <w:bookmarkStart w:id="7" w:name="_Toc534921462"/>
      <w:r>
        <w:rPr>
          <w:rFonts w:cs="Times New Roman"/>
          <w:color w:val="0000FF"/>
          <w:sz w:val="28"/>
          <w:szCs w:val="28"/>
        </w:rPr>
        <w:t>Accounting ratios</w:t>
      </w:r>
      <w:bookmarkEnd w:id="7"/>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Accounting ratio is essentially one of the most important part for </w:t>
      </w:r>
      <w:r>
        <w:rPr>
          <w:rFonts w:ascii="Times New Roman" w:hAnsi="Times New Roman" w:cs="Times New Roman"/>
          <w:sz w:val="24"/>
          <w:szCs w:val="24"/>
          <w:lang w:val="en-GB"/>
        </w:rPr>
        <w:t>all-sorts</w:t>
      </w:r>
      <w:r>
        <w:rPr>
          <w:rFonts w:ascii="Times New Roman" w:hAnsi="Times New Roman" w:cs="Times New Roman"/>
          <w:sz w:val="24"/>
          <w:szCs w:val="24"/>
        </w:rPr>
        <w:t xml:space="preserve"> of business that are required for better understanding the financial significance and overall revenue condition of the market.</w:t>
      </w:r>
      <w:r>
        <w:rPr>
          <w:rFonts w:ascii="Times New Roman" w:hAnsi="Times New Roman" w:cs="Times New Roman"/>
          <w:sz w:val="24"/>
          <w:szCs w:val="24"/>
          <w:lang w:val="en-GB"/>
        </w:rPr>
        <w:t xml:space="preserve"> </w:t>
      </w:r>
      <w:r>
        <w:rPr>
          <w:rFonts w:ascii="Times New Roman" w:hAnsi="Times New Roman" w:cs="Times New Roman"/>
          <w:sz w:val="24"/>
          <w:szCs w:val="24"/>
        </w:rPr>
        <w:t>For successful operation by the INEOS in UK market is also dependent on effective application of the strategic</w:t>
      </w:r>
      <w:r>
        <w:rPr>
          <w:rFonts w:ascii="Times New Roman" w:hAnsi="Times New Roman" w:cs="Times New Roman"/>
          <w:sz w:val="24"/>
          <w:szCs w:val="24"/>
          <w:lang w:val="en-GB"/>
        </w:rPr>
        <w:t xml:space="preserve"> </w:t>
      </w:r>
      <w:r>
        <w:rPr>
          <w:rFonts w:ascii="Times New Roman" w:hAnsi="Times New Roman" w:cs="Times New Roman"/>
          <w:sz w:val="24"/>
          <w:szCs w:val="24"/>
        </w:rPr>
        <w:t>management of the accounting ratios of the company operations. As there are lots of market competitors of the company INEOS in UK chemical market, ration analysis will enable the company in determining the financial position of the company (</w:t>
      </w:r>
      <w:r>
        <w:rPr>
          <w:rFonts w:ascii="Times New Roman" w:hAnsi="Times New Roman" w:cs="Times New Roman"/>
          <w:sz w:val="24"/>
          <w:szCs w:val="24"/>
          <w:shd w:val="clear" w:color="auto" w:fill="FFFFFF"/>
        </w:rPr>
        <w:t>Tayeh et al., 2015</w:t>
      </w:r>
      <w:r>
        <w:rPr>
          <w:rFonts w:ascii="Times New Roman" w:hAnsi="Times New Roman" w:cs="Times New Roman"/>
          <w:sz w:val="24"/>
          <w:szCs w:val="24"/>
        </w:rPr>
        <w:t>). This will also help it in determining the most important financial policies of the company for gaining competitive edge in the similar market in more enhanced ways</w:t>
      </w:r>
      <w:r>
        <w:rPr>
          <w:rFonts w:ascii="Times New Roman" w:hAnsi="Times New Roman" w:cs="Times New Roman"/>
          <w:sz w:val="24"/>
          <w:szCs w:val="24"/>
          <w:lang w:val="en-GB"/>
        </w:rPr>
        <w:t xml:space="preserve">. </w:t>
      </w:r>
      <w:r>
        <w:rPr>
          <w:rFonts w:ascii="Times New Roman" w:hAnsi="Times New Roman" w:cs="Times New Roman"/>
          <w:sz w:val="24"/>
          <w:szCs w:val="24"/>
        </w:rPr>
        <w:t>Therefore, for producing the analytical financial statements of the organizational operations and revenue generation, INEOS is required to conduct effective analysis of the financial ratios. Accounting ratio analysis will help INEOS in the following areas,</w:t>
      </w:r>
    </w:p>
    <w:p>
      <w:pPr>
        <w:pStyle w:val="17"/>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Formulation  of the financial plans</w:t>
      </w:r>
    </w:p>
    <w:p>
      <w:pPr>
        <w:pStyle w:val="17"/>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Comparing performance of the company in the UK chemical industry (</w:t>
      </w:r>
      <w:r>
        <w:rPr>
          <w:rFonts w:ascii="Times New Roman" w:hAnsi="Times New Roman" w:cs="Times New Roman"/>
          <w:sz w:val="24"/>
          <w:szCs w:val="24"/>
          <w:shd w:val="clear" w:color="auto" w:fill="FFFFFF"/>
        </w:rPr>
        <w:t>Christensen et al., 2016</w:t>
      </w:r>
      <w:r>
        <w:rPr>
          <w:rFonts w:ascii="Times New Roman" w:hAnsi="Times New Roman" w:cs="Times New Roman"/>
          <w:sz w:val="24"/>
          <w:szCs w:val="24"/>
        </w:rPr>
        <w:t>)</w:t>
      </w:r>
    </w:p>
    <w:p>
      <w:pPr>
        <w:pStyle w:val="17"/>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Locating the weakness of INEOS</w:t>
      </w:r>
    </w:p>
    <w:p>
      <w:pPr>
        <w:pStyle w:val="17"/>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Judging the efficiency of the financial system and strategic effectiveness of the company</w:t>
      </w:r>
    </w:p>
    <w:p>
      <w:pPr>
        <w:pStyle w:val="2"/>
        <w:rPr>
          <w:color w:val="0000FF"/>
          <w:sz w:val="28"/>
          <w:szCs w:val="32"/>
        </w:rPr>
      </w:pPr>
      <w:bookmarkStart w:id="8" w:name="_Toc534921463"/>
      <w:r>
        <w:rPr>
          <w:color w:val="0000FF"/>
          <w:sz w:val="28"/>
          <w:szCs w:val="32"/>
        </w:rPr>
        <w:t>Recommendations</w:t>
      </w:r>
      <w:bookmarkEnd w:id="8"/>
      <w:r>
        <w:rPr>
          <w:color w:val="0000FF"/>
          <w:sz w:val="28"/>
          <w:szCs w:val="32"/>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INEOS chemical company deals in several sectors in UK and other countries. The chemical company should work for products that are eco-friendly and protects environment. While supporting the environment and taking preventive measures, the company should focus on economic growth of the country. Adequate training to the staff would be effective in business operations.  Although INEOS chemical company has made a retrograde performance, there are several measures that the company should focus in UK. The company conglomerated in energy, oil and gas and made exclusive astoundingly performance in its process, the market needs a change in terms of fracked gas.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Exploring different areas, the chemical company needs to expand in other areas in the business. The climate objectives reveal a different marketing agreement and there are several obligations for the chemical gas that act as a change agent. The Paris agreement obligations are focused and it is important that the company should act upon on a quick decision to focus and derive majorly on climate change. While there are billions spent for fossil fuels and various petrochemical plants. To invest in clean and renewable sources, the company needs to focus on several recommendations. </w:t>
      </w:r>
    </w:p>
    <w:p>
      <w:pPr>
        <w:pStyle w:val="17"/>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Fracking should considerably ban from Europe and United States. UK should follow what Scotland has attempted fo</w:t>
      </w:r>
      <w:r>
        <w:rPr>
          <w:rFonts w:ascii="Times New Roman" w:hAnsi="Times New Roman" w:cs="Times New Roman"/>
          <w:sz w:val="24"/>
          <w:szCs w:val="24"/>
          <w:lang w:val="en-GB"/>
        </w:rPr>
        <w:t>r</w:t>
      </w:r>
      <w:r>
        <w:rPr>
          <w:rFonts w:ascii="Times New Roman" w:hAnsi="Times New Roman" w:cs="Times New Roman"/>
          <w:sz w:val="24"/>
          <w:szCs w:val="24"/>
        </w:rPr>
        <w:t xml:space="preserve"> fracking. </w:t>
      </w:r>
    </w:p>
    <w:p>
      <w:pPr>
        <w:pStyle w:val="17"/>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fossil fuel exports should be stopped by US, U and EU. There are several challenges in construction and infrastructure which should be focused by the company. The purchases should be limited in terms of support of global gas. </w:t>
      </w:r>
    </w:p>
    <w:p>
      <w:pPr>
        <w:pStyle w:val="17"/>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should be limit introduced on purchase of non-biodegradable plastic products which will effectively save and support the environmental measures. The public policies should be given importance which help to discourage people while using plastics. </w:t>
      </w:r>
    </w:p>
    <w:p>
      <w:pPr>
        <w:pStyle w:val="17"/>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conservation policies by UK, US and EU should enact aggressively that include the large public transport investments. The widespread of energy saving solutions should be encouraged by INEOS. </w:t>
      </w:r>
    </w:p>
    <w:p>
      <w:pPr>
        <w:pStyle w:val="17"/>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ambitious programs that may encourage and help to incentivize renewable energy so as to slash the fossil fuel that would demand for renewable energy in the future. Modernized electrical grids will be helpful to cater the renewable power generation. </w:t>
      </w:r>
    </w:p>
    <w:p>
      <w:pPr>
        <w:pStyle w:val="17"/>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good amount should be spent by the company in research and development so as to overcome the barriers of technology and consider next generation solutions for energy efficient sources. The UK, US and EU need to practice R&amp;D consequently. </w:t>
      </w:r>
    </w:p>
    <w:p>
      <w:pPr>
        <w:pStyle w:val="17"/>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provisions for international trade agreement should be opposed by US, UK and EU in international trade agreements which helps to promote the fossil fuels in global trade. </w:t>
      </w:r>
    </w:p>
    <w:p>
      <w:pPr>
        <w:pStyle w:val="17"/>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US, EU and UK may help to enact and focus on rules that penalize several companies residing in offshore. There should be financial transparency among INEOS chemical groups in several countries. </w:t>
      </w:r>
    </w:p>
    <w:p>
      <w:pPr>
        <w:pStyle w:val="17"/>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are several recommendations that INEOS chemical should focus on in near future. There is a demand of action that presents these recommendations and infrastructure support which wide spreads the energy level saving solutions.     </w:t>
      </w:r>
    </w:p>
    <w:p>
      <w:pPr>
        <w:pStyle w:val="2"/>
        <w:rPr>
          <w:color w:val="0000FF"/>
          <w:sz w:val="28"/>
          <w:szCs w:val="32"/>
        </w:rPr>
      </w:pPr>
      <w:bookmarkStart w:id="9" w:name="_Toc534921464"/>
      <w:r>
        <w:rPr>
          <w:color w:val="0000FF"/>
          <w:sz w:val="28"/>
          <w:szCs w:val="32"/>
        </w:rPr>
        <w:t>Conclusion</w:t>
      </w:r>
      <w:bookmarkEnd w:id="9"/>
      <w:r>
        <w:rPr>
          <w:color w:val="0000FF"/>
          <w:sz w:val="28"/>
          <w:szCs w:val="32"/>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INEOS is a chemical company that sells petrochemicals and oil products. The product of the company encourages engineering thermoplastic resins, PVC products, compounds and resins for coating. The strategic analysis of INEOS is conducted with macro environmental factors, SWOT analysis and SAFe analysis. The report concludes with the PESTLE analysis of INEOS while focusing on government legal aspects. There is positive impact on the economic condition when the company focuses on implementing strategic management tools. Porter’s five forces model impacts the sales and profitability ratio in the UK market. The five forces model suggest the impact of industry rivals, threat of new entrants, bargaining power of customers, bargaining power of suppliers and substitute products. The overall analysis of SWOT analysis and SAFe analysis determines the position of INEOS in the UK market. INEOS has pushed back to several chemical obstructs that charge as a matter of subject for preparing obstruct research in energy saving solutions.   </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eastAsiaTheme="majorEastAsia"/>
          <w:b/>
          <w:bCs/>
          <w:sz w:val="24"/>
          <w:szCs w:val="24"/>
        </w:rPr>
      </w:pPr>
      <w:r>
        <w:rPr>
          <w:rFonts w:ascii="Times New Roman" w:hAnsi="Times New Roman" w:cs="Times New Roman"/>
          <w:sz w:val="24"/>
          <w:szCs w:val="24"/>
        </w:rPr>
        <w:br w:type="page"/>
      </w:r>
    </w:p>
    <w:p>
      <w:pPr>
        <w:pStyle w:val="2"/>
        <w:spacing w:line="360" w:lineRule="auto"/>
        <w:jc w:val="both"/>
        <w:rPr>
          <w:rFonts w:cs="Times New Roman"/>
          <w:color w:val="0000FF"/>
          <w:sz w:val="28"/>
          <w:szCs w:val="28"/>
        </w:rPr>
      </w:pPr>
      <w:bookmarkStart w:id="10" w:name="_Toc534921465"/>
      <w:r>
        <w:rPr>
          <w:rFonts w:cs="Times New Roman"/>
          <w:color w:val="0000FF"/>
          <w:sz w:val="28"/>
          <w:szCs w:val="28"/>
        </w:rPr>
        <w:t>Reference</w:t>
      </w:r>
      <w:bookmarkEnd w:id="10"/>
    </w:p>
    <w:p>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Analoui, F. &amp;Karami, A. (2003).Strategic management in small and medium enterprises (1st Ed.). London: Thomson Learning</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Anton, R. (2015). An Integrated Strategy Framework (ISF) for Combining Porter's 5-Forces, Diamond, PESTEL, and SWOT Analysis.</w:t>
      </w:r>
    </w:p>
    <w:p>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Ayub, A., Razzaq, A., Aslam, M. S., &amp; Iftekhar, H. (2013). A conceptual framework on evaluating SWOT analysis as the mediator in strategic marketing planning through marketing intelligence. </w:t>
      </w:r>
      <w:r>
        <w:rPr>
          <w:rFonts w:ascii="Times New Roman" w:hAnsi="Times New Roman" w:cs="Times New Roman"/>
          <w:i/>
          <w:sz w:val="24"/>
          <w:szCs w:val="24"/>
        </w:rPr>
        <w:t>European Journal of Business and Social Sciences</w:t>
      </w:r>
      <w:r>
        <w:rPr>
          <w:rFonts w:ascii="Times New Roman" w:hAnsi="Times New Roman" w:cs="Times New Roman"/>
          <w:sz w:val="24"/>
          <w:szCs w:val="24"/>
        </w:rPr>
        <w:t xml:space="preserve">, 2 , 91–98. </w:t>
      </w:r>
    </w:p>
    <w:p>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Babatunde, B. O., &amp;Adebisi, A. O. (2012).Strategic environmental scanning and organization performance in a competitive business environment. Economic Insights-Trends &amp; Challenges, 64(1), 24-34. </w:t>
      </w:r>
    </w:p>
    <w:p>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Cadiat, A.-C., &amp;Probert, C. (2015).Porter's five forces. Brussels, Belgium: Primento Digital. </w:t>
      </w:r>
    </w:p>
    <w:p>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Cameron, R. (2011). Mixed methods research: The five Ps framework. The electronic journal of business research methods, 9(2), 96-108.</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Christensen, H. B., Nikolaev, V. V., &amp; WITTENBERG‐MOERMAN, R. E. G. I. N. A. (2016).Accounting information in financial contracting: The incomplete contract theory perspective. </w:t>
      </w:r>
      <w:r>
        <w:rPr>
          <w:rFonts w:ascii="Times New Roman" w:hAnsi="Times New Roman" w:cs="Times New Roman"/>
          <w:i/>
          <w:iCs/>
          <w:sz w:val="24"/>
          <w:szCs w:val="24"/>
          <w:shd w:val="clear" w:color="auto" w:fill="FFFFFF"/>
        </w:rPr>
        <w:t>Journal of accounting research</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54</w:t>
      </w:r>
      <w:r>
        <w:rPr>
          <w:rFonts w:ascii="Times New Roman" w:hAnsi="Times New Roman" w:cs="Times New Roman"/>
          <w:sz w:val="24"/>
          <w:szCs w:val="24"/>
          <w:shd w:val="clear" w:color="auto" w:fill="FFFFFF"/>
        </w:rPr>
        <w:t>(2), 397-435.</w:t>
      </w:r>
    </w:p>
    <w:p>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Cousins, P.D. (2005).The alignment of appropriate firm and supply strategies for competitive advantage. International Journal of Operations &amp; Production Management, 25 (5), 403-428</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Dockalikova, I., &amp;Klozikova, J. (2014, November). MCDM Methods in Practice: Determining the Significance of PESTEL Analysis Criteria. In </w:t>
      </w:r>
      <w:r>
        <w:rPr>
          <w:rFonts w:ascii="Times New Roman" w:hAnsi="Times New Roman" w:cs="Times New Roman"/>
          <w:i/>
          <w:iCs/>
          <w:sz w:val="24"/>
          <w:szCs w:val="24"/>
          <w:shd w:val="clear" w:color="auto" w:fill="FFFFFF"/>
        </w:rPr>
        <w:t>European Conference on Management, Leadership &amp; Governance</w:t>
      </w:r>
      <w:r>
        <w:rPr>
          <w:rFonts w:ascii="Times New Roman" w:hAnsi="Times New Roman" w:cs="Times New Roman"/>
          <w:sz w:val="24"/>
          <w:szCs w:val="24"/>
          <w:shd w:val="clear" w:color="auto" w:fill="FFFFFF"/>
        </w:rPr>
        <w:t> (p. 418). Academic Conferences International Limited.</w:t>
      </w:r>
    </w:p>
    <w:p>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Feys, B., &amp;Probert, C. (2015). PESTLE analysis. Brussels, Belgium: Primento Digital. </w:t>
      </w:r>
    </w:p>
    <w:p>
      <w:pPr>
        <w:spacing w:line="360" w:lineRule="auto"/>
        <w:ind w:left="720" w:hanging="720"/>
        <w:jc w:val="both"/>
        <w:rPr>
          <w:rFonts w:ascii="Times New Roman" w:hAnsi="Times New Roman" w:cs="Times New Roman"/>
          <w:color w:val="auto"/>
          <w:sz w:val="24"/>
          <w:szCs w:val="24"/>
          <w:lang w:val="en-GB"/>
        </w:rPr>
      </w:pPr>
      <w:r>
        <w:rPr>
          <w:rFonts w:ascii="Times New Roman" w:hAnsi="Times New Roman" w:cs="Times New Roman"/>
          <w:sz w:val="24"/>
          <w:szCs w:val="24"/>
        </w:rPr>
        <w:t>Frue, K. (2015). Best analytical tools for business analysis. Retrieved from</w:t>
      </w:r>
      <w:r>
        <w:rPr>
          <w:rFonts w:ascii="Times New Roman" w:hAnsi="Times New Roman" w:cs="Times New Roman"/>
          <w:sz w:val="24"/>
          <w:szCs w:val="24"/>
          <w:lang w:val="en-GB"/>
        </w:rPr>
        <w:t xml:space="preserve"> </w:t>
      </w:r>
      <w:r>
        <w:rPr>
          <w:rFonts w:ascii="Times New Roman" w:hAnsi="Times New Roman" w:cs="Times New Roman"/>
          <w:color w:val="auto"/>
          <w:sz w:val="24"/>
          <w:szCs w:val="24"/>
          <w:lang w:val="en-GB"/>
        </w:rPr>
        <w:fldChar w:fldCharType="begin"/>
      </w:r>
      <w:r>
        <w:rPr>
          <w:rFonts w:ascii="Times New Roman" w:hAnsi="Times New Roman" w:cs="Times New Roman"/>
          <w:color w:val="auto"/>
          <w:sz w:val="24"/>
          <w:szCs w:val="24"/>
          <w:lang w:val="en-GB"/>
        </w:rPr>
        <w:instrText xml:space="preserve"> HYPERLINK "http://pestleanalysis.com/best-analytical-tools-for-business-analysis/" </w:instrText>
      </w:r>
      <w:r>
        <w:rPr>
          <w:rFonts w:ascii="Times New Roman" w:hAnsi="Times New Roman" w:cs="Times New Roman"/>
          <w:color w:val="auto"/>
          <w:sz w:val="24"/>
          <w:szCs w:val="24"/>
          <w:lang w:val="en-GB"/>
        </w:rPr>
        <w:fldChar w:fldCharType="separate"/>
      </w:r>
      <w:r>
        <w:rPr>
          <w:rStyle w:val="9"/>
          <w:rFonts w:ascii="Times New Roman" w:hAnsi="Times New Roman" w:cs="Times New Roman"/>
          <w:color w:val="auto"/>
          <w:sz w:val="24"/>
          <w:szCs w:val="24"/>
          <w:lang w:val="en-GB"/>
        </w:rPr>
        <w:t>http://pestleanalysis.com/best-analytical-tools-for-business-analysis/</w:t>
      </w:r>
      <w:r>
        <w:rPr>
          <w:rFonts w:ascii="Times New Roman" w:hAnsi="Times New Roman" w:cs="Times New Roman"/>
          <w:color w:val="auto"/>
          <w:sz w:val="24"/>
          <w:szCs w:val="24"/>
          <w:lang w:val="en-GB"/>
        </w:rPr>
        <w:fldChar w:fldCharType="end"/>
      </w:r>
    </w:p>
    <w:p>
      <w:pPr>
        <w:spacing w:line="360" w:lineRule="auto"/>
        <w:ind w:left="720" w:hanging="720"/>
        <w:jc w:val="both"/>
        <w:rPr>
          <w:rFonts w:ascii="Times New Roman" w:hAnsi="Times New Roman" w:cs="Times New Roman"/>
          <w:sz w:val="24"/>
          <w:szCs w:val="24"/>
        </w:rPr>
      </w:pPr>
      <w:r>
        <w:rPr>
          <w:rFonts w:ascii="Times New Roman" w:hAnsi="Times New Roman" w:cs="Times New Roman"/>
          <w:color w:val="auto"/>
          <w:sz w:val="24"/>
          <w:szCs w:val="24"/>
        </w:rPr>
        <w:t xml:space="preserve"> Grant, </w:t>
      </w:r>
      <w:r>
        <w:rPr>
          <w:rFonts w:ascii="Times New Roman" w:hAnsi="Times New Roman" w:cs="Times New Roman"/>
          <w:sz w:val="24"/>
          <w:szCs w:val="24"/>
        </w:rPr>
        <w:t>R. N. (2000).Contemporary Strategic Analysis, Concepts, Techniques, Applications (3rd Ed.). Massachusetts: Blackwell Publishers.</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Grünig, R., &amp;Kühn, R. (2015).Global Environmental Analysis.In </w:t>
      </w:r>
      <w:r>
        <w:rPr>
          <w:rFonts w:ascii="Times New Roman" w:hAnsi="Times New Roman" w:cs="Times New Roman"/>
          <w:i/>
          <w:iCs/>
          <w:sz w:val="24"/>
          <w:szCs w:val="24"/>
          <w:shd w:val="clear" w:color="auto" w:fill="FFFFFF"/>
        </w:rPr>
        <w:t>The Strategy Planning Process</w:t>
      </w:r>
      <w:r>
        <w:rPr>
          <w:rFonts w:ascii="Times New Roman" w:hAnsi="Times New Roman" w:cs="Times New Roman"/>
          <w:sz w:val="24"/>
          <w:szCs w:val="24"/>
          <w:shd w:val="clear" w:color="auto" w:fill="FFFFFF"/>
        </w:rPr>
        <w:t> (pp. 89-96).Springer, Berlin, Heidelberg.</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Grünig, R., &amp;Morschett, D. (2017).Determining the Target Markets.In </w:t>
      </w:r>
      <w:r>
        <w:rPr>
          <w:rFonts w:ascii="Times New Roman" w:hAnsi="Times New Roman" w:cs="Times New Roman"/>
          <w:i/>
          <w:iCs/>
          <w:sz w:val="24"/>
          <w:szCs w:val="24"/>
          <w:shd w:val="clear" w:color="auto" w:fill="FFFFFF"/>
        </w:rPr>
        <w:t>Developing International Strategies</w:t>
      </w:r>
      <w:r>
        <w:rPr>
          <w:rFonts w:ascii="Times New Roman" w:hAnsi="Times New Roman" w:cs="Times New Roman"/>
          <w:sz w:val="24"/>
          <w:szCs w:val="24"/>
          <w:shd w:val="clear" w:color="auto" w:fill="FFFFFF"/>
        </w:rPr>
        <w:t> (pp. 85-104).Springer, Berlin, Heidelberg.</w:t>
      </w:r>
    </w:p>
    <w:p>
      <w:pPr>
        <w:spacing w:line="360" w:lineRule="auto"/>
        <w:ind w:left="720" w:hanging="720"/>
        <w:jc w:val="both"/>
        <w:rPr>
          <w:rFonts w:ascii="Times New Roman" w:hAnsi="Times New Roman" w:cs="Times New Roman"/>
          <w:sz w:val="24"/>
          <w:szCs w:val="24"/>
          <w:lang w:val="en-GB"/>
        </w:rPr>
      </w:pPr>
      <w:r>
        <w:rPr>
          <w:rFonts w:ascii="Times New Roman" w:hAnsi="Times New Roman" w:cs="Times New Roman"/>
          <w:sz w:val="24"/>
          <w:szCs w:val="24"/>
        </w:rPr>
        <w:t xml:space="preserve">Hines, J. (2013). Threat of substitues (one of porter's five forces). Retrieved from </w:t>
      </w:r>
      <w:r>
        <w:rPr>
          <w:rFonts w:ascii="Times New Roman" w:hAnsi="Times New Roman" w:cs="Times New Roman"/>
          <w:color w:val="auto"/>
          <w:sz w:val="24"/>
          <w:szCs w:val="24"/>
          <w:lang w:val="en-GB"/>
        </w:rPr>
        <w:fldChar w:fldCharType="begin"/>
      </w:r>
      <w:r>
        <w:rPr>
          <w:rFonts w:ascii="Times New Roman" w:hAnsi="Times New Roman" w:cs="Times New Roman"/>
          <w:color w:val="auto"/>
          <w:sz w:val="24"/>
          <w:szCs w:val="24"/>
          <w:lang w:val="en-GB"/>
        </w:rPr>
        <w:instrText xml:space="preserve"> HYPERLINK "http://strategiccfo.com/wikicfo/threat-of-substitutes-one-of-porters-five-forces/" </w:instrText>
      </w:r>
      <w:r>
        <w:rPr>
          <w:rFonts w:ascii="Times New Roman" w:hAnsi="Times New Roman" w:cs="Times New Roman"/>
          <w:color w:val="auto"/>
          <w:sz w:val="24"/>
          <w:szCs w:val="24"/>
          <w:lang w:val="en-GB"/>
        </w:rPr>
        <w:fldChar w:fldCharType="separate"/>
      </w:r>
      <w:r>
        <w:rPr>
          <w:rStyle w:val="9"/>
          <w:rFonts w:ascii="Times New Roman" w:hAnsi="Times New Roman" w:cs="Times New Roman"/>
          <w:color w:val="auto"/>
          <w:sz w:val="24"/>
          <w:szCs w:val="24"/>
          <w:lang w:val="en-GB"/>
        </w:rPr>
        <w:t>http://strategiccfo.com/wikicfo/threat-of-substitutes-one-of-porters-five-forces/</w:t>
      </w:r>
      <w:r>
        <w:rPr>
          <w:rFonts w:ascii="Times New Roman" w:hAnsi="Times New Roman" w:cs="Times New Roman"/>
          <w:color w:val="auto"/>
          <w:sz w:val="24"/>
          <w:szCs w:val="24"/>
          <w:lang w:val="en-GB"/>
        </w:rPr>
        <w:fldChar w:fldCharType="end"/>
      </w:r>
    </w:p>
    <w:p>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Hitt, M. A., Ireland, R. D. &amp;Hoskisson, R. E. (2009).Strategic management: Competitiveness and globalization: Concepts and cases (8th Ed.). Boston, Massachusetts: Cengage Learning, Inc</w:t>
      </w:r>
    </w:p>
    <w:p>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Magretta, J. (2013). Understanding Michael Porter: The essential guide to competition and strategy: Harvard business press. </w:t>
      </w:r>
    </w:p>
    <w:p>
      <w:pPr>
        <w:spacing w:line="360" w:lineRule="auto"/>
        <w:ind w:left="720" w:hanging="720"/>
        <w:jc w:val="both"/>
        <w:rPr>
          <w:rFonts w:ascii="Times New Roman" w:hAnsi="Times New Roman" w:cs="Times New Roman"/>
          <w:sz w:val="24"/>
          <w:szCs w:val="24"/>
          <w:lang w:val="en-GB"/>
        </w:rPr>
      </w:pPr>
      <w:r>
        <w:rPr>
          <w:rFonts w:ascii="Times New Roman" w:hAnsi="Times New Roman" w:cs="Times New Roman"/>
          <w:sz w:val="24"/>
          <w:szCs w:val="24"/>
        </w:rPr>
        <w:t xml:space="preserve">Oxford Learning Lab. (2012). Pestle - macro environmental analysis. Retrieved from </w:t>
      </w:r>
      <w:r>
        <w:rPr>
          <w:rFonts w:ascii="Times New Roman" w:hAnsi="Times New Roman" w:cs="Times New Roman"/>
          <w:color w:val="auto"/>
          <w:sz w:val="24"/>
          <w:szCs w:val="24"/>
          <w:u w:val="single"/>
          <w:lang w:val="en-GB"/>
        </w:rPr>
        <w:fldChar w:fldCharType="begin"/>
      </w:r>
      <w:r>
        <w:rPr>
          <w:rFonts w:ascii="Times New Roman" w:hAnsi="Times New Roman" w:cs="Times New Roman"/>
          <w:color w:val="auto"/>
          <w:sz w:val="24"/>
          <w:szCs w:val="24"/>
          <w:u w:val="single"/>
          <w:lang w:val="en-GB"/>
        </w:rPr>
        <w:instrText xml:space="preserve"> HYPERLINK "http://www.oxlearn.com/arg_Marketing-Resources-PESTLE---MacroEnvironmental-Analysis" </w:instrText>
      </w:r>
      <w:r>
        <w:rPr>
          <w:rFonts w:ascii="Times New Roman" w:hAnsi="Times New Roman" w:cs="Times New Roman"/>
          <w:color w:val="auto"/>
          <w:sz w:val="24"/>
          <w:szCs w:val="24"/>
          <w:u w:val="single"/>
          <w:lang w:val="en-GB"/>
        </w:rPr>
        <w:fldChar w:fldCharType="separate"/>
      </w:r>
      <w:r>
        <w:rPr>
          <w:rStyle w:val="9"/>
          <w:rFonts w:ascii="Times New Roman" w:hAnsi="Times New Roman" w:cs="Times New Roman"/>
          <w:color w:val="auto"/>
          <w:sz w:val="24"/>
          <w:szCs w:val="24"/>
          <w:u w:val="single"/>
          <w:lang w:val="en-GB"/>
        </w:rPr>
        <w:t>http://www.oxlearn.com/arg_Marketing-Resources-PESTLE---MacroEnvironmental-Analysis</w:t>
      </w:r>
      <w:r>
        <w:rPr>
          <w:rFonts w:ascii="Times New Roman" w:hAnsi="Times New Roman" w:cs="Times New Roman"/>
          <w:color w:val="auto"/>
          <w:sz w:val="24"/>
          <w:szCs w:val="24"/>
          <w:u w:val="single"/>
          <w:lang w:val="en-GB"/>
        </w:rPr>
        <w:fldChar w:fldCharType="end"/>
      </w:r>
      <w:r>
        <w:rPr>
          <w:rFonts w:ascii="Times New Roman" w:hAnsi="Times New Roman" w:cs="Times New Roman"/>
          <w:color w:val="auto"/>
          <w:sz w:val="24"/>
          <w:szCs w:val="24"/>
          <w:u w:val="single"/>
          <w:lang w:val="en-GB"/>
        </w:rPr>
        <w:t>_11_13</w:t>
      </w:r>
    </w:p>
    <w:p>
      <w:pPr>
        <w:spacing w:line="360" w:lineRule="auto"/>
        <w:ind w:left="720" w:hanging="720"/>
        <w:jc w:val="both"/>
        <w:rPr>
          <w:rFonts w:ascii="Times New Roman" w:hAnsi="Times New Roman" w:cs="Times New Roman"/>
          <w:sz w:val="24"/>
          <w:szCs w:val="24"/>
          <w:lang w:val="en-GB"/>
        </w:rPr>
      </w:pPr>
      <w:r>
        <w:rPr>
          <w:rFonts w:ascii="Times New Roman" w:hAnsi="Times New Roman" w:cs="Times New Roman"/>
          <w:sz w:val="24"/>
          <w:szCs w:val="24"/>
        </w:rPr>
        <w:t xml:space="preserve">Pestle Analysis. (2015). What is pestle analysis? A tool for business analysis. Retrieved from </w:t>
      </w:r>
      <w:r>
        <w:rPr>
          <w:rFonts w:ascii="Times New Roman" w:hAnsi="Times New Roman" w:cs="Times New Roman"/>
          <w:color w:val="auto"/>
          <w:sz w:val="24"/>
          <w:szCs w:val="24"/>
          <w:lang w:val="en-GB"/>
        </w:rPr>
        <w:fldChar w:fldCharType="begin"/>
      </w:r>
      <w:r>
        <w:rPr>
          <w:rFonts w:ascii="Times New Roman" w:hAnsi="Times New Roman" w:cs="Times New Roman"/>
          <w:color w:val="auto"/>
          <w:sz w:val="24"/>
          <w:szCs w:val="24"/>
          <w:lang w:val="en-GB"/>
        </w:rPr>
        <w:instrText xml:space="preserve"> HYPERLINK "http://pestleanalysis.com/what-is-pestle-analysis/" </w:instrText>
      </w:r>
      <w:r>
        <w:rPr>
          <w:rFonts w:ascii="Times New Roman" w:hAnsi="Times New Roman" w:cs="Times New Roman"/>
          <w:color w:val="auto"/>
          <w:sz w:val="24"/>
          <w:szCs w:val="24"/>
          <w:lang w:val="en-GB"/>
        </w:rPr>
        <w:fldChar w:fldCharType="separate"/>
      </w:r>
      <w:r>
        <w:rPr>
          <w:rStyle w:val="9"/>
          <w:rFonts w:ascii="Times New Roman" w:hAnsi="Times New Roman" w:cs="Times New Roman"/>
          <w:color w:val="auto"/>
          <w:sz w:val="24"/>
          <w:szCs w:val="24"/>
          <w:lang w:val="en-GB"/>
        </w:rPr>
        <w:t>http://pestleanalysis.com/what-is-pestle-analysis/</w:t>
      </w:r>
      <w:r>
        <w:rPr>
          <w:rFonts w:ascii="Times New Roman" w:hAnsi="Times New Roman" w:cs="Times New Roman"/>
          <w:color w:val="auto"/>
          <w:sz w:val="24"/>
          <w:szCs w:val="24"/>
          <w:lang w:val="en-GB"/>
        </w:rPr>
        <w:fldChar w:fldCharType="end"/>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Tayeh, M., Al-Jarrah, I. M., &amp;Tarhini, A. (2015). Accounting vs. market-based measures of firm performance related to information technology investments. </w:t>
      </w:r>
      <w:r>
        <w:rPr>
          <w:rFonts w:ascii="Times New Roman" w:hAnsi="Times New Roman" w:cs="Times New Roman"/>
          <w:i/>
          <w:iCs/>
          <w:sz w:val="24"/>
          <w:szCs w:val="24"/>
          <w:shd w:val="clear" w:color="auto" w:fill="FFFFFF"/>
        </w:rPr>
        <w:t>International Review of Social Sciences and Humanities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9</w:t>
      </w:r>
      <w:r>
        <w:rPr>
          <w:rFonts w:ascii="Times New Roman" w:hAnsi="Times New Roman" w:cs="Times New Roman"/>
          <w:sz w:val="24"/>
          <w:szCs w:val="24"/>
          <w:shd w:val="clear" w:color="auto" w:fill="FFFFFF"/>
        </w:rPr>
        <w:t>(1), 129-145.</w:t>
      </w:r>
    </w:p>
    <w:p>
      <w:pPr>
        <w:spacing w:line="360" w:lineRule="auto"/>
        <w:ind w:left="720" w:hanging="720"/>
        <w:jc w:val="both"/>
        <w:rPr>
          <w:rFonts w:ascii="Times New Roman" w:hAnsi="Times New Roman" w:cs="Times New Roman"/>
          <w:sz w:val="24"/>
          <w:szCs w:val="24"/>
          <w:lang w:val="en-GB"/>
        </w:rPr>
      </w:pPr>
      <w:r>
        <w:rPr>
          <w:rFonts w:ascii="Times New Roman" w:hAnsi="Times New Roman" w:cs="Times New Roman"/>
          <w:sz w:val="24"/>
          <w:szCs w:val="24"/>
        </w:rPr>
        <w:t xml:space="preserve">Wikinson, J. (2013). Buyer bargaining power (one of porter's five forces). Retrieved from </w:t>
      </w:r>
      <w:r>
        <w:rPr>
          <w:rFonts w:ascii="Times New Roman" w:hAnsi="Times New Roman" w:cs="Times New Roman"/>
          <w:color w:val="auto"/>
          <w:sz w:val="24"/>
          <w:szCs w:val="24"/>
          <w:lang w:val="en-GB"/>
        </w:rPr>
        <w:fldChar w:fldCharType="begin"/>
      </w:r>
      <w:r>
        <w:rPr>
          <w:rFonts w:ascii="Times New Roman" w:hAnsi="Times New Roman" w:cs="Times New Roman"/>
          <w:color w:val="auto"/>
          <w:sz w:val="24"/>
          <w:szCs w:val="24"/>
          <w:lang w:val="en-GB"/>
        </w:rPr>
        <w:instrText xml:space="preserve"> HYPERLINK "http://strategiccfo.com/wikicfo/buyer-bargaining-power-one-of-porters-fiveforces/" </w:instrText>
      </w:r>
      <w:r>
        <w:rPr>
          <w:rFonts w:ascii="Times New Roman" w:hAnsi="Times New Roman" w:cs="Times New Roman"/>
          <w:color w:val="auto"/>
          <w:sz w:val="24"/>
          <w:szCs w:val="24"/>
          <w:lang w:val="en-GB"/>
        </w:rPr>
        <w:fldChar w:fldCharType="separate"/>
      </w:r>
      <w:r>
        <w:rPr>
          <w:rStyle w:val="9"/>
          <w:rFonts w:ascii="Times New Roman" w:hAnsi="Times New Roman" w:cs="Times New Roman"/>
          <w:color w:val="auto"/>
          <w:sz w:val="24"/>
          <w:szCs w:val="24"/>
          <w:lang w:val="en-GB"/>
        </w:rPr>
        <w:t>http://strategiccfo.com/wikicfo/buyer-bargaining-power-one-of-porters-fiveforces/</w:t>
      </w:r>
      <w:r>
        <w:rPr>
          <w:rFonts w:ascii="Times New Roman" w:hAnsi="Times New Roman" w:cs="Times New Roman"/>
          <w:color w:val="auto"/>
          <w:sz w:val="24"/>
          <w:szCs w:val="24"/>
          <w:lang w:val="en-GB"/>
        </w:rPr>
        <w:fldChar w:fldCharType="end"/>
      </w:r>
      <w:r>
        <w:rPr>
          <w:rFonts w:ascii="Times New Roman" w:hAnsi="Times New Roman" w:cs="Times New Roman"/>
          <w:sz w:val="24"/>
          <w:szCs w:val="24"/>
          <w:lang w:val="en-GB"/>
        </w:rPr>
        <w:t xml:space="preserve"> </w:t>
      </w:r>
    </w:p>
    <w:p>
      <w:pPr>
        <w:spacing w:line="360" w:lineRule="auto"/>
        <w:ind w:left="720" w:hanging="720"/>
        <w:jc w:val="both"/>
        <w:rPr>
          <w:rFonts w:ascii="Times New Roman" w:hAnsi="Times New Roman" w:cs="Times New Roman"/>
          <w:sz w:val="24"/>
          <w:szCs w:val="24"/>
          <w:lang w:val="en-GB"/>
        </w:rPr>
      </w:pPr>
      <w:r>
        <w:rPr>
          <w:rFonts w:ascii="Times New Roman" w:hAnsi="Times New Roman" w:cs="Times New Roman"/>
          <w:sz w:val="24"/>
          <w:szCs w:val="24"/>
        </w:rPr>
        <w:t xml:space="preserve">Wikinson, J. (2014). Threat of new entrances (one of porter's five forces). Retrieved from </w:t>
      </w:r>
      <w:r>
        <w:rPr>
          <w:rFonts w:ascii="Times New Roman" w:hAnsi="Times New Roman" w:cs="Times New Roman"/>
          <w:color w:val="auto"/>
          <w:sz w:val="24"/>
          <w:szCs w:val="24"/>
          <w:lang w:val="en-GB"/>
        </w:rPr>
        <w:fldChar w:fldCharType="begin"/>
      </w:r>
      <w:r>
        <w:rPr>
          <w:rFonts w:ascii="Times New Roman" w:hAnsi="Times New Roman" w:cs="Times New Roman"/>
          <w:color w:val="auto"/>
          <w:sz w:val="24"/>
          <w:szCs w:val="24"/>
          <w:lang w:val="en-GB"/>
        </w:rPr>
        <w:instrText xml:space="preserve"> HYPERLINK "http://strategiccfo.com/wikicfo/threat-of-new-entrants-one-of-porters-fiveforces/" </w:instrText>
      </w:r>
      <w:r>
        <w:rPr>
          <w:rFonts w:ascii="Times New Roman" w:hAnsi="Times New Roman" w:cs="Times New Roman"/>
          <w:color w:val="auto"/>
          <w:sz w:val="24"/>
          <w:szCs w:val="24"/>
          <w:lang w:val="en-GB"/>
        </w:rPr>
        <w:fldChar w:fldCharType="separate"/>
      </w:r>
      <w:r>
        <w:rPr>
          <w:rStyle w:val="9"/>
          <w:rFonts w:ascii="Times New Roman" w:hAnsi="Times New Roman" w:cs="Times New Roman"/>
          <w:color w:val="auto"/>
          <w:sz w:val="24"/>
          <w:szCs w:val="24"/>
          <w:lang w:val="en-GB"/>
        </w:rPr>
        <w:t>http://strategiccfo.com/wikicfo/threat-of-new-entrants-one-of-porters-fiveforces/</w:t>
      </w:r>
      <w:r>
        <w:rPr>
          <w:rFonts w:ascii="Times New Roman" w:hAnsi="Times New Roman" w:cs="Times New Roman"/>
          <w:color w:val="auto"/>
          <w:sz w:val="24"/>
          <w:szCs w:val="24"/>
          <w:lang w:val="en-GB"/>
        </w:rPr>
        <w:fldChar w:fldCharType="end"/>
      </w:r>
      <w:r>
        <w:rPr>
          <w:rFonts w:ascii="Times New Roman" w:hAnsi="Times New Roman" w:cs="Times New Roman"/>
          <w:sz w:val="24"/>
          <w:szCs w:val="24"/>
          <w:lang w:val="en-GB"/>
        </w:rPr>
        <w:t xml:space="preserve"> </w:t>
      </w:r>
    </w:p>
    <w:p>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Yüksel, İ. (2012). Developing a multi-criteria decision making model for PESTEL analysis.International Journal of Business and Management, 7(14).doi: 10.5539/ijbm.v7n24p52</w:t>
      </w:r>
      <w:bookmarkStart w:id="11" w:name="_GoBack"/>
      <w:bookmarkEnd w:id="11"/>
    </w:p>
    <w:sectPr>
      <w:headerReference r:id="rId4" w:type="first"/>
      <w:headerReference r:id="rId3" w:type="default"/>
      <w:pgSz w:w="12240" w:h="15840"/>
      <w:pgMar w:top="1440" w:right="1440" w:bottom="1440" w:left="1440"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auto"/>
    <w:pitch w:val="default"/>
    <w:sig w:usb0="E00002FF" w:usb1="400004FF" w:usb2="00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8122248"/>
      <w:docPartObj>
        <w:docPartGallery w:val="autotext"/>
      </w:docPartObj>
    </w:sdtPr>
    <w:sdtContent>
      <w:p>
        <w:pPr>
          <w:pStyle w:val="6"/>
          <w:jc w:val="right"/>
        </w:pPr>
        <w:r>
          <w:rPr>
            <w:rFonts w:ascii="Times New Roman" w:hAnsi="Times New Roman" w:cs="Times New Roman"/>
            <w:sz w:val="24"/>
            <w:szCs w:val="24"/>
          </w:rPr>
          <w:t>STRATEGIC MANAGEMENT</w:t>
        </w:r>
        <w:r>
          <w:tab/>
        </w:r>
        <w:r>
          <w:tab/>
        </w:r>
        <w:r>
          <w:fldChar w:fldCharType="begin"/>
        </w:r>
        <w:r>
          <w:instrText xml:space="preserve"> PAGE   \* MERGEFORMAT </w:instrText>
        </w:r>
        <w:r>
          <w:fldChar w:fldCharType="separate"/>
        </w:r>
        <w:r>
          <w:t>18</w:t>
        </w:r>
        <w:r>
          <w:fldChar w:fldCharType="end"/>
        </w:r>
      </w:p>
    </w:sdtContent>
  </w:sdt>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ascii="Times New Roman" w:hAnsi="Times New Roman" w:cs="Times New Roman"/>
        <w:sz w:val="24"/>
        <w:szCs w:val="24"/>
      </w:rPr>
    </w:pPr>
    <w:r>
      <w:rPr>
        <w:rFonts w:ascii="Times New Roman" w:hAnsi="Times New Roman" w:cs="Times New Roman"/>
        <w:sz w:val="24"/>
        <w:szCs w:val="24"/>
      </w:rPr>
      <w:t>STRATEGIC MANAGEMENT</w:t>
    </w:r>
    <w:r>
      <w:rPr>
        <w:rFonts w:ascii="Times New Roman" w:hAnsi="Times New Roman" w:cs="Times New Roman"/>
        <w:sz w:val="24"/>
        <w:szCs w:val="24"/>
      </w:rPr>
      <w:tab/>
    </w:r>
    <w:r>
      <w:rPr>
        <w:rFonts w:ascii="Times New Roman" w:hAnsi="Times New Roman" w:cs="Times New Roman"/>
        <w:sz w:val="24"/>
        <w:szCs w:val="24"/>
      </w:rPr>
      <w:tab/>
    </w:r>
    <w:sdt>
      <w:sdtPr>
        <w:rPr>
          <w:rFonts w:ascii="Times New Roman" w:hAnsi="Times New Roman" w:cs="Times New Roman"/>
          <w:sz w:val="24"/>
          <w:szCs w:val="24"/>
        </w:rPr>
        <w:id w:val="218122249"/>
        <w:docPartObj>
          <w:docPartGallery w:val="autotext"/>
        </w:docPartObj>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sdtContent>
    </w:sdt>
  </w:p>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73234"/>
    <w:multiLevelType w:val="multilevel"/>
    <w:tmpl w:val="0757323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82F520A"/>
    <w:multiLevelType w:val="multilevel"/>
    <w:tmpl w:val="282F520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51A5FC6"/>
    <w:multiLevelType w:val="multilevel"/>
    <w:tmpl w:val="351A5FC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C52241D"/>
    <w:multiLevelType w:val="multilevel"/>
    <w:tmpl w:val="4C52241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02342EE"/>
    <w:multiLevelType w:val="multilevel"/>
    <w:tmpl w:val="702342E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7EE85C86"/>
    <w:multiLevelType w:val="multilevel"/>
    <w:tmpl w:val="7EE85C8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nforcement="0"/>
  <w:defaultTabStop w:val="720"/>
  <w:drawingGridHorizontalSpacing w:val="110"/>
  <w:displayHorizontalDrawingGridEvery w:val="2"/>
  <w:characterSpacingControl w:val="doNotCompress"/>
  <w:compat>
    <w:compatSetting w:name="compatibilityMode" w:uri="http://schemas.microsoft.com/office/word" w:val="12"/>
  </w:compat>
  <w:rsids>
    <w:rsidRoot w:val="001B304C"/>
    <w:rsid w:val="0000102B"/>
    <w:rsid w:val="00001C1D"/>
    <w:rsid w:val="00025F8A"/>
    <w:rsid w:val="00051EDA"/>
    <w:rsid w:val="00060C43"/>
    <w:rsid w:val="000634DC"/>
    <w:rsid w:val="00075890"/>
    <w:rsid w:val="00090740"/>
    <w:rsid w:val="000A388A"/>
    <w:rsid w:val="000B2269"/>
    <w:rsid w:val="000E324E"/>
    <w:rsid w:val="000E4B7F"/>
    <w:rsid w:val="000F608A"/>
    <w:rsid w:val="00103D56"/>
    <w:rsid w:val="00105EC3"/>
    <w:rsid w:val="00110C14"/>
    <w:rsid w:val="001240AB"/>
    <w:rsid w:val="0013142D"/>
    <w:rsid w:val="00157CDF"/>
    <w:rsid w:val="00177805"/>
    <w:rsid w:val="00185E6E"/>
    <w:rsid w:val="00197F81"/>
    <w:rsid w:val="001B304C"/>
    <w:rsid w:val="001C39C3"/>
    <w:rsid w:val="001F5EE6"/>
    <w:rsid w:val="002002DF"/>
    <w:rsid w:val="00212D85"/>
    <w:rsid w:val="00213D02"/>
    <w:rsid w:val="00222B67"/>
    <w:rsid w:val="0022452B"/>
    <w:rsid w:val="00224661"/>
    <w:rsid w:val="0022670F"/>
    <w:rsid w:val="002303FC"/>
    <w:rsid w:val="00237AAD"/>
    <w:rsid w:val="0027307D"/>
    <w:rsid w:val="00276877"/>
    <w:rsid w:val="00292179"/>
    <w:rsid w:val="002A25DC"/>
    <w:rsid w:val="002B4B3F"/>
    <w:rsid w:val="002E1485"/>
    <w:rsid w:val="002E2EF1"/>
    <w:rsid w:val="002E43C7"/>
    <w:rsid w:val="002E51E2"/>
    <w:rsid w:val="002E5B06"/>
    <w:rsid w:val="002E7231"/>
    <w:rsid w:val="002F09F2"/>
    <w:rsid w:val="002F5DE1"/>
    <w:rsid w:val="00352963"/>
    <w:rsid w:val="00367771"/>
    <w:rsid w:val="00373E5B"/>
    <w:rsid w:val="00383804"/>
    <w:rsid w:val="003872D1"/>
    <w:rsid w:val="003A2C05"/>
    <w:rsid w:val="003B28C9"/>
    <w:rsid w:val="003C4B87"/>
    <w:rsid w:val="003D750D"/>
    <w:rsid w:val="00402070"/>
    <w:rsid w:val="004163DD"/>
    <w:rsid w:val="00422710"/>
    <w:rsid w:val="004454D1"/>
    <w:rsid w:val="00454FFB"/>
    <w:rsid w:val="00461028"/>
    <w:rsid w:val="004A34BE"/>
    <w:rsid w:val="004B0758"/>
    <w:rsid w:val="004C0FDA"/>
    <w:rsid w:val="004C7E9A"/>
    <w:rsid w:val="004D3F19"/>
    <w:rsid w:val="004E67DD"/>
    <w:rsid w:val="004F68EC"/>
    <w:rsid w:val="00507ECA"/>
    <w:rsid w:val="0051156B"/>
    <w:rsid w:val="005323D7"/>
    <w:rsid w:val="00557190"/>
    <w:rsid w:val="00575207"/>
    <w:rsid w:val="005B242D"/>
    <w:rsid w:val="005B3EF6"/>
    <w:rsid w:val="005B42A9"/>
    <w:rsid w:val="005C119B"/>
    <w:rsid w:val="005D34DC"/>
    <w:rsid w:val="005F0D9C"/>
    <w:rsid w:val="005F4419"/>
    <w:rsid w:val="00604FB1"/>
    <w:rsid w:val="00606878"/>
    <w:rsid w:val="006076EB"/>
    <w:rsid w:val="006223F6"/>
    <w:rsid w:val="00627351"/>
    <w:rsid w:val="006317FE"/>
    <w:rsid w:val="00661761"/>
    <w:rsid w:val="00663370"/>
    <w:rsid w:val="00672BA9"/>
    <w:rsid w:val="006754DA"/>
    <w:rsid w:val="00681C57"/>
    <w:rsid w:val="00690925"/>
    <w:rsid w:val="006971D5"/>
    <w:rsid w:val="006A6F68"/>
    <w:rsid w:val="006C0A3F"/>
    <w:rsid w:val="006E3851"/>
    <w:rsid w:val="006E524E"/>
    <w:rsid w:val="006F0654"/>
    <w:rsid w:val="006F0C6E"/>
    <w:rsid w:val="006F68E2"/>
    <w:rsid w:val="006F7795"/>
    <w:rsid w:val="007047BB"/>
    <w:rsid w:val="0072361B"/>
    <w:rsid w:val="0072463A"/>
    <w:rsid w:val="0074743F"/>
    <w:rsid w:val="00783064"/>
    <w:rsid w:val="007A16E3"/>
    <w:rsid w:val="007A2410"/>
    <w:rsid w:val="007B08BE"/>
    <w:rsid w:val="007B3DDB"/>
    <w:rsid w:val="007B61F0"/>
    <w:rsid w:val="007D4F41"/>
    <w:rsid w:val="007E0C38"/>
    <w:rsid w:val="007F5893"/>
    <w:rsid w:val="008049B0"/>
    <w:rsid w:val="00805744"/>
    <w:rsid w:val="008179FC"/>
    <w:rsid w:val="00844819"/>
    <w:rsid w:val="0086392C"/>
    <w:rsid w:val="0087524A"/>
    <w:rsid w:val="008A6880"/>
    <w:rsid w:val="008B2DC5"/>
    <w:rsid w:val="008B5580"/>
    <w:rsid w:val="008D3E0D"/>
    <w:rsid w:val="008E64C0"/>
    <w:rsid w:val="00935B9B"/>
    <w:rsid w:val="0094770B"/>
    <w:rsid w:val="009507FF"/>
    <w:rsid w:val="00961DAB"/>
    <w:rsid w:val="009A1F97"/>
    <w:rsid w:val="009A4097"/>
    <w:rsid w:val="009A659D"/>
    <w:rsid w:val="009B6940"/>
    <w:rsid w:val="009C5956"/>
    <w:rsid w:val="009C5AF3"/>
    <w:rsid w:val="009D538F"/>
    <w:rsid w:val="009E416B"/>
    <w:rsid w:val="009F063A"/>
    <w:rsid w:val="00A22936"/>
    <w:rsid w:val="00A26B05"/>
    <w:rsid w:val="00A40BA7"/>
    <w:rsid w:val="00A506F6"/>
    <w:rsid w:val="00AA1090"/>
    <w:rsid w:val="00AB3519"/>
    <w:rsid w:val="00AB70E1"/>
    <w:rsid w:val="00AB76DF"/>
    <w:rsid w:val="00AC7BBC"/>
    <w:rsid w:val="00AE14D7"/>
    <w:rsid w:val="00AF1F20"/>
    <w:rsid w:val="00B8653C"/>
    <w:rsid w:val="00B96DCF"/>
    <w:rsid w:val="00BB358E"/>
    <w:rsid w:val="00BD3799"/>
    <w:rsid w:val="00BD3C7D"/>
    <w:rsid w:val="00BD6D26"/>
    <w:rsid w:val="00BF4CA3"/>
    <w:rsid w:val="00BF7DA6"/>
    <w:rsid w:val="00C20155"/>
    <w:rsid w:val="00C52ED2"/>
    <w:rsid w:val="00C52F9F"/>
    <w:rsid w:val="00C84DC3"/>
    <w:rsid w:val="00C8555A"/>
    <w:rsid w:val="00C874F0"/>
    <w:rsid w:val="00C9465A"/>
    <w:rsid w:val="00CB5815"/>
    <w:rsid w:val="00CC3215"/>
    <w:rsid w:val="00CF0374"/>
    <w:rsid w:val="00CF25BF"/>
    <w:rsid w:val="00D15E23"/>
    <w:rsid w:val="00D41BFB"/>
    <w:rsid w:val="00D45EA3"/>
    <w:rsid w:val="00D75F52"/>
    <w:rsid w:val="00D77962"/>
    <w:rsid w:val="00D8684B"/>
    <w:rsid w:val="00D87E96"/>
    <w:rsid w:val="00D94D62"/>
    <w:rsid w:val="00DA5621"/>
    <w:rsid w:val="00DA5DA3"/>
    <w:rsid w:val="00DA79FE"/>
    <w:rsid w:val="00DE7F54"/>
    <w:rsid w:val="00DF2AB5"/>
    <w:rsid w:val="00E0375F"/>
    <w:rsid w:val="00E152C2"/>
    <w:rsid w:val="00E31667"/>
    <w:rsid w:val="00E33562"/>
    <w:rsid w:val="00E446F1"/>
    <w:rsid w:val="00E506ED"/>
    <w:rsid w:val="00E602BB"/>
    <w:rsid w:val="00E604B0"/>
    <w:rsid w:val="00E62F2D"/>
    <w:rsid w:val="00E743FC"/>
    <w:rsid w:val="00E85F79"/>
    <w:rsid w:val="00E957F3"/>
    <w:rsid w:val="00E97CF7"/>
    <w:rsid w:val="00EB2B34"/>
    <w:rsid w:val="00EC0F88"/>
    <w:rsid w:val="00ED5363"/>
    <w:rsid w:val="00F01611"/>
    <w:rsid w:val="00F23D52"/>
    <w:rsid w:val="00F323E0"/>
    <w:rsid w:val="00F351F7"/>
    <w:rsid w:val="00F4469D"/>
    <w:rsid w:val="00F56C44"/>
    <w:rsid w:val="00F717C7"/>
    <w:rsid w:val="00FA4BFE"/>
    <w:rsid w:val="00FB4D56"/>
    <w:rsid w:val="00FB7A13"/>
    <w:rsid w:val="00FC025C"/>
    <w:rsid w:val="00FC1F6F"/>
    <w:rsid w:val="01181F9F"/>
    <w:rsid w:val="0D1B6408"/>
    <w:rsid w:val="164E4174"/>
    <w:rsid w:val="21914529"/>
    <w:rsid w:val="265925A1"/>
    <w:rsid w:val="4AA65F05"/>
    <w:rsid w:val="5052693F"/>
    <w:rsid w:val="50C14924"/>
    <w:rsid w:val="58BE4296"/>
    <w:rsid w:val="73B242F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3"/>
    <w:qFormat/>
    <w:uiPriority w:val="9"/>
    <w:pPr>
      <w:keepNext/>
      <w:keepLines/>
      <w:spacing w:before="480" w:after="0"/>
      <w:outlineLvl w:val="0"/>
    </w:pPr>
    <w:rPr>
      <w:rFonts w:ascii="Times New Roman" w:hAnsi="Times New Roman" w:eastAsiaTheme="majorEastAsia" w:cstheme="majorBidi"/>
      <w:b/>
      <w:bCs/>
      <w:sz w:val="24"/>
      <w:szCs w:val="28"/>
    </w:rPr>
  </w:style>
  <w:style w:type="character" w:default="1" w:styleId="8">
    <w:name w:val="Default Paragraph Font"/>
    <w:semiHidden/>
    <w:unhideWhenUsed/>
    <w:qFormat/>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3">
    <w:name w:val="Balloon Text"/>
    <w:basedOn w:val="1"/>
    <w:link w:val="12"/>
    <w:semiHidden/>
    <w:unhideWhenUsed/>
    <w:uiPriority w:val="99"/>
    <w:pPr>
      <w:spacing w:after="0" w:line="240" w:lineRule="auto"/>
    </w:pPr>
    <w:rPr>
      <w:rFonts w:ascii="Tahoma" w:hAnsi="Tahoma" w:cs="Tahoma"/>
      <w:sz w:val="16"/>
      <w:szCs w:val="16"/>
    </w:rPr>
  </w:style>
  <w:style w:type="paragraph" w:styleId="4">
    <w:name w:val="caption"/>
    <w:basedOn w:val="1"/>
    <w:next w:val="1"/>
    <w:unhideWhenUsed/>
    <w:qFormat/>
    <w:uiPriority w:val="35"/>
    <w:pPr>
      <w:spacing w:line="240" w:lineRule="auto"/>
    </w:pPr>
    <w:rPr>
      <w:b/>
      <w:bCs/>
      <w:color w:val="4F81BD" w:themeColor="accent1"/>
      <w:sz w:val="18"/>
      <w:szCs w:val="18"/>
    </w:rPr>
  </w:style>
  <w:style w:type="paragraph" w:styleId="5">
    <w:name w:val="footer"/>
    <w:basedOn w:val="1"/>
    <w:link w:val="16"/>
    <w:unhideWhenUsed/>
    <w:qFormat/>
    <w:uiPriority w:val="99"/>
    <w:pPr>
      <w:tabs>
        <w:tab w:val="center" w:pos="4680"/>
        <w:tab w:val="right" w:pos="9360"/>
      </w:tabs>
      <w:spacing w:after="0" w:line="240" w:lineRule="auto"/>
    </w:pPr>
  </w:style>
  <w:style w:type="paragraph" w:styleId="6">
    <w:name w:val="header"/>
    <w:basedOn w:val="1"/>
    <w:link w:val="15"/>
    <w:unhideWhenUsed/>
    <w:qFormat/>
    <w:uiPriority w:val="99"/>
    <w:pPr>
      <w:tabs>
        <w:tab w:val="center" w:pos="4680"/>
        <w:tab w:val="right" w:pos="9360"/>
      </w:tabs>
      <w:spacing w:after="0" w:line="240" w:lineRule="auto"/>
    </w:pPr>
  </w:style>
  <w:style w:type="paragraph" w:styleId="7">
    <w:name w:val="toc 1"/>
    <w:basedOn w:val="1"/>
    <w:next w:val="1"/>
    <w:unhideWhenUsed/>
    <w:uiPriority w:val="39"/>
    <w:pPr>
      <w:spacing w:after="100"/>
    </w:pPr>
  </w:style>
  <w:style w:type="character" w:styleId="9">
    <w:name w:val="Hyperlink"/>
    <w:basedOn w:val="8"/>
    <w:unhideWhenUsed/>
    <w:qFormat/>
    <w:uiPriority w:val="99"/>
    <w:rPr>
      <w:color w:val="0000FF" w:themeColor="hyperlink"/>
      <w:u w:val="single"/>
    </w:rPr>
  </w:style>
  <w:style w:type="table" w:styleId="11">
    <w:name w:val="Table Grid"/>
    <w:basedOn w:val="10"/>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customStyle="1" w:styleId="12">
    <w:name w:val="Balloon Text Char"/>
    <w:basedOn w:val="8"/>
    <w:link w:val="3"/>
    <w:semiHidden/>
    <w:qFormat/>
    <w:uiPriority w:val="99"/>
    <w:rPr>
      <w:rFonts w:ascii="Tahoma" w:hAnsi="Tahoma" w:cs="Tahoma"/>
      <w:sz w:val="16"/>
      <w:szCs w:val="16"/>
    </w:rPr>
  </w:style>
  <w:style w:type="character" w:customStyle="1" w:styleId="13">
    <w:name w:val="Heading 1 Char"/>
    <w:basedOn w:val="8"/>
    <w:link w:val="2"/>
    <w:uiPriority w:val="9"/>
    <w:rPr>
      <w:rFonts w:ascii="Times New Roman" w:hAnsi="Times New Roman" w:eastAsiaTheme="majorEastAsia" w:cstheme="majorBidi"/>
      <w:b/>
      <w:bCs/>
      <w:sz w:val="24"/>
      <w:szCs w:val="28"/>
    </w:rPr>
  </w:style>
  <w:style w:type="paragraph" w:customStyle="1" w:styleId="14">
    <w:name w:val="TOC Heading"/>
    <w:basedOn w:val="2"/>
    <w:next w:val="1"/>
    <w:semiHidden/>
    <w:unhideWhenUsed/>
    <w:qFormat/>
    <w:uiPriority w:val="39"/>
    <w:pPr>
      <w:outlineLvl w:val="9"/>
    </w:pPr>
  </w:style>
  <w:style w:type="character" w:customStyle="1" w:styleId="15">
    <w:name w:val="Header Char"/>
    <w:basedOn w:val="8"/>
    <w:link w:val="6"/>
    <w:qFormat/>
    <w:uiPriority w:val="99"/>
  </w:style>
  <w:style w:type="character" w:customStyle="1" w:styleId="16">
    <w:name w:val="Footer Char"/>
    <w:basedOn w:val="8"/>
    <w:link w:val="5"/>
    <w:uiPriority w:val="99"/>
  </w:style>
  <w:style w:type="paragraph" w:styleId="1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816BE1-4470-4B88-8AAD-4B5A7F14DDCF}">
  <ds:schemaRefs/>
</ds:datastoreItem>
</file>

<file path=docProps/app.xml><?xml version="1.0" encoding="utf-8"?>
<Properties xmlns="http://schemas.openxmlformats.org/officeDocument/2006/extended-properties" xmlns:vt="http://schemas.openxmlformats.org/officeDocument/2006/docPropsVTypes">
  <Template>Normal</Template>
  <Pages>22</Pages>
  <Words>6158</Words>
  <Characters>35105</Characters>
  <Lines>292</Lines>
  <Paragraphs>82</Paragraphs>
  <TotalTime>125</TotalTime>
  <ScaleCrop>false</ScaleCrop>
  <LinksUpToDate>false</LinksUpToDate>
  <CharactersWithSpaces>41181</CharactersWithSpaces>
  <Application>WPS Office_10.2.0.7587_F1E327BC-269C-435d-A152-05C5408002CA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2018-12-10T13:03:00Z</dcterms:created>
  <dc:creator>Pooja</dc:creator>
  <cp:lastModifiedBy>shwethem</cp:lastModifiedBy>
  <dcterms:modified xsi:type="dcterms:W3CDTF">2019-01-14T21:43:47Z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1033-10.2.0.7587</vt:lpwstr>
  </property>
</Properties>
</file>