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48F15" w14:textId="77777777" w:rsidR="005B544D" w:rsidRPr="00CE1AEC" w:rsidRDefault="00CE1AEC" w:rsidP="00CE1AEC">
      <w:pPr>
        <w:jc w:val="center"/>
        <w:rPr>
          <w:b/>
          <w:bCs/>
          <w:sz w:val="32"/>
          <w:szCs w:val="32"/>
          <w:u w:val="single"/>
        </w:rPr>
      </w:pPr>
      <w:r w:rsidRPr="00CE1AEC">
        <w:rPr>
          <w:b/>
          <w:bCs/>
          <w:sz w:val="32"/>
          <w:szCs w:val="32"/>
          <w:u w:val="single"/>
        </w:rPr>
        <w:t>Development of Equity</w:t>
      </w:r>
    </w:p>
    <w:p w14:paraId="3F42081F" w14:textId="77777777" w:rsidR="00CE1AEC" w:rsidRDefault="00CE1AEC" w:rsidP="00CE1AEC">
      <w:pPr>
        <w:jc w:val="center"/>
        <w:rPr>
          <w:b/>
          <w:bCs/>
          <w:u w:val="single"/>
        </w:rPr>
      </w:pPr>
    </w:p>
    <w:p w14:paraId="633E71E3" w14:textId="77777777" w:rsidR="00CE1AEC" w:rsidRPr="00CE1AEC" w:rsidRDefault="00CE1AEC" w:rsidP="00CE1AEC">
      <w:pPr>
        <w:rPr>
          <w:u w:val="single"/>
        </w:rPr>
      </w:pPr>
      <w:r>
        <w:rPr>
          <w:u w:val="single"/>
        </w:rPr>
        <w:t>The Common Law</w:t>
      </w:r>
    </w:p>
    <w:p w14:paraId="6DA40F7E" w14:textId="77777777" w:rsidR="00CE1AEC" w:rsidRDefault="00CE1AEC" w:rsidP="00CE1AEC"/>
    <w:p w14:paraId="49F3428B" w14:textId="77777777" w:rsidR="00CE1AEC" w:rsidRPr="00CE1AEC" w:rsidRDefault="00CE1AEC" w:rsidP="00CE1AEC">
      <w:r w:rsidRPr="00CE1AEC">
        <w:t>This goes back as far as 1066 when the Norman Conquest introduced a new system for law. Towards the end of the 13</w:t>
      </w:r>
      <w:r w:rsidRPr="00CE1AEC">
        <w:rPr>
          <w:vertAlign w:val="superscript"/>
        </w:rPr>
        <w:t>th</w:t>
      </w:r>
      <w:r w:rsidRPr="00CE1AEC">
        <w:t xml:space="preserve"> Century 2 main types of court were responsible for administering law in the country:</w:t>
      </w:r>
    </w:p>
    <w:p w14:paraId="144CAC62" w14:textId="77777777" w:rsidR="00CE1AEC" w:rsidRPr="00CE1AEC" w:rsidRDefault="00CE1AEC" w:rsidP="00CE1AEC">
      <w:r w:rsidRPr="00CE1AEC">
        <w:t xml:space="preserve">The </w:t>
      </w:r>
      <w:r w:rsidRPr="00CE1AEC">
        <w:rPr>
          <w:b/>
          <w:bCs/>
        </w:rPr>
        <w:t xml:space="preserve">local courts </w:t>
      </w:r>
      <w:r w:rsidRPr="00CE1AEC">
        <w:t>– set up within the feudal structure and administered by the feudal lords</w:t>
      </w:r>
      <w:r>
        <w:t>.</w:t>
      </w:r>
    </w:p>
    <w:p w14:paraId="5C7DF5EE" w14:textId="77777777" w:rsidR="00CE1AEC" w:rsidRDefault="00CE1AEC" w:rsidP="00CE1AEC">
      <w:r w:rsidRPr="00CE1AEC">
        <w:rPr>
          <w:b/>
          <w:bCs/>
        </w:rPr>
        <w:t xml:space="preserve">Royal courts </w:t>
      </w:r>
      <w:r w:rsidRPr="00CE1AEC">
        <w:t xml:space="preserve">– </w:t>
      </w:r>
      <w:r>
        <w:t>(</w:t>
      </w:r>
      <w:r w:rsidRPr="00CE1AEC">
        <w:t>also known as the Courts of Common pleas</w:t>
      </w:r>
      <w:r>
        <w:t>)</w:t>
      </w:r>
      <w:r w:rsidRPr="00CE1AEC">
        <w:t xml:space="preserve"> consisting of the King’s Bench, Court of Common Pleas and the Exchequer</w:t>
      </w:r>
      <w:r>
        <w:t>.</w:t>
      </w:r>
    </w:p>
    <w:p w14:paraId="67508C7E" w14:textId="77777777" w:rsidR="00CE1AEC" w:rsidRDefault="00CE1AEC" w:rsidP="00CE1AEC"/>
    <w:p w14:paraId="182AA03B" w14:textId="77777777" w:rsidR="00CE1AEC" w:rsidRPr="00CE1AEC" w:rsidRDefault="00CE1AEC" w:rsidP="00CE1AEC">
      <w:r w:rsidRPr="00CE1AEC">
        <w:t>You will remember that a litigant who felt he did not get justice in the local court could petition the King and ask for the case to be heard in one of the Royal courts on the basis that a right to justice was a royal prerogative.</w:t>
      </w:r>
    </w:p>
    <w:p w14:paraId="3651C4D6" w14:textId="77777777" w:rsidR="00CE1AEC" w:rsidRPr="00CE1AEC" w:rsidRDefault="00CE1AEC" w:rsidP="00CE1AEC">
      <w:r w:rsidRPr="00CE1AEC">
        <w:t>Chancery department headed usually by a Bishop – but at this stage was not a court of equity as that developed much later in 16</w:t>
      </w:r>
      <w:r w:rsidRPr="00CE1AEC">
        <w:rPr>
          <w:vertAlign w:val="superscript"/>
        </w:rPr>
        <w:t>th</w:t>
      </w:r>
      <w:r w:rsidRPr="00CE1AEC">
        <w:t xml:space="preserve"> and 17</w:t>
      </w:r>
      <w:r w:rsidRPr="00CE1AEC">
        <w:rPr>
          <w:vertAlign w:val="superscript"/>
        </w:rPr>
        <w:t>th</w:t>
      </w:r>
      <w:r w:rsidRPr="00CE1AEC">
        <w:t xml:space="preserve"> centuries administering equitable principles and doctrines on the basis of unconscionable conduct.</w:t>
      </w:r>
    </w:p>
    <w:p w14:paraId="79F91191" w14:textId="77777777" w:rsidR="00CE1AEC" w:rsidRDefault="00CE1AEC" w:rsidP="00CE1AEC"/>
    <w:p w14:paraId="6323E0FC" w14:textId="77777777" w:rsidR="00CE1AEC" w:rsidRDefault="00CE1AEC" w:rsidP="00CE1AEC">
      <w:pPr>
        <w:rPr>
          <w:u w:val="single"/>
        </w:rPr>
      </w:pPr>
      <w:r w:rsidRPr="00CE1AEC">
        <w:rPr>
          <w:u w:val="single"/>
        </w:rPr>
        <w:t>The Inadequacy of the Writ System</w:t>
      </w:r>
    </w:p>
    <w:p w14:paraId="727B0061" w14:textId="77777777" w:rsidR="00CE1AEC" w:rsidRPr="00CE1AEC" w:rsidRDefault="00CE1AEC" w:rsidP="00CE1AEC">
      <w:pPr>
        <w:rPr>
          <w:u w:val="single"/>
        </w:rPr>
      </w:pPr>
    </w:p>
    <w:p w14:paraId="73CA8B76" w14:textId="77777777" w:rsidR="00CE1AEC" w:rsidRPr="00CE1AEC" w:rsidRDefault="00CE1AEC" w:rsidP="00CE1AEC">
      <w:r w:rsidRPr="00CE1AEC">
        <w:t>Law administered by the medieval courts was party traditional and partly statute.  Traditional law=based on precedent and termed the common law in that it was common to all areas of England and its subjects.</w:t>
      </w:r>
    </w:p>
    <w:p w14:paraId="3C552262" w14:textId="77777777" w:rsidR="00CE1AEC" w:rsidRDefault="00CE1AEC" w:rsidP="00CE1AEC">
      <w:r w:rsidRPr="00CE1AEC">
        <w:t>If you wanted to commence an action in the Royal courts you needed a royal writ which was simply a sealed authorisation to commence proceedings in the royal court.  The Chancellor was in charge of issuing the writs. He could use a number of established writs but had limited power to issue new ones.</w:t>
      </w:r>
    </w:p>
    <w:p w14:paraId="2914CE76" w14:textId="77777777" w:rsidR="00CE1AEC" w:rsidRPr="00CE1AEC" w:rsidRDefault="00CE1AEC" w:rsidP="00CE1AEC">
      <w:r w:rsidRPr="00CE1AEC">
        <w:t>Note that at this time the Chancellor did not act in a judicial manner; his role was to hear the Cl’s application and issue the writ.</w:t>
      </w:r>
    </w:p>
    <w:p w14:paraId="1E415BF0" w14:textId="77777777" w:rsidR="00CE1AEC" w:rsidRPr="00CE1AEC" w:rsidRDefault="00CE1AEC" w:rsidP="00CE1AEC">
      <w:r w:rsidRPr="00CE1AEC">
        <w:t>The grant of a writ did not mean that the Cl was successful since the court could quash the writ as being contrary to the law of the land.</w:t>
      </w:r>
    </w:p>
    <w:p w14:paraId="4C70BC36" w14:textId="77777777" w:rsidR="00CE1AEC" w:rsidRDefault="00CE1AEC" w:rsidP="00CE1AEC">
      <w:r w:rsidRPr="00CE1AEC">
        <w:t>The power to invent new writs presented a real threat to feudal lords and barons since new writs meant new remedies, which created new rights and duties.</w:t>
      </w:r>
    </w:p>
    <w:p w14:paraId="1BF13C09" w14:textId="77777777" w:rsidR="00CE1AEC" w:rsidRPr="00CE1AEC" w:rsidRDefault="00CE1AEC" w:rsidP="00CE1AEC">
      <w:r w:rsidRPr="00CE1AEC">
        <w:t>Therefore the Provision of Oxford 1248 disallowed the issuing of new writs without the permission of the King’s Council.</w:t>
      </w:r>
    </w:p>
    <w:p w14:paraId="1098E5A3" w14:textId="77777777" w:rsidR="00CE1AEC" w:rsidRPr="00CE1AEC" w:rsidRDefault="00CE1AEC" w:rsidP="00CE1AEC">
      <w:r w:rsidRPr="00CE1AEC">
        <w:t>In one sense this was the power of feudal lords and barons sitting in the King’s Council preventing new law, which would be primarily directed at them.</w:t>
      </w:r>
    </w:p>
    <w:p w14:paraId="54AE52D0" w14:textId="77777777" w:rsidR="00CE1AEC" w:rsidRDefault="00CE1AEC" w:rsidP="00CE1AEC">
      <w:r w:rsidRPr="00CE1AEC">
        <w:t>Therefore the net effect of the Provisions of Oxford was that a number of new cases requiring new remedies remained unresolved at common law.  It therefore became rigid and incapable of dealing with change in society.</w:t>
      </w:r>
    </w:p>
    <w:p w14:paraId="3EABE308" w14:textId="77777777" w:rsidR="00CE1AEC" w:rsidRDefault="00CE1AEC" w:rsidP="00CE1AEC"/>
    <w:p w14:paraId="63319234" w14:textId="77777777" w:rsidR="00CE1AEC" w:rsidRPr="00CE1AEC" w:rsidRDefault="00CE1AEC" w:rsidP="00CE1AEC">
      <w:pPr>
        <w:rPr>
          <w:u w:val="single"/>
        </w:rPr>
      </w:pPr>
      <w:r>
        <w:rPr>
          <w:u w:val="single"/>
        </w:rPr>
        <w:t>The Inadequacy of an Appropriate Remedy</w:t>
      </w:r>
    </w:p>
    <w:p w14:paraId="7FC2CF18" w14:textId="77777777" w:rsidR="00CE1AEC" w:rsidRDefault="00CE1AEC" w:rsidP="00CE1AEC"/>
    <w:p w14:paraId="6F8FD5BC" w14:textId="77777777" w:rsidR="00CE1AEC" w:rsidRPr="00CE1AEC" w:rsidRDefault="00CE1AEC" w:rsidP="00CE1AEC">
      <w:r w:rsidRPr="00CE1AEC">
        <w:t>The common law also lacked appropriate remedies. The predominant one being damages. Not always applicable to land/property cases.</w:t>
      </w:r>
    </w:p>
    <w:p w14:paraId="7C077D9C" w14:textId="77777777" w:rsidR="00CE1AEC" w:rsidRPr="00CE1AEC" w:rsidRDefault="00CE1AEC" w:rsidP="00CE1AEC">
      <w:proofErr w:type="spellStart"/>
      <w:r w:rsidRPr="00CE1AEC">
        <w:t>Eg</w:t>
      </w:r>
      <w:proofErr w:type="spellEnd"/>
      <w:r w:rsidRPr="00CE1AEC">
        <w:t xml:space="preserve"> a persistent trespasser – injunction would be better. Common law does not recognise this remedy.</w:t>
      </w:r>
    </w:p>
    <w:p w14:paraId="466AD4AA" w14:textId="77777777" w:rsidR="00CE1AEC" w:rsidRPr="00CE1AEC" w:rsidRDefault="00CE1AEC" w:rsidP="00CE1AEC">
      <w:r w:rsidRPr="00CE1AEC">
        <w:lastRenderedPageBreak/>
        <w:t>The development of equity was primarily in response to the inadequacy of the common law remedy.</w:t>
      </w:r>
    </w:p>
    <w:p w14:paraId="0B6D5581" w14:textId="77777777" w:rsidR="00CE1AEC" w:rsidRPr="00CE1AEC" w:rsidRDefault="00CE1AEC" w:rsidP="00CE1AEC">
      <w:r w:rsidRPr="00CE1AEC">
        <w:t xml:space="preserve">The common law doesn’t recognise specific performance – </w:t>
      </w:r>
      <w:proofErr w:type="spellStart"/>
      <w:r w:rsidRPr="00CE1AEC">
        <w:t>eg</w:t>
      </w:r>
      <w:proofErr w:type="spellEnd"/>
      <w:r w:rsidRPr="00CE1AEC">
        <w:t xml:space="preserve"> if you’ve bought a painting, you want the painting and not necessarily the money. </w:t>
      </w:r>
    </w:p>
    <w:p w14:paraId="7C75DDDF" w14:textId="77777777" w:rsidR="00CE1AEC" w:rsidRDefault="00CE1AEC" w:rsidP="00CE1AEC">
      <w:r w:rsidRPr="00CE1AEC">
        <w:t>Therefore one of the fundamental contributions of equity was the diverse range of remedies open to Cl</w:t>
      </w:r>
      <w:r>
        <w:t>aimant</w:t>
      </w:r>
      <w:r w:rsidRPr="00CE1AEC">
        <w:t>s to enforce their rights.</w:t>
      </w:r>
    </w:p>
    <w:p w14:paraId="50CDB410" w14:textId="77777777" w:rsidR="00CE1AEC" w:rsidRDefault="00CE1AEC" w:rsidP="00CE1AEC"/>
    <w:p w14:paraId="7E81B3FB" w14:textId="77777777" w:rsidR="00CE1AEC" w:rsidRPr="00CE1AEC" w:rsidRDefault="00CE1AEC" w:rsidP="00CE1AEC">
      <w:pPr>
        <w:rPr>
          <w:u w:val="single"/>
        </w:rPr>
      </w:pPr>
      <w:r w:rsidRPr="00CE1AEC">
        <w:rPr>
          <w:u w:val="single"/>
        </w:rPr>
        <w:t>The Origins and Development of Equity</w:t>
      </w:r>
    </w:p>
    <w:p w14:paraId="50E2B325" w14:textId="77777777" w:rsidR="00CE1AEC" w:rsidRDefault="00CE1AEC" w:rsidP="00CE1AEC"/>
    <w:p w14:paraId="23FF8229" w14:textId="77777777" w:rsidR="00CE1AEC" w:rsidRPr="00CE1AEC" w:rsidRDefault="00CE1AEC" w:rsidP="00CE1AEC">
      <w:r w:rsidRPr="00CE1AEC">
        <w:t xml:space="preserve">Most legal systems try to be fair and just but equity can mean more than this.  It can mean a distinct body of rules that seeks to introduce ethical values into the legal norms – </w:t>
      </w:r>
      <w:proofErr w:type="spellStart"/>
      <w:r w:rsidRPr="00CE1AEC">
        <w:t>ie</w:t>
      </w:r>
      <w:proofErr w:type="spellEnd"/>
      <w:r w:rsidRPr="00CE1AEC">
        <w:t xml:space="preserve"> a set of legal principles entitled by their extrinsic superiority to supersede the older law. This sums up the idea of equity in our legal system.</w:t>
      </w:r>
    </w:p>
    <w:p w14:paraId="1C313211" w14:textId="77777777" w:rsidR="00CE1AEC" w:rsidRPr="00CE1AEC" w:rsidRDefault="00CE1AEC" w:rsidP="00CE1AEC">
      <w:r w:rsidRPr="00CE1AEC">
        <w:t>Equity in the legal system is not a system of law based on what is necessarily fair on any given set of facts.</w:t>
      </w:r>
    </w:p>
    <w:p w14:paraId="265A817B" w14:textId="77777777" w:rsidR="00CE1AEC" w:rsidRDefault="00CE1AEC" w:rsidP="00CE1AEC">
      <w:r w:rsidRPr="00CE1AEC">
        <w:t>Modern equitable jurisdiction is exercised in well-defined circumstances which involve unconscionable conduct on the part of a D</w:t>
      </w:r>
      <w:r>
        <w:t>efendant</w:t>
      </w:r>
      <w:r w:rsidRPr="00CE1AEC">
        <w:t>.</w:t>
      </w:r>
    </w:p>
    <w:p w14:paraId="79261436" w14:textId="77777777" w:rsidR="00CE1AEC" w:rsidRDefault="00CE1AEC" w:rsidP="00CE1AEC"/>
    <w:p w14:paraId="44E2553A" w14:textId="77777777" w:rsidR="00CE1AEC" w:rsidRDefault="00CE1AEC" w:rsidP="00CE1AEC">
      <w:pPr>
        <w:rPr>
          <w:u w:val="single"/>
        </w:rPr>
      </w:pPr>
      <w:r w:rsidRPr="00CE1AEC">
        <w:rPr>
          <w:u w:val="single"/>
        </w:rPr>
        <w:t>The nature of equity in the early days</w:t>
      </w:r>
    </w:p>
    <w:p w14:paraId="39EC646B" w14:textId="77777777" w:rsidR="00CE1AEC" w:rsidRPr="00CE1AEC" w:rsidRDefault="00CE1AEC" w:rsidP="00CE1AEC">
      <w:pPr>
        <w:rPr>
          <w:u w:val="single"/>
        </w:rPr>
      </w:pPr>
    </w:p>
    <w:p w14:paraId="3CD52840" w14:textId="77777777" w:rsidR="00CE1AEC" w:rsidRPr="00CE1AEC" w:rsidRDefault="00CE1AEC" w:rsidP="00CE1AEC">
      <w:r w:rsidRPr="00CE1AEC">
        <w:t>Developed by Court of Chancery in medieval times to iron out deficiencies of the common law and correct unconscionable conduct.</w:t>
      </w:r>
    </w:p>
    <w:p w14:paraId="5875EEBF" w14:textId="77777777" w:rsidR="00CE1AEC" w:rsidRPr="00CE1AEC" w:rsidRDefault="00CE1AEC" w:rsidP="00CE1AEC">
      <w:r w:rsidRPr="00CE1AEC">
        <w:t>The need for a separate court to admin equitable relief arose from the deficiencies of the common law in the middle ages (as already discussed) via the rigidity of the writ system.</w:t>
      </w:r>
    </w:p>
    <w:p w14:paraId="3F550AE0" w14:textId="77777777" w:rsidR="00CE1AEC" w:rsidRDefault="00CE1AEC" w:rsidP="00CE1AEC">
      <w:r w:rsidRPr="00CE1AEC">
        <w:t>The remedy was inappropriate but in addition many cl</w:t>
      </w:r>
      <w:r>
        <w:t>aimant</w:t>
      </w:r>
      <w:r w:rsidRPr="00CE1AEC">
        <w:t>s were precluded from getting any remedy because rich and powerful individuals would influence the court and jury.</w:t>
      </w:r>
    </w:p>
    <w:p w14:paraId="3C8F0605" w14:textId="77777777" w:rsidR="00CE1AEC" w:rsidRDefault="00CE1AEC" w:rsidP="00CE1AEC">
      <w:r w:rsidRPr="00CE1AEC">
        <w:t>Equity, as administered by the early Lord Chancellors, was not defeated by these constraints.  The Lord Chancellor attempted to correct abuses of fraud and unconscionable conduct by looking at each case on its merits rather than whether an appropriate course of action existed in the first place.</w:t>
      </w:r>
    </w:p>
    <w:p w14:paraId="55E6D511" w14:textId="77777777" w:rsidR="00CE1AEC" w:rsidRDefault="00CE1AEC" w:rsidP="00CE1AEC"/>
    <w:p w14:paraId="1388D28F" w14:textId="77777777" w:rsidR="00CE1AEC" w:rsidRPr="00CE1AEC" w:rsidRDefault="00CE1AEC" w:rsidP="00CE1AEC">
      <w:pPr>
        <w:rPr>
          <w:u w:val="single"/>
        </w:rPr>
      </w:pPr>
      <w:r w:rsidRPr="00CE1AEC">
        <w:rPr>
          <w:u w:val="single"/>
        </w:rPr>
        <w:t>The Lord Chancellor</w:t>
      </w:r>
    </w:p>
    <w:p w14:paraId="03026236" w14:textId="77777777" w:rsidR="00CE1AEC" w:rsidRPr="00CE1AEC" w:rsidRDefault="00CE1AEC" w:rsidP="00CE1AEC">
      <w:r w:rsidRPr="00CE1AEC">
        <w:t xml:space="preserve">In the early development of equity the Lord Chancellor administered equitable relief.  </w:t>
      </w:r>
    </w:p>
    <w:p w14:paraId="0D7E762E" w14:textId="77777777" w:rsidR="00CE1AEC" w:rsidRPr="00CE1AEC" w:rsidRDefault="00CE1AEC" w:rsidP="00CE1AEC">
      <w:r w:rsidRPr="00CE1AEC">
        <w:t xml:space="preserve">Where the LC could not issue a writ due to a lack of a precedent, he could demand that the D appear before him and answer the charges made against him.  </w:t>
      </w:r>
    </w:p>
    <w:p w14:paraId="47887DE8" w14:textId="77777777" w:rsidR="00CE1AEC" w:rsidRDefault="00CE1AEC" w:rsidP="00CE1AEC">
      <w:r w:rsidRPr="00CE1AEC">
        <w:t>In order to compel the D to appear before him and answer the grievances the Chancellor issued a writ called a subpoena, ordering the D to appear upon pain of forfeiting a sum of money.</w:t>
      </w:r>
    </w:p>
    <w:p w14:paraId="5A530ACA" w14:textId="77777777" w:rsidR="00CE1AEC" w:rsidRPr="00CE1AEC" w:rsidRDefault="00CE1AEC" w:rsidP="00CE1AEC">
      <w:r w:rsidRPr="00CE1AEC">
        <w:t>This was a very different writ from the type used to commence proceedings in the common court, since it simply required the person against whom the complaint was made to answer to the LC the complaints made against him.</w:t>
      </w:r>
    </w:p>
    <w:p w14:paraId="3ED1DB99" w14:textId="77777777" w:rsidR="00CE1AEC" w:rsidRPr="00CE1AEC" w:rsidRDefault="00CE1AEC" w:rsidP="00CE1AEC">
      <w:r w:rsidRPr="00CE1AEC">
        <w:t>What started out as a secretarial office of government now took on the shape of a court administering law in its own right.</w:t>
      </w:r>
    </w:p>
    <w:p w14:paraId="13E24BDC" w14:textId="77777777" w:rsidR="00CE1AEC" w:rsidRPr="00CE1AEC" w:rsidRDefault="00CE1AEC" w:rsidP="00CE1AEC">
      <w:r w:rsidRPr="00CE1AEC">
        <w:t>So what law did the chancellor administer?</w:t>
      </w:r>
    </w:p>
    <w:p w14:paraId="6B84F124" w14:textId="77777777" w:rsidR="00CE1AEC" w:rsidRPr="00CE1AEC" w:rsidRDefault="00CE1AEC" w:rsidP="00CE1AEC">
      <w:r w:rsidRPr="00CE1AEC">
        <w:t>The Chancellor did not introduce any novelty in the law-making process and neither did he introduce laws so different from the law of the land.</w:t>
      </w:r>
    </w:p>
    <w:p w14:paraId="6623D116" w14:textId="77777777" w:rsidR="00CE1AEC" w:rsidRPr="00CE1AEC" w:rsidRDefault="00CE1AEC" w:rsidP="00CE1AEC">
      <w:r w:rsidRPr="00CE1AEC">
        <w:lastRenderedPageBreak/>
        <w:t>However, what he did recognise was the inability of the common law to deal with social and economic changes.</w:t>
      </w:r>
    </w:p>
    <w:p w14:paraId="07191F20" w14:textId="77777777" w:rsidR="00CE1AEC" w:rsidRPr="00CE1AEC" w:rsidRDefault="00CE1AEC" w:rsidP="00CE1AEC">
      <w:r w:rsidRPr="00CE1AEC">
        <w:t>Remember at this time the Chancellor was a man of the Church and educated in civil and canon and therefore ideally placed to deal with legal problems put to him. The basis upon which he exercised his power was on the simple premise of what was right in any given case.</w:t>
      </w:r>
    </w:p>
    <w:p w14:paraId="69CBB1D7" w14:textId="77777777" w:rsidR="00CE1AEC" w:rsidRDefault="00CE1AEC" w:rsidP="00CE1AEC">
      <w:r w:rsidRPr="00CE1AEC">
        <w:t>If there were one word to describe how he exercised his power to relieve aggrieved parties it would be conscience.</w:t>
      </w:r>
    </w:p>
    <w:p w14:paraId="46726D2E" w14:textId="77777777" w:rsidR="00CE1AEC" w:rsidRPr="00CE1AEC" w:rsidRDefault="00CE1AEC" w:rsidP="00CE1AEC">
      <w:r w:rsidRPr="00CE1AEC">
        <w:t xml:space="preserve">So… the court of equity was essentially a court of conscience.  Cases were decided on their merits rather on whether there was a precedent. Therefore the notions of justice would vary depending upon whom was Chancellor. </w:t>
      </w:r>
    </w:p>
    <w:p w14:paraId="2ED36304" w14:textId="77777777" w:rsidR="00CE1AEC" w:rsidRDefault="00CE1AEC" w:rsidP="00CE1AEC">
      <w:r w:rsidRPr="00CE1AEC">
        <w:t>Later lawyers, instead of churchmen, were appointed Chancellor; Lord Nottingham (1673-82); Lord Hardwicke (1736-56) and Lord Eldon (1801-27) were pioneers of modern equity.  They developed a set of principles and doctrines which were to become as fixed as the common law</w:t>
      </w:r>
      <w:r>
        <w:t>.</w:t>
      </w:r>
    </w:p>
    <w:p w14:paraId="7E8A5A1B" w14:textId="77777777" w:rsidR="00CE1AEC" w:rsidRPr="00CE1AEC" w:rsidRDefault="00CE1AEC" w:rsidP="00CE1AEC">
      <w:r w:rsidRPr="00CE1AEC">
        <w:t>The question now asked is whether equity is now as fixed as the common law.</w:t>
      </w:r>
    </w:p>
    <w:p w14:paraId="1CAFACDB" w14:textId="77777777" w:rsidR="00CE1AEC" w:rsidRPr="00CE1AEC" w:rsidRDefault="00CE1AEC" w:rsidP="00CE1AEC">
      <w:r w:rsidRPr="00CE1AEC">
        <w:t xml:space="preserve">Lord Eldon was primarily responsible for establishing equity as a defined body of rules and principles.  He once remarked that </w:t>
      </w:r>
    </w:p>
    <w:p w14:paraId="1A870888" w14:textId="77777777" w:rsidR="00CE1AEC" w:rsidRDefault="00CE1AEC" w:rsidP="00CE1AEC">
      <w:pPr>
        <w:rPr>
          <w:i/>
          <w:iCs/>
        </w:rPr>
      </w:pPr>
      <w:r w:rsidRPr="00CE1AEC">
        <w:rPr>
          <w:i/>
          <w:iCs/>
        </w:rPr>
        <w:t>‘nothing would inflict on me greater pain in quitting this place than the recollection that I had done anything to justify the reproach that the equity of this court varies like the Chancellor’s foot.’</w:t>
      </w:r>
    </w:p>
    <w:p w14:paraId="495EFB02" w14:textId="77777777" w:rsidR="00CE1AEC" w:rsidRDefault="00CE1AEC" w:rsidP="00CE1AEC">
      <w:pPr>
        <w:rPr>
          <w:i/>
          <w:iCs/>
        </w:rPr>
      </w:pPr>
    </w:p>
    <w:p w14:paraId="5BD05F01" w14:textId="77777777" w:rsidR="00CE1AEC" w:rsidRDefault="00CE1AEC" w:rsidP="00CE1AEC">
      <w:pPr>
        <w:rPr>
          <w:u w:val="single"/>
        </w:rPr>
      </w:pPr>
      <w:r w:rsidRPr="00CE1AEC">
        <w:rPr>
          <w:u w:val="single"/>
        </w:rPr>
        <w:t>Disputes in the early Court of Chancery</w:t>
      </w:r>
    </w:p>
    <w:p w14:paraId="63D99D0D" w14:textId="77777777" w:rsidR="002F4DEB" w:rsidRPr="002F4DEB" w:rsidRDefault="002F4DEB" w:rsidP="002F4DEB">
      <w:r w:rsidRPr="002F4DEB">
        <w:t xml:space="preserve">At the initial stage of the development of equity complaints were mainly about property and land.  </w:t>
      </w:r>
    </w:p>
    <w:p w14:paraId="2E6AE6F2" w14:textId="77777777" w:rsidR="002F4DEB" w:rsidRPr="002F4DEB" w:rsidRDefault="002F4DEB" w:rsidP="002F4DEB">
      <w:r w:rsidRPr="002F4DEB">
        <w:t>For example</w:t>
      </w:r>
    </w:p>
    <w:p w14:paraId="562AA8FB" w14:textId="77777777" w:rsidR="002F4DEB" w:rsidRDefault="002F4DEB" w:rsidP="002F4DEB">
      <w:r w:rsidRPr="002F4DEB">
        <w:t>One of the most common complaints bought before the Chancellor was the abuses of trusts.  The predecessor of the modern trust, it was used in feudal England to overcome the taxation implications of feudal land holding. Land would be put upon use by appointing trustees (called feoffees) for the benefit of beneficiaries (called cestui que use).</w:t>
      </w:r>
    </w:p>
    <w:p w14:paraId="3DA18192" w14:textId="77777777" w:rsidR="002F4DEB" w:rsidRPr="002F4DEB" w:rsidRDefault="002F4DEB" w:rsidP="002F4DEB">
      <w:r w:rsidRPr="002F4DEB">
        <w:t>Under feudal law, the heir of a deceased was required to pay feudal dues before taking possession of the land which once belonged to his father.  In addition</w:t>
      </w:r>
      <w:r>
        <w:t>,</w:t>
      </w:r>
      <w:r w:rsidRPr="002F4DEB">
        <w:t xml:space="preserve"> there was no freedom of testation so you could not dispose of your land to your heirs by way of a will.</w:t>
      </w:r>
    </w:p>
    <w:p w14:paraId="77F49674" w14:textId="77777777" w:rsidR="002F4DEB" w:rsidRPr="002F4DEB" w:rsidRDefault="002F4DEB" w:rsidP="002F4DEB">
      <w:r w:rsidRPr="002F4DEB">
        <w:t>These problems could be avoided by the employment of a use.  Typically, the land would be conveyed to a number of feoffees who would hold the land for the designated beneficiaries such as the oldest son of the person creating the use.</w:t>
      </w:r>
    </w:p>
    <w:p w14:paraId="7D3CC6DD" w14:textId="77777777" w:rsidR="002F4DEB" w:rsidRDefault="002F4DEB" w:rsidP="002F4DEB">
      <w:r w:rsidRPr="002F4DEB">
        <w:t>The legal title would pass to the trustee; however, the Court of Chancery would recognise the rights of the beneficiary on the grounds that the conscience of the trustees would bind them to the trust.  On the death of the landholder, the person who created the trust, the oldest son could compel the trustees to transfer the land to him on the grounds that he had equitable rights in the land.  This meant that a landowner could convey land to his oldest son and avoid paying feudal dues because all transfers of land would be taking place during the lifetime of the person creating the trust and the lifetime of the trustees.</w:t>
      </w:r>
    </w:p>
    <w:p w14:paraId="1FA60DB0" w14:textId="77777777" w:rsidR="002F4DEB" w:rsidRPr="002F4DEB" w:rsidRDefault="002F4DEB" w:rsidP="002F4DEB">
      <w:r w:rsidRPr="002F4DEB">
        <w:t>The situation had been reached whereby the Court of Chancery acknowledged the existence of a separate equitable title under a trust which the equitable (beneficial) owner could enforce against the legal owner (the trustee) and against 3</w:t>
      </w:r>
      <w:r w:rsidRPr="002F4DEB">
        <w:rPr>
          <w:vertAlign w:val="superscript"/>
        </w:rPr>
        <w:t>rd</w:t>
      </w:r>
      <w:r w:rsidRPr="002F4DEB">
        <w:t xml:space="preserve"> parties who acquired the legal title with notice of the equitable interest binding upon it.  Where Chancery recognised 2 or </w:t>
      </w:r>
      <w:r w:rsidRPr="002F4DEB">
        <w:lastRenderedPageBreak/>
        <w:t>more parties as having competing equitable claims of equal merit, the priority went to which claim came first in time.</w:t>
      </w:r>
    </w:p>
    <w:p w14:paraId="4067E717" w14:textId="77777777" w:rsidR="002F4DEB" w:rsidRDefault="002F4DEB" w:rsidP="002F4DEB">
      <w:pPr>
        <w:rPr>
          <w:b/>
          <w:bCs/>
          <w:i/>
          <w:iCs/>
        </w:rPr>
      </w:pPr>
      <w:r w:rsidRPr="002F4DEB">
        <w:t xml:space="preserve">The courts approach to disputes between legal owners and equitable owners was summarised in </w:t>
      </w:r>
      <w:r w:rsidRPr="002F4DEB">
        <w:rPr>
          <w:b/>
          <w:bCs/>
          <w:i/>
          <w:iCs/>
        </w:rPr>
        <w:t>Liverpool Marine Credit Co v Wilson [1872]</w:t>
      </w:r>
      <w:r>
        <w:rPr>
          <w:b/>
          <w:bCs/>
          <w:i/>
          <w:iCs/>
        </w:rPr>
        <w:t>:</w:t>
      </w:r>
      <w:r w:rsidRPr="002F4DEB">
        <w:rPr>
          <w:b/>
          <w:bCs/>
          <w:i/>
          <w:iCs/>
        </w:rPr>
        <w:t xml:space="preserve"> </w:t>
      </w:r>
    </w:p>
    <w:p w14:paraId="6D192223" w14:textId="77777777" w:rsidR="002F4DEB" w:rsidRPr="002F4DEB" w:rsidRDefault="002F4DEB" w:rsidP="002F4DEB"/>
    <w:p w14:paraId="783F8F2C" w14:textId="77777777" w:rsidR="002F4DEB" w:rsidRDefault="002F4DEB" w:rsidP="002F4DEB">
      <w:pPr>
        <w:rPr>
          <w:i/>
          <w:iCs/>
        </w:rPr>
      </w:pPr>
      <w:r>
        <w:rPr>
          <w:i/>
          <w:iCs/>
        </w:rPr>
        <w:t>‘</w:t>
      </w:r>
      <w:r w:rsidRPr="002F4DEB">
        <w:rPr>
          <w:i/>
          <w:iCs/>
        </w:rPr>
        <w:t>The legal owner’s right is paramount to very equitable charge not affecting his own conscience; the equitable owner, in the absence of special circumstances, takes subject to all equities prior in date to his own legal estate or charge</w:t>
      </w:r>
      <w:r>
        <w:rPr>
          <w:i/>
          <w:iCs/>
        </w:rPr>
        <w:t>’</w:t>
      </w:r>
    </w:p>
    <w:p w14:paraId="396491EE" w14:textId="77777777" w:rsidR="002F4DEB" w:rsidRPr="002F4DEB" w:rsidRDefault="002F4DEB" w:rsidP="002F4DEB"/>
    <w:p w14:paraId="623F368B" w14:textId="77777777" w:rsidR="002F4DEB" w:rsidRDefault="002F4DEB" w:rsidP="002F4DEB">
      <w:r w:rsidRPr="002F4DEB">
        <w:t>The point is that equitable ‘title’ is by no means the equal and opposite of legal title, but it is rather in the nature of a restriction on the legal owner that has limited proprietary status are regards 3</w:t>
      </w:r>
      <w:r w:rsidRPr="002F4DEB">
        <w:rPr>
          <w:vertAlign w:val="superscript"/>
        </w:rPr>
        <w:t>rd</w:t>
      </w:r>
      <w:r w:rsidRPr="002F4DEB">
        <w:t xml:space="preserve"> parties.</w:t>
      </w:r>
    </w:p>
    <w:p w14:paraId="2E1C5F98" w14:textId="77777777" w:rsidR="002F4DEB" w:rsidRDefault="002F4DEB" w:rsidP="002F4DEB">
      <w:r w:rsidRPr="002F4DEB">
        <w:t>Through this claim of priority to claims in land, Chancery created a law of property where previously there had existed only the common law concept of formal title. In the 18</w:t>
      </w:r>
      <w:r w:rsidRPr="002F4DEB">
        <w:rPr>
          <w:vertAlign w:val="superscript"/>
        </w:rPr>
        <w:t>th</w:t>
      </w:r>
      <w:r w:rsidRPr="002F4DEB">
        <w:t xml:space="preserve"> and 19</w:t>
      </w:r>
      <w:r w:rsidRPr="002F4DEB">
        <w:rPr>
          <w:vertAlign w:val="superscript"/>
        </w:rPr>
        <w:t>th</w:t>
      </w:r>
      <w:r w:rsidRPr="002F4DEB">
        <w:t xml:space="preserve"> Centuries the trust was used extensively in relation to land to effect settlements according to which land could be kept within families for generation after generation.  Changes in social attitudes, not to mention fiscal considerations and the onset of endemic inflation, have seen a dramatic decline in the use of trusts for this purpose.  </w:t>
      </w:r>
    </w:p>
    <w:p w14:paraId="118C0FAE" w14:textId="77777777" w:rsidR="002F4DEB" w:rsidRDefault="002F4DEB" w:rsidP="002F4DEB">
      <w:r w:rsidRPr="002F4DEB">
        <w:t>However, it is because of equity’s willingness to acknowledge property behind legal title, that trusts, despite their origins as medieval land obligations, are nowadays asserted with regularity in modern commercial contexts and in particular in the context of insolvency.</w:t>
      </w:r>
    </w:p>
    <w:p w14:paraId="4542484C" w14:textId="77777777" w:rsidR="002F4DEB" w:rsidRPr="002F4DEB" w:rsidRDefault="002F4DEB" w:rsidP="002F4DEB"/>
    <w:p w14:paraId="1ADC6D65" w14:textId="77777777" w:rsidR="002F4DEB" w:rsidRPr="002F4DEB" w:rsidRDefault="002F4DEB" w:rsidP="002F4DEB">
      <w:r w:rsidRPr="002F4DEB">
        <w:t>Example</w:t>
      </w:r>
    </w:p>
    <w:p w14:paraId="155D70BE" w14:textId="77777777" w:rsidR="002F4DEB" w:rsidRDefault="002F4DEB" w:rsidP="002F4DEB">
      <w:r w:rsidRPr="002F4DEB">
        <w:t>In the context of mortgages.  Historically and especially in the 18</w:t>
      </w:r>
      <w:r w:rsidRPr="002F4DEB">
        <w:rPr>
          <w:vertAlign w:val="superscript"/>
        </w:rPr>
        <w:t>th</w:t>
      </w:r>
      <w:r w:rsidRPr="002F4DEB">
        <w:t xml:space="preserve"> and 19</w:t>
      </w:r>
      <w:r w:rsidRPr="002F4DEB">
        <w:rPr>
          <w:vertAlign w:val="superscript"/>
        </w:rPr>
        <w:t>th</w:t>
      </w:r>
      <w:r w:rsidRPr="002F4DEB">
        <w:t xml:space="preserve"> centuries, the typical mortgage transaction was very different from how it is now.  Historically a typical mortgage took the form of an outright transfer of the mortgagor’s land to the mortgagee.  The mortgagee became the absolute owner in return for the mortgage money.  The problem was that the common law regarded the agreement to create a mortgage as an ordinary commercial one.</w:t>
      </w:r>
    </w:p>
    <w:p w14:paraId="3CBAF394" w14:textId="77777777" w:rsidR="002F4DEB" w:rsidRPr="002F4DEB" w:rsidRDefault="002F4DEB" w:rsidP="002F4DEB">
      <w:r w:rsidRPr="002F4DEB">
        <w:t>Thus the common law failed to redress key issues affecting the mortgagor such as his right to redeem the land once he had paid the mortgage in full.  There would be nothing stopping the mortgagee from keeping the land.</w:t>
      </w:r>
    </w:p>
    <w:p w14:paraId="6B1F4456" w14:textId="77777777" w:rsidR="002F4DEB" w:rsidRPr="002F4DEB" w:rsidRDefault="002F4DEB" w:rsidP="002F4DEB">
      <w:r w:rsidRPr="002F4DEB">
        <w:t>Equity therefore intervened in a number of ways to prevent the mortgagee getting more out of the transaction than security for his money.</w:t>
      </w:r>
    </w:p>
    <w:p w14:paraId="298D93B3" w14:textId="77777777" w:rsidR="002F4DEB" w:rsidRPr="002F4DEB" w:rsidRDefault="002F4DEB" w:rsidP="002F4DEB">
      <w:r w:rsidRPr="002F4DEB">
        <w:t>Equity regarded the right of the mortgagor to get his property back on repayment of the loan as fundamental to the agreement.</w:t>
      </w:r>
    </w:p>
    <w:p w14:paraId="376808A1" w14:textId="77777777" w:rsidR="002F4DEB" w:rsidRPr="002F4DEB" w:rsidRDefault="002F4DEB" w:rsidP="002F4DEB">
      <w:r w:rsidRPr="002F4DEB">
        <w:t xml:space="preserve">The right to the return of the property, termed in equity as the mortgagor’s ‘equity of redemption’ prevailed over and above contractual provisions trying to restrict it.  The need for equity to intervene at this time in history was also due to the inequality of bargaining power between the parties. </w:t>
      </w:r>
    </w:p>
    <w:p w14:paraId="2D1FD0B8" w14:textId="77777777" w:rsidR="002F4DEB" w:rsidRPr="002F4DEB" w:rsidRDefault="002F4DEB" w:rsidP="002F4DEB">
      <w:r w:rsidRPr="002F4DEB">
        <w:t>The typical mortgage at this time was in the form of money raised for some commercial venture or, as a last resort, for the poor person.</w:t>
      </w:r>
    </w:p>
    <w:p w14:paraId="38970094" w14:textId="77777777" w:rsidR="002F4DEB" w:rsidRDefault="002F4DEB" w:rsidP="002F4DEB">
      <w:r w:rsidRPr="002F4DEB">
        <w:t>LC Nottingham was particularly instrumental in protecting and recognising the rights of the mortgagor against abuses of power by the mortgagee.</w:t>
      </w:r>
    </w:p>
    <w:p w14:paraId="13FE1086" w14:textId="77777777" w:rsidR="002F4DEB" w:rsidRDefault="002F4DEB" w:rsidP="002F4DEB"/>
    <w:p w14:paraId="14CCA798" w14:textId="77777777" w:rsidR="002F4DEB" w:rsidRDefault="002F4DEB" w:rsidP="002F4DEB">
      <w:pPr>
        <w:rPr>
          <w:u w:val="single"/>
        </w:rPr>
      </w:pPr>
      <w:r w:rsidRPr="002F4DEB">
        <w:rPr>
          <w:u w:val="single"/>
        </w:rPr>
        <w:t>Equity and the role of conscience</w:t>
      </w:r>
    </w:p>
    <w:p w14:paraId="0A462D91" w14:textId="77777777" w:rsidR="002F4DEB" w:rsidRDefault="002F4DEB" w:rsidP="002F4DEB">
      <w:pPr>
        <w:rPr>
          <w:b/>
          <w:bCs/>
          <w:i/>
          <w:iCs/>
        </w:rPr>
      </w:pPr>
      <w:r w:rsidRPr="002F4DEB">
        <w:lastRenderedPageBreak/>
        <w:t xml:space="preserve">In the early development of equity the notion of conscience underpinned the grounds for the intervention of equitable relief.  This has, perhaps, been best explained by Lord Elsmere in the famous </w:t>
      </w:r>
      <w:r w:rsidRPr="002F4DEB">
        <w:rPr>
          <w:b/>
          <w:bCs/>
          <w:i/>
          <w:iCs/>
        </w:rPr>
        <w:t>Earl of Oxford’s Case</w:t>
      </w:r>
      <w:r>
        <w:rPr>
          <w:b/>
          <w:bCs/>
          <w:i/>
          <w:iCs/>
        </w:rPr>
        <w:t>:-</w:t>
      </w:r>
    </w:p>
    <w:p w14:paraId="414EC1C2" w14:textId="77777777" w:rsidR="002F4DEB" w:rsidRPr="002F4DEB" w:rsidRDefault="002F4DEB" w:rsidP="002F4DEB"/>
    <w:p w14:paraId="056BFE28" w14:textId="77777777" w:rsidR="002F4DEB" w:rsidRDefault="002F4DEB" w:rsidP="002F4DEB">
      <w:pPr>
        <w:rPr>
          <w:i/>
          <w:iCs/>
        </w:rPr>
      </w:pPr>
      <w:r w:rsidRPr="002F4DEB">
        <w:rPr>
          <w:i/>
          <w:iCs/>
        </w:rPr>
        <w:t>‘men’s actions are so diverse and infinite that it is impossible to make any general law which will aptly meet with every particular and not fail in some circumstances.  The office of the Chancellor is to correct men’s consciences for fraud, breaches of trust, wrongs and oppressions of whatever nature so ever they be, and so soften and mollify the extremity of the law.</w:t>
      </w:r>
      <w:r>
        <w:rPr>
          <w:i/>
          <w:iCs/>
        </w:rPr>
        <w:t>’</w:t>
      </w:r>
    </w:p>
    <w:p w14:paraId="1B01ED5F" w14:textId="77777777" w:rsidR="002F4DEB" w:rsidRDefault="002F4DEB" w:rsidP="002F4DEB">
      <w:pPr>
        <w:rPr>
          <w:i/>
          <w:iCs/>
        </w:rPr>
      </w:pPr>
    </w:p>
    <w:p w14:paraId="33FC08C4" w14:textId="77777777" w:rsidR="002F4DEB" w:rsidRPr="002F4DEB" w:rsidRDefault="002F4DEB" w:rsidP="002F4DEB">
      <w:r w:rsidRPr="002F4DEB">
        <w:t xml:space="preserve">The Chancellor administered equitable relief, not by interfering with the common law but rather by asking the D to personally appear before him.  A judgement was said to be </w:t>
      </w:r>
      <w:r w:rsidRPr="002F4DEB">
        <w:rPr>
          <w:i/>
          <w:iCs/>
        </w:rPr>
        <w:t xml:space="preserve">in </w:t>
      </w:r>
      <w:proofErr w:type="spellStart"/>
      <w:r w:rsidRPr="002F4DEB">
        <w:rPr>
          <w:i/>
          <w:iCs/>
        </w:rPr>
        <w:t>personam</w:t>
      </w:r>
      <w:proofErr w:type="spellEnd"/>
      <w:r w:rsidRPr="002F4DEB">
        <w:t xml:space="preserve">.  The Chancellor would order the D to do something and failure to comply would make the D liable to imprisonment for contempt of court.  </w:t>
      </w:r>
    </w:p>
    <w:p w14:paraId="66E903F8" w14:textId="77777777" w:rsidR="002F4DEB" w:rsidRPr="002F4DEB" w:rsidRDefault="002F4DEB" w:rsidP="002F4DEB">
      <w:r w:rsidRPr="002F4DEB">
        <w:t>In more recent times the question has often been asked whether equity is still to be regarded as a court of conscience.  Do they have the same flexibility and discretion?</w:t>
      </w:r>
    </w:p>
    <w:p w14:paraId="144A26D9" w14:textId="77777777" w:rsidR="002F4DEB" w:rsidRPr="002F4DEB" w:rsidRDefault="002F4DEB" w:rsidP="002F4DEB">
      <w:r w:rsidRPr="002F4DEB">
        <w:t>In other words, are the grounds for intervention dependent on looking at the merits of the case on case-by-case basis rather than on rigid process and precedent?</w:t>
      </w:r>
    </w:p>
    <w:p w14:paraId="7BC11FEE" w14:textId="77777777" w:rsidR="002F4DEB" w:rsidRPr="002F4DEB" w:rsidRDefault="002F4DEB" w:rsidP="002F4DEB">
      <w:r w:rsidRPr="002F4DEB">
        <w:t>This question has received a mixed response.</w:t>
      </w:r>
    </w:p>
    <w:p w14:paraId="3AF2EA24" w14:textId="77777777" w:rsidR="002F4DEB" w:rsidRDefault="002F4DEB" w:rsidP="002F4DEB">
      <w:r w:rsidRPr="002F4DEB">
        <w:t>140 years after Chancellor Eldon’s comments, Harman LJ stated that equity principles had been,</w:t>
      </w:r>
    </w:p>
    <w:p w14:paraId="140D4A83" w14:textId="77777777" w:rsidR="002F4DEB" w:rsidRPr="002F4DEB" w:rsidRDefault="002F4DEB" w:rsidP="002F4DEB"/>
    <w:p w14:paraId="5CF0387D" w14:textId="77777777" w:rsidR="002F4DEB" w:rsidRDefault="002F4DEB" w:rsidP="002F4DEB">
      <w:pPr>
        <w:rPr>
          <w:i/>
          <w:iCs/>
        </w:rPr>
      </w:pPr>
      <w:r w:rsidRPr="002F4DEB">
        <w:rPr>
          <w:i/>
          <w:iCs/>
        </w:rPr>
        <w:t>‘rather too often bandied about in the Common law courts as though the Chancellor still had only the length of his foot to measure when coming to a conclusion.’</w:t>
      </w:r>
    </w:p>
    <w:p w14:paraId="06B3F665" w14:textId="77777777" w:rsidR="002F4DEB" w:rsidRDefault="002F4DEB" w:rsidP="002F4DEB">
      <w:pPr>
        <w:rPr>
          <w:i/>
          <w:iCs/>
        </w:rPr>
      </w:pPr>
    </w:p>
    <w:p w14:paraId="41003225" w14:textId="77777777" w:rsidR="002F4DEB" w:rsidRDefault="002F4DEB" w:rsidP="002F4DEB">
      <w:r w:rsidRPr="002F4DEB">
        <w:t>It is now argued that the principles of equity mean that there is no longer the flexibility for it to create law and that this should now be the remit of Parliament.</w:t>
      </w:r>
    </w:p>
    <w:p w14:paraId="3F908AC9" w14:textId="77777777" w:rsidR="002F4DEB" w:rsidRPr="002F4DEB" w:rsidRDefault="002F4DEB" w:rsidP="002F4DEB"/>
    <w:p w14:paraId="27291697" w14:textId="77777777" w:rsidR="002F4DEB" w:rsidRDefault="002F4DEB" w:rsidP="002F4DEB">
      <w:r>
        <w:t xml:space="preserve">For Example: </w:t>
      </w:r>
      <w:r w:rsidRPr="002F4DEB">
        <w:rPr>
          <w:b/>
          <w:bCs/>
          <w:i/>
          <w:iCs/>
        </w:rPr>
        <w:t xml:space="preserve">Western Fish Products Ltd v </w:t>
      </w:r>
      <w:proofErr w:type="spellStart"/>
      <w:r w:rsidRPr="002F4DEB">
        <w:rPr>
          <w:b/>
          <w:bCs/>
          <w:i/>
          <w:iCs/>
        </w:rPr>
        <w:t>Penwith</w:t>
      </w:r>
      <w:proofErr w:type="spellEnd"/>
      <w:r w:rsidRPr="002F4DEB">
        <w:rPr>
          <w:b/>
          <w:bCs/>
          <w:i/>
          <w:iCs/>
        </w:rPr>
        <w:t xml:space="preserve"> DC </w:t>
      </w:r>
      <w:r w:rsidRPr="002F4DEB">
        <w:t xml:space="preserve">Megaw LJ took the same view as Harman LJ in </w:t>
      </w:r>
      <w:r w:rsidRPr="002F4DEB">
        <w:rPr>
          <w:b/>
          <w:bCs/>
          <w:i/>
          <w:iCs/>
        </w:rPr>
        <w:t xml:space="preserve">Campbell Discount Co Ltd v Bridge </w:t>
      </w:r>
      <w:r w:rsidRPr="002F4DEB">
        <w:t>that</w:t>
      </w:r>
      <w:r>
        <w:t>,</w:t>
      </w:r>
    </w:p>
    <w:p w14:paraId="6E5462F6" w14:textId="77777777" w:rsidR="002F4DEB" w:rsidRPr="002F4DEB" w:rsidRDefault="002F4DEB" w:rsidP="002F4DEB">
      <w:r w:rsidRPr="002F4DEB">
        <w:t xml:space="preserve"> </w:t>
      </w:r>
    </w:p>
    <w:p w14:paraId="36657BD7" w14:textId="77777777" w:rsidR="002F4DEB" w:rsidRDefault="002F4DEB" w:rsidP="002F4DEB">
      <w:pPr>
        <w:rPr>
          <w:i/>
          <w:iCs/>
        </w:rPr>
      </w:pPr>
      <w:r w:rsidRPr="002F4DEB">
        <w:rPr>
          <w:i/>
          <w:iCs/>
        </w:rPr>
        <w:t>‘the system of equity has become a very precise one.  The creation of new rights and remedies is a matter for Parliament, not judges.’</w:t>
      </w:r>
    </w:p>
    <w:p w14:paraId="6E4CC656" w14:textId="77777777" w:rsidR="002F4DEB" w:rsidRDefault="002F4DEB" w:rsidP="002F4DEB">
      <w:pPr>
        <w:rPr>
          <w:i/>
          <w:iCs/>
        </w:rPr>
      </w:pPr>
    </w:p>
    <w:p w14:paraId="1261CC47" w14:textId="77777777" w:rsidR="002F4DEB" w:rsidRPr="002F4DEB" w:rsidRDefault="002F4DEB" w:rsidP="002F4DEB">
      <w:r w:rsidRPr="002F4DEB">
        <w:t xml:space="preserve">The counter argument is that equity still works as it once did </w:t>
      </w:r>
      <w:proofErr w:type="spellStart"/>
      <w:r w:rsidRPr="002F4DEB">
        <w:t>ie</w:t>
      </w:r>
      <w:proofErr w:type="spellEnd"/>
      <w:r w:rsidRPr="002F4DEB">
        <w:t xml:space="preserve"> that the recognition of new rights and remedies is not beyond those judges who administer equity.  </w:t>
      </w:r>
      <w:proofErr w:type="spellStart"/>
      <w:r w:rsidRPr="002F4DEB">
        <w:t>Jessel</w:t>
      </w:r>
      <w:proofErr w:type="spellEnd"/>
      <w:r w:rsidRPr="002F4DEB">
        <w:t xml:space="preserve"> MR explained in 1880 that,</w:t>
      </w:r>
    </w:p>
    <w:p w14:paraId="4CE67D29" w14:textId="77777777" w:rsidR="002F4DEB" w:rsidRPr="002F4DEB" w:rsidRDefault="002F4DEB" w:rsidP="002F4DEB">
      <w:r w:rsidRPr="002F4DEB">
        <w:rPr>
          <w:i/>
          <w:iCs/>
        </w:rPr>
        <w:t xml:space="preserve">‘the rules of Courts of equity are not supposed to have been established from time immemorial.  It is perfectly well known that they have been established from time to time – altered, improved and refined from time to time.  The doctrines are progressive, refined and improved.’ </w:t>
      </w:r>
      <w:r w:rsidRPr="002F4DEB">
        <w:rPr>
          <w:b/>
          <w:bCs/>
        </w:rPr>
        <w:t>Re Hallett’s Estate [1880]</w:t>
      </w:r>
    </w:p>
    <w:p w14:paraId="415C5EAB" w14:textId="77777777" w:rsidR="002F4DEB" w:rsidRPr="002F4DEB" w:rsidRDefault="002F4DEB" w:rsidP="002F4DEB">
      <w:r w:rsidRPr="002F4DEB">
        <w:t>However, the general position is that modern equity is a system of principle and precedent rather than the ad hoc justice once administered by the LC.  The reason for this is primarily the uncertainty of ad hoc justice in individual cases.</w:t>
      </w:r>
    </w:p>
    <w:p w14:paraId="0FA8989F" w14:textId="77777777" w:rsidR="002F4DEB" w:rsidRPr="002F4DEB" w:rsidRDefault="002F4DEB" w:rsidP="002F4DEB">
      <w:r w:rsidRPr="002F4DEB">
        <w:t>This is perhaps illustrated in the context of the cohabitation and ‘deserted wife’ cases of the 1970’s and the attempt by Lord Denning to introduce a new model of constructive trust.</w:t>
      </w:r>
    </w:p>
    <w:p w14:paraId="51F3BEB6" w14:textId="77777777" w:rsidR="002F4DEB" w:rsidRDefault="002F4DEB" w:rsidP="002F4DEB"/>
    <w:p w14:paraId="0EE839BE" w14:textId="77777777" w:rsidR="002F4DEB" w:rsidRDefault="002F4DEB" w:rsidP="002F4DEB">
      <w:pPr>
        <w:rPr>
          <w:u w:val="single"/>
        </w:rPr>
      </w:pPr>
      <w:r>
        <w:rPr>
          <w:u w:val="single"/>
        </w:rPr>
        <w:lastRenderedPageBreak/>
        <w:t>The 1970’s</w:t>
      </w:r>
    </w:p>
    <w:p w14:paraId="7DFBD788" w14:textId="77777777" w:rsidR="002F4DEB" w:rsidRDefault="002F4DEB" w:rsidP="002F4DEB">
      <w:pPr>
        <w:rPr>
          <w:u w:val="single"/>
        </w:rPr>
      </w:pPr>
    </w:p>
    <w:p w14:paraId="41886E5F" w14:textId="77777777" w:rsidR="002F4DEB" w:rsidRPr="002F4DEB" w:rsidRDefault="002F4DEB" w:rsidP="002F4DEB">
      <w:r w:rsidRPr="002F4DEB">
        <w:t>Lord Denning tried to introduce broad notions of justice in resolving family property disputes in response to the limited common law property rights of spouses and cohabitees in land co-occupied with their respective spouses and partners.</w:t>
      </w:r>
    </w:p>
    <w:p w14:paraId="29FF16FE" w14:textId="77777777" w:rsidR="002F4DEB" w:rsidRDefault="002F4DEB" w:rsidP="002F4DEB">
      <w:r w:rsidRPr="002F4DEB">
        <w:t xml:space="preserve">Firstly, in a decision 20 </w:t>
      </w:r>
      <w:proofErr w:type="spellStart"/>
      <w:r w:rsidRPr="002F4DEB">
        <w:t>yrs</w:t>
      </w:r>
      <w:proofErr w:type="spellEnd"/>
      <w:r w:rsidRPr="002F4DEB">
        <w:t xml:space="preserve"> earlier in </w:t>
      </w:r>
      <w:r w:rsidRPr="002F4DEB">
        <w:rPr>
          <w:b/>
          <w:bCs/>
          <w:i/>
          <w:iCs/>
        </w:rPr>
        <w:t xml:space="preserve">Bendall v McWhirter </w:t>
      </w:r>
      <w:r w:rsidRPr="002F4DEB">
        <w:t>Denning LJ suggested that a W who had no legal title to her H’s property and who did not make any contribution to the purchase nevertheless had a deserted wife’s equity in the property capable of binding a purchaser of the land.</w:t>
      </w:r>
      <w:r w:rsidRPr="002F4DEB">
        <w:rPr>
          <w:rFonts w:eastAsiaTheme="minorEastAsia" w:hAnsi="Georgia"/>
          <w:color w:val="000000" w:themeColor="text1"/>
          <w:kern w:val="24"/>
          <w:sz w:val="54"/>
          <w:szCs w:val="54"/>
        </w:rPr>
        <w:t xml:space="preserve"> </w:t>
      </w:r>
      <w:proofErr w:type="spellStart"/>
      <w:r w:rsidRPr="002F4DEB">
        <w:t>HofL</w:t>
      </w:r>
      <w:proofErr w:type="spellEnd"/>
      <w:r w:rsidRPr="002F4DEB">
        <w:t xml:space="preserve"> in </w:t>
      </w:r>
      <w:r w:rsidRPr="002F4DEB">
        <w:rPr>
          <w:b/>
          <w:bCs/>
          <w:i/>
          <w:iCs/>
        </w:rPr>
        <w:t xml:space="preserve">National Provincial Bank Ltd v Ainsworth </w:t>
      </w:r>
      <w:r w:rsidRPr="002F4DEB">
        <w:t xml:space="preserve">rejected this analysis of deserted wife’s equity and said that it did not have all the characteristics of a property right, namely identifiability, stability and permanence.  The </w:t>
      </w:r>
      <w:proofErr w:type="spellStart"/>
      <w:r w:rsidRPr="002F4DEB">
        <w:t>HofL’s</w:t>
      </w:r>
      <w:proofErr w:type="spellEnd"/>
      <w:r w:rsidRPr="002F4DEB">
        <w:t xml:space="preserve"> decision illustrated the uncertainty that would have been introduced to the system of conveyancing.*</w:t>
      </w:r>
    </w:p>
    <w:p w14:paraId="3A21D801" w14:textId="77777777" w:rsidR="002F4DEB" w:rsidRPr="002F4DEB" w:rsidRDefault="002F4DEB" w:rsidP="002F4DEB"/>
    <w:p w14:paraId="3F686E03" w14:textId="77777777" w:rsidR="002F4DEB" w:rsidRDefault="002F4DEB" w:rsidP="002F4DEB">
      <w:r>
        <w:t>(</w:t>
      </w:r>
      <w:r w:rsidRPr="002F4DEB">
        <w:t>*note a spouse does however have a statutory right of occupation now to be found in s30 of the Family Law Act 1996</w:t>
      </w:r>
      <w:r>
        <w:t>.)</w:t>
      </w:r>
    </w:p>
    <w:p w14:paraId="24514627" w14:textId="77777777" w:rsidR="002F4DEB" w:rsidRDefault="002F4DEB" w:rsidP="002F4DEB"/>
    <w:p w14:paraId="5CFD1092" w14:textId="77777777" w:rsidR="002F4DEB" w:rsidRDefault="002F4DEB" w:rsidP="002F4DEB">
      <w:r w:rsidRPr="002F4DEB">
        <w:t>In 1975, when dealing with a cohabitation dispute between a H</w:t>
      </w:r>
      <w:r>
        <w:t xml:space="preserve">usband </w:t>
      </w:r>
      <w:r w:rsidRPr="002F4DEB">
        <w:t>and W</w:t>
      </w:r>
      <w:r>
        <w:t>ife</w:t>
      </w:r>
      <w:r w:rsidRPr="002F4DEB">
        <w:t>, Lord Denning commented that</w:t>
      </w:r>
      <w:r>
        <w:t>,</w:t>
      </w:r>
    </w:p>
    <w:p w14:paraId="73719909" w14:textId="77777777" w:rsidR="002F4DEB" w:rsidRPr="002F4DEB" w:rsidRDefault="002F4DEB" w:rsidP="002F4DEB"/>
    <w:p w14:paraId="6808F2F7" w14:textId="77777777" w:rsidR="002F4DEB" w:rsidRDefault="002F4DEB" w:rsidP="002F4DEB">
      <w:pPr>
        <w:rPr>
          <w:i/>
          <w:iCs/>
        </w:rPr>
      </w:pPr>
      <w:r w:rsidRPr="002F4DEB">
        <w:rPr>
          <w:i/>
          <w:iCs/>
        </w:rPr>
        <w:t>‘a few years ago even equity would not have helped her.  But things have altered now.  Equity is not past the age of child bearing.  One of her latest progeny is a constructive trust of a new model…’</w:t>
      </w:r>
    </w:p>
    <w:p w14:paraId="3A5DE1F2" w14:textId="77777777" w:rsidR="002F4DEB" w:rsidRPr="002F4DEB" w:rsidRDefault="002F4DEB" w:rsidP="002F4DEB"/>
    <w:p w14:paraId="3EB1D030" w14:textId="77777777" w:rsidR="002F4DEB" w:rsidRDefault="002F4DEB" w:rsidP="002F4DEB">
      <w:r w:rsidRPr="002F4DEB">
        <w:t>He attempted to use this new model as a means of doing broad justice by awarding a spouse equal ownership in a house that was in the sole name of her H</w:t>
      </w:r>
      <w:r>
        <w:t>usband</w:t>
      </w:r>
      <w:r w:rsidRPr="002F4DEB">
        <w:t>.</w:t>
      </w:r>
    </w:p>
    <w:p w14:paraId="468CA205" w14:textId="77777777" w:rsidR="002F4DEB" w:rsidRDefault="002F4DEB" w:rsidP="002F4DEB">
      <w:r w:rsidRPr="002F4DEB">
        <w:t>As to the grounds upon which this could be done he looked to broader and artificial notions that where a H</w:t>
      </w:r>
      <w:r>
        <w:t xml:space="preserve">usband </w:t>
      </w:r>
      <w:r w:rsidRPr="002F4DEB">
        <w:t>and W</w:t>
      </w:r>
      <w:r>
        <w:t>ife</w:t>
      </w:r>
      <w:r w:rsidRPr="002F4DEB">
        <w:t xml:space="preserve"> were living jointly they both intended to share the beneficial ownership of their family home.  In relation to the grounds for imposing a constructive trust he famously said that such a trust was founded on large principles of equity and could be imposed </w:t>
      </w:r>
      <w:r w:rsidRPr="002F4DEB">
        <w:rPr>
          <w:i/>
          <w:iCs/>
        </w:rPr>
        <w:t xml:space="preserve">‘whenever justice and good conscience’ </w:t>
      </w:r>
      <w:r w:rsidRPr="002F4DEB">
        <w:t>required it.</w:t>
      </w:r>
    </w:p>
    <w:p w14:paraId="1C3078D4" w14:textId="77777777" w:rsidR="002F4DEB" w:rsidRDefault="002F4DEB" w:rsidP="002F4DEB"/>
    <w:p w14:paraId="0A981CC8" w14:textId="77777777" w:rsidR="002F4DEB" w:rsidRPr="002F4DEB" w:rsidRDefault="002F4DEB" w:rsidP="002F4DEB">
      <w:r w:rsidRPr="002F4DEB">
        <w:t xml:space="preserve">Despite his attempts the higher courts did not accept this primarily because of the wide scope and uncertainty that it would bring.  </w:t>
      </w:r>
    </w:p>
    <w:p w14:paraId="0894EE3D" w14:textId="77777777" w:rsidR="002F4DEB" w:rsidRDefault="002F4DEB" w:rsidP="002F4DEB">
      <w:pPr>
        <w:rPr>
          <w:i/>
          <w:iCs/>
        </w:rPr>
      </w:pPr>
      <w:r w:rsidRPr="002F4DEB">
        <w:t xml:space="preserve">Bagnall J commented in </w:t>
      </w:r>
      <w:proofErr w:type="spellStart"/>
      <w:r w:rsidRPr="002F4DEB">
        <w:rPr>
          <w:b/>
          <w:bCs/>
          <w:i/>
          <w:iCs/>
        </w:rPr>
        <w:t>Cowcher</w:t>
      </w:r>
      <w:proofErr w:type="spellEnd"/>
      <w:r w:rsidRPr="002F4DEB">
        <w:rPr>
          <w:b/>
          <w:bCs/>
          <w:i/>
          <w:iCs/>
        </w:rPr>
        <w:t xml:space="preserve"> v </w:t>
      </w:r>
      <w:proofErr w:type="spellStart"/>
      <w:r w:rsidRPr="002F4DEB">
        <w:rPr>
          <w:b/>
          <w:bCs/>
          <w:i/>
          <w:iCs/>
        </w:rPr>
        <w:t>Cowcher</w:t>
      </w:r>
      <w:proofErr w:type="spellEnd"/>
      <w:r w:rsidRPr="002F4DEB">
        <w:rPr>
          <w:b/>
          <w:bCs/>
          <w:i/>
          <w:iCs/>
        </w:rPr>
        <w:t xml:space="preserve"> </w:t>
      </w:r>
      <w:r w:rsidRPr="002F4DEB">
        <w:rPr>
          <w:i/>
          <w:iCs/>
        </w:rPr>
        <w:t xml:space="preserve">‘[I] am convinced that in determining rights, particularly property rights, the only justice that can be attained by mortals, who are fallible and are not omniscient, is justice according to law; the justice that flows from the application of sure and settled principles </w:t>
      </w:r>
      <w:proofErr w:type="spellStart"/>
      <w:r w:rsidRPr="002F4DEB">
        <w:rPr>
          <w:i/>
          <w:iCs/>
        </w:rPr>
        <w:t>to proved</w:t>
      </w:r>
      <w:proofErr w:type="spellEnd"/>
      <w:r w:rsidRPr="002F4DEB">
        <w:rPr>
          <w:i/>
          <w:iCs/>
        </w:rPr>
        <w:t xml:space="preserve"> or admitted facts.  So in the field of equity the length of the Chancellor’s foot has been measured or capable of being measured.’</w:t>
      </w:r>
    </w:p>
    <w:p w14:paraId="54845BDF" w14:textId="77777777" w:rsidR="002F4DEB" w:rsidRDefault="002F4DEB" w:rsidP="002F4DEB">
      <w:pPr>
        <w:rPr>
          <w:i/>
          <w:iCs/>
        </w:rPr>
      </w:pPr>
    </w:p>
    <w:p w14:paraId="74C55F50" w14:textId="77777777" w:rsidR="002F4DEB" w:rsidRPr="002F4DEB" w:rsidRDefault="002F4DEB" w:rsidP="002F4DEB">
      <w:r w:rsidRPr="002F4DEB">
        <w:t xml:space="preserve">But again more recently there has been some suggestion that there might be scope for a new model of constructive trust which could serve as a </w:t>
      </w:r>
      <w:proofErr w:type="spellStart"/>
      <w:r w:rsidRPr="002F4DEB">
        <w:t>restitutionary</w:t>
      </w:r>
      <w:proofErr w:type="spellEnd"/>
      <w:r w:rsidRPr="002F4DEB">
        <w:t xml:space="preserve"> remedy to reverse unjust enrichment. </w:t>
      </w:r>
      <w:proofErr w:type="spellStart"/>
      <w:r w:rsidRPr="002F4DEB">
        <w:rPr>
          <w:b/>
          <w:bCs/>
          <w:i/>
          <w:iCs/>
        </w:rPr>
        <w:t>Westdeutsche</w:t>
      </w:r>
      <w:proofErr w:type="spellEnd"/>
      <w:r w:rsidRPr="002F4DEB">
        <w:rPr>
          <w:b/>
          <w:bCs/>
          <w:i/>
          <w:iCs/>
        </w:rPr>
        <w:t xml:space="preserve"> </w:t>
      </w:r>
      <w:proofErr w:type="spellStart"/>
      <w:r w:rsidRPr="002F4DEB">
        <w:rPr>
          <w:b/>
          <w:bCs/>
          <w:i/>
          <w:iCs/>
        </w:rPr>
        <w:t>Landesbank</w:t>
      </w:r>
      <w:proofErr w:type="spellEnd"/>
      <w:r w:rsidRPr="002F4DEB">
        <w:rPr>
          <w:b/>
          <w:bCs/>
          <w:i/>
          <w:iCs/>
        </w:rPr>
        <w:t xml:space="preserve"> </w:t>
      </w:r>
      <w:proofErr w:type="spellStart"/>
      <w:r w:rsidRPr="002F4DEB">
        <w:rPr>
          <w:b/>
          <w:bCs/>
          <w:i/>
          <w:iCs/>
        </w:rPr>
        <w:t>Girozentrale</w:t>
      </w:r>
      <w:proofErr w:type="spellEnd"/>
      <w:r w:rsidRPr="002F4DEB">
        <w:rPr>
          <w:b/>
          <w:bCs/>
          <w:i/>
          <w:iCs/>
        </w:rPr>
        <w:t xml:space="preserve"> v Islington LBC [1996].</w:t>
      </w:r>
    </w:p>
    <w:p w14:paraId="52E67014" w14:textId="77777777" w:rsidR="002F4DEB" w:rsidRDefault="002F4DEB" w:rsidP="002F4DEB">
      <w:r w:rsidRPr="002F4DEB">
        <w:t>But lawyers are cautious to recognising wholly new principles of equity based on wide principles of justice and good conscience.  But where does that leave modern equity?</w:t>
      </w:r>
    </w:p>
    <w:p w14:paraId="6D669E62" w14:textId="77777777" w:rsidR="002F4DEB" w:rsidRPr="002F4DEB" w:rsidRDefault="002F4DEB" w:rsidP="002F4DEB">
      <w:r w:rsidRPr="002F4DEB">
        <w:lastRenderedPageBreak/>
        <w:t>Lord Browne-Wilkinson’s judgement in the previous case seeks to offer an explanation and is probably one of the more important equity and trusts cases of the last century.  He explained that.</w:t>
      </w:r>
    </w:p>
    <w:p w14:paraId="14D6FDC1" w14:textId="77777777" w:rsidR="002F4DEB" w:rsidRPr="002F4DEB" w:rsidRDefault="002F4DEB" w:rsidP="002F4DEB">
      <w:r w:rsidRPr="002F4DEB">
        <w:rPr>
          <w:i/>
          <w:iCs/>
        </w:rPr>
        <w:t>‘equity operates on the conscience of the owner of the legal interest.  In the case of a trust, the conscience of the legal owner requires him to carry out the purpose for which the property was vested in him (express or implied trust) or which the law imposes on his by reason of his unconscionable conduct (constructive trusts).’</w:t>
      </w:r>
    </w:p>
    <w:p w14:paraId="16D19B2D" w14:textId="77777777" w:rsidR="002F4DEB" w:rsidRPr="002F4DEB" w:rsidRDefault="002F4DEB" w:rsidP="002F4DEB">
      <w:r w:rsidRPr="002F4DEB">
        <w:t>In relation to the possibility of equity introducing a broad notion of justice based on a new model of constructive trust, he commented that,</w:t>
      </w:r>
    </w:p>
    <w:p w14:paraId="023ABA75" w14:textId="77777777" w:rsidR="002F4DEB" w:rsidRDefault="002F4DEB" w:rsidP="002F4DEB">
      <w:pPr>
        <w:rPr>
          <w:i/>
          <w:iCs/>
        </w:rPr>
      </w:pPr>
      <w:r w:rsidRPr="002F4DEB">
        <w:rPr>
          <w:i/>
          <w:iCs/>
        </w:rPr>
        <w:t xml:space="preserve">‘although the resulting trust is an unsuitable basis for developing proprietary </w:t>
      </w:r>
      <w:proofErr w:type="spellStart"/>
      <w:r w:rsidRPr="002F4DEB">
        <w:rPr>
          <w:i/>
          <w:iCs/>
        </w:rPr>
        <w:t>restitutionary</w:t>
      </w:r>
      <w:proofErr w:type="spellEnd"/>
      <w:r w:rsidRPr="002F4DEB">
        <w:rPr>
          <w:i/>
          <w:iCs/>
        </w:rPr>
        <w:t xml:space="preserve"> remedies, the remedial constructive trust, if introduced into law, may provide a more satisfactory road forward.  However, whether law should follow the United States and Canada by adopting the remedial constructive trust will have to be decided by some future case where the point is directly in issue.’</w:t>
      </w:r>
    </w:p>
    <w:p w14:paraId="220FDB52" w14:textId="77777777" w:rsidR="002F4DEB" w:rsidRDefault="002F4DEB" w:rsidP="002F4DEB">
      <w:pPr>
        <w:rPr>
          <w:i/>
          <w:iCs/>
        </w:rPr>
      </w:pPr>
    </w:p>
    <w:p w14:paraId="555D90D6" w14:textId="77777777" w:rsidR="002F4DEB" w:rsidRPr="002F4DEB" w:rsidRDefault="002F4DEB" w:rsidP="002F4DEB">
      <w:r w:rsidRPr="002F4DEB">
        <w:rPr>
          <w:u w:val="single"/>
        </w:rPr>
        <w:t>Unconscionability , fairness and the role of context</w:t>
      </w:r>
    </w:p>
    <w:p w14:paraId="018A4D7E" w14:textId="77777777" w:rsidR="002F4DEB" w:rsidRPr="002F4DEB" w:rsidRDefault="002F4DEB" w:rsidP="002F4DEB">
      <w:r w:rsidRPr="002F4DEB">
        <w:t>Remember that unconscionability is not the same as fairness.</w:t>
      </w:r>
    </w:p>
    <w:p w14:paraId="31CB95E5" w14:textId="77777777" w:rsidR="002F4DEB" w:rsidRPr="002F4DEB" w:rsidRDefault="002F4DEB" w:rsidP="002F4DEB">
      <w:r w:rsidRPr="002F4DEB">
        <w:t>There is no universal definition of unconscionability which encapsulates the various contexts that equity has operated in.  This seems to imply that equity lacks principles which allow the court to measure whether a D’s conduct has been unconscionable. This is not true and the absence of a universal definition has not limited equity’s ability to intervene in a diverse range of commercial and family contexts.</w:t>
      </w:r>
    </w:p>
    <w:p w14:paraId="6A4231BB" w14:textId="77777777" w:rsidR="006863D2" w:rsidRDefault="006863D2" w:rsidP="006863D2">
      <w:proofErr w:type="spellStart"/>
      <w:r w:rsidRPr="006863D2">
        <w:t>Infact</w:t>
      </w:r>
      <w:proofErr w:type="spellEnd"/>
      <w:r w:rsidRPr="006863D2">
        <w:t>, it is because there isn’t a rigid test that equity has been able to resolve a number of disputes in a number of different contexts.  The diversity of contexts in which equity has operated throughout the centuries has allowed the courts to define the notion of unconscionability with specific meanings in each context.  This has been one of the fundamental principles of modern equity.</w:t>
      </w:r>
    </w:p>
    <w:p w14:paraId="087AB97A" w14:textId="77777777" w:rsidR="006863D2" w:rsidRPr="006863D2" w:rsidRDefault="006863D2" w:rsidP="006863D2"/>
    <w:p w14:paraId="672A33B7" w14:textId="77777777" w:rsidR="006863D2" w:rsidRDefault="006863D2" w:rsidP="006863D2">
      <w:r w:rsidRPr="006863D2">
        <w:t>One leading commentator writes:</w:t>
      </w:r>
    </w:p>
    <w:p w14:paraId="590EEEBC" w14:textId="77777777" w:rsidR="006863D2" w:rsidRPr="006863D2" w:rsidRDefault="006863D2" w:rsidP="006863D2"/>
    <w:p w14:paraId="2CE99AC8" w14:textId="77777777" w:rsidR="006863D2" w:rsidRPr="006863D2" w:rsidRDefault="006863D2" w:rsidP="006863D2">
      <w:pPr>
        <w:rPr>
          <w:i/>
          <w:iCs/>
        </w:rPr>
      </w:pPr>
      <w:r>
        <w:rPr>
          <w:i/>
          <w:iCs/>
        </w:rPr>
        <w:t>‘</w:t>
      </w:r>
      <w:r w:rsidRPr="006863D2">
        <w:rPr>
          <w:i/>
          <w:iCs/>
        </w:rPr>
        <w:t>The word unconscionable has lost its connection to morality and the courts try to use it as precisely as possible, in ways which vary from context to context, but it reminds us of equity’s ecclesiastical origins and reminds us that equity is a broader idea than the quite narrow legal version of the concept might suggest</w:t>
      </w:r>
      <w:r>
        <w:rPr>
          <w:i/>
          <w:iCs/>
        </w:rPr>
        <w:t xml:space="preserve">. </w:t>
      </w:r>
      <w:r w:rsidRPr="006863D2">
        <w:rPr>
          <w:i/>
          <w:iCs/>
        </w:rPr>
        <w:t>Language such as unconscionability sits somewhat uncomfortably in modern law, but that is a good things for keeping the law realistically and appropriately humble about its capacity to cover every possible case by means of general rules.  The language of unconscionability is highly effective at keeping the general rules open to just exceptions in particular cases and in particular kinds of cases.</w:t>
      </w:r>
      <w:r>
        <w:rPr>
          <w:i/>
          <w:iCs/>
        </w:rPr>
        <w:t>’</w:t>
      </w:r>
    </w:p>
    <w:p w14:paraId="18E3C77F" w14:textId="77777777" w:rsidR="006863D2" w:rsidRDefault="006863D2" w:rsidP="006863D2">
      <w:pPr>
        <w:rPr>
          <w:b/>
          <w:bCs/>
        </w:rPr>
      </w:pPr>
      <w:proofErr w:type="spellStart"/>
      <w:r w:rsidRPr="006863D2">
        <w:rPr>
          <w:b/>
          <w:bCs/>
        </w:rPr>
        <w:t>G.Watt</w:t>
      </w:r>
      <w:proofErr w:type="spellEnd"/>
      <w:r w:rsidRPr="006863D2">
        <w:rPr>
          <w:b/>
          <w:bCs/>
        </w:rPr>
        <w:t xml:space="preserve">, </w:t>
      </w:r>
      <w:r w:rsidRPr="006863D2">
        <w:rPr>
          <w:b/>
          <w:bCs/>
          <w:i/>
          <w:iCs/>
        </w:rPr>
        <w:t xml:space="preserve">Todd and Watt’s Cases and Materials on Equity and Trusts, </w:t>
      </w:r>
      <w:r w:rsidRPr="006863D2">
        <w:rPr>
          <w:b/>
          <w:bCs/>
        </w:rPr>
        <w:t xml:space="preserve">7th </w:t>
      </w:r>
      <w:proofErr w:type="spellStart"/>
      <w:r w:rsidRPr="006863D2">
        <w:rPr>
          <w:b/>
          <w:bCs/>
        </w:rPr>
        <w:t>edn</w:t>
      </w:r>
      <w:proofErr w:type="spellEnd"/>
      <w:r w:rsidRPr="006863D2">
        <w:rPr>
          <w:b/>
          <w:bCs/>
        </w:rPr>
        <w:t xml:space="preserve"> (2009) Oxford at p.3.</w:t>
      </w:r>
    </w:p>
    <w:p w14:paraId="756908A2" w14:textId="77777777" w:rsidR="006863D2" w:rsidRDefault="006863D2" w:rsidP="006863D2">
      <w:pPr>
        <w:rPr>
          <w:b/>
          <w:bCs/>
        </w:rPr>
      </w:pPr>
    </w:p>
    <w:p w14:paraId="597D2337" w14:textId="77777777" w:rsidR="006863D2" w:rsidRPr="006863D2" w:rsidRDefault="006863D2" w:rsidP="006863D2">
      <w:r w:rsidRPr="006863D2">
        <w:t>A definition is difficult because of the variety of social and commercial contexts in which it operates and in each context the principle is being used in a distinct manner. Therefore the principle has different implications and consequences.</w:t>
      </w:r>
    </w:p>
    <w:p w14:paraId="30BCD244" w14:textId="77777777" w:rsidR="006863D2" w:rsidRPr="006863D2" w:rsidRDefault="006863D2" w:rsidP="006863D2">
      <w:r w:rsidRPr="006863D2">
        <w:t xml:space="preserve">This was highlighted in the case of </w:t>
      </w:r>
      <w:proofErr w:type="spellStart"/>
      <w:r w:rsidRPr="006863D2">
        <w:rPr>
          <w:b/>
          <w:bCs/>
          <w:i/>
          <w:iCs/>
        </w:rPr>
        <w:t>Thorner</w:t>
      </w:r>
      <w:proofErr w:type="spellEnd"/>
      <w:r w:rsidRPr="006863D2">
        <w:rPr>
          <w:b/>
          <w:bCs/>
          <w:i/>
          <w:iCs/>
        </w:rPr>
        <w:t xml:space="preserve"> v Major</w:t>
      </w:r>
    </w:p>
    <w:p w14:paraId="56DB5A03" w14:textId="77777777" w:rsidR="006863D2" w:rsidRDefault="006863D2" w:rsidP="006863D2">
      <w:r w:rsidRPr="006863D2">
        <w:t xml:space="preserve">Facts concerned whether a cl who had worked unpaid on his uncle’s farm for many years was entitled to the farm in circumstances where he had been made certain promises by his </w:t>
      </w:r>
      <w:r w:rsidRPr="006863D2">
        <w:lastRenderedPageBreak/>
        <w:t>uncle that he would inherit the farm.  It involved the doctrine of proprietary estoppel which prevents a person from denying a cl a proprietary right which the cl has been lead to believe will be granted to him and where the cl has relied upon it and suffered detriment.</w:t>
      </w:r>
    </w:p>
    <w:p w14:paraId="381900BA" w14:textId="77777777" w:rsidR="006863D2" w:rsidRPr="006863D2" w:rsidRDefault="006863D2" w:rsidP="006863D2">
      <w:r w:rsidRPr="006863D2">
        <w:t>This needs the D</w:t>
      </w:r>
      <w:r>
        <w:t>efendant</w:t>
      </w:r>
      <w:r w:rsidRPr="006863D2">
        <w:t xml:space="preserve"> to have made a clear and unambiguous assurance to the Cl</w:t>
      </w:r>
      <w:r>
        <w:t xml:space="preserve">aimant </w:t>
      </w:r>
      <w:r w:rsidRPr="006863D2">
        <w:t>that he will acquire some property right in the D</w:t>
      </w:r>
      <w:r>
        <w:t>efendant</w:t>
      </w:r>
      <w:r w:rsidRPr="006863D2">
        <w:t xml:space="preserve">’s land.  However, what amounts to a clear and unambiguous assurance depends primarily on the context in which it is made.  </w:t>
      </w:r>
    </w:p>
    <w:p w14:paraId="323DBF08" w14:textId="77777777" w:rsidR="006863D2" w:rsidRDefault="006863D2" w:rsidP="006863D2">
      <w:r w:rsidRPr="006863D2">
        <w:t>In this case, although there were not express references that the nephew would inherit his uncle’s farm, Lord Neuberger in his judgement said that,</w:t>
      </w:r>
    </w:p>
    <w:p w14:paraId="05D6591F" w14:textId="77777777" w:rsidR="006863D2" w:rsidRDefault="006863D2" w:rsidP="006863D2"/>
    <w:p w14:paraId="0B25AB1E" w14:textId="77777777" w:rsidR="006863D2" w:rsidRDefault="006863D2" w:rsidP="006863D2">
      <w:pPr>
        <w:rPr>
          <w:i/>
          <w:iCs/>
        </w:rPr>
      </w:pPr>
      <w:r w:rsidRPr="006863D2">
        <w:rPr>
          <w:i/>
          <w:iCs/>
        </w:rPr>
        <w:t>‘in the facts of this case, it seems to me to have been an eminently sensible conclusion.  Indeed, that point is a neat illustration of the fundamental importance of context to the questions of how a particular statement or action would have been understood, and whether it was “clear and unambiguous”.</w:t>
      </w:r>
    </w:p>
    <w:p w14:paraId="3F2261DC" w14:textId="77777777" w:rsidR="006863D2" w:rsidRPr="006863D2" w:rsidRDefault="006863D2" w:rsidP="006863D2"/>
    <w:p w14:paraId="25110519" w14:textId="77777777" w:rsidR="006863D2" w:rsidRDefault="006863D2" w:rsidP="006863D2">
      <w:r w:rsidRPr="006863D2">
        <w:t>At the heart of unconscionability is the element of some advantage, whether person or proprietary, taken by the D</w:t>
      </w:r>
      <w:r>
        <w:t>efendant</w:t>
      </w:r>
      <w:r w:rsidRPr="006863D2">
        <w:t>, which he or she has consciously agreed belongs to the Cl</w:t>
      </w:r>
      <w:r>
        <w:t>aimant</w:t>
      </w:r>
      <w:r w:rsidRPr="006863D2">
        <w:t>. Examples of this are diverse.</w:t>
      </w:r>
    </w:p>
    <w:p w14:paraId="18FD5133" w14:textId="77777777" w:rsidR="006863D2" w:rsidRPr="006863D2" w:rsidRDefault="006863D2" w:rsidP="006863D2">
      <w:r w:rsidRPr="006863D2">
        <w:t>It obviously covers trusts and at the heart of the enforcement of a trust is the trustee’s conscience that he or she has agreed to hold trust property for the beneficiary. Where a trustee refuses to accept the rights of the beneficiary in the trust property, equity will intervene in order to prevent the trustee from gaining an advantage over the beneficiary’s property.</w:t>
      </w:r>
    </w:p>
    <w:p w14:paraId="4920BF15" w14:textId="77777777" w:rsidR="006863D2" w:rsidRPr="006863D2" w:rsidRDefault="006863D2" w:rsidP="006863D2">
      <w:r w:rsidRPr="006863D2">
        <w:t>Remember unconscionability is to be distinguished from the notion of fairness as fairness is not the  basis for equitable relief.</w:t>
      </w:r>
    </w:p>
    <w:p w14:paraId="084F7341" w14:textId="77777777" w:rsidR="006863D2" w:rsidRPr="006863D2" w:rsidRDefault="006863D2" w:rsidP="006863D2">
      <w:r w:rsidRPr="006863D2">
        <w:t xml:space="preserve">The role of unconscionability in the award of equitable relief was recently illustrated in the Court of Appeal decision in </w:t>
      </w:r>
      <w:r w:rsidRPr="006863D2">
        <w:rPr>
          <w:b/>
          <w:bCs/>
          <w:i/>
          <w:iCs/>
        </w:rPr>
        <w:t xml:space="preserve">Davies v Davies. </w:t>
      </w:r>
      <w:r w:rsidRPr="006863D2">
        <w:t xml:space="preserve">Like </w:t>
      </w:r>
      <w:proofErr w:type="spellStart"/>
      <w:r w:rsidRPr="006863D2">
        <w:rPr>
          <w:b/>
          <w:bCs/>
          <w:i/>
          <w:iCs/>
        </w:rPr>
        <w:t>Thorner</w:t>
      </w:r>
      <w:proofErr w:type="spellEnd"/>
      <w:r w:rsidRPr="006863D2">
        <w:rPr>
          <w:b/>
          <w:bCs/>
          <w:i/>
          <w:iCs/>
        </w:rPr>
        <w:t xml:space="preserve"> v Major </w:t>
      </w:r>
      <w:r w:rsidRPr="006863D2">
        <w:t>the case concerned a claim by a daughter to share in her parents’ farm on the grounds that she had worked long hours on the farm on the assurance that the farm would be hers one day.  This concerned the idea of proprietary estoppel.</w:t>
      </w:r>
    </w:p>
    <w:p w14:paraId="6B054A4B" w14:textId="77777777" w:rsidR="006863D2" w:rsidRDefault="006863D2" w:rsidP="006863D2">
      <w:r w:rsidRPr="006863D2">
        <w:t xml:space="preserve">In finding that the daughter had been made an assurance that she would have an interest in the farm and that she had relied upon I, </w:t>
      </w:r>
      <w:proofErr w:type="spellStart"/>
      <w:r w:rsidRPr="006863D2">
        <w:t>CofA</w:t>
      </w:r>
      <w:proofErr w:type="spellEnd"/>
      <w:r w:rsidRPr="006863D2">
        <w:t xml:space="preserve"> held that she was entitled to an equity in the farm.  In the course of his judgment Floyd LJ referred to the judgment of Lord Walker in </w:t>
      </w:r>
      <w:r w:rsidRPr="006863D2">
        <w:rPr>
          <w:b/>
          <w:bCs/>
          <w:i/>
          <w:iCs/>
        </w:rPr>
        <w:t xml:space="preserve">Gillet v Holt </w:t>
      </w:r>
      <w:r w:rsidRPr="006863D2">
        <w:t>where his Lordship explained the role of unconscionability within proprietary estoppel.  Walker LJ explained that:</w:t>
      </w:r>
    </w:p>
    <w:p w14:paraId="45001C9A" w14:textId="77777777" w:rsidR="006863D2" w:rsidRPr="006863D2" w:rsidRDefault="006863D2" w:rsidP="006863D2"/>
    <w:p w14:paraId="30561571" w14:textId="77777777" w:rsidR="006863D2" w:rsidRDefault="006863D2" w:rsidP="006863D2">
      <w:pPr>
        <w:rPr>
          <w:i/>
          <w:iCs/>
        </w:rPr>
      </w:pPr>
      <w:r>
        <w:rPr>
          <w:i/>
          <w:iCs/>
        </w:rPr>
        <w:t>‘</w:t>
      </w:r>
      <w:r w:rsidRPr="006863D2">
        <w:rPr>
          <w:i/>
          <w:iCs/>
        </w:rPr>
        <w:t xml:space="preserve">The doctrine of proprietary estoppel cannot be treated as subdivided into 3 or 4 watertight compartments…..in the course of the oral argument in this court it repeatedly became apparent that the quality of the relevant assurances may influence the issue of reliance, that reliance and detriment are often intertwined, and that whether there is a distinct need for a ‘mutual </w:t>
      </w:r>
      <w:proofErr w:type="spellStart"/>
      <w:r w:rsidRPr="006863D2">
        <w:rPr>
          <w:i/>
          <w:iCs/>
        </w:rPr>
        <w:t>undertstanding</w:t>
      </w:r>
      <w:proofErr w:type="spellEnd"/>
      <w:r w:rsidRPr="006863D2">
        <w:rPr>
          <w:i/>
          <w:iCs/>
        </w:rPr>
        <w:t>’ may depend on how other elements are formulated and understood.  Moreover the fundamental principle that equity is concerned to prevent unconscionable conduct permeates all the elements of this doctrine.  In the end the court must look at the matter in the round.</w:t>
      </w:r>
      <w:r>
        <w:rPr>
          <w:i/>
          <w:iCs/>
        </w:rPr>
        <w:t>’</w:t>
      </w:r>
    </w:p>
    <w:p w14:paraId="71814D31" w14:textId="77777777" w:rsidR="006863D2" w:rsidRDefault="006863D2" w:rsidP="006863D2">
      <w:pPr>
        <w:rPr>
          <w:i/>
          <w:iCs/>
        </w:rPr>
      </w:pPr>
    </w:p>
    <w:p w14:paraId="087B3309" w14:textId="77777777" w:rsidR="006863D2" w:rsidRDefault="006863D2" w:rsidP="006863D2">
      <w:pPr>
        <w:rPr>
          <w:u w:val="single"/>
        </w:rPr>
      </w:pPr>
      <w:r w:rsidRPr="006863D2">
        <w:rPr>
          <w:u w:val="single"/>
        </w:rPr>
        <w:t>The Judicature Acts 1873 and 1875 and the relationship between law and equity</w:t>
      </w:r>
    </w:p>
    <w:p w14:paraId="796198D6" w14:textId="77777777" w:rsidR="006863D2" w:rsidRPr="006863D2" w:rsidRDefault="006863D2" w:rsidP="006863D2">
      <w:r w:rsidRPr="006863D2">
        <w:t>2 sets of courts, the common law and the Chancery, gave rise to procedural problems for potential litigants in the 19</w:t>
      </w:r>
      <w:r w:rsidRPr="006863D2">
        <w:rPr>
          <w:vertAlign w:val="superscript"/>
        </w:rPr>
        <w:t>th</w:t>
      </w:r>
      <w:r w:rsidRPr="006863D2">
        <w:t xml:space="preserve"> Century. If a litigant had no redress at common law he would </w:t>
      </w:r>
      <w:r w:rsidRPr="006863D2">
        <w:lastRenderedPageBreak/>
        <w:t>have to present a bill to the LC even where the common law courts acknowledged that there might be redress in equity.</w:t>
      </w:r>
    </w:p>
    <w:p w14:paraId="30314F44" w14:textId="77777777" w:rsidR="006863D2" w:rsidRPr="006863D2" w:rsidRDefault="006863D2" w:rsidP="006863D2">
      <w:r w:rsidRPr="006863D2">
        <w:t>Similarly the Chancery court could not award damages.</w:t>
      </w:r>
    </w:p>
    <w:p w14:paraId="6EBAB18D" w14:textId="77777777" w:rsidR="006863D2" w:rsidRDefault="006863D2" w:rsidP="006863D2">
      <w:r w:rsidRPr="006863D2">
        <w:t>In addition by the 19</w:t>
      </w:r>
      <w:r w:rsidRPr="006863D2">
        <w:rPr>
          <w:vertAlign w:val="superscript"/>
        </w:rPr>
        <w:t>th</w:t>
      </w:r>
      <w:r w:rsidRPr="006863D2">
        <w:t xml:space="preserve"> Century the work of the Chancery had increased and there were delays.</w:t>
      </w:r>
    </w:p>
    <w:p w14:paraId="0B3A63DD" w14:textId="77777777" w:rsidR="006863D2" w:rsidRPr="006863D2" w:rsidRDefault="006863D2" w:rsidP="006863D2">
      <w:r w:rsidRPr="006863D2">
        <w:t>Hence the Judicature Acts – restructure the court system.  This abolished the old courts and established one unified Supreme Court which was divided into a number of divisions. The Supreme Court could administer law and equity at the same time.</w:t>
      </w:r>
    </w:p>
    <w:p w14:paraId="5A15CFA7" w14:textId="77777777" w:rsidR="006863D2" w:rsidRPr="006863D2" w:rsidRDefault="006863D2" w:rsidP="006863D2">
      <w:r w:rsidRPr="006863D2">
        <w:t xml:space="preserve">This has </w:t>
      </w:r>
      <w:proofErr w:type="spellStart"/>
      <w:r w:rsidRPr="006863D2">
        <w:t>lead</w:t>
      </w:r>
      <w:proofErr w:type="spellEnd"/>
      <w:r w:rsidRPr="006863D2">
        <w:t xml:space="preserve"> to a debate about whether the effect of the act was to fuse common law and equity.</w:t>
      </w:r>
    </w:p>
    <w:p w14:paraId="11CC269E" w14:textId="77777777" w:rsidR="006863D2" w:rsidRDefault="006863D2" w:rsidP="006863D2"/>
    <w:p w14:paraId="5FF232EB" w14:textId="77777777" w:rsidR="006863D2" w:rsidRDefault="006863D2" w:rsidP="006863D2">
      <w:pPr>
        <w:rPr>
          <w:u w:val="single"/>
        </w:rPr>
      </w:pPr>
      <w:r>
        <w:rPr>
          <w:u w:val="single"/>
        </w:rPr>
        <w:t>The dualism/fusion debate</w:t>
      </w:r>
    </w:p>
    <w:p w14:paraId="69985210" w14:textId="77777777" w:rsidR="006863D2" w:rsidRPr="006863D2" w:rsidRDefault="006863D2" w:rsidP="006863D2">
      <w:r w:rsidRPr="006863D2">
        <w:t>Common law and equity has been described as like 2 streams of jurisdiction which ‘though they run in the same channel run side by side and do not mingle their water.’ (1933)</w:t>
      </w:r>
    </w:p>
    <w:p w14:paraId="139110D9" w14:textId="77777777" w:rsidR="006863D2" w:rsidRPr="006863D2" w:rsidRDefault="006863D2" w:rsidP="006863D2">
      <w:r w:rsidRPr="006863D2">
        <w:t>Half a century later, Lord Diplock took the metaphor to its logical conclusion when he said obiter that,</w:t>
      </w:r>
    </w:p>
    <w:p w14:paraId="3F4010ED" w14:textId="77777777" w:rsidR="006863D2" w:rsidRDefault="006863D2" w:rsidP="006863D2">
      <w:r w:rsidRPr="006863D2">
        <w:rPr>
          <w:i/>
          <w:iCs/>
        </w:rPr>
        <w:t xml:space="preserve">‘it may be possible for a short distance to discern the source from which each part of the combined stream came, but…the waters of the confluent streams of law and equity have surely mingled now’ </w:t>
      </w:r>
      <w:r w:rsidRPr="006863D2">
        <w:t>(United Scientific Holdings Ltd v Burnley Borough Council [1978])</w:t>
      </w:r>
    </w:p>
    <w:p w14:paraId="17D62180" w14:textId="77777777" w:rsidR="006863D2" w:rsidRPr="006863D2" w:rsidRDefault="006863D2" w:rsidP="006863D2">
      <w:r w:rsidRPr="006863D2">
        <w:t>There is also a metaphor of a horse and rider with the common law as the horse and equity as the rider.</w:t>
      </w:r>
    </w:p>
    <w:p w14:paraId="0CCFF755" w14:textId="77777777" w:rsidR="006863D2" w:rsidRPr="006863D2" w:rsidRDefault="006863D2" w:rsidP="006863D2">
      <w:r w:rsidRPr="006863D2">
        <w:t>The common law is the main muscle of the justice system and does most of the work.  The common law walks straight on, following the rigid rule, and the rider is content to sit back in the saddle where the law maintains a just course – “equity follows the law” as the maxim puts it.</w:t>
      </w:r>
    </w:p>
    <w:p w14:paraId="21502477" w14:textId="77777777" w:rsidR="006863D2" w:rsidRDefault="006863D2" w:rsidP="006863D2">
      <w:pPr>
        <w:rPr>
          <w:b/>
          <w:bCs/>
        </w:rPr>
      </w:pPr>
      <w:r w:rsidRPr="006863D2">
        <w:t>Only where the straight course of the law is going to cause harm in a particular case, as if a person were going to be unconscionably trampled by the weight of the law, does equity intervene. Equity steers the law in such a case – “where law and equity conflict, equity prevails”.</w:t>
      </w:r>
      <w:r>
        <w:t xml:space="preserve"> </w:t>
      </w:r>
      <w:r w:rsidRPr="006863D2">
        <w:rPr>
          <w:b/>
          <w:bCs/>
        </w:rPr>
        <w:t xml:space="preserve">(Watt, G. </w:t>
      </w:r>
      <w:r w:rsidRPr="006863D2">
        <w:rPr>
          <w:b/>
          <w:bCs/>
          <w:i/>
          <w:iCs/>
        </w:rPr>
        <w:t xml:space="preserve">Equity Stirring: The Story of Justice Beyond Law </w:t>
      </w:r>
      <w:r w:rsidRPr="006863D2">
        <w:rPr>
          <w:b/>
          <w:bCs/>
        </w:rPr>
        <w:t>(2009) Oxford: Hart Publishing).</w:t>
      </w:r>
    </w:p>
    <w:p w14:paraId="1A939FA2" w14:textId="77777777" w:rsidR="006863D2" w:rsidRDefault="006863D2" w:rsidP="006863D2">
      <w:r w:rsidRPr="006863D2">
        <w:t xml:space="preserve">The dualists took up arms again when Meagher, </w:t>
      </w:r>
      <w:proofErr w:type="spellStart"/>
      <w:r w:rsidRPr="006863D2">
        <w:t>Gummow</w:t>
      </w:r>
      <w:proofErr w:type="spellEnd"/>
      <w:r w:rsidRPr="006863D2">
        <w:t xml:space="preserve"> and </w:t>
      </w:r>
      <w:proofErr w:type="spellStart"/>
      <w:r w:rsidRPr="006863D2">
        <w:t>Lehane</w:t>
      </w:r>
      <w:proofErr w:type="spellEnd"/>
      <w:r w:rsidRPr="006863D2">
        <w:t xml:space="preserve"> (authors of the leading Australian text book) described the decision in </w:t>
      </w:r>
      <w:r w:rsidRPr="006863D2">
        <w:rPr>
          <w:i/>
          <w:iCs/>
        </w:rPr>
        <w:t xml:space="preserve">United Scientific </w:t>
      </w:r>
      <w:r w:rsidRPr="006863D2">
        <w:t>as ‘the low water mark of modern English jurisprudence’ to which Professor Peter Birks said,</w:t>
      </w:r>
    </w:p>
    <w:p w14:paraId="2C5FB862" w14:textId="77777777" w:rsidR="006863D2" w:rsidRPr="006863D2" w:rsidRDefault="006863D2" w:rsidP="006863D2"/>
    <w:p w14:paraId="6F3159B8" w14:textId="77777777" w:rsidR="006863D2" w:rsidRPr="006863D2" w:rsidRDefault="006863D2" w:rsidP="006863D2">
      <w:pPr>
        <w:rPr>
          <w:i/>
          <w:iCs/>
        </w:rPr>
      </w:pPr>
      <w:r>
        <w:rPr>
          <w:i/>
          <w:iCs/>
        </w:rPr>
        <w:t>‘</w:t>
      </w:r>
      <w:r w:rsidRPr="006863D2">
        <w:rPr>
          <w:i/>
          <w:iCs/>
        </w:rPr>
        <w:t xml:space="preserve">It is dangerous, not to say absurd, almost 120 years after the Judicature Acts, to persist in habits of thought calculated to submerge and conceal one or other half of our law…Meagher, </w:t>
      </w:r>
      <w:proofErr w:type="spellStart"/>
      <w:r w:rsidRPr="006863D2">
        <w:rPr>
          <w:i/>
          <w:iCs/>
        </w:rPr>
        <w:t>Gummow</w:t>
      </w:r>
      <w:proofErr w:type="spellEnd"/>
      <w:r w:rsidRPr="006863D2">
        <w:rPr>
          <w:i/>
          <w:iCs/>
        </w:rPr>
        <w:t xml:space="preserve"> and </w:t>
      </w:r>
      <w:proofErr w:type="spellStart"/>
      <w:r w:rsidRPr="006863D2">
        <w:rPr>
          <w:i/>
          <w:iCs/>
        </w:rPr>
        <w:t>Lehane</w:t>
      </w:r>
      <w:proofErr w:type="spellEnd"/>
      <w:r w:rsidRPr="006863D2">
        <w:rPr>
          <w:i/>
          <w:iCs/>
        </w:rPr>
        <w:t xml:space="preserve">…did not attempt to say why the properties and dispositions of equity, which they rightly admire, should be confined to something less than the whole law.  They did not attempt it because it cannot be done, </w:t>
      </w:r>
      <w:proofErr w:type="spellStart"/>
      <w:r w:rsidRPr="006863D2">
        <w:rPr>
          <w:i/>
          <w:iCs/>
        </w:rPr>
        <w:t>anymore</w:t>
      </w:r>
      <w:proofErr w:type="spellEnd"/>
      <w:r w:rsidRPr="006863D2">
        <w:rPr>
          <w:i/>
          <w:iCs/>
        </w:rPr>
        <w:t xml:space="preserve"> than the courts might justify themselves in doing alpha justice on Mondays and Tuesdays and something less for the rest of the week</w:t>
      </w:r>
      <w:r>
        <w:rPr>
          <w:i/>
          <w:iCs/>
        </w:rPr>
        <w:t>.’</w:t>
      </w:r>
    </w:p>
    <w:p w14:paraId="534BEB0B" w14:textId="77777777" w:rsidR="006863D2" w:rsidRDefault="006863D2" w:rsidP="006863D2">
      <w:pPr>
        <w:rPr>
          <w:b/>
          <w:bCs/>
        </w:rPr>
      </w:pPr>
      <w:r>
        <w:rPr>
          <w:b/>
          <w:bCs/>
        </w:rPr>
        <w:t>(</w:t>
      </w:r>
      <w:proofErr w:type="spellStart"/>
      <w:r w:rsidRPr="006863D2">
        <w:rPr>
          <w:b/>
          <w:bCs/>
        </w:rPr>
        <w:t>P.Birks</w:t>
      </w:r>
      <w:proofErr w:type="spellEnd"/>
      <w:r w:rsidRPr="006863D2">
        <w:rPr>
          <w:b/>
          <w:bCs/>
        </w:rPr>
        <w:t xml:space="preserve">, </w:t>
      </w:r>
      <w:r w:rsidRPr="006863D2">
        <w:rPr>
          <w:b/>
          <w:bCs/>
          <w:i/>
          <w:iCs/>
        </w:rPr>
        <w:t xml:space="preserve">Civil </w:t>
      </w:r>
      <w:proofErr w:type="spellStart"/>
      <w:r w:rsidRPr="006863D2">
        <w:rPr>
          <w:b/>
          <w:bCs/>
          <w:i/>
          <w:iCs/>
        </w:rPr>
        <w:t>Wrongs:A</w:t>
      </w:r>
      <w:proofErr w:type="spellEnd"/>
      <w:r w:rsidRPr="006863D2">
        <w:rPr>
          <w:b/>
          <w:bCs/>
          <w:i/>
          <w:iCs/>
        </w:rPr>
        <w:t xml:space="preserve"> New World, </w:t>
      </w:r>
      <w:r w:rsidRPr="006863D2">
        <w:rPr>
          <w:b/>
          <w:bCs/>
        </w:rPr>
        <w:t>The Butterworth Lectures 1990-1991, p.55</w:t>
      </w:r>
      <w:r>
        <w:rPr>
          <w:b/>
          <w:bCs/>
        </w:rPr>
        <w:t>)</w:t>
      </w:r>
    </w:p>
    <w:p w14:paraId="2284E0EF" w14:textId="77777777" w:rsidR="006863D2" w:rsidRDefault="006863D2" w:rsidP="006863D2">
      <w:pPr>
        <w:rPr>
          <w:b/>
          <w:bCs/>
        </w:rPr>
      </w:pPr>
    </w:p>
    <w:p w14:paraId="5EB605CB" w14:textId="77777777" w:rsidR="006863D2" w:rsidRPr="006863D2" w:rsidRDefault="006863D2" w:rsidP="006863D2">
      <w:r w:rsidRPr="006863D2">
        <w:t xml:space="preserve">In </w:t>
      </w:r>
      <w:r w:rsidRPr="006863D2">
        <w:rPr>
          <w:b/>
          <w:bCs/>
          <w:i/>
          <w:iCs/>
        </w:rPr>
        <w:t xml:space="preserve">Elders Pastoral Limited v Bank of New Zealand </w:t>
      </w:r>
      <w:r w:rsidRPr="006863D2">
        <w:rPr>
          <w:b/>
          <w:bCs/>
        </w:rPr>
        <w:t xml:space="preserve">[1989] </w:t>
      </w:r>
      <w:proofErr w:type="spellStart"/>
      <w:r w:rsidRPr="006863D2">
        <w:t>Somer</w:t>
      </w:r>
      <w:proofErr w:type="spellEnd"/>
      <w:r w:rsidRPr="006863D2">
        <w:t xml:space="preserve"> J provided a more conciliatory summary of the current relationship between law and equity, when he observed that,</w:t>
      </w:r>
    </w:p>
    <w:p w14:paraId="080915D7" w14:textId="77777777" w:rsidR="006863D2" w:rsidRDefault="006863D2" w:rsidP="006863D2">
      <w:pPr>
        <w:rPr>
          <w:i/>
          <w:iCs/>
        </w:rPr>
      </w:pPr>
      <w:r w:rsidRPr="006863D2">
        <w:rPr>
          <w:i/>
          <w:iCs/>
        </w:rPr>
        <w:lastRenderedPageBreak/>
        <w:t>‘</w:t>
      </w:r>
      <w:proofErr w:type="spellStart"/>
      <w:r w:rsidRPr="006863D2">
        <w:rPr>
          <w:i/>
          <w:iCs/>
        </w:rPr>
        <w:t>niether</w:t>
      </w:r>
      <w:proofErr w:type="spellEnd"/>
      <w:r w:rsidRPr="006863D2">
        <w:rPr>
          <w:i/>
          <w:iCs/>
        </w:rPr>
        <w:t xml:space="preserve"> law nor equity is now stifled by its origin and the fact that both are administered by one Court has inevitably meant that each has borrowed from the other in furthering the harmonious development of law as a whole.’</w:t>
      </w:r>
    </w:p>
    <w:p w14:paraId="5F978B75" w14:textId="77777777" w:rsidR="00837E44" w:rsidRPr="006863D2" w:rsidRDefault="00837E44" w:rsidP="006863D2"/>
    <w:p w14:paraId="53CDE3BD" w14:textId="77777777" w:rsidR="006863D2" w:rsidRDefault="006863D2" w:rsidP="006863D2">
      <w:r w:rsidRPr="006863D2">
        <w:t>Sir Anthony Mason has argued (in ‘The Place of Equity and Equitable Remedies in the Contemporary Common Law World’ (1994) 110 LQR 238) that the Judicature Acts are an opportunity for equity to progress ahead of the common law.  He argues that ‘Equity has yielded the common law some ground th</w:t>
      </w:r>
      <w:r>
        <w:t>at</w:t>
      </w:r>
      <w:r w:rsidRPr="006863D2">
        <w:t xml:space="preserve"> conceivably it might have claimed for itself’, including the territory appropriated by the ‘boundless expansion of the tort of negligence, based on existence of a duty of care to one’s neighbour’.</w:t>
      </w:r>
    </w:p>
    <w:p w14:paraId="1CA6BA81" w14:textId="77777777" w:rsidR="006863D2" w:rsidRPr="006863D2" w:rsidRDefault="006863D2" w:rsidP="006863D2">
      <w:r w:rsidRPr="006863D2">
        <w:t xml:space="preserve">This is perhaps not correct.  Equity and law are concerned to remedy similar ideas of negligence, but in quite different contexts.  Unlike the law of tort, equity does not prescribe minimum standards of civilian behaviour, let alone suggest a paradigm ‘neighbourhood principle’.  In equity there is no gold standard of conscientious conduct equivalent to the objective opinion of the reasonable man in tort. </w:t>
      </w:r>
    </w:p>
    <w:p w14:paraId="434DAF78" w14:textId="77777777" w:rsidR="006863D2" w:rsidRPr="006863D2" w:rsidRDefault="006863D2" w:rsidP="006863D2">
      <w:r w:rsidRPr="006863D2">
        <w:t xml:space="preserve">Equity does not concern itself with civil conduct generally, but only with conduct in relation to </w:t>
      </w:r>
      <w:proofErr w:type="spellStart"/>
      <w:r w:rsidRPr="006863D2">
        <w:t>pre existing</w:t>
      </w:r>
      <w:proofErr w:type="spellEnd"/>
      <w:r w:rsidRPr="006863D2">
        <w:t xml:space="preserve"> legal rights, powers and duties.  In short there is never equity without law – “equity follows the law”.</w:t>
      </w:r>
    </w:p>
    <w:p w14:paraId="165168CF" w14:textId="77777777" w:rsidR="00837E44" w:rsidRDefault="00837E44" w:rsidP="00837E44">
      <w:r w:rsidRPr="00837E44">
        <w:t>One problems with an expansive ambition for the equitable jurisdiction is that equity can too easily become confused with the quite distinct concept of morality.</w:t>
      </w:r>
    </w:p>
    <w:p w14:paraId="4C2E9B59" w14:textId="77777777" w:rsidR="00837E44" w:rsidRDefault="00837E44" w:rsidP="00837E44"/>
    <w:p w14:paraId="330A907B" w14:textId="77777777" w:rsidR="00837E44" w:rsidRDefault="00837E44" w:rsidP="00837E44">
      <w:pPr>
        <w:rPr>
          <w:sz w:val="28"/>
          <w:szCs w:val="28"/>
          <w:u w:val="single"/>
        </w:rPr>
      </w:pPr>
      <w:r>
        <w:rPr>
          <w:sz w:val="28"/>
          <w:szCs w:val="28"/>
          <w:u w:val="single"/>
        </w:rPr>
        <w:t>Equity and Trusts Today</w:t>
      </w:r>
    </w:p>
    <w:p w14:paraId="37558EC8" w14:textId="77777777" w:rsidR="00837E44" w:rsidRPr="00837E44" w:rsidRDefault="00837E44" w:rsidP="00837E44">
      <w:pPr>
        <w:rPr>
          <w:sz w:val="28"/>
          <w:szCs w:val="28"/>
          <w:u w:val="single"/>
        </w:rPr>
      </w:pPr>
    </w:p>
    <w:p w14:paraId="68536F29" w14:textId="77777777" w:rsidR="00837E44" w:rsidRPr="00837E44" w:rsidRDefault="00837E44" w:rsidP="00837E44">
      <w:r w:rsidRPr="00837E44">
        <w:t>‘It can no longer be doubted that equity has moved out of the family home and the settled estate and into the market place’ – Sir Peter Millet, ‘Equity – the road ahead’ (1995)</w:t>
      </w:r>
    </w:p>
    <w:p w14:paraId="63DC764C" w14:textId="77777777" w:rsidR="00837E44" w:rsidRPr="00837E44" w:rsidRDefault="00837E44" w:rsidP="00837E44">
      <w:r w:rsidRPr="00837E44">
        <w:rPr>
          <w:u w:val="single"/>
        </w:rPr>
        <w:t xml:space="preserve">The commercial context </w:t>
      </w:r>
    </w:p>
    <w:p w14:paraId="1BB32BDC" w14:textId="77777777" w:rsidR="00837E44" w:rsidRPr="00837E44" w:rsidRDefault="00837E44" w:rsidP="00837E44">
      <w:r w:rsidRPr="00837E44">
        <w:t>There has often been debate about the proper role of equity in commercial transactions.</w:t>
      </w:r>
    </w:p>
    <w:p w14:paraId="43A66020" w14:textId="77777777" w:rsidR="00837E44" w:rsidRDefault="00837E44" w:rsidP="00837E44">
      <w:pPr>
        <w:rPr>
          <w:b/>
          <w:bCs/>
          <w:i/>
          <w:iCs/>
        </w:rPr>
      </w:pPr>
      <w:r w:rsidRPr="00837E44">
        <w:t xml:space="preserve">In 1927, Atkin LJ criticised the introduction of equitable principles into commercial sale of goods transactions as a migration </w:t>
      </w:r>
      <w:r w:rsidRPr="00837E44">
        <w:rPr>
          <w:i/>
          <w:iCs/>
        </w:rPr>
        <w:t xml:space="preserve">‘into territory where they are trespassers’ </w:t>
      </w:r>
      <w:r w:rsidRPr="00837E44">
        <w:rPr>
          <w:b/>
          <w:bCs/>
        </w:rPr>
        <w:t>(</w:t>
      </w:r>
      <w:r w:rsidRPr="00837E44">
        <w:rPr>
          <w:b/>
          <w:bCs/>
          <w:i/>
          <w:iCs/>
        </w:rPr>
        <w:t>Re Wait [1927])</w:t>
      </w:r>
    </w:p>
    <w:p w14:paraId="60C29738" w14:textId="77777777" w:rsidR="00837E44" w:rsidRPr="00837E44" w:rsidRDefault="00837E44" w:rsidP="00837E44">
      <w:r w:rsidRPr="00837E44">
        <w:t>Against this Sir Peter Millet has suggested that the intervention of equity in commercial transactions, long resisted by common lawyers can no longer be withstood.</w:t>
      </w:r>
    </w:p>
    <w:p w14:paraId="24303941" w14:textId="77777777" w:rsidR="00837E44" w:rsidRPr="00837E44" w:rsidRDefault="00837E44" w:rsidP="00837E44">
      <w:r w:rsidRPr="00837E44">
        <w:t xml:space="preserve">On both sides of the argument there seems to be an assumption that equity intervening in commerce is a new thing.  In fact, equity has always felt free to wander into it.  </w:t>
      </w:r>
    </w:p>
    <w:p w14:paraId="69113A64" w14:textId="77777777" w:rsidR="00837E44" w:rsidRPr="00837E44" w:rsidRDefault="00837E44" w:rsidP="00837E44">
      <w:r w:rsidRPr="00837E44">
        <w:t>Throughout the 15</w:t>
      </w:r>
      <w:r w:rsidRPr="00837E44">
        <w:rPr>
          <w:vertAlign w:val="superscript"/>
        </w:rPr>
        <w:t>th</w:t>
      </w:r>
      <w:r w:rsidRPr="00837E44">
        <w:t xml:space="preserve"> and 16</w:t>
      </w:r>
      <w:r w:rsidRPr="00837E44">
        <w:rPr>
          <w:vertAlign w:val="superscript"/>
        </w:rPr>
        <w:t>th</w:t>
      </w:r>
      <w:r w:rsidRPr="00837E44">
        <w:t xml:space="preserve"> Century tort and commercial cases featured as prominently in Chancery as property disputes.</w:t>
      </w:r>
    </w:p>
    <w:p w14:paraId="54FA0EFB" w14:textId="77777777" w:rsidR="00837E44" w:rsidRPr="00837E44" w:rsidRDefault="00837E44" w:rsidP="00837E44">
      <w:r w:rsidRPr="00837E44">
        <w:t>The typical petition complained of weakness or poverty or the abuse of position by an opponent and it is interesting to note that some of the leading modern cases deal with the same issues.</w:t>
      </w:r>
    </w:p>
    <w:p w14:paraId="181D884E" w14:textId="77777777" w:rsidR="00837E44" w:rsidRDefault="00837E44" w:rsidP="00837E44">
      <w:proofErr w:type="spellStart"/>
      <w:r w:rsidRPr="00837E44">
        <w:t>Eg</w:t>
      </w:r>
      <w:proofErr w:type="spellEnd"/>
      <w:r>
        <w:t xml:space="preserve"> - </w:t>
      </w:r>
      <w:r w:rsidRPr="00837E44">
        <w:rPr>
          <w:b/>
          <w:bCs/>
          <w:i/>
          <w:iCs/>
        </w:rPr>
        <w:t xml:space="preserve">O’Sullivan v MAM </w:t>
      </w:r>
      <w:r w:rsidRPr="00837E44">
        <w:rPr>
          <w:b/>
          <w:bCs/>
        </w:rPr>
        <w:t xml:space="preserve">[1985] – </w:t>
      </w:r>
      <w:r w:rsidRPr="00837E44">
        <w:t>where a popstar was granted equitable recission of an unfavourable contract.</w:t>
      </w:r>
    </w:p>
    <w:p w14:paraId="4002D900" w14:textId="77777777" w:rsidR="00837E44" w:rsidRDefault="00837E44" w:rsidP="00837E44"/>
    <w:p w14:paraId="484BA579" w14:textId="77777777" w:rsidR="00837E44" w:rsidRDefault="00837E44" w:rsidP="00837E44">
      <w:pPr>
        <w:rPr>
          <w:u w:val="single"/>
        </w:rPr>
      </w:pPr>
      <w:r>
        <w:rPr>
          <w:u w:val="single"/>
        </w:rPr>
        <w:t>Equity, Common Law and Morality</w:t>
      </w:r>
    </w:p>
    <w:p w14:paraId="1917EFF2" w14:textId="77777777" w:rsidR="00837E44" w:rsidRDefault="00837E44" w:rsidP="00837E44">
      <w:pPr>
        <w:rPr>
          <w:u w:val="single"/>
        </w:rPr>
      </w:pPr>
    </w:p>
    <w:p w14:paraId="465CDA59" w14:textId="77777777" w:rsidR="00837E44" w:rsidRPr="00837E44" w:rsidRDefault="00837E44" w:rsidP="00837E44">
      <w:r w:rsidRPr="00837E44">
        <w:t>Equity is most certainly a branch of the law and not a branch of morality.  However, largely due to its ecclesiastical origins and the use of terms such as ‘unconscionability’ it is a branch of law that has a moral flavour not so evident in the common law.</w:t>
      </w:r>
    </w:p>
    <w:p w14:paraId="73317473" w14:textId="77777777" w:rsidR="00837E44" w:rsidRDefault="00837E44" w:rsidP="00837E44">
      <w:r w:rsidRPr="00837E44">
        <w:lastRenderedPageBreak/>
        <w:t>Sir Peter Millet has said that it would be a mistake to suppose that the common law courts disregarded considerations of conscience.</w:t>
      </w:r>
    </w:p>
    <w:p w14:paraId="4B4D641A" w14:textId="77777777" w:rsidR="00837E44" w:rsidRDefault="00837E44" w:rsidP="00837E44">
      <w:pPr>
        <w:rPr>
          <w:b/>
          <w:bCs/>
          <w:i/>
          <w:iCs/>
        </w:rPr>
      </w:pPr>
      <w:r w:rsidRPr="00837E44">
        <w:t>Just one example of equity’s concern with matters of conscience is the requirement that in relation to investment</w:t>
      </w:r>
      <w:r>
        <w:t>,</w:t>
      </w:r>
      <w:r w:rsidRPr="00837E44">
        <w:t xml:space="preserve"> trustees should take such care as an ordinary prudent person would take who was minded to invest for the benefit of another for whom he felt </w:t>
      </w:r>
      <w:r w:rsidRPr="00837E44">
        <w:rPr>
          <w:i/>
          <w:iCs/>
        </w:rPr>
        <w:t xml:space="preserve">morally </w:t>
      </w:r>
      <w:r w:rsidRPr="00837E44">
        <w:t>obliged to provide.</w:t>
      </w:r>
      <w:r>
        <w:t>(</w:t>
      </w:r>
      <w:r w:rsidRPr="00837E44">
        <w:rPr>
          <w:b/>
          <w:bCs/>
        </w:rPr>
        <w:t xml:space="preserve">Lindley LJ in </w:t>
      </w:r>
      <w:r w:rsidRPr="00837E44">
        <w:rPr>
          <w:b/>
          <w:bCs/>
          <w:i/>
          <w:iCs/>
        </w:rPr>
        <w:t xml:space="preserve">Re </w:t>
      </w:r>
      <w:proofErr w:type="spellStart"/>
      <w:r w:rsidRPr="00837E44">
        <w:rPr>
          <w:b/>
          <w:bCs/>
          <w:i/>
          <w:iCs/>
        </w:rPr>
        <w:t>Whiteley</w:t>
      </w:r>
      <w:proofErr w:type="spellEnd"/>
      <w:r w:rsidRPr="00837E44">
        <w:rPr>
          <w:b/>
          <w:bCs/>
          <w:i/>
          <w:iCs/>
        </w:rPr>
        <w:t>.</w:t>
      </w:r>
      <w:r>
        <w:rPr>
          <w:b/>
          <w:bCs/>
          <w:i/>
          <w:iCs/>
        </w:rPr>
        <w:t>)</w:t>
      </w:r>
    </w:p>
    <w:p w14:paraId="73060AE4" w14:textId="77777777" w:rsidR="00837E44" w:rsidRPr="00837E44" w:rsidRDefault="00837E44" w:rsidP="00837E44">
      <w:r w:rsidRPr="00837E44">
        <w:t xml:space="preserve">Equitable ‘morality’ is limited to the restraint of unconscionability in legal contexts.  Equity will not enforce a bare moral promise – </w:t>
      </w:r>
      <w:r w:rsidRPr="00837E44">
        <w:rPr>
          <w:b/>
          <w:bCs/>
          <w:i/>
          <w:iCs/>
        </w:rPr>
        <w:t xml:space="preserve">Taylor v Dickens </w:t>
      </w:r>
      <w:r w:rsidRPr="00837E44">
        <w:rPr>
          <w:b/>
          <w:bCs/>
        </w:rPr>
        <w:t>[1998]</w:t>
      </w:r>
    </w:p>
    <w:p w14:paraId="49DCB7AD" w14:textId="77777777" w:rsidR="00837E44" w:rsidRPr="00837E44" w:rsidRDefault="00837E44" w:rsidP="00837E44">
      <w:pPr>
        <w:rPr>
          <w:b/>
          <w:bCs/>
        </w:rPr>
      </w:pPr>
      <w:proofErr w:type="spellStart"/>
      <w:r w:rsidRPr="00837E44">
        <w:t>Infact</w:t>
      </w:r>
      <w:proofErr w:type="spellEnd"/>
      <w:r w:rsidRPr="00837E44">
        <w:t xml:space="preserve">, equity will sometimes encourage a trustee to break a </w:t>
      </w:r>
      <w:proofErr w:type="spellStart"/>
      <w:r w:rsidRPr="00837E44">
        <w:t>non legal</w:t>
      </w:r>
      <w:proofErr w:type="spellEnd"/>
      <w:r w:rsidRPr="00837E44">
        <w:t xml:space="preserve"> promise (‘gentlemen’s agreement’) if to do so would be in the best financial interest of beneficiaries – </w:t>
      </w:r>
      <w:r w:rsidRPr="00837E44">
        <w:rPr>
          <w:b/>
          <w:bCs/>
          <w:i/>
          <w:iCs/>
        </w:rPr>
        <w:t xml:space="preserve">Buttle v Saunders </w:t>
      </w:r>
      <w:r w:rsidRPr="00837E44">
        <w:rPr>
          <w:b/>
          <w:bCs/>
        </w:rPr>
        <w:t>[1950]</w:t>
      </w:r>
    </w:p>
    <w:p w14:paraId="337F4296" w14:textId="77777777" w:rsidR="00837E44" w:rsidRDefault="00837E44" w:rsidP="00837E44">
      <w:pPr>
        <w:rPr>
          <w:i/>
          <w:iCs/>
        </w:rPr>
      </w:pPr>
      <w:r w:rsidRPr="00837E44">
        <w:t xml:space="preserve">How can this be reconciled with the fact that equity, being unable to allow breaking certain types of promise made in a legal contract, will enforce the contract according to the maxim that </w:t>
      </w:r>
      <w:r w:rsidRPr="00837E44">
        <w:rPr>
          <w:i/>
          <w:iCs/>
        </w:rPr>
        <w:t>equity sees as done that which ought to be done?</w:t>
      </w:r>
    </w:p>
    <w:p w14:paraId="342A4D0F" w14:textId="77777777" w:rsidR="00837E44" w:rsidRPr="00837E44" w:rsidRDefault="00837E44" w:rsidP="00837E44">
      <w:r w:rsidRPr="00837E44">
        <w:t xml:space="preserve">The answer is that equity is not concerned with immoral conduct generally but only with the </w:t>
      </w:r>
      <w:r w:rsidRPr="00837E44">
        <w:rPr>
          <w:b/>
          <w:bCs/>
        </w:rPr>
        <w:t xml:space="preserve">unconscionable </w:t>
      </w:r>
      <w:r w:rsidRPr="00837E44">
        <w:t xml:space="preserve">abuse of </w:t>
      </w:r>
      <w:r w:rsidRPr="00837E44">
        <w:rPr>
          <w:b/>
          <w:bCs/>
        </w:rPr>
        <w:t xml:space="preserve">legal </w:t>
      </w:r>
      <w:r w:rsidRPr="00837E44">
        <w:t>power or position. A great deal of immoral conduct is not prohibited in law or equity.</w:t>
      </w:r>
    </w:p>
    <w:p w14:paraId="55DB06C0" w14:textId="77777777" w:rsidR="00837E44" w:rsidRPr="00837E44" w:rsidRDefault="00837E44" w:rsidP="00837E44">
      <w:r w:rsidRPr="00837E44">
        <w:t>Only 3 of the 10 commandments have any real force today and even these 3 are in common law rather than equity:</w:t>
      </w:r>
    </w:p>
    <w:p w14:paraId="4E9EC678" w14:textId="77777777" w:rsidR="00837E44" w:rsidRPr="00837E44" w:rsidRDefault="00837E44" w:rsidP="00837E44">
      <w:r w:rsidRPr="00837E44">
        <w:t>Do not steal; do not kill, do not falsely accuse</w:t>
      </w:r>
    </w:p>
    <w:p w14:paraId="3C30D7D0" w14:textId="77777777" w:rsidR="00837E44" w:rsidRDefault="00837E44" w:rsidP="00837E44">
      <w:r w:rsidRPr="00837E44">
        <w:t>Theft; homicide and perjury</w:t>
      </w:r>
      <w:r>
        <w:t>.</w:t>
      </w:r>
    </w:p>
    <w:p w14:paraId="38D427D2" w14:textId="77777777" w:rsidR="00837E44" w:rsidRDefault="00837E44" w:rsidP="00837E44"/>
    <w:p w14:paraId="3E087449" w14:textId="77777777" w:rsidR="00837E44" w:rsidRDefault="00837E44" w:rsidP="00837E44">
      <w:r>
        <w:t>Thinking Point:</w:t>
      </w:r>
    </w:p>
    <w:p w14:paraId="6561FBEB" w14:textId="77777777" w:rsidR="00837E44" w:rsidRPr="00837E44" w:rsidRDefault="00837E44" w:rsidP="00837E44">
      <w:r w:rsidRPr="00837E44">
        <w:t>The late Diana, Princess of Wales was secretly photographed while exercising in a gym by the gym owner, whose guest she was, and he sold the images to the tabloids, allegedly earning him a small fortune.</w:t>
      </w:r>
    </w:p>
    <w:p w14:paraId="7B0A59AF" w14:textId="77777777" w:rsidR="00837E44" w:rsidRPr="00837E44" w:rsidRDefault="00837E44" w:rsidP="00837E44">
      <w:r w:rsidRPr="00837E44">
        <w:t>Legal proceedings were threatened but never came to court.</w:t>
      </w:r>
    </w:p>
    <w:p w14:paraId="571F7D51" w14:textId="77777777" w:rsidR="00837E44" w:rsidRDefault="00837E44" w:rsidP="00837E44">
      <w:pPr>
        <w:rPr>
          <w:i/>
          <w:iCs/>
        </w:rPr>
      </w:pPr>
      <w:r w:rsidRPr="00837E44">
        <w:rPr>
          <w:i/>
          <w:iCs/>
        </w:rPr>
        <w:t>Leaving aside any criminal liability and focusing on his civil liability, do you think equity would require him disgorge his ill-gotten gains?</w:t>
      </w:r>
    </w:p>
    <w:p w14:paraId="6E17783F" w14:textId="77777777" w:rsidR="00837E44" w:rsidRDefault="00837E44" w:rsidP="00837E44">
      <w:pPr>
        <w:rPr>
          <w:i/>
          <w:iCs/>
        </w:rPr>
      </w:pPr>
    </w:p>
    <w:p w14:paraId="156CF157" w14:textId="77777777" w:rsidR="00837E44" w:rsidRPr="00837E44" w:rsidRDefault="00837E44" w:rsidP="00837E44">
      <w:r w:rsidRPr="00837E44">
        <w:t>Court of morality</w:t>
      </w:r>
    </w:p>
    <w:p w14:paraId="0F73522D" w14:textId="77777777" w:rsidR="00837E44" w:rsidRPr="00837E44" w:rsidRDefault="00837E44" w:rsidP="00837E44">
      <w:r w:rsidRPr="00837E44">
        <w:t>The photographer would have been called to account for the proceeds of sale.</w:t>
      </w:r>
    </w:p>
    <w:p w14:paraId="56244B55" w14:textId="77777777" w:rsidR="00837E44" w:rsidRDefault="00837E44" w:rsidP="00837E44"/>
    <w:p w14:paraId="496AE48E" w14:textId="77777777" w:rsidR="00837E44" w:rsidRPr="00837E44" w:rsidRDefault="00837E44" w:rsidP="00837E44">
      <w:r w:rsidRPr="00837E44">
        <w:t>Common law</w:t>
      </w:r>
    </w:p>
    <w:p w14:paraId="24CEEBE9" w14:textId="77777777" w:rsidR="00837E44" w:rsidRPr="00837E44" w:rsidRDefault="00837E44" w:rsidP="00837E44">
      <w:r w:rsidRPr="00837E44">
        <w:t>No cause of action</w:t>
      </w:r>
    </w:p>
    <w:p w14:paraId="313D18B2" w14:textId="77777777" w:rsidR="00837E44" w:rsidRPr="00837E44" w:rsidRDefault="00837E44" w:rsidP="00837E44">
      <w:r w:rsidRPr="00837E44">
        <w:t>The princess had been his guest; there was no contract between them upon which terms could be implied.  There is no such law as a general tort of infringement of privacy.</w:t>
      </w:r>
    </w:p>
    <w:p w14:paraId="0FE93058" w14:textId="77777777" w:rsidR="00837E44" w:rsidRDefault="00837E44" w:rsidP="00837E44"/>
    <w:p w14:paraId="7FF064F9" w14:textId="77777777" w:rsidR="00837E44" w:rsidRPr="00837E44" w:rsidRDefault="00837E44" w:rsidP="00837E44">
      <w:r w:rsidRPr="00837E44">
        <w:t>There was no legal relationship between them.</w:t>
      </w:r>
    </w:p>
    <w:p w14:paraId="445EAFD3" w14:textId="77777777" w:rsidR="00837E44" w:rsidRPr="00837E44" w:rsidRDefault="00837E44" w:rsidP="00837E44">
      <w:r w:rsidRPr="00837E44">
        <w:t>Regardless of the relationship could you say that the photographer had been unjustly enriched?  Unfairly enriched yes but not unjustly.</w:t>
      </w:r>
    </w:p>
    <w:p w14:paraId="7F8C05CB" w14:textId="77777777" w:rsidR="00837E44" w:rsidRPr="00837E44" w:rsidRDefault="00837E44" w:rsidP="00837E44">
      <w:r w:rsidRPr="00837E44">
        <w:t>The law has only relatively recently acknowledged that A has a cause of action against B where B was unjustly enriched at A’s financial expense (</w:t>
      </w:r>
      <w:r w:rsidRPr="00837E44">
        <w:rPr>
          <w:b/>
          <w:bCs/>
          <w:i/>
          <w:iCs/>
        </w:rPr>
        <w:t xml:space="preserve">Lipkin Gorman v </w:t>
      </w:r>
      <w:proofErr w:type="spellStart"/>
      <w:r w:rsidRPr="00837E44">
        <w:rPr>
          <w:b/>
          <w:bCs/>
          <w:i/>
          <w:iCs/>
        </w:rPr>
        <w:t>Karpnale</w:t>
      </w:r>
      <w:proofErr w:type="spellEnd"/>
      <w:r w:rsidRPr="00837E44">
        <w:rPr>
          <w:b/>
          <w:bCs/>
          <w:i/>
          <w:iCs/>
        </w:rPr>
        <w:t xml:space="preserve"> Ltd </w:t>
      </w:r>
      <w:r w:rsidRPr="00837E44">
        <w:rPr>
          <w:b/>
          <w:bCs/>
        </w:rPr>
        <w:t>[1991].</w:t>
      </w:r>
      <w:r>
        <w:rPr>
          <w:b/>
          <w:bCs/>
        </w:rPr>
        <w:t>)</w:t>
      </w:r>
    </w:p>
    <w:p w14:paraId="39C73C46" w14:textId="77777777" w:rsidR="00837E44" w:rsidRDefault="00837E44" w:rsidP="00837E44">
      <w:r w:rsidRPr="00837E44">
        <w:t>It is probably someway off from acknowledging that enrichment may be unjust merely because it was acquired at the expense of someone else’s privacy or reputation.</w:t>
      </w:r>
    </w:p>
    <w:p w14:paraId="2B602944" w14:textId="77777777" w:rsidR="00837E44" w:rsidRPr="00837E44" w:rsidRDefault="00837E44" w:rsidP="00837E44">
      <w:r w:rsidRPr="00837E44">
        <w:lastRenderedPageBreak/>
        <w:t xml:space="preserve">The question is whether equity, that has traditionally followed the common law, should go ahead of it.  </w:t>
      </w:r>
    </w:p>
    <w:p w14:paraId="231BD565" w14:textId="77777777" w:rsidR="00837E44" w:rsidRPr="00837E44" w:rsidRDefault="00837E44" w:rsidP="00837E44">
      <w:r w:rsidRPr="00837E44">
        <w:t>If we decide that it should then surely there is a danger that we will have elevated equity to the status of moral guardian of society.</w:t>
      </w:r>
    </w:p>
    <w:p w14:paraId="7DD6464D" w14:textId="77777777" w:rsidR="00837E44" w:rsidRPr="00837E44" w:rsidRDefault="00837E44" w:rsidP="00837E44">
      <w:r w:rsidRPr="00837E44">
        <w:t>But then – whose morality should that be?</w:t>
      </w:r>
    </w:p>
    <w:p w14:paraId="2053E42C" w14:textId="77777777" w:rsidR="00837E44" w:rsidRDefault="00837E44" w:rsidP="00837E44">
      <w:r w:rsidRPr="00837E44">
        <w:t>We would surely then be going back to the chancellor</w:t>
      </w:r>
      <w:r>
        <w:t>’</w:t>
      </w:r>
      <w:r w:rsidRPr="00837E44">
        <w:t xml:space="preserve">s foot. </w:t>
      </w:r>
    </w:p>
    <w:p w14:paraId="4D652A8D" w14:textId="77777777" w:rsidR="00837E44" w:rsidRDefault="00837E44" w:rsidP="00837E44"/>
    <w:p w14:paraId="3D1E3066" w14:textId="77777777" w:rsidR="00837E44" w:rsidRPr="00837E44" w:rsidRDefault="00837E44" w:rsidP="00837E44">
      <w:pPr>
        <w:rPr>
          <w:b/>
          <w:bCs/>
        </w:rPr>
      </w:pPr>
      <w:r w:rsidRPr="00837E44">
        <w:rPr>
          <w:b/>
          <w:bCs/>
        </w:rPr>
        <w:t>Thinking Point:-</w:t>
      </w:r>
    </w:p>
    <w:p w14:paraId="4A339657" w14:textId="77777777" w:rsidR="00837E44" w:rsidRDefault="00837E44" w:rsidP="00837E44">
      <w:pPr>
        <w:rPr>
          <w:b/>
          <w:bCs/>
        </w:rPr>
      </w:pPr>
      <w:r w:rsidRPr="00837E44">
        <w:rPr>
          <w:b/>
          <w:bCs/>
        </w:rPr>
        <w:t>Do you think it is right for equity to assume to regulate wrongs such as infringement of privacy?</w:t>
      </w:r>
    </w:p>
    <w:p w14:paraId="381B66EA" w14:textId="77777777" w:rsidR="00837E44" w:rsidRPr="00837E44" w:rsidRDefault="00837E44" w:rsidP="00837E44">
      <w:pPr>
        <w:rPr>
          <w:b/>
          <w:bCs/>
        </w:rPr>
      </w:pPr>
    </w:p>
    <w:p w14:paraId="0E47FAA6" w14:textId="77777777" w:rsidR="00837E44" w:rsidRDefault="00837E44" w:rsidP="00837E44">
      <w:pPr>
        <w:rPr>
          <w:i/>
          <w:iCs/>
        </w:rPr>
      </w:pPr>
      <w:r w:rsidRPr="00837E44">
        <w:rPr>
          <w:i/>
          <w:iCs/>
        </w:rPr>
        <w:t>For example, if the wrong committed when the gym owner filmed Diana had fallen into an accidental or technical gap (lacuna) in the common law, equity might have legitimately filled the hole as part of ‘supplemental’ or ‘concurrent’ jurisdiction, to give effect to and make sense of the common law rules. The problem here is that the lack of remedy was not a lacuna it just lay way beyond the scope of the boundaries of legal regulation.</w:t>
      </w:r>
    </w:p>
    <w:p w14:paraId="7A676B66" w14:textId="77777777" w:rsidR="00837E44" w:rsidRPr="00837E44" w:rsidRDefault="00837E44" w:rsidP="00837E44">
      <w:r w:rsidRPr="00837E44">
        <w:t>Equity is not the solution to this  - it is down to the common law, or Parliament to provide a new remedy if it thinks one is required.</w:t>
      </w:r>
    </w:p>
    <w:p w14:paraId="6C9011A0" w14:textId="77777777" w:rsidR="00837E44" w:rsidRPr="00837E44" w:rsidRDefault="00837E44" w:rsidP="00837E44">
      <w:r w:rsidRPr="00837E44">
        <w:t>Hence the creation of a modern law of breach of confidence to fill this lacuna should not have been taken in the name of equity (</w:t>
      </w:r>
      <w:r w:rsidRPr="00837E44">
        <w:rPr>
          <w:b/>
          <w:bCs/>
          <w:i/>
          <w:iCs/>
        </w:rPr>
        <w:t xml:space="preserve">Douglas v Hello! Ltd </w:t>
      </w:r>
      <w:r w:rsidRPr="00837E44">
        <w:rPr>
          <w:b/>
          <w:bCs/>
        </w:rPr>
        <w:t>[2001]</w:t>
      </w:r>
      <w:r w:rsidRPr="00837E44">
        <w:t>).</w:t>
      </w:r>
    </w:p>
    <w:p w14:paraId="6E0124C7" w14:textId="77777777" w:rsidR="00837E44" w:rsidRPr="00837E44" w:rsidRDefault="00837E44" w:rsidP="00837E44">
      <w:r w:rsidRPr="00837E44">
        <w:t xml:space="preserve">The </w:t>
      </w:r>
      <w:proofErr w:type="spellStart"/>
      <w:r w:rsidRPr="00837E44">
        <w:t>HofL</w:t>
      </w:r>
      <w:proofErr w:type="spellEnd"/>
      <w:r w:rsidRPr="00837E44">
        <w:t xml:space="preserve"> has acknowledged that the equitable label ‘breach of confidence’ was inappropriate in this context.</w:t>
      </w:r>
    </w:p>
    <w:p w14:paraId="3CECD7A9" w14:textId="77777777" w:rsidR="00837E44" w:rsidRPr="00837E44" w:rsidRDefault="00837E44" w:rsidP="00837E44">
      <w:r w:rsidRPr="00837E44">
        <w:t xml:space="preserve">It is better encapsulated in a tort of misuse of private information – </w:t>
      </w:r>
      <w:r w:rsidRPr="00837E44">
        <w:rPr>
          <w:b/>
          <w:bCs/>
          <w:i/>
          <w:iCs/>
        </w:rPr>
        <w:t xml:space="preserve">Campbell v MGN Ltd </w:t>
      </w:r>
      <w:r w:rsidRPr="00837E44">
        <w:rPr>
          <w:b/>
          <w:bCs/>
        </w:rPr>
        <w:t>[2004].</w:t>
      </w:r>
    </w:p>
    <w:p w14:paraId="651A417D" w14:textId="77777777" w:rsidR="00837E44" w:rsidRPr="00837E44" w:rsidRDefault="00837E44" w:rsidP="00837E44">
      <w:r w:rsidRPr="00837E44">
        <w:t>Equity is morally ambiguous because it is selective in its recognition of unconscionable behaviour in different contexts.</w:t>
      </w:r>
    </w:p>
    <w:p w14:paraId="3B4F431C" w14:textId="77777777" w:rsidR="00837E44" w:rsidRPr="00837E44" w:rsidRDefault="00837E44" w:rsidP="00837E44">
      <w:r w:rsidRPr="00837E44">
        <w:t>Sometimes commercial sharp practice goes unchecked by equity, even if oppressive, and even if advantage has been taken of a legal entitlement.</w:t>
      </w:r>
    </w:p>
    <w:p w14:paraId="6ACE55D2" w14:textId="77777777" w:rsidR="00837E44" w:rsidRPr="00837E44" w:rsidRDefault="00837E44" w:rsidP="00837E44"/>
    <w:p w14:paraId="08BF5287" w14:textId="77777777" w:rsidR="00837E44" w:rsidRPr="00837E44" w:rsidRDefault="00837E44" w:rsidP="00837E44">
      <w:r w:rsidRPr="00837E44">
        <w:t>For example</w:t>
      </w:r>
    </w:p>
    <w:p w14:paraId="2ECDB4A0" w14:textId="77777777" w:rsidR="00837E44" w:rsidRPr="00837E44" w:rsidRDefault="00837E44" w:rsidP="00837E44">
      <w:r w:rsidRPr="00837E44">
        <w:rPr>
          <w:b/>
          <w:bCs/>
          <w:i/>
          <w:iCs/>
        </w:rPr>
        <w:t xml:space="preserve">Liverpool Marine Credit Co v Hunter </w:t>
      </w:r>
      <w:r w:rsidRPr="00837E44">
        <w:rPr>
          <w:b/>
          <w:bCs/>
        </w:rPr>
        <w:t>[1867-8]</w:t>
      </w:r>
    </w:p>
    <w:p w14:paraId="24971EB7" w14:textId="77777777" w:rsidR="00837E44" w:rsidRDefault="00837E44" w:rsidP="00837E44">
      <w:r w:rsidRPr="00837E44">
        <w:t>The D</w:t>
      </w:r>
      <w:r>
        <w:t>efendant</w:t>
      </w:r>
      <w:r w:rsidRPr="00837E44">
        <w:t>s , the owners of a ship subject to a mortgage, deliberately sent the ship to be sold in Louisiana, knowing that Louisiana did not recognise mortgages of ships.  The Cl</w:t>
      </w:r>
      <w:r>
        <w:t xml:space="preserve">aimant </w:t>
      </w:r>
      <w:r w:rsidRPr="00837E44">
        <w:t>argued that the D</w:t>
      </w:r>
      <w:r>
        <w:t>efendant</w:t>
      </w:r>
      <w:r w:rsidRPr="00837E44">
        <w:t xml:space="preserve"> had committed a positive fraud.  The judge held that the D</w:t>
      </w:r>
      <w:r>
        <w:t>efendant</w:t>
      </w:r>
      <w:r w:rsidRPr="00837E44">
        <w:t xml:space="preserve"> owed no duty of care to the Cl</w:t>
      </w:r>
      <w:r>
        <w:t>aimant</w:t>
      </w:r>
      <w:r w:rsidRPr="00837E44">
        <w:t>:</w:t>
      </w:r>
    </w:p>
    <w:p w14:paraId="54821BFC" w14:textId="77777777" w:rsidR="002101EE" w:rsidRDefault="002101EE" w:rsidP="00837E44"/>
    <w:p w14:paraId="1E7873A8" w14:textId="77777777" w:rsidR="002101EE" w:rsidRDefault="002101EE" w:rsidP="002101EE">
      <w:pPr>
        <w:ind w:firstLine="720"/>
        <w:rPr>
          <w:i/>
          <w:iCs/>
        </w:rPr>
      </w:pPr>
      <w:r w:rsidRPr="002101EE">
        <w:rPr>
          <w:i/>
          <w:iCs/>
        </w:rPr>
        <w:t>‘I do not…see how Equity could properly interfere to restrain the actions, which, however oppressive…arose out of remedies employed by the plaintiff for the recovery of his debt, of which the law entitled him to avail himself.’</w:t>
      </w:r>
    </w:p>
    <w:p w14:paraId="0DF9B718" w14:textId="77777777" w:rsidR="002101EE" w:rsidRDefault="002101EE" w:rsidP="002101EE">
      <w:pPr>
        <w:rPr>
          <w:i/>
          <w:iCs/>
        </w:rPr>
      </w:pPr>
    </w:p>
    <w:p w14:paraId="3FF1DD00" w14:textId="77777777" w:rsidR="002101EE" w:rsidRPr="002101EE" w:rsidRDefault="002101EE" w:rsidP="002101EE">
      <w:r w:rsidRPr="002101EE">
        <w:t>Essentially, equity’s scrutiny of conscience varies dramatically according to the context in which legal powers are exercised and duties discharged.</w:t>
      </w:r>
    </w:p>
    <w:p w14:paraId="3CB81534" w14:textId="77777777" w:rsidR="002101EE" w:rsidRDefault="002101EE" w:rsidP="002101EE"/>
    <w:p w14:paraId="7D123B50" w14:textId="77777777" w:rsidR="002101EE" w:rsidRDefault="002101EE" w:rsidP="002101EE">
      <w:pPr>
        <w:rPr>
          <w:sz w:val="28"/>
          <w:szCs w:val="28"/>
          <w:u w:val="single"/>
        </w:rPr>
      </w:pPr>
      <w:r w:rsidRPr="002101EE">
        <w:rPr>
          <w:sz w:val="28"/>
          <w:szCs w:val="28"/>
          <w:u w:val="single"/>
        </w:rPr>
        <w:t>Concurrent rights in equity and common law</w:t>
      </w:r>
    </w:p>
    <w:p w14:paraId="3F7A5A95" w14:textId="77777777" w:rsidR="002101EE" w:rsidRDefault="002101EE" w:rsidP="002101EE">
      <w:pPr>
        <w:rPr>
          <w:sz w:val="28"/>
          <w:szCs w:val="28"/>
          <w:u w:val="single"/>
        </w:rPr>
      </w:pPr>
    </w:p>
    <w:p w14:paraId="53F1DCF8" w14:textId="77777777" w:rsidR="002101EE" w:rsidRDefault="002101EE" w:rsidP="002101EE">
      <w:r w:rsidRPr="002101EE">
        <w:t>So long as law and equity remain to any extent distinct, they must function alongside each other.</w:t>
      </w:r>
    </w:p>
    <w:p w14:paraId="00B703F1" w14:textId="77777777" w:rsidR="002101EE" w:rsidRPr="002101EE" w:rsidRDefault="002101EE" w:rsidP="002101EE">
      <w:pPr>
        <w:rPr>
          <w:sz w:val="28"/>
          <w:szCs w:val="28"/>
          <w:u w:val="single"/>
        </w:rPr>
      </w:pPr>
      <w:r w:rsidRPr="002101EE">
        <w:rPr>
          <w:sz w:val="28"/>
          <w:szCs w:val="28"/>
          <w:u w:val="single"/>
        </w:rPr>
        <w:lastRenderedPageBreak/>
        <w:t>Case Close Up</w:t>
      </w:r>
    </w:p>
    <w:p w14:paraId="081EF2F8" w14:textId="77777777" w:rsidR="002101EE" w:rsidRDefault="002101EE" w:rsidP="002101EE"/>
    <w:p w14:paraId="265BD356" w14:textId="77777777" w:rsidR="002101EE" w:rsidRPr="002101EE" w:rsidRDefault="002101EE" w:rsidP="002101EE">
      <w:r w:rsidRPr="002101EE">
        <w:rPr>
          <w:b/>
          <w:bCs/>
          <w:i/>
          <w:iCs/>
        </w:rPr>
        <w:t xml:space="preserve">Walsh v Lonsdale </w:t>
      </w:r>
      <w:r w:rsidRPr="002101EE">
        <w:rPr>
          <w:b/>
          <w:bCs/>
        </w:rPr>
        <w:t>(1882)</w:t>
      </w:r>
    </w:p>
    <w:p w14:paraId="2BC754E9" w14:textId="77777777" w:rsidR="002101EE" w:rsidRPr="002101EE" w:rsidRDefault="002101EE" w:rsidP="002101EE">
      <w:r w:rsidRPr="002101EE">
        <w:t>We’ve looked at this before.</w:t>
      </w:r>
    </w:p>
    <w:p w14:paraId="1911357E" w14:textId="77777777" w:rsidR="002101EE" w:rsidRPr="002101EE" w:rsidRDefault="002101EE" w:rsidP="002101EE">
      <w:r w:rsidRPr="002101EE">
        <w:t>Landlord and tenant entered into a 7yr lease, the tenant had gone into possession, but the parties had forgotten to execute the formal deed needed for a valid legal lease.</w:t>
      </w:r>
    </w:p>
    <w:p w14:paraId="443DDF81" w14:textId="77777777" w:rsidR="002101EE" w:rsidRDefault="002101EE" w:rsidP="002101EE">
      <w:r w:rsidRPr="002101EE">
        <w:t>Despite there being no deed the landlord claimed rent in advance in accordance with the contract and attempted to enforce his claim by exercising the legal right to distress for rent (take and sell tenants goods in lieu of rent).</w:t>
      </w:r>
    </w:p>
    <w:p w14:paraId="14B426F4" w14:textId="77777777" w:rsidR="002101EE" w:rsidRPr="002101EE" w:rsidRDefault="002101EE" w:rsidP="002101EE">
      <w:r w:rsidRPr="002101EE">
        <w:t>Tenant said that in the absence of a legal deed there could be no right to claim rent in advance and it should be payable in arrears, so he sought an injunction against the distress.</w:t>
      </w:r>
    </w:p>
    <w:p w14:paraId="5E471A95" w14:textId="77777777" w:rsidR="002101EE" w:rsidRPr="002101EE" w:rsidRDefault="002101EE" w:rsidP="002101EE">
      <w:r w:rsidRPr="002101EE">
        <w:t xml:space="preserve">Sir George </w:t>
      </w:r>
      <w:proofErr w:type="spellStart"/>
      <w:r w:rsidRPr="002101EE">
        <w:t>Jessel</w:t>
      </w:r>
      <w:proofErr w:type="spellEnd"/>
      <w:r w:rsidRPr="002101EE">
        <w:t xml:space="preserve"> MR said,</w:t>
      </w:r>
    </w:p>
    <w:p w14:paraId="68D3ABF4" w14:textId="77777777" w:rsidR="002101EE" w:rsidRDefault="002101EE" w:rsidP="002101EE">
      <w:pPr>
        <w:rPr>
          <w:i/>
          <w:iCs/>
        </w:rPr>
      </w:pPr>
      <w:r w:rsidRPr="002101EE">
        <w:rPr>
          <w:i/>
          <w:iCs/>
        </w:rPr>
        <w:t>‘there are not 2 estates as there were formerly…There is only 1 Court, and the equity rules prevail in it.  The tenant holds under an agreement for a lease.  He holds therefore, under the same terms in equity as if a lease had been granted.’</w:t>
      </w:r>
    </w:p>
    <w:p w14:paraId="1B78AA13" w14:textId="77777777" w:rsidR="002101EE" w:rsidRPr="002101EE" w:rsidRDefault="002101EE" w:rsidP="002101EE">
      <w:r w:rsidRPr="002101EE">
        <w:t>Ironically, the tenant had sought the aid of equity by asking for an injunction, but the landlord actually received it in the form of an equitable lease.</w:t>
      </w:r>
    </w:p>
    <w:p w14:paraId="7F216D18" w14:textId="77777777" w:rsidR="002101EE" w:rsidRPr="002101EE" w:rsidRDefault="002101EE" w:rsidP="002101EE">
      <w:r w:rsidRPr="002101EE">
        <w:t xml:space="preserve">Paradoxically, the landlord was permitted to exercise the traditionally legal right to levy distress for rent against the tenant of an equitable lease.  The judgment was based on the maxim that </w:t>
      </w:r>
      <w:r w:rsidRPr="002101EE">
        <w:rPr>
          <w:i/>
          <w:iCs/>
        </w:rPr>
        <w:t>equity sees as done that which ought to be done.</w:t>
      </w:r>
    </w:p>
    <w:p w14:paraId="40633BE3" w14:textId="77777777" w:rsidR="002101EE" w:rsidRPr="002101EE" w:rsidRDefault="002101EE" w:rsidP="002101EE">
      <w:r w:rsidRPr="002101EE">
        <w:t>Note – Sir George acknowledged that alongside the tenant’s fixed term equitable lease, the tenant ALSO had a periodic legal tenancy which arose at law from the fact that the tenant was in possession and paying rent.  Thus equitable and legal leases can co-exist.</w:t>
      </w:r>
    </w:p>
    <w:p w14:paraId="39FD4B35" w14:textId="77777777" w:rsidR="002101EE" w:rsidRPr="002101EE" w:rsidRDefault="002101EE" w:rsidP="002101EE">
      <w:r w:rsidRPr="002101EE">
        <w:t>(The legal tenancy can be bought to an end by giving notice so the equitable lease was more valuable – hence the litigation!)</w:t>
      </w:r>
    </w:p>
    <w:p w14:paraId="453AFEA1" w14:textId="77777777" w:rsidR="002101EE" w:rsidRDefault="002101EE" w:rsidP="002101EE"/>
    <w:p w14:paraId="0347402E" w14:textId="77777777" w:rsidR="002101EE" w:rsidRPr="002101EE" w:rsidRDefault="002101EE" w:rsidP="002101EE">
      <w:r w:rsidRPr="002101EE">
        <w:rPr>
          <w:b/>
          <w:bCs/>
          <w:i/>
          <w:iCs/>
        </w:rPr>
        <w:t xml:space="preserve">Barclays Bank v </w:t>
      </w:r>
      <w:proofErr w:type="spellStart"/>
      <w:r w:rsidRPr="002101EE">
        <w:rPr>
          <w:b/>
          <w:bCs/>
          <w:i/>
          <w:iCs/>
        </w:rPr>
        <w:t>Quistclose</w:t>
      </w:r>
      <w:proofErr w:type="spellEnd"/>
      <w:r w:rsidRPr="002101EE">
        <w:rPr>
          <w:b/>
          <w:bCs/>
          <w:i/>
          <w:iCs/>
        </w:rPr>
        <w:t xml:space="preserve"> Investments Ltd </w:t>
      </w:r>
      <w:r w:rsidRPr="002101EE">
        <w:rPr>
          <w:b/>
          <w:bCs/>
        </w:rPr>
        <w:t>(1970)</w:t>
      </w:r>
    </w:p>
    <w:p w14:paraId="5F75E872" w14:textId="77777777" w:rsidR="002101EE" w:rsidRDefault="002101EE" w:rsidP="002101EE">
      <w:proofErr w:type="spellStart"/>
      <w:r w:rsidRPr="002101EE">
        <w:t>Q</w:t>
      </w:r>
      <w:r>
        <w:t>uistclose</w:t>
      </w:r>
      <w:proofErr w:type="spellEnd"/>
      <w:r w:rsidRPr="002101EE">
        <w:t xml:space="preserve"> made a loan to a company (RR Ltd) on the brink of insolvency for the express purpose of paying a dividend that the company had declared in favour of its shareholders. Had the loan been paid in the normal course of events it would have been simply about the common law contractual obligations being discharged.</w:t>
      </w:r>
    </w:p>
    <w:p w14:paraId="49633F0C" w14:textId="77777777" w:rsidR="002101EE" w:rsidRPr="002101EE" w:rsidRDefault="002101EE" w:rsidP="002101EE">
      <w:r w:rsidRPr="002101EE">
        <w:t xml:space="preserve">However, </w:t>
      </w:r>
      <w:proofErr w:type="spellStart"/>
      <w:r w:rsidRPr="002101EE">
        <w:t>RRLtd</w:t>
      </w:r>
      <w:proofErr w:type="spellEnd"/>
      <w:r w:rsidRPr="002101EE">
        <w:t xml:space="preserve"> became insolvent before the dividend had been paid.  At that point one might assume, as did Barclays Bank, that Q’s contractual claim would have to join the queue of personal claims. In fact a majority of </w:t>
      </w:r>
      <w:proofErr w:type="spellStart"/>
      <w:r w:rsidRPr="002101EE">
        <w:t>HofL</w:t>
      </w:r>
      <w:proofErr w:type="spellEnd"/>
      <w:r w:rsidRPr="002101EE">
        <w:t xml:space="preserve"> judges favoured the opposite result.</w:t>
      </w:r>
    </w:p>
    <w:p w14:paraId="7F7693D6" w14:textId="77777777" w:rsidR="002101EE" w:rsidRPr="002101EE" w:rsidRDefault="002101EE" w:rsidP="002101EE">
      <w:r w:rsidRPr="002101EE">
        <w:t>Lord Wilberforce held that the arrangement gave rise to a primary trust in favour of the shareholders in whose favour the dividend had been declared, and a secondary trust in favour of Q arising in the event of the company’s insolvency,</w:t>
      </w:r>
    </w:p>
    <w:p w14:paraId="031268D7" w14:textId="77777777" w:rsidR="002101EE" w:rsidRPr="002101EE" w:rsidRDefault="002101EE" w:rsidP="002101EE">
      <w:r w:rsidRPr="002101EE">
        <w:rPr>
          <w:i/>
          <w:iCs/>
        </w:rPr>
        <w:t>‘[t]here is surely no difficulty in recognising the co-existence in one transaction of legal and equitable rights and remedies.’</w:t>
      </w:r>
    </w:p>
    <w:p w14:paraId="744CA963" w14:textId="77777777" w:rsidR="002101EE" w:rsidRPr="002101EE" w:rsidRDefault="002101EE" w:rsidP="002101EE">
      <w:r w:rsidRPr="002101EE">
        <w:t xml:space="preserve">It has never been difficult to recognise the existence of concurrent legal and equitable rights, </w:t>
      </w:r>
      <w:proofErr w:type="spellStart"/>
      <w:r w:rsidRPr="002101EE">
        <w:t>its</w:t>
      </w:r>
      <w:proofErr w:type="spellEnd"/>
      <w:r w:rsidRPr="002101EE">
        <w:t xml:space="preserve"> more a matter of policy as to whether it should be recognised.</w:t>
      </w:r>
    </w:p>
    <w:p w14:paraId="3C0B3E64" w14:textId="77777777" w:rsidR="002101EE" w:rsidRPr="002101EE" w:rsidRDefault="002101EE" w:rsidP="002101EE">
      <w:r w:rsidRPr="002101EE">
        <w:t>Q was taken out of the list of general creditors and its claim promoted to the status of proprietary right.</w:t>
      </w:r>
    </w:p>
    <w:p w14:paraId="166563D0" w14:textId="77777777" w:rsidR="002101EE" w:rsidRPr="002101EE" w:rsidRDefault="002101EE" w:rsidP="002101EE">
      <w:r w:rsidRPr="002101EE">
        <w:t>Against this it could be argued that the borrowing company (RR Ltd) had unfairly preferred Q to its other creditors (including, notably, its long term bank, Barclays).</w:t>
      </w:r>
    </w:p>
    <w:p w14:paraId="4AB2E21A" w14:textId="77777777" w:rsidR="002101EE" w:rsidRPr="002101EE" w:rsidRDefault="002101EE" w:rsidP="002101EE">
      <w:r w:rsidRPr="002101EE">
        <w:lastRenderedPageBreak/>
        <w:t>In favour it could be argued that to save a company from insolvency is for the good of all its creditors, and society generally, and that special protection should be given to those creditors who lend money to companies on the brink of insolvency.</w:t>
      </w:r>
    </w:p>
    <w:p w14:paraId="4B98DA7C" w14:textId="77777777" w:rsidR="002101EE" w:rsidRDefault="002101EE" w:rsidP="002101EE"/>
    <w:p w14:paraId="4202951F" w14:textId="77777777" w:rsidR="002101EE" w:rsidRDefault="002101EE" w:rsidP="002101EE">
      <w:pPr>
        <w:rPr>
          <w:sz w:val="28"/>
          <w:szCs w:val="28"/>
          <w:u w:val="single"/>
        </w:rPr>
      </w:pPr>
      <w:r w:rsidRPr="002101EE">
        <w:rPr>
          <w:sz w:val="28"/>
          <w:szCs w:val="28"/>
          <w:u w:val="single"/>
        </w:rPr>
        <w:t>Co-operative remedies in equity and common law</w:t>
      </w:r>
    </w:p>
    <w:p w14:paraId="781FAA70" w14:textId="77777777" w:rsidR="002101EE" w:rsidRDefault="002101EE" w:rsidP="002101EE">
      <w:pPr>
        <w:rPr>
          <w:sz w:val="28"/>
          <w:szCs w:val="28"/>
          <w:u w:val="single"/>
        </w:rPr>
      </w:pPr>
    </w:p>
    <w:p w14:paraId="71DA8544" w14:textId="77777777" w:rsidR="002101EE" w:rsidRPr="002101EE" w:rsidRDefault="002101EE" w:rsidP="002101EE">
      <w:r w:rsidRPr="002101EE">
        <w:t xml:space="preserve">Law and equity take a co-operative approach to remedies.  At law, contracts don’t have to be performed – each party has the option to breach </w:t>
      </w:r>
      <w:proofErr w:type="spellStart"/>
      <w:r w:rsidRPr="002101EE">
        <w:t>theor</w:t>
      </w:r>
      <w:proofErr w:type="spellEnd"/>
      <w:r w:rsidRPr="002101EE">
        <w:t xml:space="preserve"> contract and pay damages.</w:t>
      </w:r>
    </w:p>
    <w:p w14:paraId="67378833" w14:textId="77777777" w:rsidR="002101EE" w:rsidRDefault="002101EE" w:rsidP="002101EE">
      <w:r w:rsidRPr="002101EE">
        <w:t>Equity follows the law, but the court will exceptionally decree specific performance which requires the contract to be performed according to its terms or the terms of the court order.</w:t>
      </w:r>
    </w:p>
    <w:p w14:paraId="5870E82A" w14:textId="77777777" w:rsidR="002101EE" w:rsidRPr="002101EE" w:rsidRDefault="002101EE" w:rsidP="002101EE">
      <w:r w:rsidRPr="002101EE">
        <w:t>Where common law damages will provide adequate remedy, specific performance will not be awarded.  The court will only decree SP where ‘it can by that means do more and complete justice’ than the common law.</w:t>
      </w:r>
    </w:p>
    <w:p w14:paraId="7E8772B7" w14:textId="77777777" w:rsidR="002101EE" w:rsidRDefault="002101EE" w:rsidP="002101EE">
      <w:r w:rsidRPr="002101EE">
        <w:t>For this reason SP cases often relate to land, for all land is unique and damages are therefore presumed to be inadequate compensation for breach of a contract to convey land.</w:t>
      </w:r>
    </w:p>
    <w:p w14:paraId="2D48C00E" w14:textId="77777777" w:rsidR="002101EE" w:rsidRPr="002101EE" w:rsidRDefault="002101EE" w:rsidP="002101EE"/>
    <w:p w14:paraId="5AFCB060" w14:textId="77777777" w:rsidR="002101EE" w:rsidRPr="002101EE" w:rsidRDefault="002101EE" w:rsidP="002101EE">
      <w:r w:rsidRPr="002101EE">
        <w:rPr>
          <w:b/>
          <w:bCs/>
          <w:i/>
          <w:iCs/>
        </w:rPr>
        <w:t xml:space="preserve">Beswick v Beswick </w:t>
      </w:r>
      <w:r w:rsidRPr="002101EE">
        <w:rPr>
          <w:b/>
          <w:bCs/>
        </w:rPr>
        <w:t>[1968]</w:t>
      </w:r>
    </w:p>
    <w:p w14:paraId="2B07442B" w14:textId="77777777" w:rsidR="002101EE" w:rsidRPr="002101EE" w:rsidRDefault="002101EE" w:rsidP="002101EE">
      <w:r w:rsidRPr="002101EE">
        <w:t>Mr B gave his coal merchant business to his nephew, in consideration of which his nephew agreed to look after Mr B’s widow after Mr B’s death, to the order of £5 per wk.  Mr B died and his widow sought to enforce the nephew’s promise.  H</w:t>
      </w:r>
      <w:r>
        <w:t xml:space="preserve">ouse </w:t>
      </w:r>
      <w:r w:rsidRPr="002101EE">
        <w:t>of</w:t>
      </w:r>
      <w:r>
        <w:t xml:space="preserve"> </w:t>
      </w:r>
      <w:r w:rsidRPr="002101EE">
        <w:t>L</w:t>
      </w:r>
      <w:r>
        <w:t>ords</w:t>
      </w:r>
      <w:r w:rsidRPr="002101EE">
        <w:t xml:space="preserve"> granted S</w:t>
      </w:r>
      <w:r>
        <w:t xml:space="preserve">pecific </w:t>
      </w:r>
      <w:r w:rsidRPr="002101EE">
        <w:t>P</w:t>
      </w:r>
      <w:r>
        <w:t xml:space="preserve">erformance </w:t>
      </w:r>
      <w:r w:rsidRPr="002101EE">
        <w:t>of the contract because the nephew had received the whole benefit of the contract and as a matter of conscience the court would ensure that he carried out his promise.</w:t>
      </w:r>
    </w:p>
    <w:p w14:paraId="50CEF1AC" w14:textId="77777777" w:rsidR="002101EE" w:rsidRPr="002101EE" w:rsidRDefault="002101EE" w:rsidP="002101EE">
      <w:r w:rsidRPr="002101EE">
        <w:t xml:space="preserve">The widow would not enforce the contract in her own person but only in capacity of Mr B’s PR.  The doctrine of privity of contract would not permit her to sue in her own right.  </w:t>
      </w:r>
    </w:p>
    <w:p w14:paraId="2E1A3B56" w14:textId="77777777" w:rsidR="002101EE" w:rsidRDefault="002101EE" w:rsidP="002101EE">
      <w:r w:rsidRPr="002101EE">
        <w:t>The fact that she was suing in her husband’s place meant that common law damages would have been merely nominal (Mr B, being dead, had suffered no real loss); damages being inadequate, S</w:t>
      </w:r>
      <w:r>
        <w:t xml:space="preserve">pecific </w:t>
      </w:r>
      <w:r w:rsidRPr="002101EE">
        <w:t>P</w:t>
      </w:r>
      <w:r>
        <w:t>erformance</w:t>
      </w:r>
      <w:r w:rsidRPr="002101EE">
        <w:t xml:space="preserve"> was ordered.</w:t>
      </w:r>
    </w:p>
    <w:p w14:paraId="3F6322A4" w14:textId="77777777" w:rsidR="002101EE" w:rsidRPr="002101EE" w:rsidRDefault="002101EE" w:rsidP="002101EE">
      <w:r w:rsidRPr="002101EE">
        <w:t>Note that Lord Reid acknowledged that had the case involved a trust for the benefit of Mrs B, rather than a contract for her benefit, she would have been entitled to sue in her own person.  However, counsel for Mrs B didn’t put the case forward as a trust.</w:t>
      </w:r>
    </w:p>
    <w:p w14:paraId="5934C398" w14:textId="77777777" w:rsidR="002101EE" w:rsidRPr="002101EE" w:rsidRDefault="002101EE" w:rsidP="002101EE">
      <w:r w:rsidRPr="002101EE">
        <w:t xml:space="preserve">Equity’s co-operation with the common law in this context receives extra assistance from statute.  </w:t>
      </w:r>
    </w:p>
    <w:p w14:paraId="58408C23" w14:textId="77777777" w:rsidR="002101EE" w:rsidRPr="002101EE" w:rsidRDefault="002101EE" w:rsidP="002101EE">
      <w:r w:rsidRPr="002101EE">
        <w:t>Chancery Amendment Act 1858 (AKA Lord Cairns’ Act), courts can award common law-type damages in lieu of an injunction or SP (see now s50 of the Senior Courts Act 1981)</w:t>
      </w:r>
    </w:p>
    <w:p w14:paraId="3F4D0676" w14:textId="77777777" w:rsidR="002101EE" w:rsidRDefault="002101EE" w:rsidP="002101EE"/>
    <w:p w14:paraId="08FDBE5A" w14:textId="77777777" w:rsidR="00094507" w:rsidRDefault="00094507" w:rsidP="002101EE">
      <w:pPr>
        <w:rPr>
          <w:u w:val="single"/>
        </w:rPr>
      </w:pPr>
      <w:r>
        <w:rPr>
          <w:u w:val="single"/>
        </w:rPr>
        <w:t>Equity and Crime</w:t>
      </w:r>
    </w:p>
    <w:p w14:paraId="097C423D" w14:textId="77777777" w:rsidR="00094507" w:rsidRPr="00094507" w:rsidRDefault="00094507" w:rsidP="00094507">
      <w:r w:rsidRPr="00094507">
        <w:t xml:space="preserve">Court of equity is not a court of punishment but because it deals with conscience there is some overlap </w:t>
      </w:r>
      <w:proofErr w:type="spellStart"/>
      <w:r w:rsidRPr="00094507">
        <w:t>eg</w:t>
      </w:r>
      <w:proofErr w:type="spellEnd"/>
      <w:r w:rsidRPr="00094507">
        <w:t xml:space="preserve"> a killer will not be allowed to take their victim’s property by will or intestacy (</w:t>
      </w:r>
      <w:r w:rsidRPr="00094507">
        <w:rPr>
          <w:b/>
          <w:bCs/>
        </w:rPr>
        <w:t>Re Sigsworth [1935]</w:t>
      </w:r>
      <w:r w:rsidRPr="00094507">
        <w:t>), and if the killer’s innocent children were next in line, they will receive nothing if the killer is still alive with the result that they estate may go to a more distant relation.</w:t>
      </w:r>
    </w:p>
    <w:p w14:paraId="7F05D2D5" w14:textId="77777777" w:rsidR="00094507" w:rsidRPr="00094507" w:rsidRDefault="00094507" w:rsidP="00094507">
      <w:r w:rsidRPr="00094507">
        <w:t xml:space="preserve">Law Commission recommended that where a potential heir is disqualified under this rule the estate should be distributed on the fictional assumption that the killer is dead. This is </w:t>
      </w:r>
      <w:r w:rsidRPr="00094507">
        <w:lastRenderedPageBreak/>
        <w:t>now within the Estates of Deceased Persons (Forfeiture Rule and Law of Succession) Act 2011.</w:t>
      </w:r>
    </w:p>
    <w:p w14:paraId="1D7629D2" w14:textId="77777777" w:rsidR="00094507" w:rsidRDefault="00094507" w:rsidP="00094507">
      <w:r w:rsidRPr="00094507">
        <w:t>Criminal courts do take notice of equity, if only in as much as dishonest breach of trust or fiduciary duty is an aggravating factor in cases of theft.</w:t>
      </w:r>
    </w:p>
    <w:p w14:paraId="592F1B41" w14:textId="77777777" w:rsidR="00094507" w:rsidRDefault="00094507" w:rsidP="00094507"/>
    <w:p w14:paraId="5E6A3669" w14:textId="77777777" w:rsidR="00094507" w:rsidRPr="00094507" w:rsidRDefault="00094507" w:rsidP="00094507"/>
    <w:p w14:paraId="2BB6425F" w14:textId="77777777" w:rsidR="00094507" w:rsidRPr="00094507" w:rsidRDefault="00094507" w:rsidP="00094507"/>
    <w:p w14:paraId="0A1D0364" w14:textId="77777777" w:rsidR="00094507" w:rsidRPr="002101EE" w:rsidRDefault="00094507" w:rsidP="002101EE">
      <w:pPr>
        <w:rPr>
          <w:u w:val="single"/>
        </w:rPr>
      </w:pPr>
    </w:p>
    <w:p w14:paraId="1617D4BE" w14:textId="77777777" w:rsidR="002101EE" w:rsidRPr="002101EE" w:rsidRDefault="002101EE" w:rsidP="002101EE"/>
    <w:p w14:paraId="2B494674" w14:textId="77777777" w:rsidR="002101EE" w:rsidRPr="002101EE" w:rsidRDefault="002101EE" w:rsidP="002101EE">
      <w:pPr>
        <w:rPr>
          <w:sz w:val="28"/>
          <w:szCs w:val="28"/>
          <w:u w:val="single"/>
        </w:rPr>
      </w:pPr>
    </w:p>
    <w:p w14:paraId="3520AA48" w14:textId="77777777" w:rsidR="002101EE" w:rsidRPr="002101EE" w:rsidRDefault="002101EE" w:rsidP="002101EE"/>
    <w:p w14:paraId="41315357" w14:textId="77777777" w:rsidR="002101EE" w:rsidRPr="002101EE" w:rsidRDefault="002101EE" w:rsidP="002101EE"/>
    <w:p w14:paraId="1C56F983" w14:textId="77777777" w:rsidR="002101EE" w:rsidRPr="002101EE" w:rsidRDefault="002101EE" w:rsidP="002101EE"/>
    <w:p w14:paraId="4FAEE650" w14:textId="77777777" w:rsidR="002101EE" w:rsidRPr="002101EE" w:rsidRDefault="002101EE" w:rsidP="002101EE">
      <w:pPr>
        <w:rPr>
          <w:sz w:val="28"/>
          <w:szCs w:val="28"/>
          <w:u w:val="single"/>
        </w:rPr>
      </w:pPr>
    </w:p>
    <w:p w14:paraId="03C66F19" w14:textId="77777777" w:rsidR="00837E44" w:rsidRPr="00837E44" w:rsidRDefault="00837E44" w:rsidP="00837E44"/>
    <w:p w14:paraId="6EA0B200" w14:textId="77777777" w:rsidR="00837E44" w:rsidRPr="00837E44" w:rsidRDefault="00837E44" w:rsidP="00837E44"/>
    <w:p w14:paraId="25D99261" w14:textId="77777777" w:rsidR="00837E44" w:rsidRPr="00837E44" w:rsidRDefault="00837E44" w:rsidP="00837E44"/>
    <w:p w14:paraId="26D147C4" w14:textId="77777777" w:rsidR="00837E44" w:rsidRPr="00837E44" w:rsidRDefault="00837E44" w:rsidP="00837E44"/>
    <w:p w14:paraId="45BAEA57" w14:textId="77777777" w:rsidR="00837E44" w:rsidRPr="00837E44" w:rsidRDefault="00837E44" w:rsidP="00837E44"/>
    <w:p w14:paraId="2EBCF807" w14:textId="77777777" w:rsidR="00837E44" w:rsidRDefault="00837E44" w:rsidP="00837E44">
      <w:pPr>
        <w:rPr>
          <w:b/>
          <w:bCs/>
          <w:i/>
          <w:iCs/>
        </w:rPr>
      </w:pPr>
    </w:p>
    <w:p w14:paraId="2283F804" w14:textId="77777777" w:rsidR="00837E44" w:rsidRDefault="00837E44" w:rsidP="00837E44">
      <w:pPr>
        <w:rPr>
          <w:b/>
          <w:bCs/>
          <w:i/>
          <w:iCs/>
        </w:rPr>
      </w:pPr>
    </w:p>
    <w:p w14:paraId="3BCE7244" w14:textId="77777777" w:rsidR="00837E44" w:rsidRDefault="00837E44" w:rsidP="00837E44"/>
    <w:p w14:paraId="7A02791C" w14:textId="77777777" w:rsidR="00837E44" w:rsidRPr="00837E44" w:rsidRDefault="00837E44" w:rsidP="00837E44"/>
    <w:p w14:paraId="4BED2247" w14:textId="77777777" w:rsidR="00837E44" w:rsidRPr="00837E44" w:rsidRDefault="00837E44" w:rsidP="00837E44">
      <w:pPr>
        <w:rPr>
          <w:b/>
          <w:bCs/>
        </w:rPr>
      </w:pPr>
    </w:p>
    <w:p w14:paraId="6348E86A" w14:textId="77777777" w:rsidR="00837E44" w:rsidRPr="00837E44" w:rsidRDefault="00837E44" w:rsidP="00837E44">
      <w:pPr>
        <w:rPr>
          <w:u w:val="single"/>
        </w:rPr>
      </w:pPr>
    </w:p>
    <w:p w14:paraId="7F09168D" w14:textId="77777777" w:rsidR="00837E44" w:rsidRPr="00837E44" w:rsidRDefault="00837E44" w:rsidP="00837E44"/>
    <w:p w14:paraId="1AB31C95" w14:textId="77777777" w:rsidR="00837E44" w:rsidRPr="00837E44" w:rsidRDefault="00837E44" w:rsidP="00837E44"/>
    <w:p w14:paraId="645C2F42" w14:textId="77777777" w:rsidR="006863D2" w:rsidRPr="006863D2" w:rsidRDefault="006863D2" w:rsidP="006863D2"/>
    <w:p w14:paraId="3F8DDA7B" w14:textId="77777777" w:rsidR="006863D2" w:rsidRPr="006863D2" w:rsidRDefault="006863D2" w:rsidP="006863D2"/>
    <w:p w14:paraId="400382EA" w14:textId="77777777" w:rsidR="006863D2" w:rsidRPr="006863D2" w:rsidRDefault="006863D2" w:rsidP="006863D2"/>
    <w:p w14:paraId="61C229DE" w14:textId="77777777" w:rsidR="006863D2" w:rsidRPr="006863D2" w:rsidRDefault="006863D2" w:rsidP="006863D2"/>
    <w:p w14:paraId="70CD01D6" w14:textId="77777777" w:rsidR="006863D2" w:rsidRPr="006863D2" w:rsidRDefault="006863D2" w:rsidP="006863D2">
      <w:pPr>
        <w:rPr>
          <w:u w:val="single"/>
        </w:rPr>
      </w:pPr>
    </w:p>
    <w:p w14:paraId="03CC66EE" w14:textId="77777777" w:rsidR="006863D2" w:rsidRPr="006863D2" w:rsidRDefault="006863D2" w:rsidP="006863D2"/>
    <w:p w14:paraId="5395796C" w14:textId="77777777" w:rsidR="006863D2" w:rsidRPr="006863D2" w:rsidRDefault="006863D2" w:rsidP="006863D2"/>
    <w:p w14:paraId="28601095" w14:textId="77777777" w:rsidR="006863D2" w:rsidRPr="006863D2" w:rsidRDefault="006863D2" w:rsidP="006863D2"/>
    <w:p w14:paraId="0868F0A2" w14:textId="77777777" w:rsidR="006863D2" w:rsidRPr="006863D2" w:rsidRDefault="006863D2" w:rsidP="006863D2"/>
    <w:p w14:paraId="3CE43BC9" w14:textId="77777777" w:rsidR="006863D2" w:rsidRPr="006863D2" w:rsidRDefault="006863D2" w:rsidP="006863D2"/>
    <w:p w14:paraId="1AD66C0F" w14:textId="77777777" w:rsidR="006863D2" w:rsidRPr="002F4DEB" w:rsidRDefault="006863D2" w:rsidP="006863D2"/>
    <w:p w14:paraId="2EFC2D5A" w14:textId="77777777" w:rsidR="002F4DEB" w:rsidRPr="002F4DEB" w:rsidRDefault="002F4DEB" w:rsidP="002F4DEB"/>
    <w:p w14:paraId="1B64AE7D" w14:textId="77777777" w:rsidR="002F4DEB" w:rsidRPr="002F4DEB" w:rsidRDefault="002F4DEB" w:rsidP="002F4DEB"/>
    <w:p w14:paraId="0086AE42" w14:textId="77777777" w:rsidR="002F4DEB" w:rsidRPr="002F4DEB" w:rsidRDefault="002F4DEB" w:rsidP="002F4DEB"/>
    <w:p w14:paraId="49D7B9F8" w14:textId="77777777" w:rsidR="002F4DEB" w:rsidRPr="002F4DEB" w:rsidRDefault="002F4DEB" w:rsidP="002F4DEB"/>
    <w:p w14:paraId="74064E6F" w14:textId="77777777" w:rsidR="002F4DEB" w:rsidRPr="002F4DEB" w:rsidRDefault="002F4DEB" w:rsidP="002F4DEB"/>
    <w:p w14:paraId="30FC00D8" w14:textId="77777777" w:rsidR="002F4DEB" w:rsidRPr="002F4DEB" w:rsidRDefault="002F4DEB" w:rsidP="002F4DEB"/>
    <w:p w14:paraId="4EB93682" w14:textId="77777777" w:rsidR="002F4DEB" w:rsidRPr="002F4DEB" w:rsidRDefault="002F4DEB" w:rsidP="002F4DEB"/>
    <w:p w14:paraId="326D037A" w14:textId="77777777" w:rsidR="002F4DEB" w:rsidRPr="002F4DEB" w:rsidRDefault="002F4DEB" w:rsidP="002F4DEB"/>
    <w:p w14:paraId="1B2B2887" w14:textId="77777777" w:rsidR="002F4DEB" w:rsidRPr="002F4DEB" w:rsidRDefault="002F4DEB" w:rsidP="002F4DEB"/>
    <w:p w14:paraId="61BE8846" w14:textId="77777777" w:rsidR="002F4DEB" w:rsidRPr="002F4DEB" w:rsidRDefault="002F4DEB" w:rsidP="002F4DEB">
      <w:pPr>
        <w:rPr>
          <w:u w:val="single"/>
        </w:rPr>
      </w:pPr>
    </w:p>
    <w:p w14:paraId="657EDF56" w14:textId="77777777" w:rsidR="002F4DEB" w:rsidRPr="002F4DEB" w:rsidRDefault="002F4DEB" w:rsidP="002F4DEB"/>
    <w:p w14:paraId="4F4AD463" w14:textId="77777777" w:rsidR="002F4DEB" w:rsidRPr="002F4DEB" w:rsidRDefault="002F4DEB" w:rsidP="002F4DEB"/>
    <w:p w14:paraId="04C2B442" w14:textId="77777777" w:rsidR="002F4DEB" w:rsidRPr="002F4DEB" w:rsidRDefault="002F4DEB" w:rsidP="002F4DEB"/>
    <w:p w14:paraId="3C89F6BB" w14:textId="77777777" w:rsidR="002F4DEB" w:rsidRPr="002F4DEB" w:rsidRDefault="002F4DEB" w:rsidP="002F4DEB"/>
    <w:p w14:paraId="13CB4AF7" w14:textId="77777777" w:rsidR="002F4DEB" w:rsidRPr="002F4DEB" w:rsidRDefault="002F4DEB" w:rsidP="002F4DEB"/>
    <w:p w14:paraId="79078FD6" w14:textId="77777777" w:rsidR="00CE1AEC" w:rsidRPr="00CE1AEC" w:rsidRDefault="00CE1AEC" w:rsidP="00CE1AEC"/>
    <w:p w14:paraId="32260818" w14:textId="77777777" w:rsidR="00CE1AEC" w:rsidRPr="00CE1AEC" w:rsidRDefault="00CE1AEC" w:rsidP="00CE1AEC"/>
    <w:p w14:paraId="7811443A" w14:textId="77777777" w:rsidR="00CE1AEC" w:rsidRPr="00CE1AEC" w:rsidRDefault="00CE1AEC" w:rsidP="00CE1AEC"/>
    <w:p w14:paraId="49735829" w14:textId="77777777" w:rsidR="00CE1AEC" w:rsidRPr="00CE1AEC" w:rsidRDefault="00CE1AEC" w:rsidP="00CE1AEC"/>
    <w:p w14:paraId="6909F6BB" w14:textId="77777777" w:rsidR="00CE1AEC" w:rsidRPr="00CE1AEC" w:rsidRDefault="00CE1AEC" w:rsidP="00CE1AEC"/>
    <w:p w14:paraId="3E4B5BF8" w14:textId="77777777" w:rsidR="00CE1AEC" w:rsidRPr="00CE1AEC" w:rsidRDefault="00CE1AEC" w:rsidP="00CE1AEC"/>
    <w:p w14:paraId="6C14127B" w14:textId="77777777" w:rsidR="00CE1AEC" w:rsidRPr="00CE1AEC" w:rsidRDefault="00CE1AEC" w:rsidP="00CE1AEC"/>
    <w:p w14:paraId="5915ED45" w14:textId="77777777" w:rsidR="00CE1AEC" w:rsidRPr="00CE1AEC" w:rsidRDefault="00CE1AEC" w:rsidP="00CE1AEC"/>
    <w:p w14:paraId="393C622F" w14:textId="77777777" w:rsidR="00CE1AEC" w:rsidRPr="00CE1AEC" w:rsidRDefault="00CE1AEC" w:rsidP="00CE1AEC"/>
    <w:p w14:paraId="5C8F710D" w14:textId="77777777" w:rsidR="00CE1AEC" w:rsidRPr="00CE1AEC" w:rsidRDefault="00CE1AEC" w:rsidP="00CE1AEC"/>
    <w:p w14:paraId="05F0E09C" w14:textId="77777777" w:rsidR="00CE1AEC" w:rsidRDefault="00CE1AEC" w:rsidP="00CE1AEC"/>
    <w:p w14:paraId="04E56ED5" w14:textId="77777777" w:rsidR="00CE1AEC" w:rsidRPr="00CE1AEC" w:rsidRDefault="00CE1AEC" w:rsidP="00CE1AEC"/>
    <w:p w14:paraId="70D990A8" w14:textId="77777777" w:rsidR="00CE1AEC" w:rsidRPr="00CE1AEC" w:rsidRDefault="00CE1AEC" w:rsidP="00CE1AEC"/>
    <w:p w14:paraId="658F6E79" w14:textId="77777777" w:rsidR="00CE1AEC" w:rsidRPr="00CE1AEC" w:rsidRDefault="00CE1AEC" w:rsidP="00CE1AEC"/>
    <w:p w14:paraId="4A8DF218" w14:textId="77777777" w:rsidR="00CE1AEC" w:rsidRPr="00CE1AEC" w:rsidRDefault="00CE1AEC" w:rsidP="00CE1AEC">
      <w:pPr>
        <w:jc w:val="center"/>
        <w:rPr>
          <w:b/>
          <w:bCs/>
          <w:u w:val="single"/>
        </w:rPr>
      </w:pPr>
    </w:p>
    <w:sectPr w:rsidR="00CE1AEC" w:rsidRPr="00CE1AEC"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AEC"/>
    <w:rsid w:val="00094507"/>
    <w:rsid w:val="002101EE"/>
    <w:rsid w:val="002F4DEB"/>
    <w:rsid w:val="005C6E88"/>
    <w:rsid w:val="006863D2"/>
    <w:rsid w:val="007C2691"/>
    <w:rsid w:val="00837E44"/>
    <w:rsid w:val="00880DB3"/>
    <w:rsid w:val="00BF2E7D"/>
    <w:rsid w:val="00CE1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8A99C"/>
  <w15:chartTrackingRefBased/>
  <w15:docId w15:val="{06EFE822-CAD8-1946-82DF-370D2780C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4DEB"/>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97557">
      <w:bodyDiv w:val="1"/>
      <w:marLeft w:val="0"/>
      <w:marRight w:val="0"/>
      <w:marTop w:val="0"/>
      <w:marBottom w:val="0"/>
      <w:divBdr>
        <w:top w:val="none" w:sz="0" w:space="0" w:color="auto"/>
        <w:left w:val="none" w:sz="0" w:space="0" w:color="auto"/>
        <w:bottom w:val="none" w:sz="0" w:space="0" w:color="auto"/>
        <w:right w:val="none" w:sz="0" w:space="0" w:color="auto"/>
      </w:divBdr>
    </w:div>
    <w:div w:id="42680187">
      <w:bodyDiv w:val="1"/>
      <w:marLeft w:val="0"/>
      <w:marRight w:val="0"/>
      <w:marTop w:val="0"/>
      <w:marBottom w:val="0"/>
      <w:divBdr>
        <w:top w:val="none" w:sz="0" w:space="0" w:color="auto"/>
        <w:left w:val="none" w:sz="0" w:space="0" w:color="auto"/>
        <w:bottom w:val="none" w:sz="0" w:space="0" w:color="auto"/>
        <w:right w:val="none" w:sz="0" w:space="0" w:color="auto"/>
      </w:divBdr>
    </w:div>
    <w:div w:id="67967269">
      <w:bodyDiv w:val="1"/>
      <w:marLeft w:val="0"/>
      <w:marRight w:val="0"/>
      <w:marTop w:val="0"/>
      <w:marBottom w:val="0"/>
      <w:divBdr>
        <w:top w:val="none" w:sz="0" w:space="0" w:color="auto"/>
        <w:left w:val="none" w:sz="0" w:space="0" w:color="auto"/>
        <w:bottom w:val="none" w:sz="0" w:space="0" w:color="auto"/>
        <w:right w:val="none" w:sz="0" w:space="0" w:color="auto"/>
      </w:divBdr>
    </w:div>
    <w:div w:id="77407529">
      <w:bodyDiv w:val="1"/>
      <w:marLeft w:val="0"/>
      <w:marRight w:val="0"/>
      <w:marTop w:val="0"/>
      <w:marBottom w:val="0"/>
      <w:divBdr>
        <w:top w:val="none" w:sz="0" w:space="0" w:color="auto"/>
        <w:left w:val="none" w:sz="0" w:space="0" w:color="auto"/>
        <w:bottom w:val="none" w:sz="0" w:space="0" w:color="auto"/>
        <w:right w:val="none" w:sz="0" w:space="0" w:color="auto"/>
      </w:divBdr>
    </w:div>
    <w:div w:id="86122020">
      <w:bodyDiv w:val="1"/>
      <w:marLeft w:val="0"/>
      <w:marRight w:val="0"/>
      <w:marTop w:val="0"/>
      <w:marBottom w:val="0"/>
      <w:divBdr>
        <w:top w:val="none" w:sz="0" w:space="0" w:color="auto"/>
        <w:left w:val="none" w:sz="0" w:space="0" w:color="auto"/>
        <w:bottom w:val="none" w:sz="0" w:space="0" w:color="auto"/>
        <w:right w:val="none" w:sz="0" w:space="0" w:color="auto"/>
      </w:divBdr>
    </w:div>
    <w:div w:id="110632554">
      <w:bodyDiv w:val="1"/>
      <w:marLeft w:val="0"/>
      <w:marRight w:val="0"/>
      <w:marTop w:val="0"/>
      <w:marBottom w:val="0"/>
      <w:divBdr>
        <w:top w:val="none" w:sz="0" w:space="0" w:color="auto"/>
        <w:left w:val="none" w:sz="0" w:space="0" w:color="auto"/>
        <w:bottom w:val="none" w:sz="0" w:space="0" w:color="auto"/>
        <w:right w:val="none" w:sz="0" w:space="0" w:color="auto"/>
      </w:divBdr>
    </w:div>
    <w:div w:id="121076732">
      <w:bodyDiv w:val="1"/>
      <w:marLeft w:val="0"/>
      <w:marRight w:val="0"/>
      <w:marTop w:val="0"/>
      <w:marBottom w:val="0"/>
      <w:divBdr>
        <w:top w:val="none" w:sz="0" w:space="0" w:color="auto"/>
        <w:left w:val="none" w:sz="0" w:space="0" w:color="auto"/>
        <w:bottom w:val="none" w:sz="0" w:space="0" w:color="auto"/>
        <w:right w:val="none" w:sz="0" w:space="0" w:color="auto"/>
      </w:divBdr>
    </w:div>
    <w:div w:id="135879938">
      <w:bodyDiv w:val="1"/>
      <w:marLeft w:val="0"/>
      <w:marRight w:val="0"/>
      <w:marTop w:val="0"/>
      <w:marBottom w:val="0"/>
      <w:divBdr>
        <w:top w:val="none" w:sz="0" w:space="0" w:color="auto"/>
        <w:left w:val="none" w:sz="0" w:space="0" w:color="auto"/>
        <w:bottom w:val="none" w:sz="0" w:space="0" w:color="auto"/>
        <w:right w:val="none" w:sz="0" w:space="0" w:color="auto"/>
      </w:divBdr>
    </w:div>
    <w:div w:id="136384818">
      <w:bodyDiv w:val="1"/>
      <w:marLeft w:val="0"/>
      <w:marRight w:val="0"/>
      <w:marTop w:val="0"/>
      <w:marBottom w:val="0"/>
      <w:divBdr>
        <w:top w:val="none" w:sz="0" w:space="0" w:color="auto"/>
        <w:left w:val="none" w:sz="0" w:space="0" w:color="auto"/>
        <w:bottom w:val="none" w:sz="0" w:space="0" w:color="auto"/>
        <w:right w:val="none" w:sz="0" w:space="0" w:color="auto"/>
      </w:divBdr>
    </w:div>
    <w:div w:id="178474634">
      <w:bodyDiv w:val="1"/>
      <w:marLeft w:val="0"/>
      <w:marRight w:val="0"/>
      <w:marTop w:val="0"/>
      <w:marBottom w:val="0"/>
      <w:divBdr>
        <w:top w:val="none" w:sz="0" w:space="0" w:color="auto"/>
        <w:left w:val="none" w:sz="0" w:space="0" w:color="auto"/>
        <w:bottom w:val="none" w:sz="0" w:space="0" w:color="auto"/>
        <w:right w:val="none" w:sz="0" w:space="0" w:color="auto"/>
      </w:divBdr>
    </w:div>
    <w:div w:id="179125907">
      <w:bodyDiv w:val="1"/>
      <w:marLeft w:val="0"/>
      <w:marRight w:val="0"/>
      <w:marTop w:val="0"/>
      <w:marBottom w:val="0"/>
      <w:divBdr>
        <w:top w:val="none" w:sz="0" w:space="0" w:color="auto"/>
        <w:left w:val="none" w:sz="0" w:space="0" w:color="auto"/>
        <w:bottom w:val="none" w:sz="0" w:space="0" w:color="auto"/>
        <w:right w:val="none" w:sz="0" w:space="0" w:color="auto"/>
      </w:divBdr>
    </w:div>
    <w:div w:id="235818862">
      <w:bodyDiv w:val="1"/>
      <w:marLeft w:val="0"/>
      <w:marRight w:val="0"/>
      <w:marTop w:val="0"/>
      <w:marBottom w:val="0"/>
      <w:divBdr>
        <w:top w:val="none" w:sz="0" w:space="0" w:color="auto"/>
        <w:left w:val="none" w:sz="0" w:space="0" w:color="auto"/>
        <w:bottom w:val="none" w:sz="0" w:space="0" w:color="auto"/>
        <w:right w:val="none" w:sz="0" w:space="0" w:color="auto"/>
      </w:divBdr>
    </w:div>
    <w:div w:id="237905887">
      <w:bodyDiv w:val="1"/>
      <w:marLeft w:val="0"/>
      <w:marRight w:val="0"/>
      <w:marTop w:val="0"/>
      <w:marBottom w:val="0"/>
      <w:divBdr>
        <w:top w:val="none" w:sz="0" w:space="0" w:color="auto"/>
        <w:left w:val="none" w:sz="0" w:space="0" w:color="auto"/>
        <w:bottom w:val="none" w:sz="0" w:space="0" w:color="auto"/>
        <w:right w:val="none" w:sz="0" w:space="0" w:color="auto"/>
      </w:divBdr>
    </w:div>
    <w:div w:id="241069257">
      <w:bodyDiv w:val="1"/>
      <w:marLeft w:val="0"/>
      <w:marRight w:val="0"/>
      <w:marTop w:val="0"/>
      <w:marBottom w:val="0"/>
      <w:divBdr>
        <w:top w:val="none" w:sz="0" w:space="0" w:color="auto"/>
        <w:left w:val="none" w:sz="0" w:space="0" w:color="auto"/>
        <w:bottom w:val="none" w:sz="0" w:space="0" w:color="auto"/>
        <w:right w:val="none" w:sz="0" w:space="0" w:color="auto"/>
      </w:divBdr>
    </w:div>
    <w:div w:id="267544782">
      <w:bodyDiv w:val="1"/>
      <w:marLeft w:val="0"/>
      <w:marRight w:val="0"/>
      <w:marTop w:val="0"/>
      <w:marBottom w:val="0"/>
      <w:divBdr>
        <w:top w:val="none" w:sz="0" w:space="0" w:color="auto"/>
        <w:left w:val="none" w:sz="0" w:space="0" w:color="auto"/>
        <w:bottom w:val="none" w:sz="0" w:space="0" w:color="auto"/>
        <w:right w:val="none" w:sz="0" w:space="0" w:color="auto"/>
      </w:divBdr>
    </w:div>
    <w:div w:id="294067722">
      <w:bodyDiv w:val="1"/>
      <w:marLeft w:val="0"/>
      <w:marRight w:val="0"/>
      <w:marTop w:val="0"/>
      <w:marBottom w:val="0"/>
      <w:divBdr>
        <w:top w:val="none" w:sz="0" w:space="0" w:color="auto"/>
        <w:left w:val="none" w:sz="0" w:space="0" w:color="auto"/>
        <w:bottom w:val="none" w:sz="0" w:space="0" w:color="auto"/>
        <w:right w:val="none" w:sz="0" w:space="0" w:color="auto"/>
      </w:divBdr>
    </w:div>
    <w:div w:id="307364272">
      <w:bodyDiv w:val="1"/>
      <w:marLeft w:val="0"/>
      <w:marRight w:val="0"/>
      <w:marTop w:val="0"/>
      <w:marBottom w:val="0"/>
      <w:divBdr>
        <w:top w:val="none" w:sz="0" w:space="0" w:color="auto"/>
        <w:left w:val="none" w:sz="0" w:space="0" w:color="auto"/>
        <w:bottom w:val="none" w:sz="0" w:space="0" w:color="auto"/>
        <w:right w:val="none" w:sz="0" w:space="0" w:color="auto"/>
      </w:divBdr>
    </w:div>
    <w:div w:id="346979137">
      <w:bodyDiv w:val="1"/>
      <w:marLeft w:val="0"/>
      <w:marRight w:val="0"/>
      <w:marTop w:val="0"/>
      <w:marBottom w:val="0"/>
      <w:divBdr>
        <w:top w:val="none" w:sz="0" w:space="0" w:color="auto"/>
        <w:left w:val="none" w:sz="0" w:space="0" w:color="auto"/>
        <w:bottom w:val="none" w:sz="0" w:space="0" w:color="auto"/>
        <w:right w:val="none" w:sz="0" w:space="0" w:color="auto"/>
      </w:divBdr>
    </w:div>
    <w:div w:id="358360422">
      <w:bodyDiv w:val="1"/>
      <w:marLeft w:val="0"/>
      <w:marRight w:val="0"/>
      <w:marTop w:val="0"/>
      <w:marBottom w:val="0"/>
      <w:divBdr>
        <w:top w:val="none" w:sz="0" w:space="0" w:color="auto"/>
        <w:left w:val="none" w:sz="0" w:space="0" w:color="auto"/>
        <w:bottom w:val="none" w:sz="0" w:space="0" w:color="auto"/>
        <w:right w:val="none" w:sz="0" w:space="0" w:color="auto"/>
      </w:divBdr>
    </w:div>
    <w:div w:id="381714341">
      <w:bodyDiv w:val="1"/>
      <w:marLeft w:val="0"/>
      <w:marRight w:val="0"/>
      <w:marTop w:val="0"/>
      <w:marBottom w:val="0"/>
      <w:divBdr>
        <w:top w:val="none" w:sz="0" w:space="0" w:color="auto"/>
        <w:left w:val="none" w:sz="0" w:space="0" w:color="auto"/>
        <w:bottom w:val="none" w:sz="0" w:space="0" w:color="auto"/>
        <w:right w:val="none" w:sz="0" w:space="0" w:color="auto"/>
      </w:divBdr>
    </w:div>
    <w:div w:id="389420976">
      <w:bodyDiv w:val="1"/>
      <w:marLeft w:val="0"/>
      <w:marRight w:val="0"/>
      <w:marTop w:val="0"/>
      <w:marBottom w:val="0"/>
      <w:divBdr>
        <w:top w:val="none" w:sz="0" w:space="0" w:color="auto"/>
        <w:left w:val="none" w:sz="0" w:space="0" w:color="auto"/>
        <w:bottom w:val="none" w:sz="0" w:space="0" w:color="auto"/>
        <w:right w:val="none" w:sz="0" w:space="0" w:color="auto"/>
      </w:divBdr>
    </w:div>
    <w:div w:id="389578597">
      <w:bodyDiv w:val="1"/>
      <w:marLeft w:val="0"/>
      <w:marRight w:val="0"/>
      <w:marTop w:val="0"/>
      <w:marBottom w:val="0"/>
      <w:divBdr>
        <w:top w:val="none" w:sz="0" w:space="0" w:color="auto"/>
        <w:left w:val="none" w:sz="0" w:space="0" w:color="auto"/>
        <w:bottom w:val="none" w:sz="0" w:space="0" w:color="auto"/>
        <w:right w:val="none" w:sz="0" w:space="0" w:color="auto"/>
      </w:divBdr>
    </w:div>
    <w:div w:id="404687043">
      <w:bodyDiv w:val="1"/>
      <w:marLeft w:val="0"/>
      <w:marRight w:val="0"/>
      <w:marTop w:val="0"/>
      <w:marBottom w:val="0"/>
      <w:divBdr>
        <w:top w:val="none" w:sz="0" w:space="0" w:color="auto"/>
        <w:left w:val="none" w:sz="0" w:space="0" w:color="auto"/>
        <w:bottom w:val="none" w:sz="0" w:space="0" w:color="auto"/>
        <w:right w:val="none" w:sz="0" w:space="0" w:color="auto"/>
      </w:divBdr>
    </w:div>
    <w:div w:id="409159895">
      <w:bodyDiv w:val="1"/>
      <w:marLeft w:val="0"/>
      <w:marRight w:val="0"/>
      <w:marTop w:val="0"/>
      <w:marBottom w:val="0"/>
      <w:divBdr>
        <w:top w:val="none" w:sz="0" w:space="0" w:color="auto"/>
        <w:left w:val="none" w:sz="0" w:space="0" w:color="auto"/>
        <w:bottom w:val="none" w:sz="0" w:space="0" w:color="auto"/>
        <w:right w:val="none" w:sz="0" w:space="0" w:color="auto"/>
      </w:divBdr>
    </w:div>
    <w:div w:id="412581366">
      <w:bodyDiv w:val="1"/>
      <w:marLeft w:val="0"/>
      <w:marRight w:val="0"/>
      <w:marTop w:val="0"/>
      <w:marBottom w:val="0"/>
      <w:divBdr>
        <w:top w:val="none" w:sz="0" w:space="0" w:color="auto"/>
        <w:left w:val="none" w:sz="0" w:space="0" w:color="auto"/>
        <w:bottom w:val="none" w:sz="0" w:space="0" w:color="auto"/>
        <w:right w:val="none" w:sz="0" w:space="0" w:color="auto"/>
      </w:divBdr>
    </w:div>
    <w:div w:id="440807364">
      <w:bodyDiv w:val="1"/>
      <w:marLeft w:val="0"/>
      <w:marRight w:val="0"/>
      <w:marTop w:val="0"/>
      <w:marBottom w:val="0"/>
      <w:divBdr>
        <w:top w:val="none" w:sz="0" w:space="0" w:color="auto"/>
        <w:left w:val="none" w:sz="0" w:space="0" w:color="auto"/>
        <w:bottom w:val="none" w:sz="0" w:space="0" w:color="auto"/>
        <w:right w:val="none" w:sz="0" w:space="0" w:color="auto"/>
      </w:divBdr>
    </w:div>
    <w:div w:id="447046277">
      <w:bodyDiv w:val="1"/>
      <w:marLeft w:val="0"/>
      <w:marRight w:val="0"/>
      <w:marTop w:val="0"/>
      <w:marBottom w:val="0"/>
      <w:divBdr>
        <w:top w:val="none" w:sz="0" w:space="0" w:color="auto"/>
        <w:left w:val="none" w:sz="0" w:space="0" w:color="auto"/>
        <w:bottom w:val="none" w:sz="0" w:space="0" w:color="auto"/>
        <w:right w:val="none" w:sz="0" w:space="0" w:color="auto"/>
      </w:divBdr>
    </w:div>
    <w:div w:id="476190191">
      <w:bodyDiv w:val="1"/>
      <w:marLeft w:val="0"/>
      <w:marRight w:val="0"/>
      <w:marTop w:val="0"/>
      <w:marBottom w:val="0"/>
      <w:divBdr>
        <w:top w:val="none" w:sz="0" w:space="0" w:color="auto"/>
        <w:left w:val="none" w:sz="0" w:space="0" w:color="auto"/>
        <w:bottom w:val="none" w:sz="0" w:space="0" w:color="auto"/>
        <w:right w:val="none" w:sz="0" w:space="0" w:color="auto"/>
      </w:divBdr>
    </w:div>
    <w:div w:id="532498076">
      <w:bodyDiv w:val="1"/>
      <w:marLeft w:val="0"/>
      <w:marRight w:val="0"/>
      <w:marTop w:val="0"/>
      <w:marBottom w:val="0"/>
      <w:divBdr>
        <w:top w:val="none" w:sz="0" w:space="0" w:color="auto"/>
        <w:left w:val="none" w:sz="0" w:space="0" w:color="auto"/>
        <w:bottom w:val="none" w:sz="0" w:space="0" w:color="auto"/>
        <w:right w:val="none" w:sz="0" w:space="0" w:color="auto"/>
      </w:divBdr>
    </w:div>
    <w:div w:id="570891167">
      <w:bodyDiv w:val="1"/>
      <w:marLeft w:val="0"/>
      <w:marRight w:val="0"/>
      <w:marTop w:val="0"/>
      <w:marBottom w:val="0"/>
      <w:divBdr>
        <w:top w:val="none" w:sz="0" w:space="0" w:color="auto"/>
        <w:left w:val="none" w:sz="0" w:space="0" w:color="auto"/>
        <w:bottom w:val="none" w:sz="0" w:space="0" w:color="auto"/>
        <w:right w:val="none" w:sz="0" w:space="0" w:color="auto"/>
      </w:divBdr>
    </w:div>
    <w:div w:id="670304158">
      <w:bodyDiv w:val="1"/>
      <w:marLeft w:val="0"/>
      <w:marRight w:val="0"/>
      <w:marTop w:val="0"/>
      <w:marBottom w:val="0"/>
      <w:divBdr>
        <w:top w:val="none" w:sz="0" w:space="0" w:color="auto"/>
        <w:left w:val="none" w:sz="0" w:space="0" w:color="auto"/>
        <w:bottom w:val="none" w:sz="0" w:space="0" w:color="auto"/>
        <w:right w:val="none" w:sz="0" w:space="0" w:color="auto"/>
      </w:divBdr>
    </w:div>
    <w:div w:id="692191495">
      <w:bodyDiv w:val="1"/>
      <w:marLeft w:val="0"/>
      <w:marRight w:val="0"/>
      <w:marTop w:val="0"/>
      <w:marBottom w:val="0"/>
      <w:divBdr>
        <w:top w:val="none" w:sz="0" w:space="0" w:color="auto"/>
        <w:left w:val="none" w:sz="0" w:space="0" w:color="auto"/>
        <w:bottom w:val="none" w:sz="0" w:space="0" w:color="auto"/>
        <w:right w:val="none" w:sz="0" w:space="0" w:color="auto"/>
      </w:divBdr>
    </w:div>
    <w:div w:id="726688340">
      <w:bodyDiv w:val="1"/>
      <w:marLeft w:val="0"/>
      <w:marRight w:val="0"/>
      <w:marTop w:val="0"/>
      <w:marBottom w:val="0"/>
      <w:divBdr>
        <w:top w:val="none" w:sz="0" w:space="0" w:color="auto"/>
        <w:left w:val="none" w:sz="0" w:space="0" w:color="auto"/>
        <w:bottom w:val="none" w:sz="0" w:space="0" w:color="auto"/>
        <w:right w:val="none" w:sz="0" w:space="0" w:color="auto"/>
      </w:divBdr>
    </w:div>
    <w:div w:id="726688551">
      <w:bodyDiv w:val="1"/>
      <w:marLeft w:val="0"/>
      <w:marRight w:val="0"/>
      <w:marTop w:val="0"/>
      <w:marBottom w:val="0"/>
      <w:divBdr>
        <w:top w:val="none" w:sz="0" w:space="0" w:color="auto"/>
        <w:left w:val="none" w:sz="0" w:space="0" w:color="auto"/>
        <w:bottom w:val="none" w:sz="0" w:space="0" w:color="auto"/>
        <w:right w:val="none" w:sz="0" w:space="0" w:color="auto"/>
      </w:divBdr>
    </w:div>
    <w:div w:id="727189924">
      <w:bodyDiv w:val="1"/>
      <w:marLeft w:val="0"/>
      <w:marRight w:val="0"/>
      <w:marTop w:val="0"/>
      <w:marBottom w:val="0"/>
      <w:divBdr>
        <w:top w:val="none" w:sz="0" w:space="0" w:color="auto"/>
        <w:left w:val="none" w:sz="0" w:space="0" w:color="auto"/>
        <w:bottom w:val="none" w:sz="0" w:space="0" w:color="auto"/>
        <w:right w:val="none" w:sz="0" w:space="0" w:color="auto"/>
      </w:divBdr>
    </w:div>
    <w:div w:id="747076925">
      <w:bodyDiv w:val="1"/>
      <w:marLeft w:val="0"/>
      <w:marRight w:val="0"/>
      <w:marTop w:val="0"/>
      <w:marBottom w:val="0"/>
      <w:divBdr>
        <w:top w:val="none" w:sz="0" w:space="0" w:color="auto"/>
        <w:left w:val="none" w:sz="0" w:space="0" w:color="auto"/>
        <w:bottom w:val="none" w:sz="0" w:space="0" w:color="auto"/>
        <w:right w:val="none" w:sz="0" w:space="0" w:color="auto"/>
      </w:divBdr>
    </w:div>
    <w:div w:id="760298717">
      <w:bodyDiv w:val="1"/>
      <w:marLeft w:val="0"/>
      <w:marRight w:val="0"/>
      <w:marTop w:val="0"/>
      <w:marBottom w:val="0"/>
      <w:divBdr>
        <w:top w:val="none" w:sz="0" w:space="0" w:color="auto"/>
        <w:left w:val="none" w:sz="0" w:space="0" w:color="auto"/>
        <w:bottom w:val="none" w:sz="0" w:space="0" w:color="auto"/>
        <w:right w:val="none" w:sz="0" w:space="0" w:color="auto"/>
      </w:divBdr>
    </w:div>
    <w:div w:id="762527824">
      <w:bodyDiv w:val="1"/>
      <w:marLeft w:val="0"/>
      <w:marRight w:val="0"/>
      <w:marTop w:val="0"/>
      <w:marBottom w:val="0"/>
      <w:divBdr>
        <w:top w:val="none" w:sz="0" w:space="0" w:color="auto"/>
        <w:left w:val="none" w:sz="0" w:space="0" w:color="auto"/>
        <w:bottom w:val="none" w:sz="0" w:space="0" w:color="auto"/>
        <w:right w:val="none" w:sz="0" w:space="0" w:color="auto"/>
      </w:divBdr>
    </w:div>
    <w:div w:id="773283478">
      <w:bodyDiv w:val="1"/>
      <w:marLeft w:val="0"/>
      <w:marRight w:val="0"/>
      <w:marTop w:val="0"/>
      <w:marBottom w:val="0"/>
      <w:divBdr>
        <w:top w:val="none" w:sz="0" w:space="0" w:color="auto"/>
        <w:left w:val="none" w:sz="0" w:space="0" w:color="auto"/>
        <w:bottom w:val="none" w:sz="0" w:space="0" w:color="auto"/>
        <w:right w:val="none" w:sz="0" w:space="0" w:color="auto"/>
      </w:divBdr>
    </w:div>
    <w:div w:id="807404696">
      <w:bodyDiv w:val="1"/>
      <w:marLeft w:val="0"/>
      <w:marRight w:val="0"/>
      <w:marTop w:val="0"/>
      <w:marBottom w:val="0"/>
      <w:divBdr>
        <w:top w:val="none" w:sz="0" w:space="0" w:color="auto"/>
        <w:left w:val="none" w:sz="0" w:space="0" w:color="auto"/>
        <w:bottom w:val="none" w:sz="0" w:space="0" w:color="auto"/>
        <w:right w:val="none" w:sz="0" w:space="0" w:color="auto"/>
      </w:divBdr>
    </w:div>
    <w:div w:id="828207406">
      <w:bodyDiv w:val="1"/>
      <w:marLeft w:val="0"/>
      <w:marRight w:val="0"/>
      <w:marTop w:val="0"/>
      <w:marBottom w:val="0"/>
      <w:divBdr>
        <w:top w:val="none" w:sz="0" w:space="0" w:color="auto"/>
        <w:left w:val="none" w:sz="0" w:space="0" w:color="auto"/>
        <w:bottom w:val="none" w:sz="0" w:space="0" w:color="auto"/>
        <w:right w:val="none" w:sz="0" w:space="0" w:color="auto"/>
      </w:divBdr>
    </w:div>
    <w:div w:id="828253224">
      <w:bodyDiv w:val="1"/>
      <w:marLeft w:val="0"/>
      <w:marRight w:val="0"/>
      <w:marTop w:val="0"/>
      <w:marBottom w:val="0"/>
      <w:divBdr>
        <w:top w:val="none" w:sz="0" w:space="0" w:color="auto"/>
        <w:left w:val="none" w:sz="0" w:space="0" w:color="auto"/>
        <w:bottom w:val="none" w:sz="0" w:space="0" w:color="auto"/>
        <w:right w:val="none" w:sz="0" w:space="0" w:color="auto"/>
      </w:divBdr>
    </w:div>
    <w:div w:id="836916557">
      <w:bodyDiv w:val="1"/>
      <w:marLeft w:val="0"/>
      <w:marRight w:val="0"/>
      <w:marTop w:val="0"/>
      <w:marBottom w:val="0"/>
      <w:divBdr>
        <w:top w:val="none" w:sz="0" w:space="0" w:color="auto"/>
        <w:left w:val="none" w:sz="0" w:space="0" w:color="auto"/>
        <w:bottom w:val="none" w:sz="0" w:space="0" w:color="auto"/>
        <w:right w:val="none" w:sz="0" w:space="0" w:color="auto"/>
      </w:divBdr>
    </w:div>
    <w:div w:id="862863625">
      <w:bodyDiv w:val="1"/>
      <w:marLeft w:val="0"/>
      <w:marRight w:val="0"/>
      <w:marTop w:val="0"/>
      <w:marBottom w:val="0"/>
      <w:divBdr>
        <w:top w:val="none" w:sz="0" w:space="0" w:color="auto"/>
        <w:left w:val="none" w:sz="0" w:space="0" w:color="auto"/>
        <w:bottom w:val="none" w:sz="0" w:space="0" w:color="auto"/>
        <w:right w:val="none" w:sz="0" w:space="0" w:color="auto"/>
      </w:divBdr>
    </w:div>
    <w:div w:id="865944743">
      <w:bodyDiv w:val="1"/>
      <w:marLeft w:val="0"/>
      <w:marRight w:val="0"/>
      <w:marTop w:val="0"/>
      <w:marBottom w:val="0"/>
      <w:divBdr>
        <w:top w:val="none" w:sz="0" w:space="0" w:color="auto"/>
        <w:left w:val="none" w:sz="0" w:space="0" w:color="auto"/>
        <w:bottom w:val="none" w:sz="0" w:space="0" w:color="auto"/>
        <w:right w:val="none" w:sz="0" w:space="0" w:color="auto"/>
      </w:divBdr>
    </w:div>
    <w:div w:id="870147449">
      <w:bodyDiv w:val="1"/>
      <w:marLeft w:val="0"/>
      <w:marRight w:val="0"/>
      <w:marTop w:val="0"/>
      <w:marBottom w:val="0"/>
      <w:divBdr>
        <w:top w:val="none" w:sz="0" w:space="0" w:color="auto"/>
        <w:left w:val="none" w:sz="0" w:space="0" w:color="auto"/>
        <w:bottom w:val="none" w:sz="0" w:space="0" w:color="auto"/>
        <w:right w:val="none" w:sz="0" w:space="0" w:color="auto"/>
      </w:divBdr>
    </w:div>
    <w:div w:id="876165461">
      <w:bodyDiv w:val="1"/>
      <w:marLeft w:val="0"/>
      <w:marRight w:val="0"/>
      <w:marTop w:val="0"/>
      <w:marBottom w:val="0"/>
      <w:divBdr>
        <w:top w:val="none" w:sz="0" w:space="0" w:color="auto"/>
        <w:left w:val="none" w:sz="0" w:space="0" w:color="auto"/>
        <w:bottom w:val="none" w:sz="0" w:space="0" w:color="auto"/>
        <w:right w:val="none" w:sz="0" w:space="0" w:color="auto"/>
      </w:divBdr>
    </w:div>
    <w:div w:id="879512971">
      <w:bodyDiv w:val="1"/>
      <w:marLeft w:val="0"/>
      <w:marRight w:val="0"/>
      <w:marTop w:val="0"/>
      <w:marBottom w:val="0"/>
      <w:divBdr>
        <w:top w:val="none" w:sz="0" w:space="0" w:color="auto"/>
        <w:left w:val="none" w:sz="0" w:space="0" w:color="auto"/>
        <w:bottom w:val="none" w:sz="0" w:space="0" w:color="auto"/>
        <w:right w:val="none" w:sz="0" w:space="0" w:color="auto"/>
      </w:divBdr>
    </w:div>
    <w:div w:id="907769991">
      <w:bodyDiv w:val="1"/>
      <w:marLeft w:val="0"/>
      <w:marRight w:val="0"/>
      <w:marTop w:val="0"/>
      <w:marBottom w:val="0"/>
      <w:divBdr>
        <w:top w:val="none" w:sz="0" w:space="0" w:color="auto"/>
        <w:left w:val="none" w:sz="0" w:space="0" w:color="auto"/>
        <w:bottom w:val="none" w:sz="0" w:space="0" w:color="auto"/>
        <w:right w:val="none" w:sz="0" w:space="0" w:color="auto"/>
      </w:divBdr>
    </w:div>
    <w:div w:id="910312960">
      <w:bodyDiv w:val="1"/>
      <w:marLeft w:val="0"/>
      <w:marRight w:val="0"/>
      <w:marTop w:val="0"/>
      <w:marBottom w:val="0"/>
      <w:divBdr>
        <w:top w:val="none" w:sz="0" w:space="0" w:color="auto"/>
        <w:left w:val="none" w:sz="0" w:space="0" w:color="auto"/>
        <w:bottom w:val="none" w:sz="0" w:space="0" w:color="auto"/>
        <w:right w:val="none" w:sz="0" w:space="0" w:color="auto"/>
      </w:divBdr>
    </w:div>
    <w:div w:id="993486083">
      <w:bodyDiv w:val="1"/>
      <w:marLeft w:val="0"/>
      <w:marRight w:val="0"/>
      <w:marTop w:val="0"/>
      <w:marBottom w:val="0"/>
      <w:divBdr>
        <w:top w:val="none" w:sz="0" w:space="0" w:color="auto"/>
        <w:left w:val="none" w:sz="0" w:space="0" w:color="auto"/>
        <w:bottom w:val="none" w:sz="0" w:space="0" w:color="auto"/>
        <w:right w:val="none" w:sz="0" w:space="0" w:color="auto"/>
      </w:divBdr>
    </w:div>
    <w:div w:id="1034041225">
      <w:bodyDiv w:val="1"/>
      <w:marLeft w:val="0"/>
      <w:marRight w:val="0"/>
      <w:marTop w:val="0"/>
      <w:marBottom w:val="0"/>
      <w:divBdr>
        <w:top w:val="none" w:sz="0" w:space="0" w:color="auto"/>
        <w:left w:val="none" w:sz="0" w:space="0" w:color="auto"/>
        <w:bottom w:val="none" w:sz="0" w:space="0" w:color="auto"/>
        <w:right w:val="none" w:sz="0" w:space="0" w:color="auto"/>
      </w:divBdr>
    </w:div>
    <w:div w:id="1034623680">
      <w:bodyDiv w:val="1"/>
      <w:marLeft w:val="0"/>
      <w:marRight w:val="0"/>
      <w:marTop w:val="0"/>
      <w:marBottom w:val="0"/>
      <w:divBdr>
        <w:top w:val="none" w:sz="0" w:space="0" w:color="auto"/>
        <w:left w:val="none" w:sz="0" w:space="0" w:color="auto"/>
        <w:bottom w:val="none" w:sz="0" w:space="0" w:color="auto"/>
        <w:right w:val="none" w:sz="0" w:space="0" w:color="auto"/>
      </w:divBdr>
    </w:div>
    <w:div w:id="1086459730">
      <w:bodyDiv w:val="1"/>
      <w:marLeft w:val="0"/>
      <w:marRight w:val="0"/>
      <w:marTop w:val="0"/>
      <w:marBottom w:val="0"/>
      <w:divBdr>
        <w:top w:val="none" w:sz="0" w:space="0" w:color="auto"/>
        <w:left w:val="none" w:sz="0" w:space="0" w:color="auto"/>
        <w:bottom w:val="none" w:sz="0" w:space="0" w:color="auto"/>
        <w:right w:val="none" w:sz="0" w:space="0" w:color="auto"/>
      </w:divBdr>
    </w:div>
    <w:div w:id="1108694907">
      <w:bodyDiv w:val="1"/>
      <w:marLeft w:val="0"/>
      <w:marRight w:val="0"/>
      <w:marTop w:val="0"/>
      <w:marBottom w:val="0"/>
      <w:divBdr>
        <w:top w:val="none" w:sz="0" w:space="0" w:color="auto"/>
        <w:left w:val="none" w:sz="0" w:space="0" w:color="auto"/>
        <w:bottom w:val="none" w:sz="0" w:space="0" w:color="auto"/>
        <w:right w:val="none" w:sz="0" w:space="0" w:color="auto"/>
      </w:divBdr>
    </w:div>
    <w:div w:id="1129787501">
      <w:bodyDiv w:val="1"/>
      <w:marLeft w:val="0"/>
      <w:marRight w:val="0"/>
      <w:marTop w:val="0"/>
      <w:marBottom w:val="0"/>
      <w:divBdr>
        <w:top w:val="none" w:sz="0" w:space="0" w:color="auto"/>
        <w:left w:val="none" w:sz="0" w:space="0" w:color="auto"/>
        <w:bottom w:val="none" w:sz="0" w:space="0" w:color="auto"/>
        <w:right w:val="none" w:sz="0" w:space="0" w:color="auto"/>
      </w:divBdr>
    </w:div>
    <w:div w:id="1144739070">
      <w:bodyDiv w:val="1"/>
      <w:marLeft w:val="0"/>
      <w:marRight w:val="0"/>
      <w:marTop w:val="0"/>
      <w:marBottom w:val="0"/>
      <w:divBdr>
        <w:top w:val="none" w:sz="0" w:space="0" w:color="auto"/>
        <w:left w:val="none" w:sz="0" w:space="0" w:color="auto"/>
        <w:bottom w:val="none" w:sz="0" w:space="0" w:color="auto"/>
        <w:right w:val="none" w:sz="0" w:space="0" w:color="auto"/>
      </w:divBdr>
    </w:div>
    <w:div w:id="1146047820">
      <w:bodyDiv w:val="1"/>
      <w:marLeft w:val="0"/>
      <w:marRight w:val="0"/>
      <w:marTop w:val="0"/>
      <w:marBottom w:val="0"/>
      <w:divBdr>
        <w:top w:val="none" w:sz="0" w:space="0" w:color="auto"/>
        <w:left w:val="none" w:sz="0" w:space="0" w:color="auto"/>
        <w:bottom w:val="none" w:sz="0" w:space="0" w:color="auto"/>
        <w:right w:val="none" w:sz="0" w:space="0" w:color="auto"/>
      </w:divBdr>
    </w:div>
    <w:div w:id="1169171140">
      <w:bodyDiv w:val="1"/>
      <w:marLeft w:val="0"/>
      <w:marRight w:val="0"/>
      <w:marTop w:val="0"/>
      <w:marBottom w:val="0"/>
      <w:divBdr>
        <w:top w:val="none" w:sz="0" w:space="0" w:color="auto"/>
        <w:left w:val="none" w:sz="0" w:space="0" w:color="auto"/>
        <w:bottom w:val="none" w:sz="0" w:space="0" w:color="auto"/>
        <w:right w:val="none" w:sz="0" w:space="0" w:color="auto"/>
      </w:divBdr>
    </w:div>
    <w:div w:id="1173492569">
      <w:bodyDiv w:val="1"/>
      <w:marLeft w:val="0"/>
      <w:marRight w:val="0"/>
      <w:marTop w:val="0"/>
      <w:marBottom w:val="0"/>
      <w:divBdr>
        <w:top w:val="none" w:sz="0" w:space="0" w:color="auto"/>
        <w:left w:val="none" w:sz="0" w:space="0" w:color="auto"/>
        <w:bottom w:val="none" w:sz="0" w:space="0" w:color="auto"/>
        <w:right w:val="none" w:sz="0" w:space="0" w:color="auto"/>
      </w:divBdr>
    </w:div>
    <w:div w:id="1218083984">
      <w:bodyDiv w:val="1"/>
      <w:marLeft w:val="0"/>
      <w:marRight w:val="0"/>
      <w:marTop w:val="0"/>
      <w:marBottom w:val="0"/>
      <w:divBdr>
        <w:top w:val="none" w:sz="0" w:space="0" w:color="auto"/>
        <w:left w:val="none" w:sz="0" w:space="0" w:color="auto"/>
        <w:bottom w:val="none" w:sz="0" w:space="0" w:color="auto"/>
        <w:right w:val="none" w:sz="0" w:space="0" w:color="auto"/>
      </w:divBdr>
    </w:div>
    <w:div w:id="1220050330">
      <w:bodyDiv w:val="1"/>
      <w:marLeft w:val="0"/>
      <w:marRight w:val="0"/>
      <w:marTop w:val="0"/>
      <w:marBottom w:val="0"/>
      <w:divBdr>
        <w:top w:val="none" w:sz="0" w:space="0" w:color="auto"/>
        <w:left w:val="none" w:sz="0" w:space="0" w:color="auto"/>
        <w:bottom w:val="none" w:sz="0" w:space="0" w:color="auto"/>
        <w:right w:val="none" w:sz="0" w:space="0" w:color="auto"/>
      </w:divBdr>
    </w:div>
    <w:div w:id="1221475226">
      <w:bodyDiv w:val="1"/>
      <w:marLeft w:val="0"/>
      <w:marRight w:val="0"/>
      <w:marTop w:val="0"/>
      <w:marBottom w:val="0"/>
      <w:divBdr>
        <w:top w:val="none" w:sz="0" w:space="0" w:color="auto"/>
        <w:left w:val="none" w:sz="0" w:space="0" w:color="auto"/>
        <w:bottom w:val="none" w:sz="0" w:space="0" w:color="auto"/>
        <w:right w:val="none" w:sz="0" w:space="0" w:color="auto"/>
      </w:divBdr>
    </w:div>
    <w:div w:id="1222399490">
      <w:bodyDiv w:val="1"/>
      <w:marLeft w:val="0"/>
      <w:marRight w:val="0"/>
      <w:marTop w:val="0"/>
      <w:marBottom w:val="0"/>
      <w:divBdr>
        <w:top w:val="none" w:sz="0" w:space="0" w:color="auto"/>
        <w:left w:val="none" w:sz="0" w:space="0" w:color="auto"/>
        <w:bottom w:val="none" w:sz="0" w:space="0" w:color="auto"/>
        <w:right w:val="none" w:sz="0" w:space="0" w:color="auto"/>
      </w:divBdr>
    </w:div>
    <w:div w:id="1267732236">
      <w:bodyDiv w:val="1"/>
      <w:marLeft w:val="0"/>
      <w:marRight w:val="0"/>
      <w:marTop w:val="0"/>
      <w:marBottom w:val="0"/>
      <w:divBdr>
        <w:top w:val="none" w:sz="0" w:space="0" w:color="auto"/>
        <w:left w:val="none" w:sz="0" w:space="0" w:color="auto"/>
        <w:bottom w:val="none" w:sz="0" w:space="0" w:color="auto"/>
        <w:right w:val="none" w:sz="0" w:space="0" w:color="auto"/>
      </w:divBdr>
    </w:div>
    <w:div w:id="1280917977">
      <w:bodyDiv w:val="1"/>
      <w:marLeft w:val="0"/>
      <w:marRight w:val="0"/>
      <w:marTop w:val="0"/>
      <w:marBottom w:val="0"/>
      <w:divBdr>
        <w:top w:val="none" w:sz="0" w:space="0" w:color="auto"/>
        <w:left w:val="none" w:sz="0" w:space="0" w:color="auto"/>
        <w:bottom w:val="none" w:sz="0" w:space="0" w:color="auto"/>
        <w:right w:val="none" w:sz="0" w:space="0" w:color="auto"/>
      </w:divBdr>
    </w:div>
    <w:div w:id="1282565744">
      <w:bodyDiv w:val="1"/>
      <w:marLeft w:val="0"/>
      <w:marRight w:val="0"/>
      <w:marTop w:val="0"/>
      <w:marBottom w:val="0"/>
      <w:divBdr>
        <w:top w:val="none" w:sz="0" w:space="0" w:color="auto"/>
        <w:left w:val="none" w:sz="0" w:space="0" w:color="auto"/>
        <w:bottom w:val="none" w:sz="0" w:space="0" w:color="auto"/>
        <w:right w:val="none" w:sz="0" w:space="0" w:color="auto"/>
      </w:divBdr>
    </w:div>
    <w:div w:id="1289513241">
      <w:bodyDiv w:val="1"/>
      <w:marLeft w:val="0"/>
      <w:marRight w:val="0"/>
      <w:marTop w:val="0"/>
      <w:marBottom w:val="0"/>
      <w:divBdr>
        <w:top w:val="none" w:sz="0" w:space="0" w:color="auto"/>
        <w:left w:val="none" w:sz="0" w:space="0" w:color="auto"/>
        <w:bottom w:val="none" w:sz="0" w:space="0" w:color="auto"/>
        <w:right w:val="none" w:sz="0" w:space="0" w:color="auto"/>
      </w:divBdr>
    </w:div>
    <w:div w:id="1334410802">
      <w:bodyDiv w:val="1"/>
      <w:marLeft w:val="0"/>
      <w:marRight w:val="0"/>
      <w:marTop w:val="0"/>
      <w:marBottom w:val="0"/>
      <w:divBdr>
        <w:top w:val="none" w:sz="0" w:space="0" w:color="auto"/>
        <w:left w:val="none" w:sz="0" w:space="0" w:color="auto"/>
        <w:bottom w:val="none" w:sz="0" w:space="0" w:color="auto"/>
        <w:right w:val="none" w:sz="0" w:space="0" w:color="auto"/>
      </w:divBdr>
    </w:div>
    <w:div w:id="1356661648">
      <w:bodyDiv w:val="1"/>
      <w:marLeft w:val="0"/>
      <w:marRight w:val="0"/>
      <w:marTop w:val="0"/>
      <w:marBottom w:val="0"/>
      <w:divBdr>
        <w:top w:val="none" w:sz="0" w:space="0" w:color="auto"/>
        <w:left w:val="none" w:sz="0" w:space="0" w:color="auto"/>
        <w:bottom w:val="none" w:sz="0" w:space="0" w:color="auto"/>
        <w:right w:val="none" w:sz="0" w:space="0" w:color="auto"/>
      </w:divBdr>
    </w:div>
    <w:div w:id="1356730544">
      <w:bodyDiv w:val="1"/>
      <w:marLeft w:val="0"/>
      <w:marRight w:val="0"/>
      <w:marTop w:val="0"/>
      <w:marBottom w:val="0"/>
      <w:divBdr>
        <w:top w:val="none" w:sz="0" w:space="0" w:color="auto"/>
        <w:left w:val="none" w:sz="0" w:space="0" w:color="auto"/>
        <w:bottom w:val="none" w:sz="0" w:space="0" w:color="auto"/>
        <w:right w:val="none" w:sz="0" w:space="0" w:color="auto"/>
      </w:divBdr>
    </w:div>
    <w:div w:id="1359626987">
      <w:bodyDiv w:val="1"/>
      <w:marLeft w:val="0"/>
      <w:marRight w:val="0"/>
      <w:marTop w:val="0"/>
      <w:marBottom w:val="0"/>
      <w:divBdr>
        <w:top w:val="none" w:sz="0" w:space="0" w:color="auto"/>
        <w:left w:val="none" w:sz="0" w:space="0" w:color="auto"/>
        <w:bottom w:val="none" w:sz="0" w:space="0" w:color="auto"/>
        <w:right w:val="none" w:sz="0" w:space="0" w:color="auto"/>
      </w:divBdr>
    </w:div>
    <w:div w:id="1458185130">
      <w:bodyDiv w:val="1"/>
      <w:marLeft w:val="0"/>
      <w:marRight w:val="0"/>
      <w:marTop w:val="0"/>
      <w:marBottom w:val="0"/>
      <w:divBdr>
        <w:top w:val="none" w:sz="0" w:space="0" w:color="auto"/>
        <w:left w:val="none" w:sz="0" w:space="0" w:color="auto"/>
        <w:bottom w:val="none" w:sz="0" w:space="0" w:color="auto"/>
        <w:right w:val="none" w:sz="0" w:space="0" w:color="auto"/>
      </w:divBdr>
    </w:div>
    <w:div w:id="1511986841">
      <w:bodyDiv w:val="1"/>
      <w:marLeft w:val="0"/>
      <w:marRight w:val="0"/>
      <w:marTop w:val="0"/>
      <w:marBottom w:val="0"/>
      <w:divBdr>
        <w:top w:val="none" w:sz="0" w:space="0" w:color="auto"/>
        <w:left w:val="none" w:sz="0" w:space="0" w:color="auto"/>
        <w:bottom w:val="none" w:sz="0" w:space="0" w:color="auto"/>
        <w:right w:val="none" w:sz="0" w:space="0" w:color="auto"/>
      </w:divBdr>
    </w:div>
    <w:div w:id="1523350247">
      <w:bodyDiv w:val="1"/>
      <w:marLeft w:val="0"/>
      <w:marRight w:val="0"/>
      <w:marTop w:val="0"/>
      <w:marBottom w:val="0"/>
      <w:divBdr>
        <w:top w:val="none" w:sz="0" w:space="0" w:color="auto"/>
        <w:left w:val="none" w:sz="0" w:space="0" w:color="auto"/>
        <w:bottom w:val="none" w:sz="0" w:space="0" w:color="auto"/>
        <w:right w:val="none" w:sz="0" w:space="0" w:color="auto"/>
      </w:divBdr>
    </w:div>
    <w:div w:id="1560936708">
      <w:bodyDiv w:val="1"/>
      <w:marLeft w:val="0"/>
      <w:marRight w:val="0"/>
      <w:marTop w:val="0"/>
      <w:marBottom w:val="0"/>
      <w:divBdr>
        <w:top w:val="none" w:sz="0" w:space="0" w:color="auto"/>
        <w:left w:val="none" w:sz="0" w:space="0" w:color="auto"/>
        <w:bottom w:val="none" w:sz="0" w:space="0" w:color="auto"/>
        <w:right w:val="none" w:sz="0" w:space="0" w:color="auto"/>
      </w:divBdr>
    </w:div>
    <w:div w:id="1579485745">
      <w:bodyDiv w:val="1"/>
      <w:marLeft w:val="0"/>
      <w:marRight w:val="0"/>
      <w:marTop w:val="0"/>
      <w:marBottom w:val="0"/>
      <w:divBdr>
        <w:top w:val="none" w:sz="0" w:space="0" w:color="auto"/>
        <w:left w:val="none" w:sz="0" w:space="0" w:color="auto"/>
        <w:bottom w:val="none" w:sz="0" w:space="0" w:color="auto"/>
        <w:right w:val="none" w:sz="0" w:space="0" w:color="auto"/>
      </w:divBdr>
    </w:div>
    <w:div w:id="1582178705">
      <w:bodyDiv w:val="1"/>
      <w:marLeft w:val="0"/>
      <w:marRight w:val="0"/>
      <w:marTop w:val="0"/>
      <w:marBottom w:val="0"/>
      <w:divBdr>
        <w:top w:val="none" w:sz="0" w:space="0" w:color="auto"/>
        <w:left w:val="none" w:sz="0" w:space="0" w:color="auto"/>
        <w:bottom w:val="none" w:sz="0" w:space="0" w:color="auto"/>
        <w:right w:val="none" w:sz="0" w:space="0" w:color="auto"/>
      </w:divBdr>
    </w:div>
    <w:div w:id="1586306701">
      <w:bodyDiv w:val="1"/>
      <w:marLeft w:val="0"/>
      <w:marRight w:val="0"/>
      <w:marTop w:val="0"/>
      <w:marBottom w:val="0"/>
      <w:divBdr>
        <w:top w:val="none" w:sz="0" w:space="0" w:color="auto"/>
        <w:left w:val="none" w:sz="0" w:space="0" w:color="auto"/>
        <w:bottom w:val="none" w:sz="0" w:space="0" w:color="auto"/>
        <w:right w:val="none" w:sz="0" w:space="0" w:color="auto"/>
      </w:divBdr>
    </w:div>
    <w:div w:id="1594316269">
      <w:bodyDiv w:val="1"/>
      <w:marLeft w:val="0"/>
      <w:marRight w:val="0"/>
      <w:marTop w:val="0"/>
      <w:marBottom w:val="0"/>
      <w:divBdr>
        <w:top w:val="none" w:sz="0" w:space="0" w:color="auto"/>
        <w:left w:val="none" w:sz="0" w:space="0" w:color="auto"/>
        <w:bottom w:val="none" w:sz="0" w:space="0" w:color="auto"/>
        <w:right w:val="none" w:sz="0" w:space="0" w:color="auto"/>
      </w:divBdr>
    </w:div>
    <w:div w:id="1596090224">
      <w:bodyDiv w:val="1"/>
      <w:marLeft w:val="0"/>
      <w:marRight w:val="0"/>
      <w:marTop w:val="0"/>
      <w:marBottom w:val="0"/>
      <w:divBdr>
        <w:top w:val="none" w:sz="0" w:space="0" w:color="auto"/>
        <w:left w:val="none" w:sz="0" w:space="0" w:color="auto"/>
        <w:bottom w:val="none" w:sz="0" w:space="0" w:color="auto"/>
        <w:right w:val="none" w:sz="0" w:space="0" w:color="auto"/>
      </w:divBdr>
    </w:div>
    <w:div w:id="1601402892">
      <w:bodyDiv w:val="1"/>
      <w:marLeft w:val="0"/>
      <w:marRight w:val="0"/>
      <w:marTop w:val="0"/>
      <w:marBottom w:val="0"/>
      <w:divBdr>
        <w:top w:val="none" w:sz="0" w:space="0" w:color="auto"/>
        <w:left w:val="none" w:sz="0" w:space="0" w:color="auto"/>
        <w:bottom w:val="none" w:sz="0" w:space="0" w:color="auto"/>
        <w:right w:val="none" w:sz="0" w:space="0" w:color="auto"/>
      </w:divBdr>
    </w:div>
    <w:div w:id="1612931947">
      <w:bodyDiv w:val="1"/>
      <w:marLeft w:val="0"/>
      <w:marRight w:val="0"/>
      <w:marTop w:val="0"/>
      <w:marBottom w:val="0"/>
      <w:divBdr>
        <w:top w:val="none" w:sz="0" w:space="0" w:color="auto"/>
        <w:left w:val="none" w:sz="0" w:space="0" w:color="auto"/>
        <w:bottom w:val="none" w:sz="0" w:space="0" w:color="auto"/>
        <w:right w:val="none" w:sz="0" w:space="0" w:color="auto"/>
      </w:divBdr>
    </w:div>
    <w:div w:id="1707488664">
      <w:bodyDiv w:val="1"/>
      <w:marLeft w:val="0"/>
      <w:marRight w:val="0"/>
      <w:marTop w:val="0"/>
      <w:marBottom w:val="0"/>
      <w:divBdr>
        <w:top w:val="none" w:sz="0" w:space="0" w:color="auto"/>
        <w:left w:val="none" w:sz="0" w:space="0" w:color="auto"/>
        <w:bottom w:val="none" w:sz="0" w:space="0" w:color="auto"/>
        <w:right w:val="none" w:sz="0" w:space="0" w:color="auto"/>
      </w:divBdr>
    </w:div>
    <w:div w:id="1745031469">
      <w:bodyDiv w:val="1"/>
      <w:marLeft w:val="0"/>
      <w:marRight w:val="0"/>
      <w:marTop w:val="0"/>
      <w:marBottom w:val="0"/>
      <w:divBdr>
        <w:top w:val="none" w:sz="0" w:space="0" w:color="auto"/>
        <w:left w:val="none" w:sz="0" w:space="0" w:color="auto"/>
        <w:bottom w:val="none" w:sz="0" w:space="0" w:color="auto"/>
        <w:right w:val="none" w:sz="0" w:space="0" w:color="auto"/>
      </w:divBdr>
    </w:div>
    <w:div w:id="1769933446">
      <w:bodyDiv w:val="1"/>
      <w:marLeft w:val="0"/>
      <w:marRight w:val="0"/>
      <w:marTop w:val="0"/>
      <w:marBottom w:val="0"/>
      <w:divBdr>
        <w:top w:val="none" w:sz="0" w:space="0" w:color="auto"/>
        <w:left w:val="none" w:sz="0" w:space="0" w:color="auto"/>
        <w:bottom w:val="none" w:sz="0" w:space="0" w:color="auto"/>
        <w:right w:val="none" w:sz="0" w:space="0" w:color="auto"/>
      </w:divBdr>
    </w:div>
    <w:div w:id="1822886405">
      <w:bodyDiv w:val="1"/>
      <w:marLeft w:val="0"/>
      <w:marRight w:val="0"/>
      <w:marTop w:val="0"/>
      <w:marBottom w:val="0"/>
      <w:divBdr>
        <w:top w:val="none" w:sz="0" w:space="0" w:color="auto"/>
        <w:left w:val="none" w:sz="0" w:space="0" w:color="auto"/>
        <w:bottom w:val="none" w:sz="0" w:space="0" w:color="auto"/>
        <w:right w:val="none" w:sz="0" w:space="0" w:color="auto"/>
      </w:divBdr>
    </w:div>
    <w:div w:id="1826972667">
      <w:bodyDiv w:val="1"/>
      <w:marLeft w:val="0"/>
      <w:marRight w:val="0"/>
      <w:marTop w:val="0"/>
      <w:marBottom w:val="0"/>
      <w:divBdr>
        <w:top w:val="none" w:sz="0" w:space="0" w:color="auto"/>
        <w:left w:val="none" w:sz="0" w:space="0" w:color="auto"/>
        <w:bottom w:val="none" w:sz="0" w:space="0" w:color="auto"/>
        <w:right w:val="none" w:sz="0" w:space="0" w:color="auto"/>
      </w:divBdr>
    </w:div>
    <w:div w:id="1838350545">
      <w:bodyDiv w:val="1"/>
      <w:marLeft w:val="0"/>
      <w:marRight w:val="0"/>
      <w:marTop w:val="0"/>
      <w:marBottom w:val="0"/>
      <w:divBdr>
        <w:top w:val="none" w:sz="0" w:space="0" w:color="auto"/>
        <w:left w:val="none" w:sz="0" w:space="0" w:color="auto"/>
        <w:bottom w:val="none" w:sz="0" w:space="0" w:color="auto"/>
        <w:right w:val="none" w:sz="0" w:space="0" w:color="auto"/>
      </w:divBdr>
    </w:div>
    <w:div w:id="1862475664">
      <w:bodyDiv w:val="1"/>
      <w:marLeft w:val="0"/>
      <w:marRight w:val="0"/>
      <w:marTop w:val="0"/>
      <w:marBottom w:val="0"/>
      <w:divBdr>
        <w:top w:val="none" w:sz="0" w:space="0" w:color="auto"/>
        <w:left w:val="none" w:sz="0" w:space="0" w:color="auto"/>
        <w:bottom w:val="none" w:sz="0" w:space="0" w:color="auto"/>
        <w:right w:val="none" w:sz="0" w:space="0" w:color="auto"/>
      </w:divBdr>
    </w:div>
    <w:div w:id="1877425037">
      <w:bodyDiv w:val="1"/>
      <w:marLeft w:val="0"/>
      <w:marRight w:val="0"/>
      <w:marTop w:val="0"/>
      <w:marBottom w:val="0"/>
      <w:divBdr>
        <w:top w:val="none" w:sz="0" w:space="0" w:color="auto"/>
        <w:left w:val="none" w:sz="0" w:space="0" w:color="auto"/>
        <w:bottom w:val="none" w:sz="0" w:space="0" w:color="auto"/>
        <w:right w:val="none" w:sz="0" w:space="0" w:color="auto"/>
      </w:divBdr>
    </w:div>
    <w:div w:id="1895505802">
      <w:bodyDiv w:val="1"/>
      <w:marLeft w:val="0"/>
      <w:marRight w:val="0"/>
      <w:marTop w:val="0"/>
      <w:marBottom w:val="0"/>
      <w:divBdr>
        <w:top w:val="none" w:sz="0" w:space="0" w:color="auto"/>
        <w:left w:val="none" w:sz="0" w:space="0" w:color="auto"/>
        <w:bottom w:val="none" w:sz="0" w:space="0" w:color="auto"/>
        <w:right w:val="none" w:sz="0" w:space="0" w:color="auto"/>
      </w:divBdr>
    </w:div>
    <w:div w:id="1953585026">
      <w:bodyDiv w:val="1"/>
      <w:marLeft w:val="0"/>
      <w:marRight w:val="0"/>
      <w:marTop w:val="0"/>
      <w:marBottom w:val="0"/>
      <w:divBdr>
        <w:top w:val="none" w:sz="0" w:space="0" w:color="auto"/>
        <w:left w:val="none" w:sz="0" w:space="0" w:color="auto"/>
        <w:bottom w:val="none" w:sz="0" w:space="0" w:color="auto"/>
        <w:right w:val="none" w:sz="0" w:space="0" w:color="auto"/>
      </w:divBdr>
    </w:div>
    <w:div w:id="1954511410">
      <w:bodyDiv w:val="1"/>
      <w:marLeft w:val="0"/>
      <w:marRight w:val="0"/>
      <w:marTop w:val="0"/>
      <w:marBottom w:val="0"/>
      <w:divBdr>
        <w:top w:val="none" w:sz="0" w:space="0" w:color="auto"/>
        <w:left w:val="none" w:sz="0" w:space="0" w:color="auto"/>
        <w:bottom w:val="none" w:sz="0" w:space="0" w:color="auto"/>
        <w:right w:val="none" w:sz="0" w:space="0" w:color="auto"/>
      </w:divBdr>
    </w:div>
    <w:div w:id="1955867353">
      <w:bodyDiv w:val="1"/>
      <w:marLeft w:val="0"/>
      <w:marRight w:val="0"/>
      <w:marTop w:val="0"/>
      <w:marBottom w:val="0"/>
      <w:divBdr>
        <w:top w:val="none" w:sz="0" w:space="0" w:color="auto"/>
        <w:left w:val="none" w:sz="0" w:space="0" w:color="auto"/>
        <w:bottom w:val="none" w:sz="0" w:space="0" w:color="auto"/>
        <w:right w:val="none" w:sz="0" w:space="0" w:color="auto"/>
      </w:divBdr>
    </w:div>
    <w:div w:id="1963918083">
      <w:bodyDiv w:val="1"/>
      <w:marLeft w:val="0"/>
      <w:marRight w:val="0"/>
      <w:marTop w:val="0"/>
      <w:marBottom w:val="0"/>
      <w:divBdr>
        <w:top w:val="none" w:sz="0" w:space="0" w:color="auto"/>
        <w:left w:val="none" w:sz="0" w:space="0" w:color="auto"/>
        <w:bottom w:val="none" w:sz="0" w:space="0" w:color="auto"/>
        <w:right w:val="none" w:sz="0" w:space="0" w:color="auto"/>
      </w:divBdr>
    </w:div>
    <w:div w:id="1969973254">
      <w:bodyDiv w:val="1"/>
      <w:marLeft w:val="0"/>
      <w:marRight w:val="0"/>
      <w:marTop w:val="0"/>
      <w:marBottom w:val="0"/>
      <w:divBdr>
        <w:top w:val="none" w:sz="0" w:space="0" w:color="auto"/>
        <w:left w:val="none" w:sz="0" w:space="0" w:color="auto"/>
        <w:bottom w:val="none" w:sz="0" w:space="0" w:color="auto"/>
        <w:right w:val="none" w:sz="0" w:space="0" w:color="auto"/>
      </w:divBdr>
    </w:div>
    <w:div w:id="1971477956">
      <w:bodyDiv w:val="1"/>
      <w:marLeft w:val="0"/>
      <w:marRight w:val="0"/>
      <w:marTop w:val="0"/>
      <w:marBottom w:val="0"/>
      <w:divBdr>
        <w:top w:val="none" w:sz="0" w:space="0" w:color="auto"/>
        <w:left w:val="none" w:sz="0" w:space="0" w:color="auto"/>
        <w:bottom w:val="none" w:sz="0" w:space="0" w:color="auto"/>
        <w:right w:val="none" w:sz="0" w:space="0" w:color="auto"/>
      </w:divBdr>
    </w:div>
    <w:div w:id="2015329680">
      <w:bodyDiv w:val="1"/>
      <w:marLeft w:val="0"/>
      <w:marRight w:val="0"/>
      <w:marTop w:val="0"/>
      <w:marBottom w:val="0"/>
      <w:divBdr>
        <w:top w:val="none" w:sz="0" w:space="0" w:color="auto"/>
        <w:left w:val="none" w:sz="0" w:space="0" w:color="auto"/>
        <w:bottom w:val="none" w:sz="0" w:space="0" w:color="auto"/>
        <w:right w:val="none" w:sz="0" w:space="0" w:color="auto"/>
      </w:divBdr>
    </w:div>
    <w:div w:id="2054575183">
      <w:bodyDiv w:val="1"/>
      <w:marLeft w:val="0"/>
      <w:marRight w:val="0"/>
      <w:marTop w:val="0"/>
      <w:marBottom w:val="0"/>
      <w:divBdr>
        <w:top w:val="none" w:sz="0" w:space="0" w:color="auto"/>
        <w:left w:val="none" w:sz="0" w:space="0" w:color="auto"/>
        <w:bottom w:val="none" w:sz="0" w:space="0" w:color="auto"/>
        <w:right w:val="none" w:sz="0" w:space="0" w:color="auto"/>
      </w:divBdr>
    </w:div>
    <w:div w:id="2070686801">
      <w:bodyDiv w:val="1"/>
      <w:marLeft w:val="0"/>
      <w:marRight w:val="0"/>
      <w:marTop w:val="0"/>
      <w:marBottom w:val="0"/>
      <w:divBdr>
        <w:top w:val="none" w:sz="0" w:space="0" w:color="auto"/>
        <w:left w:val="none" w:sz="0" w:space="0" w:color="auto"/>
        <w:bottom w:val="none" w:sz="0" w:space="0" w:color="auto"/>
        <w:right w:val="none" w:sz="0" w:space="0" w:color="auto"/>
      </w:divBdr>
    </w:div>
    <w:div w:id="2091924257">
      <w:bodyDiv w:val="1"/>
      <w:marLeft w:val="0"/>
      <w:marRight w:val="0"/>
      <w:marTop w:val="0"/>
      <w:marBottom w:val="0"/>
      <w:divBdr>
        <w:top w:val="none" w:sz="0" w:space="0" w:color="auto"/>
        <w:left w:val="none" w:sz="0" w:space="0" w:color="auto"/>
        <w:bottom w:val="none" w:sz="0" w:space="0" w:color="auto"/>
        <w:right w:val="none" w:sz="0" w:space="0" w:color="auto"/>
      </w:divBdr>
    </w:div>
    <w:div w:id="2107771814">
      <w:bodyDiv w:val="1"/>
      <w:marLeft w:val="0"/>
      <w:marRight w:val="0"/>
      <w:marTop w:val="0"/>
      <w:marBottom w:val="0"/>
      <w:divBdr>
        <w:top w:val="none" w:sz="0" w:space="0" w:color="auto"/>
        <w:left w:val="none" w:sz="0" w:space="0" w:color="auto"/>
        <w:bottom w:val="none" w:sz="0" w:space="0" w:color="auto"/>
        <w:right w:val="none" w:sz="0" w:space="0" w:color="auto"/>
      </w:divBdr>
    </w:div>
    <w:div w:id="2111580026">
      <w:bodyDiv w:val="1"/>
      <w:marLeft w:val="0"/>
      <w:marRight w:val="0"/>
      <w:marTop w:val="0"/>
      <w:marBottom w:val="0"/>
      <w:divBdr>
        <w:top w:val="none" w:sz="0" w:space="0" w:color="auto"/>
        <w:left w:val="none" w:sz="0" w:space="0" w:color="auto"/>
        <w:bottom w:val="none" w:sz="0" w:space="0" w:color="auto"/>
        <w:right w:val="none" w:sz="0" w:space="0" w:color="auto"/>
      </w:divBdr>
    </w:div>
    <w:div w:id="2134782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6310</Words>
  <Characters>35971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2020-09-30T17:33:00Z</dcterms:created>
  <dcterms:modified xsi:type="dcterms:W3CDTF">2020-09-30T17:33:00Z</dcterms:modified>
</cp:coreProperties>
</file>