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AD0D4" w14:textId="77777777" w:rsidR="000F2687" w:rsidRPr="001D76EB" w:rsidRDefault="000F2687" w:rsidP="000F2687">
      <w:pPr>
        <w:pStyle w:val="Title"/>
        <w:rPr>
          <w:rFonts w:asciiTheme="minorHAnsi" w:hAnsiTheme="minorHAnsi" w:cs="Arial"/>
          <w:b/>
          <w:bCs/>
          <w:sz w:val="32"/>
          <w:szCs w:val="32"/>
        </w:rPr>
      </w:pPr>
      <w:r w:rsidRPr="001D76EB">
        <w:rPr>
          <w:rFonts w:asciiTheme="minorHAnsi" w:hAnsiTheme="minorHAnsi" w:cs="Arial"/>
          <w:b/>
          <w:bCs/>
          <w:sz w:val="32"/>
          <w:szCs w:val="32"/>
        </w:rPr>
        <w:t>The Impact of Responsible Gambling Initiatives on Customer Loyalty: A Case Study of Entain plc</w:t>
      </w:r>
    </w:p>
    <w:p w14:paraId="383B60F8" w14:textId="2EC37C5E" w:rsidR="00D456B2" w:rsidRDefault="000B7D5C">
      <w:pPr>
        <w:rPr>
          <w:rFonts w:ascii="Arial" w:hAnsi="Arial" w:cs="Arial"/>
          <w:b/>
          <w:bCs/>
          <w:sz w:val="32"/>
          <w:szCs w:val="32"/>
        </w:rPr>
      </w:pPr>
      <w:r w:rsidRPr="00E362BA">
        <w:rPr>
          <w:noProof/>
        </w:rPr>
        <w:drawing>
          <wp:anchor distT="0" distB="0" distL="114300" distR="114300" simplePos="0" relativeHeight="251658240" behindDoc="1" locked="0" layoutInCell="1" allowOverlap="1" wp14:anchorId="36E7513E" wp14:editId="257AABE6">
            <wp:simplePos x="0" y="0"/>
            <wp:positionH relativeFrom="margin">
              <wp:posOffset>1022985</wp:posOffset>
            </wp:positionH>
            <wp:positionV relativeFrom="paragraph">
              <wp:posOffset>5715</wp:posOffset>
            </wp:positionV>
            <wp:extent cx="2710601" cy="1330325"/>
            <wp:effectExtent l="0" t="0" r="0" b="3175"/>
            <wp:wrapNone/>
            <wp:docPr id="11348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6414" name="Picture 1134864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0601" cy="1330325"/>
                    </a:xfrm>
                    <a:prstGeom prst="rect">
                      <a:avLst/>
                    </a:prstGeom>
                  </pic:spPr>
                </pic:pic>
              </a:graphicData>
            </a:graphic>
            <wp14:sizeRelH relativeFrom="margin">
              <wp14:pctWidth>0</wp14:pctWidth>
            </wp14:sizeRelH>
            <wp14:sizeRelV relativeFrom="margin">
              <wp14:pctHeight>0</wp14:pctHeight>
            </wp14:sizeRelV>
          </wp:anchor>
        </w:drawing>
      </w:r>
      <w:r w:rsidR="00D456B2">
        <w:rPr>
          <w:rFonts w:ascii="Arial" w:hAnsi="Arial" w:cs="Arial"/>
          <w:b/>
          <w:bCs/>
          <w:sz w:val="32"/>
          <w:szCs w:val="32"/>
        </w:rPr>
        <w:t xml:space="preserve">                          </w:t>
      </w:r>
    </w:p>
    <w:p w14:paraId="7F4499BF" w14:textId="77777777" w:rsidR="003E3930" w:rsidRDefault="003E3930">
      <w:pPr>
        <w:rPr>
          <w:rFonts w:ascii="Arial" w:hAnsi="Arial" w:cs="Arial"/>
          <w:b/>
          <w:bCs/>
          <w:sz w:val="32"/>
          <w:szCs w:val="32"/>
        </w:rPr>
      </w:pPr>
    </w:p>
    <w:p w14:paraId="31BAC4C1" w14:textId="77777777" w:rsidR="00C92A6B" w:rsidRDefault="003E3930">
      <w:pPr>
        <w:rPr>
          <w:rFonts w:ascii="Arial" w:hAnsi="Arial" w:cs="Arial"/>
          <w:b/>
          <w:bCs/>
          <w:sz w:val="32"/>
          <w:szCs w:val="32"/>
        </w:rPr>
      </w:pPr>
      <w:r>
        <w:rPr>
          <w:rFonts w:ascii="Arial" w:hAnsi="Arial" w:cs="Arial"/>
          <w:b/>
          <w:bCs/>
          <w:sz w:val="32"/>
          <w:szCs w:val="32"/>
        </w:rPr>
        <w:t xml:space="preserve">                            </w:t>
      </w:r>
    </w:p>
    <w:p w14:paraId="36E0F836" w14:textId="77777777" w:rsidR="00C92A6B" w:rsidRDefault="00C92A6B">
      <w:pPr>
        <w:rPr>
          <w:rFonts w:ascii="Arial" w:hAnsi="Arial" w:cs="Arial"/>
          <w:b/>
          <w:bCs/>
          <w:sz w:val="32"/>
          <w:szCs w:val="32"/>
        </w:rPr>
      </w:pPr>
      <w:r>
        <w:rPr>
          <w:rFonts w:ascii="Arial" w:hAnsi="Arial" w:cs="Arial"/>
          <w:b/>
          <w:bCs/>
          <w:sz w:val="32"/>
          <w:szCs w:val="32"/>
        </w:rPr>
        <w:t xml:space="preserve">                         </w:t>
      </w:r>
    </w:p>
    <w:p w14:paraId="372DFC59" w14:textId="35349A31" w:rsidR="00C05D2D" w:rsidRPr="00146AE1" w:rsidRDefault="00C92A6B" w:rsidP="000A4266">
      <w:pPr>
        <w:jc w:val="both"/>
        <w:rPr>
          <w:rFonts w:cs="Arial"/>
          <w:b/>
          <w:bCs/>
          <w:sz w:val="28"/>
          <w:szCs w:val="28"/>
        </w:rPr>
      </w:pPr>
      <w:r w:rsidRPr="00146AE1">
        <w:rPr>
          <w:rFonts w:cs="Arial"/>
          <w:b/>
          <w:bCs/>
          <w:sz w:val="32"/>
          <w:szCs w:val="32"/>
        </w:rPr>
        <w:t xml:space="preserve">                         </w:t>
      </w:r>
      <w:r w:rsidR="003E3930" w:rsidRPr="00146AE1">
        <w:rPr>
          <w:rFonts w:cs="Arial"/>
          <w:b/>
          <w:bCs/>
          <w:sz w:val="32"/>
          <w:szCs w:val="32"/>
        </w:rPr>
        <w:t xml:space="preserve">   </w:t>
      </w:r>
      <w:r w:rsidR="0021292D" w:rsidRPr="00146AE1">
        <w:rPr>
          <w:rFonts w:cs="Arial"/>
          <w:b/>
          <w:bCs/>
          <w:sz w:val="32"/>
          <w:szCs w:val="32"/>
        </w:rPr>
        <w:t xml:space="preserve"> </w:t>
      </w:r>
      <w:r w:rsidR="003E3930" w:rsidRPr="00146AE1">
        <w:rPr>
          <w:rFonts w:cs="Arial"/>
          <w:b/>
          <w:bCs/>
          <w:sz w:val="32"/>
          <w:szCs w:val="32"/>
        </w:rPr>
        <w:t xml:space="preserve"> </w:t>
      </w:r>
      <w:r w:rsidR="00016525">
        <w:rPr>
          <w:rFonts w:cs="Arial"/>
          <w:b/>
          <w:bCs/>
          <w:sz w:val="32"/>
          <w:szCs w:val="32"/>
        </w:rPr>
        <w:tab/>
      </w:r>
      <w:r w:rsidR="003E3930" w:rsidRPr="00146AE1">
        <w:rPr>
          <w:rFonts w:cs="Arial"/>
          <w:b/>
          <w:bCs/>
          <w:sz w:val="32"/>
          <w:szCs w:val="32"/>
        </w:rPr>
        <w:t xml:space="preserve"> </w:t>
      </w:r>
      <w:r w:rsidR="00956F0E">
        <w:rPr>
          <w:rFonts w:cs="Arial"/>
          <w:b/>
          <w:bCs/>
          <w:sz w:val="32"/>
          <w:szCs w:val="32"/>
        </w:rPr>
        <w:tab/>
      </w:r>
      <w:r w:rsidR="00C05D2D" w:rsidRPr="00146AE1">
        <w:rPr>
          <w:rFonts w:cs="Arial"/>
          <w:b/>
          <w:bCs/>
          <w:sz w:val="28"/>
          <w:szCs w:val="28"/>
        </w:rPr>
        <w:t>S</w:t>
      </w:r>
      <w:r w:rsidR="00CE4A01" w:rsidRPr="00146AE1">
        <w:rPr>
          <w:rFonts w:cs="Arial"/>
          <w:b/>
          <w:bCs/>
          <w:sz w:val="28"/>
          <w:szCs w:val="28"/>
        </w:rPr>
        <w:t>ubmi</w:t>
      </w:r>
      <w:r w:rsidR="00C05D2D" w:rsidRPr="00146AE1">
        <w:rPr>
          <w:rFonts w:cs="Arial"/>
          <w:b/>
          <w:bCs/>
          <w:sz w:val="28"/>
          <w:szCs w:val="28"/>
        </w:rPr>
        <w:t>tted by</w:t>
      </w:r>
      <w:r w:rsidR="002D20DD" w:rsidRPr="00146AE1">
        <w:rPr>
          <w:rFonts w:cs="Arial"/>
          <w:b/>
          <w:bCs/>
          <w:sz w:val="28"/>
          <w:szCs w:val="28"/>
        </w:rPr>
        <w:t>:</w:t>
      </w:r>
    </w:p>
    <w:p w14:paraId="3709BECF" w14:textId="3E0C1002" w:rsidR="00C05D2D" w:rsidRPr="00146AE1" w:rsidRDefault="003E3930" w:rsidP="000A4266">
      <w:pPr>
        <w:jc w:val="both"/>
        <w:rPr>
          <w:b/>
          <w:bCs/>
          <w:sz w:val="24"/>
          <w:szCs w:val="24"/>
        </w:rPr>
      </w:pPr>
      <w:r w:rsidRPr="00146AE1">
        <w:rPr>
          <w:b/>
          <w:bCs/>
        </w:rPr>
        <w:t xml:space="preserve">                            </w:t>
      </w:r>
      <w:r w:rsidR="0021292D" w:rsidRPr="00146AE1">
        <w:rPr>
          <w:b/>
          <w:bCs/>
        </w:rPr>
        <w:t xml:space="preserve">           </w:t>
      </w:r>
      <w:r w:rsidR="0047247E" w:rsidRPr="00146AE1">
        <w:rPr>
          <w:b/>
          <w:bCs/>
        </w:rPr>
        <w:t xml:space="preserve">        </w:t>
      </w:r>
      <w:r w:rsidR="00016525">
        <w:rPr>
          <w:b/>
          <w:bCs/>
        </w:rPr>
        <w:tab/>
        <w:t xml:space="preserve"> </w:t>
      </w:r>
      <w:r w:rsidR="00956F0E">
        <w:rPr>
          <w:b/>
          <w:bCs/>
        </w:rPr>
        <w:tab/>
      </w:r>
      <w:r w:rsidR="00016525">
        <w:rPr>
          <w:b/>
          <w:bCs/>
        </w:rPr>
        <w:t xml:space="preserve"> </w:t>
      </w:r>
      <w:r w:rsidR="00C05D2D" w:rsidRPr="00146AE1">
        <w:rPr>
          <w:b/>
          <w:bCs/>
          <w:sz w:val="24"/>
          <w:szCs w:val="24"/>
        </w:rPr>
        <w:t xml:space="preserve">Rajeshwari </w:t>
      </w:r>
      <w:r w:rsidR="00146AE1" w:rsidRPr="00146AE1">
        <w:rPr>
          <w:b/>
          <w:bCs/>
          <w:sz w:val="24"/>
          <w:szCs w:val="24"/>
        </w:rPr>
        <w:t>B</w:t>
      </w:r>
      <w:r w:rsidR="00C05D2D" w:rsidRPr="00146AE1">
        <w:rPr>
          <w:b/>
          <w:bCs/>
          <w:sz w:val="24"/>
          <w:szCs w:val="24"/>
        </w:rPr>
        <w:t>ingi</w:t>
      </w:r>
    </w:p>
    <w:p w14:paraId="57A20A0D" w14:textId="71A46DB8" w:rsidR="006838B2" w:rsidRPr="0032127C" w:rsidRDefault="006838B2" w:rsidP="000A4266">
      <w:pPr>
        <w:jc w:val="both"/>
        <w:rPr>
          <w:rFonts w:cs="Arial"/>
          <w:b/>
          <w:bCs/>
          <w:sz w:val="28"/>
          <w:szCs w:val="28"/>
        </w:rPr>
      </w:pPr>
      <w:r w:rsidRPr="00016525">
        <w:rPr>
          <w:rFonts w:cs="Arial"/>
          <w:sz w:val="28"/>
          <w:szCs w:val="28"/>
        </w:rPr>
        <w:t xml:space="preserve">                                        </w:t>
      </w:r>
      <w:r w:rsidR="00956F0E">
        <w:rPr>
          <w:rFonts w:cs="Arial"/>
          <w:sz w:val="28"/>
          <w:szCs w:val="28"/>
        </w:rPr>
        <w:tab/>
      </w:r>
      <w:r w:rsidRPr="00016525">
        <w:rPr>
          <w:rFonts w:cs="Arial"/>
          <w:sz w:val="28"/>
          <w:szCs w:val="28"/>
        </w:rPr>
        <w:t xml:space="preserve"> </w:t>
      </w:r>
      <w:r w:rsidR="0032127C">
        <w:rPr>
          <w:rFonts w:cs="Arial"/>
          <w:sz w:val="28"/>
          <w:szCs w:val="28"/>
        </w:rPr>
        <w:t xml:space="preserve">     </w:t>
      </w:r>
      <w:r w:rsidR="001D76EB" w:rsidRPr="0032127C">
        <w:rPr>
          <w:rFonts w:cs="Arial"/>
          <w:b/>
          <w:bCs/>
          <w:sz w:val="28"/>
          <w:szCs w:val="28"/>
        </w:rPr>
        <w:t>2</w:t>
      </w:r>
      <w:r w:rsidR="00146AE1" w:rsidRPr="0032127C">
        <w:rPr>
          <w:rFonts w:cs="Arial"/>
          <w:b/>
          <w:bCs/>
          <w:sz w:val="28"/>
          <w:szCs w:val="28"/>
        </w:rPr>
        <w:t>229271</w:t>
      </w:r>
      <w:r w:rsidRPr="0032127C">
        <w:rPr>
          <w:rFonts w:cs="Arial"/>
          <w:b/>
          <w:bCs/>
          <w:sz w:val="28"/>
          <w:szCs w:val="28"/>
        </w:rPr>
        <w:t xml:space="preserve"> </w:t>
      </w:r>
    </w:p>
    <w:p w14:paraId="4C3865C2" w14:textId="77777777" w:rsidR="00A41D39" w:rsidRDefault="00A41D39" w:rsidP="000A4266">
      <w:pPr>
        <w:jc w:val="both"/>
        <w:rPr>
          <w:rFonts w:ascii="Arial" w:hAnsi="Arial" w:cs="Arial"/>
          <w:b/>
          <w:bCs/>
          <w:sz w:val="28"/>
          <w:szCs w:val="28"/>
        </w:rPr>
      </w:pPr>
    </w:p>
    <w:p w14:paraId="25EF6F82" w14:textId="72F83D48" w:rsidR="002D20DD" w:rsidRPr="00A41D39" w:rsidRDefault="002D20DD" w:rsidP="000A4266">
      <w:pPr>
        <w:jc w:val="both"/>
        <w:rPr>
          <w:rFonts w:cs="Arial"/>
          <w:b/>
          <w:bCs/>
          <w:sz w:val="28"/>
          <w:szCs w:val="28"/>
        </w:rPr>
      </w:pPr>
      <w:r w:rsidRPr="00A41D39">
        <w:rPr>
          <w:rFonts w:cs="Arial"/>
          <w:b/>
          <w:bCs/>
          <w:sz w:val="28"/>
          <w:szCs w:val="28"/>
        </w:rPr>
        <w:t xml:space="preserve">                              </w:t>
      </w:r>
      <w:r w:rsidR="00E4791A" w:rsidRPr="00A41D39">
        <w:rPr>
          <w:rFonts w:cs="Arial"/>
          <w:b/>
          <w:bCs/>
          <w:sz w:val="28"/>
          <w:szCs w:val="28"/>
        </w:rPr>
        <w:t xml:space="preserve"> </w:t>
      </w:r>
      <w:r w:rsidR="00A41D39">
        <w:rPr>
          <w:rFonts w:cs="Arial"/>
          <w:b/>
          <w:bCs/>
          <w:sz w:val="28"/>
          <w:szCs w:val="28"/>
        </w:rPr>
        <w:tab/>
        <w:t xml:space="preserve"> </w:t>
      </w:r>
      <w:r w:rsidR="00956F0E">
        <w:rPr>
          <w:rFonts w:cs="Arial"/>
          <w:b/>
          <w:bCs/>
          <w:sz w:val="28"/>
          <w:szCs w:val="28"/>
        </w:rPr>
        <w:tab/>
      </w:r>
      <w:r w:rsidR="005D23B1" w:rsidRPr="00A41D39">
        <w:rPr>
          <w:rFonts w:cs="Arial"/>
          <w:b/>
          <w:bCs/>
          <w:sz w:val="28"/>
          <w:szCs w:val="28"/>
        </w:rPr>
        <w:t>Submitted to:</w:t>
      </w:r>
    </w:p>
    <w:p w14:paraId="5FA1D1FB" w14:textId="6D8D5740" w:rsidR="005D23B1" w:rsidRPr="00A41D39" w:rsidRDefault="005D23B1" w:rsidP="000A4266">
      <w:pPr>
        <w:jc w:val="both"/>
        <w:rPr>
          <w:rFonts w:cs="Arial"/>
          <w:b/>
          <w:bCs/>
          <w:sz w:val="28"/>
          <w:szCs w:val="28"/>
        </w:rPr>
      </w:pPr>
      <w:r w:rsidRPr="00A41D39">
        <w:rPr>
          <w:rFonts w:cs="Arial"/>
          <w:b/>
          <w:bCs/>
          <w:sz w:val="28"/>
          <w:szCs w:val="28"/>
        </w:rPr>
        <w:t xml:space="preserve">                               </w:t>
      </w:r>
      <w:r w:rsidR="00E4791A" w:rsidRPr="00A41D39">
        <w:rPr>
          <w:rFonts w:cs="Arial"/>
          <w:b/>
          <w:bCs/>
          <w:sz w:val="28"/>
          <w:szCs w:val="28"/>
        </w:rPr>
        <w:t xml:space="preserve">   </w:t>
      </w:r>
      <w:r w:rsidRPr="00A41D39">
        <w:rPr>
          <w:rFonts w:cs="Arial"/>
          <w:b/>
          <w:bCs/>
          <w:sz w:val="28"/>
          <w:szCs w:val="28"/>
        </w:rPr>
        <w:t xml:space="preserve"> </w:t>
      </w:r>
      <w:r w:rsidR="00A41D39">
        <w:rPr>
          <w:rFonts w:cs="Arial"/>
          <w:b/>
          <w:bCs/>
          <w:sz w:val="28"/>
          <w:szCs w:val="28"/>
        </w:rPr>
        <w:tab/>
      </w:r>
      <w:r w:rsidRPr="00A41D39">
        <w:rPr>
          <w:rFonts w:cs="Arial"/>
          <w:b/>
          <w:bCs/>
          <w:sz w:val="28"/>
          <w:szCs w:val="28"/>
        </w:rPr>
        <w:t xml:space="preserve"> </w:t>
      </w:r>
      <w:r w:rsidR="00956F0E">
        <w:rPr>
          <w:rFonts w:cs="Arial"/>
          <w:b/>
          <w:bCs/>
          <w:sz w:val="28"/>
          <w:szCs w:val="28"/>
        </w:rPr>
        <w:tab/>
      </w:r>
      <w:r w:rsidR="006F2A66" w:rsidRPr="00A41D39">
        <w:rPr>
          <w:rFonts w:cs="Arial"/>
          <w:b/>
          <w:bCs/>
          <w:sz w:val="28"/>
          <w:szCs w:val="28"/>
        </w:rPr>
        <w:t>Dr</w:t>
      </w:r>
      <w:r w:rsidRPr="00A41D39">
        <w:rPr>
          <w:rFonts w:cs="Arial"/>
          <w:b/>
          <w:bCs/>
          <w:sz w:val="28"/>
          <w:szCs w:val="28"/>
        </w:rPr>
        <w:t xml:space="preserve"> Jia </w:t>
      </w:r>
      <w:r w:rsidR="00594D43">
        <w:rPr>
          <w:rFonts w:cs="Arial"/>
          <w:b/>
          <w:bCs/>
          <w:sz w:val="28"/>
          <w:szCs w:val="28"/>
        </w:rPr>
        <w:t>M</w:t>
      </w:r>
      <w:r w:rsidRPr="00A41D39">
        <w:rPr>
          <w:rFonts w:cs="Arial"/>
          <w:b/>
          <w:bCs/>
          <w:sz w:val="28"/>
          <w:szCs w:val="28"/>
        </w:rPr>
        <w:t>iao</w:t>
      </w:r>
      <w:r w:rsidR="001B69C0" w:rsidRPr="00A41D39">
        <w:rPr>
          <w:rFonts w:cs="Arial"/>
          <w:b/>
          <w:bCs/>
          <w:sz w:val="28"/>
          <w:szCs w:val="28"/>
        </w:rPr>
        <w:t xml:space="preserve">, </w:t>
      </w:r>
      <w:r w:rsidR="00E4791A" w:rsidRPr="00A41D39">
        <w:rPr>
          <w:rFonts w:cs="Arial"/>
          <w:b/>
          <w:bCs/>
          <w:sz w:val="28"/>
          <w:szCs w:val="28"/>
        </w:rPr>
        <w:t xml:space="preserve">PHD </w:t>
      </w:r>
    </w:p>
    <w:p w14:paraId="49D6E387" w14:textId="77777777" w:rsidR="00B249CA" w:rsidRDefault="00B249CA">
      <w:pPr>
        <w:rPr>
          <w:rFonts w:ascii="Arial" w:hAnsi="Arial" w:cs="Arial"/>
          <w:b/>
          <w:bCs/>
          <w:sz w:val="28"/>
          <w:szCs w:val="28"/>
        </w:rPr>
      </w:pPr>
    </w:p>
    <w:p w14:paraId="2C9A1970" w14:textId="77777777" w:rsidR="00B249CA" w:rsidRDefault="00B249CA">
      <w:pPr>
        <w:rPr>
          <w:rFonts w:ascii="Arial" w:hAnsi="Arial" w:cs="Arial"/>
          <w:b/>
          <w:bCs/>
          <w:sz w:val="28"/>
          <w:szCs w:val="28"/>
        </w:rPr>
      </w:pPr>
    </w:p>
    <w:p w14:paraId="02ABD664" w14:textId="579B196F" w:rsidR="00470E24" w:rsidRPr="00956F0E" w:rsidRDefault="00B249CA" w:rsidP="00956F0E">
      <w:pPr>
        <w:jc w:val="both"/>
        <w:rPr>
          <w:rFonts w:cs="Arial"/>
          <w:b/>
          <w:bCs/>
          <w:sz w:val="28"/>
          <w:szCs w:val="28"/>
        </w:rPr>
      </w:pPr>
      <w:r>
        <w:rPr>
          <w:rFonts w:ascii="Arial" w:hAnsi="Arial" w:cs="Arial"/>
          <w:b/>
          <w:bCs/>
          <w:sz w:val="28"/>
          <w:szCs w:val="28"/>
        </w:rPr>
        <w:t xml:space="preserve">                                    </w:t>
      </w:r>
      <w:r w:rsidR="00C92A6B">
        <w:rPr>
          <w:rFonts w:ascii="Arial" w:hAnsi="Arial" w:cs="Arial"/>
          <w:b/>
          <w:bCs/>
          <w:sz w:val="28"/>
          <w:szCs w:val="28"/>
        </w:rPr>
        <w:t xml:space="preserve"> </w:t>
      </w:r>
      <w:r w:rsidRPr="00956F0E">
        <w:rPr>
          <w:rFonts w:cs="Arial"/>
          <w:b/>
          <w:bCs/>
          <w:sz w:val="28"/>
          <w:szCs w:val="28"/>
        </w:rPr>
        <w:t>Dissertation</w:t>
      </w:r>
    </w:p>
    <w:p w14:paraId="3D46C605" w14:textId="7B5DC6A8" w:rsidR="00B249CA" w:rsidRPr="00956F0E" w:rsidRDefault="00470E24" w:rsidP="00956F0E">
      <w:pPr>
        <w:jc w:val="both"/>
        <w:rPr>
          <w:rFonts w:cs="Arial"/>
          <w:b/>
          <w:bCs/>
          <w:sz w:val="28"/>
          <w:szCs w:val="28"/>
        </w:rPr>
      </w:pPr>
      <w:r w:rsidRPr="00956F0E">
        <w:rPr>
          <w:rFonts w:cs="Arial"/>
          <w:b/>
          <w:bCs/>
          <w:sz w:val="28"/>
          <w:szCs w:val="28"/>
        </w:rPr>
        <w:t xml:space="preserve">                                       </w:t>
      </w:r>
      <w:r w:rsidR="00345742">
        <w:rPr>
          <w:rFonts w:cs="Arial"/>
          <w:b/>
          <w:bCs/>
          <w:sz w:val="28"/>
          <w:szCs w:val="28"/>
        </w:rPr>
        <w:tab/>
      </w:r>
      <w:r w:rsidRPr="00956F0E">
        <w:rPr>
          <w:rFonts w:cs="Arial"/>
          <w:b/>
          <w:bCs/>
          <w:sz w:val="28"/>
          <w:szCs w:val="28"/>
        </w:rPr>
        <w:t xml:space="preserve"> LCBB6000</w:t>
      </w:r>
      <w:r w:rsidR="00B249CA" w:rsidRPr="00956F0E">
        <w:rPr>
          <w:rFonts w:cs="Arial"/>
          <w:b/>
          <w:bCs/>
          <w:sz w:val="28"/>
          <w:szCs w:val="28"/>
        </w:rPr>
        <w:t xml:space="preserve"> </w:t>
      </w:r>
    </w:p>
    <w:p w14:paraId="58D84A5C" w14:textId="5B609D33" w:rsidR="0053372F" w:rsidRPr="001F19C1" w:rsidRDefault="00470E24">
      <w:pPr>
        <w:rPr>
          <w:rFonts w:cs="Arial"/>
          <w:b/>
          <w:bCs/>
          <w:sz w:val="24"/>
          <w:szCs w:val="24"/>
        </w:rPr>
      </w:pPr>
      <w:r w:rsidRPr="008A7CFC">
        <w:rPr>
          <w:rFonts w:cs="Arial"/>
          <w:sz w:val="32"/>
          <w:szCs w:val="32"/>
        </w:rPr>
        <w:t xml:space="preserve">    </w:t>
      </w:r>
      <w:r w:rsidR="007C145C" w:rsidRPr="008A7CFC">
        <w:rPr>
          <w:rFonts w:cs="Arial"/>
          <w:sz w:val="32"/>
          <w:szCs w:val="32"/>
        </w:rPr>
        <w:t xml:space="preserve">    </w:t>
      </w:r>
      <w:r w:rsidR="008A7CFC">
        <w:rPr>
          <w:rFonts w:cs="Arial"/>
          <w:sz w:val="32"/>
          <w:szCs w:val="32"/>
        </w:rPr>
        <w:tab/>
      </w:r>
      <w:r w:rsidR="007C145C" w:rsidRPr="008A7CFC">
        <w:rPr>
          <w:rFonts w:cs="Arial"/>
          <w:sz w:val="32"/>
          <w:szCs w:val="32"/>
        </w:rPr>
        <w:t xml:space="preserve">   </w:t>
      </w:r>
      <w:r w:rsidR="0053372F" w:rsidRPr="008A7CFC">
        <w:rPr>
          <w:rFonts w:cs="Arial"/>
          <w:sz w:val="32"/>
          <w:szCs w:val="32"/>
        </w:rPr>
        <w:t xml:space="preserve"> </w:t>
      </w:r>
      <w:r w:rsidRPr="008A7CFC">
        <w:rPr>
          <w:rFonts w:cs="Arial"/>
          <w:sz w:val="32"/>
          <w:szCs w:val="32"/>
        </w:rPr>
        <w:t xml:space="preserve">   </w:t>
      </w:r>
      <w:r w:rsidR="00972B06">
        <w:rPr>
          <w:rFonts w:cs="Arial"/>
          <w:sz w:val="32"/>
          <w:szCs w:val="32"/>
        </w:rPr>
        <w:t xml:space="preserve">       </w:t>
      </w:r>
      <w:r w:rsidR="007C145C" w:rsidRPr="001F19C1">
        <w:rPr>
          <w:rFonts w:cs="Arial"/>
          <w:b/>
          <w:bCs/>
          <w:sz w:val="24"/>
          <w:szCs w:val="24"/>
        </w:rPr>
        <w:t xml:space="preserve">University of </w:t>
      </w:r>
      <w:r w:rsidR="0053372F" w:rsidRPr="001F19C1">
        <w:rPr>
          <w:rFonts w:cs="Arial"/>
          <w:b/>
          <w:bCs/>
          <w:sz w:val="24"/>
          <w:szCs w:val="24"/>
        </w:rPr>
        <w:t>W</w:t>
      </w:r>
      <w:r w:rsidR="007C145C" w:rsidRPr="001F19C1">
        <w:rPr>
          <w:rFonts w:cs="Arial"/>
          <w:b/>
          <w:bCs/>
          <w:sz w:val="24"/>
          <w:szCs w:val="24"/>
        </w:rPr>
        <w:t xml:space="preserve">ales </w:t>
      </w:r>
      <w:r w:rsidR="0053372F" w:rsidRPr="001F19C1">
        <w:rPr>
          <w:rFonts w:cs="Arial"/>
          <w:b/>
          <w:bCs/>
          <w:sz w:val="24"/>
          <w:szCs w:val="24"/>
        </w:rPr>
        <w:t>T</w:t>
      </w:r>
      <w:r w:rsidR="007C145C" w:rsidRPr="001F19C1">
        <w:rPr>
          <w:rFonts w:cs="Arial"/>
          <w:b/>
          <w:bCs/>
          <w:sz w:val="24"/>
          <w:szCs w:val="24"/>
        </w:rPr>
        <w:t xml:space="preserve">rinity </w:t>
      </w:r>
      <w:r w:rsidR="0053372F" w:rsidRPr="001F19C1">
        <w:rPr>
          <w:rFonts w:cs="Arial"/>
          <w:b/>
          <w:bCs/>
          <w:sz w:val="24"/>
          <w:szCs w:val="24"/>
        </w:rPr>
        <w:t>S</w:t>
      </w:r>
      <w:r w:rsidR="007C145C" w:rsidRPr="001F19C1">
        <w:rPr>
          <w:rFonts w:cs="Arial"/>
          <w:b/>
          <w:bCs/>
          <w:sz w:val="24"/>
          <w:szCs w:val="24"/>
        </w:rPr>
        <w:t xml:space="preserve">aint </w:t>
      </w:r>
      <w:r w:rsidR="008A7CFC" w:rsidRPr="001F19C1">
        <w:rPr>
          <w:rFonts w:cs="Arial"/>
          <w:b/>
          <w:bCs/>
          <w:sz w:val="24"/>
          <w:szCs w:val="24"/>
        </w:rPr>
        <w:t>David, London</w:t>
      </w:r>
    </w:p>
    <w:p w14:paraId="7E3B6939" w14:textId="77777777" w:rsidR="00896C62" w:rsidRPr="00972B06" w:rsidRDefault="00896C62">
      <w:pPr>
        <w:rPr>
          <w:rFonts w:cs="Arial"/>
          <w:sz w:val="24"/>
          <w:szCs w:val="24"/>
        </w:rPr>
      </w:pPr>
    </w:p>
    <w:p w14:paraId="58161DF5" w14:textId="08F93C40" w:rsidR="00503F3B" w:rsidRPr="001F19C1" w:rsidRDefault="00CC2409">
      <w:pPr>
        <w:rPr>
          <w:rFonts w:cs="Arial"/>
          <w:b/>
          <w:bCs/>
          <w:sz w:val="24"/>
          <w:szCs w:val="24"/>
        </w:rPr>
      </w:pPr>
      <w:r>
        <w:rPr>
          <w:rFonts w:cs="Arial"/>
          <w:sz w:val="24"/>
          <w:szCs w:val="24"/>
        </w:rPr>
        <w:t xml:space="preserve">        </w:t>
      </w:r>
      <w:r w:rsidR="00605EBB">
        <w:rPr>
          <w:rFonts w:cs="Arial"/>
          <w:sz w:val="24"/>
          <w:szCs w:val="24"/>
        </w:rPr>
        <w:t xml:space="preserve"> </w:t>
      </w:r>
      <w:r w:rsidR="00BF7055" w:rsidRPr="001F19C1">
        <w:rPr>
          <w:rFonts w:cs="Arial"/>
          <w:b/>
          <w:bCs/>
          <w:sz w:val="24"/>
          <w:szCs w:val="24"/>
        </w:rPr>
        <w:t xml:space="preserve">This dissertation is for the partial </w:t>
      </w:r>
      <w:r w:rsidR="0097054C" w:rsidRPr="001F19C1">
        <w:rPr>
          <w:rFonts w:cs="Arial"/>
          <w:b/>
          <w:bCs/>
          <w:sz w:val="24"/>
          <w:szCs w:val="24"/>
        </w:rPr>
        <w:t xml:space="preserve">fulfilment of the degree of BA </w:t>
      </w:r>
      <w:r w:rsidR="00D60D8D" w:rsidRPr="001F19C1">
        <w:rPr>
          <w:rFonts w:cs="Arial"/>
          <w:b/>
          <w:bCs/>
          <w:sz w:val="24"/>
          <w:szCs w:val="24"/>
        </w:rPr>
        <w:t>(Hons) Busi</w:t>
      </w:r>
      <w:r w:rsidR="00896C62" w:rsidRPr="001F19C1">
        <w:rPr>
          <w:rFonts w:cs="Arial"/>
          <w:b/>
          <w:bCs/>
          <w:sz w:val="24"/>
          <w:szCs w:val="24"/>
        </w:rPr>
        <w:t xml:space="preserve">ness </w:t>
      </w:r>
      <w:r w:rsidR="007C145C" w:rsidRPr="001F19C1">
        <w:rPr>
          <w:rFonts w:cs="Arial"/>
          <w:b/>
          <w:bCs/>
          <w:sz w:val="24"/>
          <w:szCs w:val="24"/>
        </w:rPr>
        <w:t xml:space="preserve"> </w:t>
      </w:r>
      <w:r w:rsidR="00BC36D8" w:rsidRPr="001F19C1">
        <w:rPr>
          <w:rFonts w:cs="Arial"/>
          <w:b/>
          <w:bCs/>
          <w:sz w:val="24"/>
          <w:szCs w:val="24"/>
        </w:rPr>
        <w:t xml:space="preserve">   </w:t>
      </w:r>
    </w:p>
    <w:p w14:paraId="023ABD18" w14:textId="5971E292" w:rsidR="004E257D" w:rsidRPr="001F19C1" w:rsidRDefault="00503F3B">
      <w:pPr>
        <w:rPr>
          <w:rFonts w:cs="Arial"/>
          <w:b/>
          <w:bCs/>
          <w:sz w:val="24"/>
          <w:szCs w:val="24"/>
        </w:rPr>
      </w:pPr>
      <w:r w:rsidRPr="001F19C1">
        <w:rPr>
          <w:rFonts w:cs="Arial"/>
          <w:b/>
          <w:bCs/>
          <w:sz w:val="24"/>
          <w:szCs w:val="24"/>
        </w:rPr>
        <w:t xml:space="preserve">            </w:t>
      </w:r>
      <w:r w:rsidR="00CC2409" w:rsidRPr="001F19C1">
        <w:rPr>
          <w:rFonts w:cs="Arial"/>
          <w:b/>
          <w:bCs/>
          <w:sz w:val="24"/>
          <w:szCs w:val="24"/>
        </w:rPr>
        <w:t xml:space="preserve"> </w:t>
      </w:r>
      <w:r w:rsidR="00CC2409" w:rsidRPr="001F19C1">
        <w:rPr>
          <w:rFonts w:cs="Arial"/>
          <w:b/>
          <w:bCs/>
          <w:sz w:val="24"/>
          <w:szCs w:val="24"/>
        </w:rPr>
        <w:tab/>
      </w:r>
      <w:r w:rsidR="00CC2409" w:rsidRPr="001F19C1">
        <w:rPr>
          <w:rFonts w:cs="Arial"/>
          <w:b/>
          <w:bCs/>
          <w:sz w:val="24"/>
          <w:szCs w:val="24"/>
        </w:rPr>
        <w:tab/>
      </w:r>
      <w:r w:rsidR="00CC2409" w:rsidRPr="001F19C1">
        <w:rPr>
          <w:rFonts w:cs="Arial"/>
          <w:b/>
          <w:bCs/>
          <w:sz w:val="24"/>
          <w:szCs w:val="24"/>
        </w:rPr>
        <w:tab/>
      </w:r>
      <w:r w:rsidR="00CC2409" w:rsidRPr="001F19C1">
        <w:rPr>
          <w:rFonts w:cs="Arial"/>
          <w:b/>
          <w:bCs/>
          <w:sz w:val="24"/>
          <w:szCs w:val="24"/>
        </w:rPr>
        <w:tab/>
      </w:r>
      <w:r w:rsidR="00605EBB">
        <w:rPr>
          <w:rFonts w:cs="Arial"/>
          <w:b/>
          <w:bCs/>
          <w:sz w:val="24"/>
          <w:szCs w:val="24"/>
        </w:rPr>
        <w:t xml:space="preserve">       </w:t>
      </w:r>
      <w:r w:rsidRPr="001F19C1">
        <w:rPr>
          <w:rFonts w:cs="Arial"/>
          <w:b/>
          <w:bCs/>
          <w:sz w:val="24"/>
          <w:szCs w:val="24"/>
        </w:rPr>
        <w:t>Mana</w:t>
      </w:r>
      <w:r w:rsidR="004E257D" w:rsidRPr="001F19C1">
        <w:rPr>
          <w:rFonts w:cs="Arial"/>
          <w:b/>
          <w:bCs/>
          <w:sz w:val="24"/>
          <w:szCs w:val="24"/>
        </w:rPr>
        <w:t>gement.</w:t>
      </w:r>
      <w:r w:rsidR="00BC36D8" w:rsidRPr="001F19C1">
        <w:rPr>
          <w:rFonts w:cs="Arial"/>
          <w:b/>
          <w:bCs/>
          <w:sz w:val="24"/>
          <w:szCs w:val="24"/>
        </w:rPr>
        <w:t xml:space="preserve">    </w:t>
      </w:r>
    </w:p>
    <w:p w14:paraId="0083BB87" w14:textId="77777777" w:rsidR="004E257D" w:rsidRDefault="004E257D">
      <w:pPr>
        <w:rPr>
          <w:rFonts w:ascii="Arial" w:hAnsi="Arial" w:cs="Arial"/>
          <w:sz w:val="24"/>
          <w:szCs w:val="24"/>
        </w:rPr>
      </w:pPr>
      <w:r>
        <w:rPr>
          <w:rFonts w:ascii="Arial" w:hAnsi="Arial" w:cs="Arial"/>
          <w:sz w:val="24"/>
          <w:szCs w:val="24"/>
        </w:rPr>
        <w:t xml:space="preserve">                                            </w:t>
      </w:r>
    </w:p>
    <w:p w14:paraId="03055D9C" w14:textId="79BA78D2" w:rsidR="005B3B3C" w:rsidRDefault="004E257D">
      <w:pPr>
        <w:rPr>
          <w:rFonts w:ascii="Arial" w:hAnsi="Arial" w:cs="Arial"/>
          <w:b/>
          <w:bCs/>
          <w:sz w:val="24"/>
          <w:szCs w:val="24"/>
        </w:rPr>
      </w:pPr>
      <w:r w:rsidRPr="00253BEF">
        <w:rPr>
          <w:rFonts w:ascii="Arial" w:hAnsi="Arial" w:cs="Arial"/>
          <w:b/>
          <w:bCs/>
          <w:sz w:val="24"/>
          <w:szCs w:val="24"/>
        </w:rPr>
        <w:t xml:space="preserve">                                          </w:t>
      </w:r>
      <w:r w:rsidR="00253BEF" w:rsidRPr="00253BEF">
        <w:rPr>
          <w:rFonts w:ascii="Arial" w:hAnsi="Arial" w:cs="Arial"/>
          <w:b/>
          <w:bCs/>
          <w:sz w:val="24"/>
          <w:szCs w:val="24"/>
        </w:rPr>
        <w:t xml:space="preserve">   </w:t>
      </w:r>
      <w:r w:rsidR="00605EBB">
        <w:rPr>
          <w:rFonts w:ascii="Arial" w:hAnsi="Arial" w:cs="Arial"/>
          <w:b/>
          <w:bCs/>
          <w:sz w:val="24"/>
          <w:szCs w:val="24"/>
        </w:rPr>
        <w:t xml:space="preserve">     </w:t>
      </w:r>
      <w:r w:rsidR="00253BEF" w:rsidRPr="00253BEF">
        <w:rPr>
          <w:rFonts w:ascii="Arial" w:hAnsi="Arial" w:cs="Arial"/>
          <w:b/>
          <w:bCs/>
          <w:sz w:val="24"/>
          <w:szCs w:val="24"/>
        </w:rPr>
        <w:t>22/12/2025</w:t>
      </w:r>
      <w:r w:rsidR="00BC36D8" w:rsidRPr="00253BEF">
        <w:rPr>
          <w:rFonts w:ascii="Arial" w:hAnsi="Arial" w:cs="Arial"/>
          <w:b/>
          <w:bCs/>
          <w:sz w:val="24"/>
          <w:szCs w:val="24"/>
        </w:rPr>
        <w:t xml:space="preserve">        </w:t>
      </w:r>
    </w:p>
    <w:p w14:paraId="2C6AD665" w14:textId="77777777" w:rsidR="00E023BC" w:rsidRDefault="00E023BC">
      <w:pPr>
        <w:rPr>
          <w:rFonts w:ascii="Arial" w:hAnsi="Arial" w:cs="Arial"/>
          <w:b/>
          <w:bCs/>
          <w:sz w:val="24"/>
          <w:szCs w:val="24"/>
        </w:rPr>
      </w:pPr>
    </w:p>
    <w:p w14:paraId="01314796" w14:textId="77777777" w:rsidR="00E023BC" w:rsidRDefault="00E023BC">
      <w:pPr>
        <w:rPr>
          <w:rFonts w:ascii="Arial" w:hAnsi="Arial" w:cs="Arial"/>
          <w:b/>
          <w:bCs/>
          <w:sz w:val="24"/>
          <w:szCs w:val="24"/>
        </w:rPr>
      </w:pPr>
    </w:p>
    <w:p w14:paraId="7685C913" w14:textId="77777777" w:rsidR="00E023BC" w:rsidRDefault="00E023BC">
      <w:pPr>
        <w:rPr>
          <w:rFonts w:ascii="Arial" w:hAnsi="Arial" w:cs="Arial"/>
          <w:b/>
          <w:bCs/>
          <w:sz w:val="24"/>
          <w:szCs w:val="24"/>
        </w:rPr>
      </w:pPr>
    </w:p>
    <w:p w14:paraId="1433B23F" w14:textId="77777777" w:rsidR="00E023BC" w:rsidRDefault="00E023BC">
      <w:pPr>
        <w:rPr>
          <w:rFonts w:ascii="Arial" w:hAnsi="Arial" w:cs="Arial"/>
          <w:b/>
          <w:bCs/>
          <w:sz w:val="24"/>
          <w:szCs w:val="24"/>
        </w:rPr>
      </w:pPr>
    </w:p>
    <w:p w14:paraId="13501700" w14:textId="77777777" w:rsidR="00E023BC" w:rsidRDefault="00E023BC">
      <w:pPr>
        <w:rPr>
          <w:rFonts w:ascii="Arial" w:hAnsi="Arial" w:cs="Arial"/>
          <w:b/>
          <w:bCs/>
          <w:sz w:val="24"/>
          <w:szCs w:val="24"/>
        </w:rPr>
      </w:pPr>
    </w:p>
    <w:p w14:paraId="45508E50" w14:textId="77777777" w:rsidR="00E023BC" w:rsidRDefault="00E023BC">
      <w:pPr>
        <w:rPr>
          <w:rFonts w:ascii="Arial" w:hAnsi="Arial" w:cs="Arial"/>
          <w:b/>
          <w:bCs/>
          <w:sz w:val="24"/>
          <w:szCs w:val="24"/>
        </w:rPr>
      </w:pPr>
    </w:p>
    <w:p w14:paraId="4196496D" w14:textId="630CF44F" w:rsidR="00B226C7" w:rsidRPr="00CB53C4" w:rsidRDefault="00B226C7">
      <w:pPr>
        <w:rPr>
          <w:rFonts w:cs="Arial"/>
          <w:b/>
          <w:bCs/>
          <w:i/>
          <w:sz w:val="32"/>
          <w:szCs w:val="32"/>
        </w:rPr>
      </w:pPr>
      <w:r w:rsidRPr="00B226C7">
        <w:rPr>
          <w:rFonts w:cs="Arial"/>
          <w:b/>
          <w:bCs/>
          <w:sz w:val="32"/>
          <w:szCs w:val="32"/>
        </w:rPr>
        <w:lastRenderedPageBreak/>
        <w:t>D</w:t>
      </w:r>
      <w:r w:rsidR="002D4A3F" w:rsidRPr="00B226C7">
        <w:rPr>
          <w:rFonts w:cs="Arial"/>
          <w:b/>
          <w:bCs/>
          <w:sz w:val="32"/>
          <w:szCs w:val="32"/>
        </w:rPr>
        <w:t>ecla</w:t>
      </w:r>
      <w:r w:rsidRPr="00B226C7">
        <w:rPr>
          <w:rFonts w:cs="Arial"/>
          <w:b/>
          <w:bCs/>
          <w:sz w:val="32"/>
          <w:szCs w:val="32"/>
        </w:rPr>
        <w:t xml:space="preserve">ration </w:t>
      </w:r>
    </w:p>
    <w:p w14:paraId="4EED4601" w14:textId="57990090" w:rsidR="00782BCE" w:rsidRPr="00CE6D2F" w:rsidRDefault="00782BCE" w:rsidP="00782BCE">
      <w:pPr>
        <w:rPr>
          <w:rFonts w:cs="Arial"/>
          <w:sz w:val="24"/>
          <w:szCs w:val="24"/>
        </w:rPr>
      </w:pPr>
      <w:r w:rsidRPr="00CE6D2F">
        <w:rPr>
          <w:rFonts w:cs="Arial"/>
          <w:sz w:val="24"/>
          <w:szCs w:val="24"/>
        </w:rPr>
        <w:t xml:space="preserve">I, </w:t>
      </w:r>
      <w:r w:rsidR="00E14B78" w:rsidRPr="00CE6D2F">
        <w:rPr>
          <w:rFonts w:cs="Arial"/>
          <w:sz w:val="24"/>
          <w:szCs w:val="24"/>
        </w:rPr>
        <w:t>Rajeshwari Bingi</w:t>
      </w:r>
      <w:r w:rsidRPr="00CE6D2F">
        <w:rPr>
          <w:rFonts w:cs="Arial"/>
          <w:sz w:val="24"/>
          <w:szCs w:val="24"/>
        </w:rPr>
        <w:t xml:space="preserve">, a </w:t>
      </w:r>
      <w:r w:rsidR="000102B5" w:rsidRPr="00CE6D2F">
        <w:rPr>
          <w:rFonts w:cs="Arial"/>
          <w:sz w:val="24"/>
          <w:szCs w:val="24"/>
        </w:rPr>
        <w:t>Student</w:t>
      </w:r>
      <w:r w:rsidRPr="00CE6D2F">
        <w:rPr>
          <w:rFonts w:cs="Arial"/>
          <w:sz w:val="24"/>
          <w:szCs w:val="24"/>
        </w:rPr>
        <w:t xml:space="preserve"> at </w:t>
      </w:r>
      <w:r w:rsidR="000102B5" w:rsidRPr="00CE6D2F">
        <w:rPr>
          <w:rFonts w:cs="Arial"/>
          <w:sz w:val="24"/>
          <w:szCs w:val="24"/>
        </w:rPr>
        <w:t xml:space="preserve">University of </w:t>
      </w:r>
      <w:r w:rsidR="00A37C93" w:rsidRPr="00CE6D2F">
        <w:rPr>
          <w:rFonts w:cs="Arial"/>
          <w:sz w:val="24"/>
          <w:szCs w:val="24"/>
        </w:rPr>
        <w:t xml:space="preserve">Wales </w:t>
      </w:r>
      <w:r w:rsidR="00CE6D2F" w:rsidRPr="00CE6D2F">
        <w:rPr>
          <w:rFonts w:cs="Arial"/>
          <w:sz w:val="24"/>
          <w:szCs w:val="24"/>
        </w:rPr>
        <w:t xml:space="preserve">Trinity saint </w:t>
      </w:r>
      <w:r w:rsidR="00D86061">
        <w:rPr>
          <w:rFonts w:cs="Arial"/>
          <w:sz w:val="24"/>
          <w:szCs w:val="24"/>
        </w:rPr>
        <w:t>D</w:t>
      </w:r>
      <w:r w:rsidR="00CE6D2F" w:rsidRPr="00CE6D2F">
        <w:rPr>
          <w:rFonts w:cs="Arial"/>
          <w:sz w:val="24"/>
          <w:szCs w:val="24"/>
        </w:rPr>
        <w:t>avid</w:t>
      </w:r>
      <w:r w:rsidRPr="00CE6D2F">
        <w:rPr>
          <w:rFonts w:cs="Arial"/>
          <w:sz w:val="24"/>
          <w:szCs w:val="24"/>
        </w:rPr>
        <w:t>, hereby declare that the research titled "</w:t>
      </w:r>
      <w:r w:rsidR="00A316F4" w:rsidRPr="00A316F4">
        <w:rPr>
          <w:rFonts w:cs="Arial"/>
          <w:sz w:val="24"/>
          <w:szCs w:val="24"/>
        </w:rPr>
        <w:t xml:space="preserve"> The Impact of Responsible Gambling Initiatives on Customer Loyalty: A Case Study of Entain plc</w:t>
      </w:r>
      <w:r w:rsidRPr="00CE6D2F">
        <w:rPr>
          <w:rFonts w:cs="Arial"/>
          <w:sz w:val="24"/>
          <w:szCs w:val="24"/>
        </w:rPr>
        <w:t xml:space="preserve">" is an original work conducted by me. The study aims to investigate </w:t>
      </w:r>
      <w:r w:rsidR="00D63199" w:rsidRPr="00D63199">
        <w:rPr>
          <w:rFonts w:cs="Arial"/>
          <w:sz w:val="24"/>
          <w:szCs w:val="24"/>
        </w:rPr>
        <w:t>to assess the impact of responsible gambling initiatives on customer loyalty within Entain plc’s online betting platforms.</w:t>
      </w:r>
    </w:p>
    <w:p w14:paraId="7FA3717F" w14:textId="2CCF456C" w:rsidR="00782BCE" w:rsidRPr="00CE6D2F" w:rsidRDefault="00782BCE" w:rsidP="00782BCE">
      <w:pPr>
        <w:rPr>
          <w:rFonts w:cs="Arial"/>
          <w:sz w:val="24"/>
          <w:szCs w:val="24"/>
        </w:rPr>
      </w:pPr>
      <w:r w:rsidRPr="00CE6D2F">
        <w:rPr>
          <w:rFonts w:cs="Arial"/>
          <w:sz w:val="24"/>
          <w:szCs w:val="24"/>
        </w:rPr>
        <w:t>The research follows ethical guidelines, ensuring confidentiality and voluntary participation of all subjects. The methodology used includes</w:t>
      </w:r>
      <w:r w:rsidR="00EE2759">
        <w:rPr>
          <w:rFonts w:cs="Arial"/>
          <w:sz w:val="24"/>
          <w:szCs w:val="24"/>
        </w:rPr>
        <w:t xml:space="preserve"> </w:t>
      </w:r>
      <w:r w:rsidR="00EE2759" w:rsidRPr="00EE2759">
        <w:rPr>
          <w:rFonts w:cs="Arial"/>
          <w:sz w:val="24"/>
          <w:szCs w:val="24"/>
        </w:rPr>
        <w:t xml:space="preserve">a qualitative research methodology, which is premised on the interpretation of secondary sources, which are reports by companies, scholarly sources, and industry publications on responsible gambling and customer </w:t>
      </w:r>
      <w:r w:rsidR="00EE2759" w:rsidRPr="00EE2759">
        <w:rPr>
          <w:rFonts w:cs="Arial"/>
          <w:sz w:val="24"/>
          <w:szCs w:val="24"/>
        </w:rPr>
        <w:t>loyalty.</w:t>
      </w:r>
      <w:r w:rsidRPr="00CE6D2F">
        <w:rPr>
          <w:rFonts w:cs="Arial"/>
          <w:sz w:val="24"/>
          <w:szCs w:val="24"/>
        </w:rPr>
        <w:t xml:space="preserve"> Any funding received for this study has been disclosed, and there is no conflict of interest.</w:t>
      </w:r>
    </w:p>
    <w:p w14:paraId="3C460CDF" w14:textId="24465AB5" w:rsidR="00782BCE" w:rsidRPr="00CE6D2F" w:rsidRDefault="00782BCE" w:rsidP="00782BCE">
      <w:pPr>
        <w:rPr>
          <w:rFonts w:cs="Arial"/>
          <w:sz w:val="24"/>
          <w:szCs w:val="24"/>
        </w:rPr>
      </w:pPr>
      <w:r w:rsidRPr="00CE6D2F">
        <w:rPr>
          <w:rFonts w:cs="Arial"/>
          <w:sz w:val="24"/>
          <w:szCs w:val="24"/>
        </w:rPr>
        <w:t xml:space="preserve">I affirm that this research adheres to the ethical standards set by </w:t>
      </w:r>
      <w:r w:rsidR="00494605">
        <w:rPr>
          <w:rFonts w:cs="Arial"/>
          <w:sz w:val="24"/>
          <w:szCs w:val="24"/>
        </w:rPr>
        <w:t xml:space="preserve">University of </w:t>
      </w:r>
      <w:r w:rsidR="005D5DEE">
        <w:rPr>
          <w:rFonts w:cs="Arial"/>
          <w:sz w:val="24"/>
          <w:szCs w:val="24"/>
        </w:rPr>
        <w:t>Wales</w:t>
      </w:r>
      <w:r w:rsidR="00461A26">
        <w:rPr>
          <w:rFonts w:cs="Arial"/>
          <w:sz w:val="24"/>
          <w:szCs w:val="24"/>
        </w:rPr>
        <w:t xml:space="preserve"> Trinity Saint </w:t>
      </w:r>
      <w:r w:rsidR="008D78D8">
        <w:rPr>
          <w:rFonts w:cs="Arial"/>
          <w:sz w:val="24"/>
          <w:szCs w:val="24"/>
        </w:rPr>
        <w:t>David</w:t>
      </w:r>
      <w:r w:rsidRPr="00CE6D2F">
        <w:rPr>
          <w:rFonts w:cs="Arial"/>
          <w:sz w:val="24"/>
          <w:szCs w:val="24"/>
        </w:rPr>
        <w:t xml:space="preserve"> and has not been submitted elsewhere for publication or evaluation.</w:t>
      </w:r>
    </w:p>
    <w:p w14:paraId="6668AB0A" w14:textId="61E4DA66" w:rsidR="00782BCE" w:rsidRPr="00CE6D2F" w:rsidRDefault="00EF51EB" w:rsidP="00782BCE">
      <w:pPr>
        <w:rPr>
          <w:rFonts w:cs="Arial"/>
          <w:sz w:val="24"/>
          <w:szCs w:val="24"/>
        </w:rPr>
      </w:pPr>
      <w:r>
        <w:rPr>
          <w:rFonts w:cs="Arial"/>
          <w:sz w:val="24"/>
          <w:szCs w:val="24"/>
        </w:rPr>
        <w:t>Rajeshwari Bingi</w:t>
      </w:r>
    </w:p>
    <w:p w14:paraId="58768B47" w14:textId="398A20E2" w:rsidR="00782BCE" w:rsidRPr="00CE6D2F" w:rsidRDefault="00EF51EB" w:rsidP="00782BCE">
      <w:pPr>
        <w:rPr>
          <w:rFonts w:cs="Arial"/>
          <w:sz w:val="24"/>
          <w:szCs w:val="24"/>
        </w:rPr>
      </w:pPr>
      <w:r>
        <w:rPr>
          <w:rFonts w:cs="Arial"/>
          <w:sz w:val="24"/>
          <w:szCs w:val="24"/>
        </w:rPr>
        <w:t>University of Wales Trinity saint David</w:t>
      </w:r>
    </w:p>
    <w:p w14:paraId="215E86DB" w14:textId="77777777" w:rsidR="00C576F9" w:rsidRDefault="00EF51EB" w:rsidP="00782BCE">
      <w:pPr>
        <w:rPr>
          <w:rFonts w:cs="Arial"/>
          <w:sz w:val="24"/>
          <w:szCs w:val="24"/>
        </w:rPr>
      </w:pPr>
      <w:r>
        <w:rPr>
          <w:rFonts w:cs="Arial"/>
          <w:sz w:val="24"/>
          <w:szCs w:val="24"/>
        </w:rPr>
        <w:t>22/</w:t>
      </w:r>
      <w:r w:rsidR="00B04953">
        <w:rPr>
          <w:rFonts w:cs="Arial"/>
          <w:sz w:val="24"/>
          <w:szCs w:val="24"/>
        </w:rPr>
        <w:t>12/2025</w:t>
      </w:r>
    </w:p>
    <w:p w14:paraId="00C2C7B8" w14:textId="77777777" w:rsidR="00956765" w:rsidRDefault="00956765">
      <w:pPr>
        <w:rPr>
          <w:rFonts w:cs="Arial"/>
          <w:sz w:val="24"/>
          <w:szCs w:val="24"/>
        </w:rPr>
      </w:pPr>
    </w:p>
    <w:p w14:paraId="535678AF" w14:textId="7431C650" w:rsidR="00663310" w:rsidRDefault="00956765">
      <w:pPr>
        <w:rPr>
          <w:rFonts w:cs="Arial"/>
          <w:sz w:val="24"/>
          <w:szCs w:val="24"/>
        </w:rPr>
      </w:pPr>
      <w:r>
        <w:rPr>
          <w:rFonts w:cs="Arial"/>
          <w:sz w:val="24"/>
          <w:szCs w:val="24"/>
        </w:rPr>
        <w:br w:type="page"/>
      </w:r>
    </w:p>
    <w:p w14:paraId="0F0EF470" w14:textId="77777777" w:rsidR="00E0390A" w:rsidRPr="00EB3983" w:rsidRDefault="007001EC">
      <w:pPr>
        <w:rPr>
          <w:rFonts w:cs="Arial"/>
          <w:b/>
          <w:bCs/>
          <w:sz w:val="28"/>
          <w:szCs w:val="28"/>
        </w:rPr>
      </w:pPr>
      <w:r w:rsidRPr="00EB3983">
        <w:rPr>
          <w:rFonts w:cs="Arial"/>
          <w:b/>
          <w:bCs/>
          <w:sz w:val="28"/>
          <w:szCs w:val="28"/>
        </w:rPr>
        <w:lastRenderedPageBreak/>
        <w:t xml:space="preserve">Abstract </w:t>
      </w:r>
    </w:p>
    <w:p w14:paraId="3491E93E" w14:textId="50002AF9" w:rsidR="00663310" w:rsidRDefault="00E0390A">
      <w:pPr>
        <w:rPr>
          <w:rFonts w:cs="Arial"/>
          <w:sz w:val="24"/>
          <w:szCs w:val="24"/>
        </w:rPr>
      </w:pPr>
      <w:r w:rsidRPr="00E0390A">
        <w:rPr>
          <w:rFonts w:cs="Arial"/>
          <w:sz w:val="24"/>
          <w:szCs w:val="24"/>
        </w:rPr>
        <w:t xml:space="preserve">This paper </w:t>
      </w:r>
      <w:r w:rsidR="009F1666" w:rsidRPr="00E0390A">
        <w:rPr>
          <w:rFonts w:cs="Arial"/>
          <w:sz w:val="24"/>
          <w:szCs w:val="24"/>
        </w:rPr>
        <w:t>analyses</w:t>
      </w:r>
      <w:r w:rsidRPr="00E0390A">
        <w:rPr>
          <w:rFonts w:cs="Arial"/>
          <w:sz w:val="24"/>
          <w:szCs w:val="24"/>
        </w:rPr>
        <w:t xml:space="preserve"> the role of responsible gambling programs in customer retention and uses Entain plc as a case study. The research takes a qualitative case study design, using secondary data in annual and ESG reports of Entain, regulatory reports, and scholarly resources. The results suggest that the responsible gambling tools, such as AI-based intervention within the framework of the </w:t>
      </w:r>
      <w:proofErr w:type="spellStart"/>
      <w:r w:rsidRPr="00E0390A">
        <w:rPr>
          <w:rFonts w:cs="Arial"/>
          <w:sz w:val="24"/>
          <w:szCs w:val="24"/>
        </w:rPr>
        <w:t>ARCtm</w:t>
      </w:r>
      <w:proofErr w:type="spellEnd"/>
      <w:r w:rsidRPr="00E0390A">
        <w:rPr>
          <w:rFonts w:cs="Arial"/>
          <w:sz w:val="24"/>
          <w:szCs w:val="24"/>
        </w:rPr>
        <w:t>, have a positive impact on customer trust and attitudes towards ethical conduct. As a mediating factor, trust is found to have a relationship between responsible gambling initiatives and long-term customer loyalty. The authors conclude that communicated and genuine responsible gambling policies can be used to help find sustainable customer relations, as well as comply with regulatory and ethical standards.</w:t>
      </w:r>
      <w:r w:rsidR="00663310">
        <w:rPr>
          <w:rFonts w:cs="Arial"/>
          <w:sz w:val="24"/>
          <w:szCs w:val="24"/>
        </w:rPr>
        <w:br w:type="page"/>
      </w:r>
    </w:p>
    <w:p w14:paraId="5924CF4E" w14:textId="77777777" w:rsidR="00956765" w:rsidRDefault="00956765">
      <w:pPr>
        <w:rPr>
          <w:rFonts w:cs="Arial"/>
          <w:sz w:val="24"/>
          <w:szCs w:val="24"/>
        </w:rPr>
      </w:pPr>
    </w:p>
    <w:p w14:paraId="46829E9E" w14:textId="77777777" w:rsidR="003F7D79" w:rsidRPr="00EB3983" w:rsidRDefault="00271124">
      <w:pPr>
        <w:rPr>
          <w:rFonts w:cs="Arial"/>
          <w:b/>
          <w:bCs/>
          <w:sz w:val="28"/>
          <w:szCs w:val="28"/>
        </w:rPr>
      </w:pPr>
      <w:r w:rsidRPr="00EB3983">
        <w:rPr>
          <w:rFonts w:cs="Arial"/>
          <w:b/>
          <w:bCs/>
          <w:sz w:val="28"/>
          <w:szCs w:val="28"/>
        </w:rPr>
        <w:t>Ack</w:t>
      </w:r>
      <w:r w:rsidR="003F7D79" w:rsidRPr="00EB3983">
        <w:rPr>
          <w:rFonts w:cs="Arial"/>
          <w:b/>
          <w:bCs/>
          <w:sz w:val="28"/>
          <w:szCs w:val="28"/>
        </w:rPr>
        <w:t>nowledgement</w:t>
      </w:r>
    </w:p>
    <w:p w14:paraId="4F825F08" w14:textId="77777777" w:rsidR="00925C57" w:rsidRDefault="00601B5C">
      <w:pPr>
        <w:rPr>
          <w:rFonts w:cs="Arial"/>
          <w:sz w:val="24"/>
          <w:szCs w:val="24"/>
        </w:rPr>
      </w:pPr>
      <w:r>
        <w:rPr>
          <w:rFonts w:cs="Arial"/>
          <w:sz w:val="24"/>
          <w:szCs w:val="24"/>
        </w:rPr>
        <w:t xml:space="preserve">I would like to express my deepest gratitude to my supervisor, </w:t>
      </w:r>
      <w:r w:rsidR="003B739D" w:rsidRPr="00102ADC">
        <w:rPr>
          <w:rFonts w:cs="Arial"/>
          <w:b/>
          <w:bCs/>
          <w:sz w:val="24"/>
          <w:szCs w:val="24"/>
        </w:rPr>
        <w:t>Dr Jia</w:t>
      </w:r>
      <w:r w:rsidR="00307FBD" w:rsidRPr="00102ADC">
        <w:rPr>
          <w:rFonts w:cs="Arial"/>
          <w:b/>
          <w:bCs/>
          <w:sz w:val="24"/>
          <w:szCs w:val="24"/>
        </w:rPr>
        <w:t xml:space="preserve"> Miao</w:t>
      </w:r>
      <w:r w:rsidR="0073324A" w:rsidRPr="00102ADC">
        <w:rPr>
          <w:rFonts w:cs="Arial"/>
          <w:b/>
          <w:bCs/>
          <w:sz w:val="24"/>
          <w:szCs w:val="24"/>
        </w:rPr>
        <w:t xml:space="preserve">, </w:t>
      </w:r>
      <w:r w:rsidR="0073324A">
        <w:rPr>
          <w:rFonts w:cs="Arial"/>
          <w:sz w:val="24"/>
          <w:szCs w:val="24"/>
        </w:rPr>
        <w:t xml:space="preserve">for their </w:t>
      </w:r>
      <w:r w:rsidR="009F5CBD">
        <w:rPr>
          <w:rFonts w:cs="Arial"/>
          <w:sz w:val="24"/>
          <w:szCs w:val="24"/>
        </w:rPr>
        <w:t xml:space="preserve">invaluable </w:t>
      </w:r>
      <w:r w:rsidR="00102ADC">
        <w:rPr>
          <w:rFonts w:cs="Arial"/>
          <w:sz w:val="24"/>
          <w:szCs w:val="24"/>
        </w:rPr>
        <w:t>guidance,</w:t>
      </w:r>
      <w:r w:rsidR="009F5CBD">
        <w:rPr>
          <w:rFonts w:cs="Arial"/>
          <w:sz w:val="24"/>
          <w:szCs w:val="24"/>
        </w:rPr>
        <w:t xml:space="preserve"> constructive feedback, and encouragement</w:t>
      </w:r>
      <w:r w:rsidR="00102ADC">
        <w:rPr>
          <w:rFonts w:cs="Arial"/>
          <w:sz w:val="24"/>
          <w:szCs w:val="24"/>
        </w:rPr>
        <w:t xml:space="preserve"> throughout this research journey.</w:t>
      </w:r>
    </w:p>
    <w:p w14:paraId="4BFE3F73" w14:textId="77777777" w:rsidR="001B1525" w:rsidRDefault="00835B98">
      <w:pPr>
        <w:rPr>
          <w:rFonts w:cs="Arial"/>
          <w:sz w:val="24"/>
          <w:szCs w:val="24"/>
        </w:rPr>
      </w:pPr>
      <w:r>
        <w:rPr>
          <w:rFonts w:cs="Arial"/>
          <w:sz w:val="24"/>
          <w:szCs w:val="24"/>
        </w:rPr>
        <w:t>I am also grateful to University of Wales Trinity Saint David</w:t>
      </w:r>
      <w:r w:rsidR="000850A4">
        <w:rPr>
          <w:rFonts w:cs="Arial"/>
          <w:sz w:val="24"/>
          <w:szCs w:val="24"/>
        </w:rPr>
        <w:t xml:space="preserve"> for providing the necessary resources and research facilities.</w:t>
      </w:r>
    </w:p>
    <w:p w14:paraId="6A8F984B" w14:textId="77777777" w:rsidR="0088389C" w:rsidRDefault="001B1525">
      <w:pPr>
        <w:rPr>
          <w:rFonts w:cs="Arial"/>
          <w:sz w:val="24"/>
          <w:szCs w:val="24"/>
        </w:rPr>
      </w:pPr>
      <w:r>
        <w:rPr>
          <w:rFonts w:cs="Arial"/>
          <w:sz w:val="24"/>
          <w:szCs w:val="24"/>
        </w:rPr>
        <w:t>A special thanks to my colleagues and classmates for their insightful discussions and support</w:t>
      </w:r>
      <w:r w:rsidR="00853785">
        <w:rPr>
          <w:rFonts w:cs="Arial"/>
          <w:sz w:val="24"/>
          <w:szCs w:val="24"/>
        </w:rPr>
        <w:t>. I also wish to ack</w:t>
      </w:r>
      <w:r w:rsidR="00BF721E">
        <w:rPr>
          <w:rFonts w:cs="Arial"/>
          <w:sz w:val="24"/>
          <w:szCs w:val="24"/>
        </w:rPr>
        <w:t>nowledge the participants of this study, whose contributions</w:t>
      </w:r>
      <w:r w:rsidR="002D0492">
        <w:rPr>
          <w:rFonts w:cs="Arial"/>
          <w:sz w:val="24"/>
          <w:szCs w:val="24"/>
        </w:rPr>
        <w:t xml:space="preserve"> were crucial to the findings.</w:t>
      </w:r>
      <w:r w:rsidR="0088389C">
        <w:rPr>
          <w:rFonts w:cs="Arial"/>
          <w:sz w:val="24"/>
          <w:szCs w:val="24"/>
        </w:rPr>
        <w:tab/>
      </w:r>
    </w:p>
    <w:p w14:paraId="338C9550" w14:textId="77777777" w:rsidR="00750C21" w:rsidRDefault="0088389C">
      <w:pPr>
        <w:rPr>
          <w:rFonts w:cs="Arial"/>
          <w:sz w:val="24"/>
          <w:szCs w:val="24"/>
        </w:rPr>
      </w:pPr>
      <w:r>
        <w:rPr>
          <w:rFonts w:cs="Arial"/>
          <w:sz w:val="24"/>
          <w:szCs w:val="24"/>
        </w:rPr>
        <w:t>Lastly</w:t>
      </w:r>
      <w:r w:rsidR="00697B18">
        <w:rPr>
          <w:rFonts w:cs="Arial"/>
          <w:sz w:val="24"/>
          <w:szCs w:val="24"/>
        </w:rPr>
        <w:t>, I am immensely thankful to my family and friends</w:t>
      </w:r>
      <w:r w:rsidR="000E3B57">
        <w:rPr>
          <w:rFonts w:cs="Arial"/>
          <w:sz w:val="24"/>
          <w:szCs w:val="24"/>
        </w:rPr>
        <w:t xml:space="preserve"> for their unwavering encouragement and patience throughout </w:t>
      </w:r>
      <w:r w:rsidR="006070F4">
        <w:rPr>
          <w:rFonts w:cs="Arial"/>
          <w:sz w:val="24"/>
          <w:szCs w:val="24"/>
        </w:rPr>
        <w:t>this process. Their support has</w:t>
      </w:r>
      <w:r w:rsidR="00750C21">
        <w:rPr>
          <w:rFonts w:cs="Arial"/>
          <w:sz w:val="24"/>
          <w:szCs w:val="24"/>
        </w:rPr>
        <w:t xml:space="preserve"> been a constant source of motivation.</w:t>
      </w:r>
    </w:p>
    <w:p w14:paraId="1A393108" w14:textId="77777777" w:rsidR="00750C21" w:rsidRDefault="00750C21">
      <w:pPr>
        <w:rPr>
          <w:rFonts w:cs="Arial"/>
          <w:sz w:val="24"/>
          <w:szCs w:val="24"/>
        </w:rPr>
      </w:pPr>
      <w:r>
        <w:rPr>
          <w:rFonts w:cs="Arial"/>
          <w:sz w:val="24"/>
          <w:szCs w:val="24"/>
        </w:rPr>
        <w:t>Rajeshwari Bingi</w:t>
      </w:r>
    </w:p>
    <w:p w14:paraId="352C92E7" w14:textId="4F77CC04" w:rsidR="0029144B" w:rsidRDefault="00750C21">
      <w:pPr>
        <w:rPr>
          <w:rFonts w:cs="Arial"/>
          <w:sz w:val="24"/>
          <w:szCs w:val="24"/>
        </w:rPr>
      </w:pPr>
      <w:r>
        <w:rPr>
          <w:rFonts w:cs="Arial"/>
          <w:sz w:val="24"/>
          <w:szCs w:val="24"/>
        </w:rPr>
        <w:t>2229271</w:t>
      </w:r>
      <w:r w:rsidR="00C576F9">
        <w:rPr>
          <w:rFonts w:cs="Arial"/>
          <w:sz w:val="24"/>
          <w:szCs w:val="24"/>
        </w:rPr>
        <w:br w:type="page"/>
      </w:r>
    </w:p>
    <w:sdt>
      <w:sdtPr>
        <w:id w:val="1639763207"/>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2531F1B3" w14:textId="13514C08" w:rsidR="006E0740" w:rsidRPr="006E0740" w:rsidRDefault="006E0740">
          <w:pPr>
            <w:pStyle w:val="TOCHeading"/>
            <w:rPr>
              <w:b/>
              <w:bCs/>
              <w:color w:val="000000" w:themeColor="text1"/>
            </w:rPr>
          </w:pPr>
          <w:r w:rsidRPr="006E0740">
            <w:rPr>
              <w:b/>
              <w:bCs/>
              <w:color w:val="000000" w:themeColor="text1"/>
            </w:rPr>
            <w:t>Table of Contents</w:t>
          </w:r>
        </w:p>
        <w:p w14:paraId="0C8EB1E3" w14:textId="0F31D6B6" w:rsidR="006E0740" w:rsidRPr="006E0740" w:rsidRDefault="006E0740">
          <w:pPr>
            <w:pStyle w:val="TOC1"/>
            <w:tabs>
              <w:tab w:val="right" w:leader="dot" w:pos="9016"/>
            </w:tabs>
            <w:rPr>
              <w:rFonts w:eastAsiaTheme="minorEastAsia"/>
              <w:noProof/>
              <w:sz w:val="32"/>
              <w:szCs w:val="32"/>
              <w:lang w:eastAsia="en-IN"/>
            </w:rPr>
          </w:pPr>
          <w:r w:rsidRPr="006E0740">
            <w:rPr>
              <w:sz w:val="32"/>
              <w:szCs w:val="32"/>
            </w:rPr>
            <w:fldChar w:fldCharType="begin"/>
          </w:r>
          <w:r w:rsidRPr="006E0740">
            <w:rPr>
              <w:sz w:val="32"/>
              <w:szCs w:val="32"/>
            </w:rPr>
            <w:instrText xml:space="preserve"> TOC \o "1-3" \h \z \u </w:instrText>
          </w:r>
          <w:r w:rsidRPr="006E0740">
            <w:rPr>
              <w:sz w:val="32"/>
              <w:szCs w:val="32"/>
            </w:rPr>
            <w:fldChar w:fldCharType="separate"/>
          </w:r>
          <w:hyperlink w:anchor="_Toc217226060" w:history="1">
            <w:r w:rsidRPr="006E0740">
              <w:rPr>
                <w:rStyle w:val="Hyperlink"/>
                <w:rFonts w:cs="Arial"/>
                <w:b/>
                <w:bCs/>
                <w:noProof/>
                <w:sz w:val="32"/>
                <w:szCs w:val="32"/>
              </w:rPr>
              <w:t>Chapter 1: Introduction</w:t>
            </w:r>
            <w:r w:rsidRPr="006E0740">
              <w:rPr>
                <w:noProof/>
                <w:webHidden/>
                <w:sz w:val="32"/>
                <w:szCs w:val="32"/>
              </w:rPr>
              <w:tab/>
            </w:r>
            <w:r w:rsidRPr="006E0740">
              <w:rPr>
                <w:noProof/>
                <w:webHidden/>
                <w:sz w:val="32"/>
                <w:szCs w:val="32"/>
              </w:rPr>
              <w:fldChar w:fldCharType="begin"/>
            </w:r>
            <w:r w:rsidRPr="006E0740">
              <w:rPr>
                <w:noProof/>
                <w:webHidden/>
                <w:sz w:val="32"/>
                <w:szCs w:val="32"/>
              </w:rPr>
              <w:instrText xml:space="preserve"> PAGEREF _Toc217226060 \h </w:instrText>
            </w:r>
            <w:r w:rsidRPr="006E0740">
              <w:rPr>
                <w:noProof/>
                <w:webHidden/>
                <w:sz w:val="32"/>
                <w:szCs w:val="32"/>
              </w:rPr>
            </w:r>
            <w:r w:rsidRPr="006E0740">
              <w:rPr>
                <w:noProof/>
                <w:webHidden/>
                <w:sz w:val="32"/>
                <w:szCs w:val="32"/>
              </w:rPr>
              <w:fldChar w:fldCharType="separate"/>
            </w:r>
            <w:r w:rsidRPr="006E0740">
              <w:rPr>
                <w:noProof/>
                <w:webHidden/>
                <w:sz w:val="32"/>
                <w:szCs w:val="32"/>
              </w:rPr>
              <w:t>4</w:t>
            </w:r>
            <w:r w:rsidRPr="006E0740">
              <w:rPr>
                <w:noProof/>
                <w:webHidden/>
                <w:sz w:val="32"/>
                <w:szCs w:val="32"/>
              </w:rPr>
              <w:fldChar w:fldCharType="end"/>
            </w:r>
          </w:hyperlink>
        </w:p>
        <w:p w14:paraId="594AFB46" w14:textId="495C83CC" w:rsidR="006E0740" w:rsidRPr="006E0740" w:rsidRDefault="006E0740">
          <w:pPr>
            <w:pStyle w:val="TOC1"/>
            <w:tabs>
              <w:tab w:val="right" w:leader="dot" w:pos="9016"/>
            </w:tabs>
            <w:rPr>
              <w:rFonts w:eastAsiaTheme="minorEastAsia"/>
              <w:noProof/>
              <w:sz w:val="32"/>
              <w:szCs w:val="32"/>
              <w:lang w:eastAsia="en-IN"/>
            </w:rPr>
          </w:pPr>
          <w:hyperlink w:anchor="_Toc217226061" w:history="1">
            <w:r w:rsidRPr="006E0740">
              <w:rPr>
                <w:rStyle w:val="Hyperlink"/>
                <w:b/>
                <w:bCs/>
                <w:noProof/>
                <w:sz w:val="32"/>
                <w:szCs w:val="32"/>
              </w:rPr>
              <w:t>Chapter 2: Literature Review</w:t>
            </w:r>
            <w:r w:rsidRPr="006E0740">
              <w:rPr>
                <w:noProof/>
                <w:webHidden/>
                <w:sz w:val="32"/>
                <w:szCs w:val="32"/>
              </w:rPr>
              <w:tab/>
            </w:r>
            <w:r w:rsidRPr="006E0740">
              <w:rPr>
                <w:noProof/>
                <w:webHidden/>
                <w:sz w:val="32"/>
                <w:szCs w:val="32"/>
              </w:rPr>
              <w:fldChar w:fldCharType="begin"/>
            </w:r>
            <w:r w:rsidRPr="006E0740">
              <w:rPr>
                <w:noProof/>
                <w:webHidden/>
                <w:sz w:val="32"/>
                <w:szCs w:val="32"/>
              </w:rPr>
              <w:instrText xml:space="preserve"> PAGEREF _Toc217226061 \h </w:instrText>
            </w:r>
            <w:r w:rsidRPr="006E0740">
              <w:rPr>
                <w:noProof/>
                <w:webHidden/>
                <w:sz w:val="32"/>
                <w:szCs w:val="32"/>
              </w:rPr>
            </w:r>
            <w:r w:rsidRPr="006E0740">
              <w:rPr>
                <w:noProof/>
                <w:webHidden/>
                <w:sz w:val="32"/>
                <w:szCs w:val="32"/>
              </w:rPr>
              <w:fldChar w:fldCharType="separate"/>
            </w:r>
            <w:r w:rsidRPr="006E0740">
              <w:rPr>
                <w:noProof/>
                <w:webHidden/>
                <w:sz w:val="32"/>
                <w:szCs w:val="32"/>
              </w:rPr>
              <w:t>5</w:t>
            </w:r>
            <w:r w:rsidRPr="006E0740">
              <w:rPr>
                <w:noProof/>
                <w:webHidden/>
                <w:sz w:val="32"/>
                <w:szCs w:val="32"/>
              </w:rPr>
              <w:fldChar w:fldCharType="end"/>
            </w:r>
          </w:hyperlink>
        </w:p>
        <w:p w14:paraId="2C9693E8" w14:textId="105B08A2" w:rsidR="006E0740" w:rsidRPr="006E0740" w:rsidRDefault="006E0740">
          <w:pPr>
            <w:pStyle w:val="TOC1"/>
            <w:tabs>
              <w:tab w:val="right" w:leader="dot" w:pos="9016"/>
            </w:tabs>
            <w:rPr>
              <w:rFonts w:eastAsiaTheme="minorEastAsia"/>
              <w:noProof/>
              <w:sz w:val="32"/>
              <w:szCs w:val="32"/>
              <w:lang w:eastAsia="en-IN"/>
            </w:rPr>
          </w:pPr>
          <w:hyperlink w:anchor="_Toc217226062" w:history="1">
            <w:r w:rsidRPr="006E0740">
              <w:rPr>
                <w:rStyle w:val="Hyperlink"/>
                <w:b/>
                <w:bCs/>
                <w:noProof/>
                <w:sz w:val="32"/>
                <w:szCs w:val="32"/>
              </w:rPr>
              <w:t>Chapter 3 Methodology</w:t>
            </w:r>
            <w:r w:rsidRPr="006E0740">
              <w:rPr>
                <w:noProof/>
                <w:webHidden/>
                <w:sz w:val="32"/>
                <w:szCs w:val="32"/>
              </w:rPr>
              <w:tab/>
            </w:r>
            <w:r w:rsidRPr="006E0740">
              <w:rPr>
                <w:noProof/>
                <w:webHidden/>
                <w:sz w:val="32"/>
                <w:szCs w:val="32"/>
              </w:rPr>
              <w:fldChar w:fldCharType="begin"/>
            </w:r>
            <w:r w:rsidRPr="006E0740">
              <w:rPr>
                <w:noProof/>
                <w:webHidden/>
                <w:sz w:val="32"/>
                <w:szCs w:val="32"/>
              </w:rPr>
              <w:instrText xml:space="preserve"> PAGEREF _Toc217226062 \h </w:instrText>
            </w:r>
            <w:r w:rsidRPr="006E0740">
              <w:rPr>
                <w:noProof/>
                <w:webHidden/>
                <w:sz w:val="32"/>
                <w:szCs w:val="32"/>
              </w:rPr>
            </w:r>
            <w:r w:rsidRPr="006E0740">
              <w:rPr>
                <w:noProof/>
                <w:webHidden/>
                <w:sz w:val="32"/>
                <w:szCs w:val="32"/>
              </w:rPr>
              <w:fldChar w:fldCharType="separate"/>
            </w:r>
            <w:r w:rsidRPr="006E0740">
              <w:rPr>
                <w:noProof/>
                <w:webHidden/>
                <w:sz w:val="32"/>
                <w:szCs w:val="32"/>
              </w:rPr>
              <w:t>11</w:t>
            </w:r>
            <w:r w:rsidRPr="006E0740">
              <w:rPr>
                <w:noProof/>
                <w:webHidden/>
                <w:sz w:val="32"/>
                <w:szCs w:val="32"/>
              </w:rPr>
              <w:fldChar w:fldCharType="end"/>
            </w:r>
          </w:hyperlink>
        </w:p>
        <w:p w14:paraId="27B4FF34" w14:textId="78984719" w:rsidR="006E0740" w:rsidRPr="006E0740" w:rsidRDefault="006E0740">
          <w:pPr>
            <w:pStyle w:val="TOC1"/>
            <w:tabs>
              <w:tab w:val="right" w:leader="dot" w:pos="9016"/>
            </w:tabs>
            <w:rPr>
              <w:rFonts w:eastAsiaTheme="minorEastAsia"/>
              <w:noProof/>
              <w:sz w:val="32"/>
              <w:szCs w:val="32"/>
              <w:lang w:eastAsia="en-IN"/>
            </w:rPr>
          </w:pPr>
          <w:hyperlink w:anchor="_Toc217226063" w:history="1">
            <w:r w:rsidRPr="006E0740">
              <w:rPr>
                <w:rStyle w:val="Hyperlink"/>
                <w:rFonts w:cs="Arial"/>
                <w:b/>
                <w:bCs/>
                <w:noProof/>
                <w:sz w:val="32"/>
                <w:szCs w:val="32"/>
              </w:rPr>
              <w:t>Chapter 4: Findings and Discussion</w:t>
            </w:r>
            <w:r w:rsidRPr="006E0740">
              <w:rPr>
                <w:noProof/>
                <w:webHidden/>
                <w:sz w:val="32"/>
                <w:szCs w:val="32"/>
              </w:rPr>
              <w:tab/>
            </w:r>
            <w:r w:rsidRPr="006E0740">
              <w:rPr>
                <w:noProof/>
                <w:webHidden/>
                <w:sz w:val="32"/>
                <w:szCs w:val="32"/>
              </w:rPr>
              <w:fldChar w:fldCharType="begin"/>
            </w:r>
            <w:r w:rsidRPr="006E0740">
              <w:rPr>
                <w:noProof/>
                <w:webHidden/>
                <w:sz w:val="32"/>
                <w:szCs w:val="32"/>
              </w:rPr>
              <w:instrText xml:space="preserve"> PAGEREF _Toc217226063 \h </w:instrText>
            </w:r>
            <w:r w:rsidRPr="006E0740">
              <w:rPr>
                <w:noProof/>
                <w:webHidden/>
                <w:sz w:val="32"/>
                <w:szCs w:val="32"/>
              </w:rPr>
            </w:r>
            <w:r w:rsidRPr="006E0740">
              <w:rPr>
                <w:noProof/>
                <w:webHidden/>
                <w:sz w:val="32"/>
                <w:szCs w:val="32"/>
              </w:rPr>
              <w:fldChar w:fldCharType="separate"/>
            </w:r>
            <w:r w:rsidRPr="006E0740">
              <w:rPr>
                <w:noProof/>
                <w:webHidden/>
                <w:sz w:val="32"/>
                <w:szCs w:val="32"/>
              </w:rPr>
              <w:t>13</w:t>
            </w:r>
            <w:r w:rsidRPr="006E0740">
              <w:rPr>
                <w:noProof/>
                <w:webHidden/>
                <w:sz w:val="32"/>
                <w:szCs w:val="32"/>
              </w:rPr>
              <w:fldChar w:fldCharType="end"/>
            </w:r>
          </w:hyperlink>
        </w:p>
        <w:p w14:paraId="65AF3226" w14:textId="01E95F9D" w:rsidR="006E0740" w:rsidRPr="006E0740" w:rsidRDefault="006E0740">
          <w:pPr>
            <w:pStyle w:val="TOC1"/>
            <w:tabs>
              <w:tab w:val="right" w:leader="dot" w:pos="9016"/>
            </w:tabs>
            <w:rPr>
              <w:rFonts w:eastAsiaTheme="minorEastAsia"/>
              <w:noProof/>
              <w:sz w:val="32"/>
              <w:szCs w:val="32"/>
              <w:lang w:eastAsia="en-IN"/>
            </w:rPr>
          </w:pPr>
          <w:hyperlink w:anchor="_Toc217226064" w:history="1">
            <w:r w:rsidRPr="006E0740">
              <w:rPr>
                <w:rStyle w:val="Hyperlink"/>
                <w:b/>
                <w:bCs/>
                <w:noProof/>
                <w:sz w:val="32"/>
                <w:szCs w:val="32"/>
              </w:rPr>
              <w:t>Chapter 5: Evaluation</w:t>
            </w:r>
            <w:r w:rsidRPr="006E0740">
              <w:rPr>
                <w:noProof/>
                <w:webHidden/>
                <w:sz w:val="32"/>
                <w:szCs w:val="32"/>
              </w:rPr>
              <w:tab/>
            </w:r>
            <w:r w:rsidRPr="006E0740">
              <w:rPr>
                <w:noProof/>
                <w:webHidden/>
                <w:sz w:val="32"/>
                <w:szCs w:val="32"/>
              </w:rPr>
              <w:fldChar w:fldCharType="begin"/>
            </w:r>
            <w:r w:rsidRPr="006E0740">
              <w:rPr>
                <w:noProof/>
                <w:webHidden/>
                <w:sz w:val="32"/>
                <w:szCs w:val="32"/>
              </w:rPr>
              <w:instrText xml:space="preserve"> PAGEREF _Toc217226064 \h </w:instrText>
            </w:r>
            <w:r w:rsidRPr="006E0740">
              <w:rPr>
                <w:noProof/>
                <w:webHidden/>
                <w:sz w:val="32"/>
                <w:szCs w:val="32"/>
              </w:rPr>
            </w:r>
            <w:r w:rsidRPr="006E0740">
              <w:rPr>
                <w:noProof/>
                <w:webHidden/>
                <w:sz w:val="32"/>
                <w:szCs w:val="32"/>
              </w:rPr>
              <w:fldChar w:fldCharType="separate"/>
            </w:r>
            <w:r w:rsidRPr="006E0740">
              <w:rPr>
                <w:noProof/>
                <w:webHidden/>
                <w:sz w:val="32"/>
                <w:szCs w:val="32"/>
              </w:rPr>
              <w:t>16</w:t>
            </w:r>
            <w:r w:rsidRPr="006E0740">
              <w:rPr>
                <w:noProof/>
                <w:webHidden/>
                <w:sz w:val="32"/>
                <w:szCs w:val="32"/>
              </w:rPr>
              <w:fldChar w:fldCharType="end"/>
            </w:r>
          </w:hyperlink>
        </w:p>
        <w:p w14:paraId="0D23C7DB" w14:textId="0601A839" w:rsidR="006E0740" w:rsidRPr="006E0740" w:rsidRDefault="006E0740">
          <w:pPr>
            <w:pStyle w:val="TOC1"/>
            <w:tabs>
              <w:tab w:val="right" w:leader="dot" w:pos="9016"/>
            </w:tabs>
            <w:rPr>
              <w:rFonts w:eastAsiaTheme="minorEastAsia"/>
              <w:noProof/>
              <w:sz w:val="32"/>
              <w:szCs w:val="32"/>
              <w:lang w:eastAsia="en-IN"/>
            </w:rPr>
          </w:pPr>
          <w:hyperlink w:anchor="_Toc217226065" w:history="1">
            <w:r w:rsidRPr="006E0740">
              <w:rPr>
                <w:rStyle w:val="Hyperlink"/>
                <w:rFonts w:cs="Arial"/>
                <w:b/>
                <w:bCs/>
                <w:noProof/>
                <w:sz w:val="32"/>
                <w:szCs w:val="32"/>
              </w:rPr>
              <w:t>Chapter 6: Conclusion</w:t>
            </w:r>
            <w:r w:rsidRPr="006E0740">
              <w:rPr>
                <w:noProof/>
                <w:webHidden/>
                <w:sz w:val="32"/>
                <w:szCs w:val="32"/>
              </w:rPr>
              <w:tab/>
            </w:r>
            <w:r w:rsidRPr="006E0740">
              <w:rPr>
                <w:noProof/>
                <w:webHidden/>
                <w:sz w:val="32"/>
                <w:szCs w:val="32"/>
              </w:rPr>
              <w:fldChar w:fldCharType="begin"/>
            </w:r>
            <w:r w:rsidRPr="006E0740">
              <w:rPr>
                <w:noProof/>
                <w:webHidden/>
                <w:sz w:val="32"/>
                <w:szCs w:val="32"/>
              </w:rPr>
              <w:instrText xml:space="preserve"> PAGEREF _Toc217226065 \h </w:instrText>
            </w:r>
            <w:r w:rsidRPr="006E0740">
              <w:rPr>
                <w:noProof/>
                <w:webHidden/>
                <w:sz w:val="32"/>
                <w:szCs w:val="32"/>
              </w:rPr>
            </w:r>
            <w:r w:rsidRPr="006E0740">
              <w:rPr>
                <w:noProof/>
                <w:webHidden/>
                <w:sz w:val="32"/>
                <w:szCs w:val="32"/>
              </w:rPr>
              <w:fldChar w:fldCharType="separate"/>
            </w:r>
            <w:r w:rsidRPr="006E0740">
              <w:rPr>
                <w:noProof/>
                <w:webHidden/>
                <w:sz w:val="32"/>
                <w:szCs w:val="32"/>
              </w:rPr>
              <w:t>17</w:t>
            </w:r>
            <w:r w:rsidRPr="006E0740">
              <w:rPr>
                <w:noProof/>
                <w:webHidden/>
                <w:sz w:val="32"/>
                <w:szCs w:val="32"/>
              </w:rPr>
              <w:fldChar w:fldCharType="end"/>
            </w:r>
          </w:hyperlink>
        </w:p>
        <w:p w14:paraId="30B6CD30" w14:textId="60F84EE2" w:rsidR="006E0740" w:rsidRPr="006E0740" w:rsidRDefault="006E0740">
          <w:pPr>
            <w:pStyle w:val="TOC1"/>
            <w:tabs>
              <w:tab w:val="right" w:leader="dot" w:pos="9016"/>
            </w:tabs>
            <w:rPr>
              <w:rFonts w:eastAsiaTheme="minorEastAsia"/>
              <w:noProof/>
              <w:sz w:val="32"/>
              <w:szCs w:val="32"/>
              <w:lang w:eastAsia="en-IN"/>
            </w:rPr>
          </w:pPr>
          <w:hyperlink w:anchor="_Toc217226066" w:history="1">
            <w:r w:rsidRPr="006E0740">
              <w:rPr>
                <w:rStyle w:val="Hyperlink"/>
                <w:rFonts w:cs="Arial"/>
                <w:b/>
                <w:bCs/>
                <w:noProof/>
                <w:sz w:val="32"/>
                <w:szCs w:val="32"/>
              </w:rPr>
              <w:t>References</w:t>
            </w:r>
            <w:r w:rsidRPr="006E0740">
              <w:rPr>
                <w:noProof/>
                <w:webHidden/>
                <w:sz w:val="32"/>
                <w:szCs w:val="32"/>
              </w:rPr>
              <w:tab/>
            </w:r>
            <w:r w:rsidRPr="006E0740">
              <w:rPr>
                <w:noProof/>
                <w:webHidden/>
                <w:sz w:val="32"/>
                <w:szCs w:val="32"/>
              </w:rPr>
              <w:fldChar w:fldCharType="begin"/>
            </w:r>
            <w:r w:rsidRPr="006E0740">
              <w:rPr>
                <w:noProof/>
                <w:webHidden/>
                <w:sz w:val="32"/>
                <w:szCs w:val="32"/>
              </w:rPr>
              <w:instrText xml:space="preserve"> PAGEREF _Toc217226066 \h </w:instrText>
            </w:r>
            <w:r w:rsidRPr="006E0740">
              <w:rPr>
                <w:noProof/>
                <w:webHidden/>
                <w:sz w:val="32"/>
                <w:szCs w:val="32"/>
              </w:rPr>
            </w:r>
            <w:r w:rsidRPr="006E0740">
              <w:rPr>
                <w:noProof/>
                <w:webHidden/>
                <w:sz w:val="32"/>
                <w:szCs w:val="32"/>
              </w:rPr>
              <w:fldChar w:fldCharType="separate"/>
            </w:r>
            <w:r w:rsidRPr="006E0740">
              <w:rPr>
                <w:noProof/>
                <w:webHidden/>
                <w:sz w:val="32"/>
                <w:szCs w:val="32"/>
              </w:rPr>
              <w:t>18</w:t>
            </w:r>
            <w:r w:rsidRPr="006E0740">
              <w:rPr>
                <w:noProof/>
                <w:webHidden/>
                <w:sz w:val="32"/>
                <w:szCs w:val="32"/>
              </w:rPr>
              <w:fldChar w:fldCharType="end"/>
            </w:r>
          </w:hyperlink>
        </w:p>
        <w:p w14:paraId="08121874" w14:textId="30F71E47" w:rsidR="006E0740" w:rsidRDefault="006E0740">
          <w:r w:rsidRPr="006E0740">
            <w:rPr>
              <w:b/>
              <w:bCs/>
              <w:noProof/>
              <w:sz w:val="32"/>
              <w:szCs w:val="32"/>
            </w:rPr>
            <w:fldChar w:fldCharType="end"/>
          </w:r>
        </w:p>
      </w:sdtContent>
    </w:sdt>
    <w:p w14:paraId="654E64CD" w14:textId="77777777" w:rsidR="00BD269F" w:rsidRDefault="00BD269F" w:rsidP="00BD269F">
      <w:pPr>
        <w:pStyle w:val="TOCHeading"/>
        <w:rPr>
          <w:b/>
          <w:bCs/>
          <w:noProof/>
          <w:sz w:val="36"/>
          <w:szCs w:val="36"/>
        </w:rPr>
      </w:pPr>
    </w:p>
    <w:p w14:paraId="541860CB" w14:textId="53D674DF" w:rsidR="00E45F80" w:rsidRPr="00BD269F" w:rsidRDefault="0029144B" w:rsidP="003D2329">
      <w:pPr>
        <w:rPr>
          <w:b/>
          <w:bCs/>
          <w:sz w:val="36"/>
          <w:szCs w:val="36"/>
        </w:rPr>
      </w:pPr>
      <w:r w:rsidRPr="003560BF">
        <w:rPr>
          <w:rFonts w:cs="Arial"/>
          <w:b/>
          <w:bCs/>
          <w:sz w:val="36"/>
          <w:szCs w:val="36"/>
        </w:rPr>
        <w:br w:type="page"/>
      </w:r>
      <w:r w:rsidR="00E45F80">
        <w:rPr>
          <w:rFonts w:ascii="Arial" w:hAnsi="Arial" w:cs="Arial"/>
          <w:b/>
          <w:bCs/>
          <w:sz w:val="32"/>
          <w:szCs w:val="32"/>
        </w:rPr>
        <w:lastRenderedPageBreak/>
        <w:t xml:space="preserve"> </w:t>
      </w:r>
      <w:r w:rsidR="00373B9D">
        <w:rPr>
          <w:rFonts w:ascii="Arial" w:hAnsi="Arial" w:cs="Arial"/>
          <w:b/>
          <w:bCs/>
          <w:sz w:val="32"/>
          <w:szCs w:val="32"/>
        </w:rPr>
        <w:t xml:space="preserve">                               </w:t>
      </w:r>
    </w:p>
    <w:p w14:paraId="6C1DA0E5" w14:textId="541F5485" w:rsidR="00716270" w:rsidRPr="00987EB7" w:rsidRDefault="00B77775" w:rsidP="00987EB7">
      <w:pPr>
        <w:pStyle w:val="Title"/>
        <w:rPr>
          <w:rFonts w:ascii="Arial" w:hAnsi="Arial" w:cs="Arial"/>
          <w:sz w:val="32"/>
          <w:szCs w:val="32"/>
        </w:rPr>
      </w:pPr>
      <w:r w:rsidRPr="00495A94">
        <w:rPr>
          <w:rFonts w:ascii="Arial" w:hAnsi="Arial" w:cs="Arial"/>
          <w:sz w:val="32"/>
          <w:szCs w:val="32"/>
        </w:rPr>
        <w:t>The Impact of Responsible Gambling Initiatives on Customer Loyalty: A Case Study of Entain plc</w:t>
      </w:r>
    </w:p>
    <w:p w14:paraId="7A9BD059" w14:textId="389F06F7" w:rsidR="008C10C5" w:rsidRPr="00F17550" w:rsidRDefault="00EE3E28" w:rsidP="00827846">
      <w:pPr>
        <w:pStyle w:val="Heading1"/>
        <w:rPr>
          <w:rFonts w:cs="Arial"/>
          <w:b/>
          <w:bCs/>
          <w:color w:val="000000" w:themeColor="text1"/>
          <w:sz w:val="28"/>
          <w:szCs w:val="28"/>
        </w:rPr>
      </w:pPr>
      <w:bookmarkStart w:id="0" w:name="_Toc217226060"/>
      <w:r w:rsidRPr="00F17550">
        <w:rPr>
          <w:rFonts w:cs="Arial"/>
          <w:b/>
          <w:bCs/>
          <w:color w:val="000000" w:themeColor="text1"/>
          <w:sz w:val="28"/>
          <w:szCs w:val="28"/>
        </w:rPr>
        <w:t>Chapter</w:t>
      </w:r>
      <w:r w:rsidR="00AD3EE2" w:rsidRPr="00F17550">
        <w:rPr>
          <w:rFonts w:cs="Arial"/>
          <w:b/>
          <w:bCs/>
          <w:color w:val="000000" w:themeColor="text1"/>
          <w:sz w:val="28"/>
          <w:szCs w:val="28"/>
        </w:rPr>
        <w:t xml:space="preserve"> </w:t>
      </w:r>
      <w:r w:rsidR="00F17550" w:rsidRPr="00F17550">
        <w:rPr>
          <w:rFonts w:cs="Arial"/>
          <w:b/>
          <w:bCs/>
          <w:color w:val="000000" w:themeColor="text1"/>
          <w:sz w:val="28"/>
          <w:szCs w:val="28"/>
        </w:rPr>
        <w:t>1: Introduction</w:t>
      </w:r>
      <w:bookmarkEnd w:id="0"/>
    </w:p>
    <w:p w14:paraId="48AF3996" w14:textId="5C7D6EC1" w:rsidR="00940128" w:rsidRPr="00F77CF6" w:rsidRDefault="00940128" w:rsidP="002C5662">
      <w:pPr>
        <w:spacing w:after="100" w:afterAutospacing="1"/>
        <w:rPr>
          <w:rFonts w:cs="Arial"/>
          <w:sz w:val="20"/>
          <w:szCs w:val="20"/>
        </w:rPr>
      </w:pPr>
      <w:r w:rsidRPr="00F77CF6">
        <w:rPr>
          <w:rFonts w:cs="Arial"/>
          <w:sz w:val="20"/>
          <w:szCs w:val="20"/>
        </w:rPr>
        <w:t>Responsible gambling (RG) has become a central strategic priority within the global betting and gaming industry, reflecting increasing expectations for operators to ensure player safety while maintaining sustainable business growth. This study investigates the impact of responsible gambling initiatives on customer loyalty, focusing specifically on Entain plc, one of the world’s largest sports betting and gaming operators. With increasing regulatory scrutiny and growing public awareness of gambling-related harm, companies like Entain have implemented a range of RG tools</w:t>
      </w:r>
      <w:r w:rsidR="000C74C7" w:rsidRPr="00F77CF6">
        <w:rPr>
          <w:rFonts w:cs="Arial"/>
          <w:sz w:val="20"/>
          <w:szCs w:val="20"/>
        </w:rPr>
        <w:t xml:space="preserve"> </w:t>
      </w:r>
      <w:r w:rsidRPr="00F77CF6">
        <w:rPr>
          <w:rFonts w:cs="Arial"/>
          <w:sz w:val="20"/>
          <w:szCs w:val="20"/>
        </w:rPr>
        <w:t>such as deposit limits, self-exclusion options, and behavioural analytics</w:t>
      </w:r>
      <w:r w:rsidR="000C74C7" w:rsidRPr="00F77CF6">
        <w:rPr>
          <w:rFonts w:cs="Arial"/>
          <w:sz w:val="20"/>
          <w:szCs w:val="20"/>
        </w:rPr>
        <w:t xml:space="preserve"> </w:t>
      </w:r>
      <w:r w:rsidRPr="00F77CF6">
        <w:rPr>
          <w:rFonts w:cs="Arial"/>
          <w:sz w:val="20"/>
          <w:szCs w:val="20"/>
        </w:rPr>
        <w:t xml:space="preserve">designed to support safer gambling </w:t>
      </w:r>
      <w:r w:rsidR="00093D8A" w:rsidRPr="00F77CF6">
        <w:rPr>
          <w:rFonts w:cs="Arial"/>
          <w:sz w:val="20"/>
          <w:szCs w:val="20"/>
        </w:rPr>
        <w:t>practices.</w:t>
      </w:r>
      <w:r w:rsidRPr="00F77CF6">
        <w:rPr>
          <w:rFonts w:cs="Arial"/>
          <w:sz w:val="20"/>
          <w:szCs w:val="20"/>
        </w:rPr>
        <w:t xml:space="preserve"> This research examines how these initiatives influence customer perceptions, trust, and long-term loyalty within both </w:t>
      </w:r>
      <w:proofErr w:type="spellStart"/>
      <w:r w:rsidRPr="00F77CF6">
        <w:rPr>
          <w:rFonts w:cs="Arial"/>
          <w:sz w:val="20"/>
          <w:szCs w:val="20"/>
        </w:rPr>
        <w:t>Entain’s</w:t>
      </w:r>
      <w:proofErr w:type="spellEnd"/>
      <w:r w:rsidRPr="00F77CF6">
        <w:rPr>
          <w:rFonts w:cs="Arial"/>
          <w:sz w:val="20"/>
          <w:szCs w:val="20"/>
        </w:rPr>
        <w:t xml:space="preserve"> online and retail betting platforms.</w:t>
      </w:r>
      <w:sdt>
        <w:sdtPr>
          <w:rPr>
            <w:rFonts w:cs="Arial"/>
            <w:sz w:val="20"/>
            <w:szCs w:val="20"/>
          </w:rPr>
          <w:id w:val="1399556186"/>
          <w:citation/>
        </w:sdtPr>
        <w:sdtContent>
          <w:r w:rsidR="00D312A9">
            <w:rPr>
              <w:rFonts w:cs="Arial"/>
              <w:sz w:val="20"/>
              <w:szCs w:val="20"/>
            </w:rPr>
            <w:fldChar w:fldCharType="begin"/>
          </w:r>
          <w:r w:rsidR="00D312A9">
            <w:rPr>
              <w:rFonts w:cs="Arial"/>
              <w:sz w:val="20"/>
              <w:szCs w:val="20"/>
            </w:rPr>
            <w:instrText xml:space="preserve"> CITATION War201 \l 16393 </w:instrText>
          </w:r>
          <w:r w:rsidR="00D312A9">
            <w:rPr>
              <w:rFonts w:cs="Arial"/>
              <w:sz w:val="20"/>
              <w:szCs w:val="20"/>
            </w:rPr>
            <w:fldChar w:fldCharType="separate"/>
          </w:r>
          <w:r w:rsidR="00D312A9">
            <w:rPr>
              <w:rFonts w:cs="Arial"/>
              <w:noProof/>
              <w:sz w:val="20"/>
              <w:szCs w:val="20"/>
            </w:rPr>
            <w:t xml:space="preserve"> </w:t>
          </w:r>
          <w:r w:rsidR="00D312A9" w:rsidRPr="00D312A9">
            <w:rPr>
              <w:rFonts w:cs="Arial"/>
              <w:noProof/>
              <w:sz w:val="20"/>
              <w:szCs w:val="20"/>
            </w:rPr>
            <w:t>(Wardle, 2020)</w:t>
          </w:r>
          <w:r w:rsidR="00D312A9">
            <w:rPr>
              <w:rFonts w:cs="Arial"/>
              <w:sz w:val="20"/>
              <w:szCs w:val="20"/>
            </w:rPr>
            <w:fldChar w:fldCharType="end"/>
          </w:r>
        </w:sdtContent>
      </w:sdt>
      <w:sdt>
        <w:sdtPr>
          <w:rPr>
            <w:rFonts w:cs="Arial"/>
            <w:sz w:val="20"/>
            <w:szCs w:val="20"/>
          </w:rPr>
          <w:id w:val="1952888111"/>
          <w:citation/>
        </w:sdtPr>
        <w:sdtContent>
          <w:r w:rsidR="0065064C">
            <w:rPr>
              <w:rFonts w:cs="Arial"/>
              <w:sz w:val="20"/>
              <w:szCs w:val="20"/>
            </w:rPr>
            <w:fldChar w:fldCharType="begin"/>
          </w:r>
          <w:r w:rsidR="0065064C">
            <w:rPr>
              <w:rFonts w:cs="Arial"/>
              <w:sz w:val="20"/>
              <w:szCs w:val="20"/>
            </w:rPr>
            <w:instrText xml:space="preserve"> CITATION Hin191 \l 16393 </w:instrText>
          </w:r>
          <w:r w:rsidR="0065064C">
            <w:rPr>
              <w:rFonts w:cs="Arial"/>
              <w:sz w:val="20"/>
              <w:szCs w:val="20"/>
            </w:rPr>
            <w:fldChar w:fldCharType="separate"/>
          </w:r>
          <w:r w:rsidR="0065064C">
            <w:rPr>
              <w:rFonts w:cs="Arial"/>
              <w:noProof/>
              <w:sz w:val="20"/>
              <w:szCs w:val="20"/>
            </w:rPr>
            <w:t xml:space="preserve"> </w:t>
          </w:r>
          <w:r w:rsidR="0065064C" w:rsidRPr="0065064C">
            <w:rPr>
              <w:rFonts w:cs="Arial"/>
              <w:noProof/>
              <w:sz w:val="20"/>
              <w:szCs w:val="20"/>
            </w:rPr>
            <w:t>(Hing, et al., 2019)</w:t>
          </w:r>
          <w:r w:rsidR="0065064C">
            <w:rPr>
              <w:rFonts w:cs="Arial"/>
              <w:sz w:val="20"/>
              <w:szCs w:val="20"/>
            </w:rPr>
            <w:fldChar w:fldCharType="end"/>
          </w:r>
        </w:sdtContent>
      </w:sdt>
      <w:sdt>
        <w:sdtPr>
          <w:rPr>
            <w:rFonts w:cs="Arial"/>
            <w:sz w:val="20"/>
            <w:szCs w:val="20"/>
          </w:rPr>
          <w:id w:val="-1953085814"/>
          <w:citation/>
        </w:sdtPr>
        <w:sdtContent>
          <w:r w:rsidR="00ED3892">
            <w:rPr>
              <w:rFonts w:cs="Arial"/>
              <w:sz w:val="20"/>
              <w:szCs w:val="20"/>
            </w:rPr>
            <w:fldChar w:fldCharType="begin"/>
          </w:r>
          <w:r w:rsidR="00ED3892">
            <w:rPr>
              <w:rFonts w:cs="Arial"/>
              <w:sz w:val="20"/>
              <w:szCs w:val="20"/>
            </w:rPr>
            <w:instrText xml:space="preserve"> CITATION Ent235 \l 16393 </w:instrText>
          </w:r>
          <w:r w:rsidR="00ED3892">
            <w:rPr>
              <w:rFonts w:cs="Arial"/>
              <w:sz w:val="20"/>
              <w:szCs w:val="20"/>
            </w:rPr>
            <w:fldChar w:fldCharType="separate"/>
          </w:r>
          <w:r w:rsidR="00ED3892">
            <w:rPr>
              <w:rFonts w:cs="Arial"/>
              <w:noProof/>
              <w:sz w:val="20"/>
              <w:szCs w:val="20"/>
            </w:rPr>
            <w:t xml:space="preserve"> </w:t>
          </w:r>
          <w:r w:rsidR="00ED3892" w:rsidRPr="00ED3892">
            <w:rPr>
              <w:rFonts w:cs="Arial"/>
              <w:noProof/>
              <w:sz w:val="20"/>
              <w:szCs w:val="20"/>
            </w:rPr>
            <w:t>(Entain plc, 2023)</w:t>
          </w:r>
          <w:r w:rsidR="00ED3892">
            <w:rPr>
              <w:rFonts w:cs="Arial"/>
              <w:sz w:val="20"/>
              <w:szCs w:val="20"/>
            </w:rPr>
            <w:fldChar w:fldCharType="end"/>
          </w:r>
        </w:sdtContent>
      </w:sdt>
    </w:p>
    <w:p w14:paraId="0AA101EB" w14:textId="28EF89EA" w:rsidR="00A252F5" w:rsidRPr="00AB5BEB" w:rsidRDefault="00FC3CC2" w:rsidP="00AB5BEB">
      <w:pPr>
        <w:spacing w:after="100" w:afterAutospacing="1"/>
        <w:rPr>
          <w:rFonts w:cs="Arial"/>
          <w:sz w:val="20"/>
          <w:szCs w:val="20"/>
        </w:rPr>
      </w:pPr>
      <w:r w:rsidRPr="00F77CF6">
        <w:rPr>
          <w:rFonts w:cs="Arial"/>
          <w:sz w:val="20"/>
          <w:szCs w:val="20"/>
        </w:rPr>
        <w:t xml:space="preserve">Over recent years, the gambling industry has faced increasing scrutiny due to concerns about gambling-related harm, prompting operators to adopt RG practices to protect consumers (e.g., deposit/time limits, self-exclusion, behavioural monitoring). Recognising the need for a more proactive and technology-driven approach, Entain introduced a player-protection programme called ARC™ (Advanced Responsibility &amp; Care). ARC uses AI and behavioural analytics to identify risk </w:t>
      </w:r>
      <w:r w:rsidR="00CC7F0A" w:rsidRPr="00F77CF6">
        <w:rPr>
          <w:rFonts w:cs="Arial"/>
          <w:sz w:val="20"/>
          <w:szCs w:val="20"/>
        </w:rPr>
        <w:t>indicators such</w:t>
      </w:r>
      <w:r w:rsidRPr="00F77CF6">
        <w:rPr>
          <w:rFonts w:cs="Arial"/>
          <w:sz w:val="20"/>
          <w:szCs w:val="20"/>
        </w:rPr>
        <w:t xml:space="preserve"> as erratic stake fluctuations, long sessions or signs of chasing </w:t>
      </w:r>
      <w:r w:rsidR="00CC7F0A" w:rsidRPr="00F77CF6">
        <w:rPr>
          <w:rFonts w:cs="Arial"/>
          <w:sz w:val="20"/>
          <w:szCs w:val="20"/>
        </w:rPr>
        <w:t>losses and</w:t>
      </w:r>
      <w:r w:rsidRPr="00F77CF6">
        <w:rPr>
          <w:rFonts w:cs="Arial"/>
          <w:sz w:val="20"/>
          <w:szCs w:val="20"/>
        </w:rPr>
        <w:t xml:space="preserve"> triggers tailored interventions aimed at harm prevention.</w:t>
      </w:r>
      <w:r w:rsidR="00CC7F0A" w:rsidRPr="00F77CF6">
        <w:rPr>
          <w:rFonts w:cs="Arial"/>
          <w:sz w:val="20"/>
          <w:szCs w:val="20"/>
        </w:rPr>
        <w:t xml:space="preserve"> The impact of ARC has been significant: according to </w:t>
      </w:r>
      <w:proofErr w:type="spellStart"/>
      <w:r w:rsidR="00CC7F0A" w:rsidRPr="00F77CF6">
        <w:rPr>
          <w:rFonts w:cs="Arial"/>
          <w:sz w:val="20"/>
          <w:szCs w:val="20"/>
        </w:rPr>
        <w:t>Entain’s</w:t>
      </w:r>
      <w:proofErr w:type="spellEnd"/>
      <w:r w:rsidR="00CC7F0A" w:rsidRPr="00F77CF6">
        <w:rPr>
          <w:rFonts w:cs="Arial"/>
          <w:sz w:val="20"/>
          <w:szCs w:val="20"/>
        </w:rPr>
        <w:t xml:space="preserve"> ESG reports, by 2023 ARC-based player protection interventions rose sharply, with 742,112 customers using ARC tools and 8.7 million total interventions over the year, marking a 98% increase from the previous period. </w:t>
      </w:r>
      <w:r w:rsidR="00056670" w:rsidRPr="00F77CF6">
        <w:rPr>
          <w:rFonts w:cs="Arial"/>
          <w:sz w:val="20"/>
          <w:szCs w:val="20"/>
        </w:rPr>
        <w:t>These efforts have been recognised externally: Entain received the highest-level accreditation under the RG framework from GamCare the “Advanced Safer Gambling Standard” for both its online and land-based operations.</w:t>
      </w:r>
      <w:r w:rsidR="00350D8B" w:rsidRPr="00F77CF6">
        <w:rPr>
          <w:rFonts w:cs="Arial"/>
          <w:sz w:val="20"/>
          <w:szCs w:val="20"/>
        </w:rPr>
        <w:t xml:space="preserve"> Meanwhile, research on “positive play” behaviours such as setting betting limits, understanding odds realistically, and using RG tools suggests that such behaviours may influence loyalty. For example, a study found that positive play beliefs and behaviours predict attitudinal loyalty</w:t>
      </w:r>
      <w:r w:rsidR="00E95DBF" w:rsidRPr="00F77CF6">
        <w:rPr>
          <w:rFonts w:cs="Arial"/>
          <w:sz w:val="20"/>
          <w:szCs w:val="20"/>
        </w:rPr>
        <w:t xml:space="preserve"> among casino loyalty-program members.</w:t>
      </w:r>
      <w:r w:rsidR="00A5279A" w:rsidRPr="00F77CF6">
        <w:rPr>
          <w:rFonts w:cs="Arial"/>
          <w:sz w:val="20"/>
          <w:szCs w:val="20"/>
        </w:rPr>
        <w:t xml:space="preserve"> Therefore, exploring the link between RG practices and customer loyalty in a real-world operator context like Entain represents an important and timely research opportunity.</w:t>
      </w:r>
      <w:sdt>
        <w:sdtPr>
          <w:rPr>
            <w:rFonts w:cs="Arial"/>
            <w:sz w:val="20"/>
            <w:szCs w:val="20"/>
          </w:rPr>
          <w:id w:val="37254591"/>
          <w:citation/>
        </w:sdtPr>
        <w:sdtContent>
          <w:r w:rsidR="002C76BC">
            <w:rPr>
              <w:rFonts w:cs="Arial"/>
              <w:sz w:val="20"/>
              <w:szCs w:val="20"/>
            </w:rPr>
            <w:fldChar w:fldCharType="begin"/>
          </w:r>
          <w:r w:rsidR="002C76BC">
            <w:rPr>
              <w:rFonts w:cs="Arial"/>
              <w:sz w:val="20"/>
              <w:szCs w:val="20"/>
            </w:rPr>
            <w:instrText xml:space="preserve"> CITATION Gam222 \l 16393 </w:instrText>
          </w:r>
          <w:r w:rsidR="002C76BC">
            <w:rPr>
              <w:rFonts w:cs="Arial"/>
              <w:sz w:val="20"/>
              <w:szCs w:val="20"/>
            </w:rPr>
            <w:fldChar w:fldCharType="separate"/>
          </w:r>
          <w:r w:rsidR="002C76BC">
            <w:rPr>
              <w:rFonts w:cs="Arial"/>
              <w:noProof/>
              <w:sz w:val="20"/>
              <w:szCs w:val="20"/>
            </w:rPr>
            <w:t xml:space="preserve"> </w:t>
          </w:r>
          <w:r w:rsidR="002C76BC" w:rsidRPr="002C76BC">
            <w:rPr>
              <w:rFonts w:cs="Arial"/>
              <w:noProof/>
              <w:sz w:val="20"/>
              <w:szCs w:val="20"/>
            </w:rPr>
            <w:t>(GamCare, 2022)</w:t>
          </w:r>
          <w:r w:rsidR="002C76BC">
            <w:rPr>
              <w:rFonts w:cs="Arial"/>
              <w:sz w:val="20"/>
              <w:szCs w:val="20"/>
            </w:rPr>
            <w:fldChar w:fldCharType="end"/>
          </w:r>
        </w:sdtContent>
      </w:sdt>
      <w:sdt>
        <w:sdtPr>
          <w:rPr>
            <w:rFonts w:cs="Arial"/>
            <w:sz w:val="20"/>
            <w:szCs w:val="20"/>
          </w:rPr>
          <w:id w:val="1468002811"/>
          <w:citation/>
        </w:sdtPr>
        <w:sdtContent>
          <w:r w:rsidR="00BB4C2A">
            <w:rPr>
              <w:rFonts w:cs="Arial"/>
              <w:sz w:val="20"/>
              <w:szCs w:val="20"/>
            </w:rPr>
            <w:fldChar w:fldCharType="begin"/>
          </w:r>
          <w:r w:rsidR="00BB4C2A">
            <w:rPr>
              <w:rFonts w:cs="Arial"/>
              <w:sz w:val="20"/>
              <w:szCs w:val="20"/>
            </w:rPr>
            <w:instrText xml:space="preserve"> CITATION Ent235 \l 16393 </w:instrText>
          </w:r>
          <w:r w:rsidR="00BB4C2A">
            <w:rPr>
              <w:rFonts w:cs="Arial"/>
              <w:sz w:val="20"/>
              <w:szCs w:val="20"/>
            </w:rPr>
            <w:fldChar w:fldCharType="separate"/>
          </w:r>
          <w:r w:rsidR="00BB4C2A">
            <w:rPr>
              <w:rFonts w:cs="Arial"/>
              <w:noProof/>
              <w:sz w:val="20"/>
              <w:szCs w:val="20"/>
            </w:rPr>
            <w:t xml:space="preserve"> </w:t>
          </w:r>
          <w:r w:rsidR="00BB4C2A" w:rsidRPr="00BB4C2A">
            <w:rPr>
              <w:rFonts w:cs="Arial"/>
              <w:noProof/>
              <w:sz w:val="20"/>
              <w:szCs w:val="20"/>
            </w:rPr>
            <w:t>(Entain plc, 2023)</w:t>
          </w:r>
          <w:r w:rsidR="00BB4C2A">
            <w:rPr>
              <w:rFonts w:cs="Arial"/>
              <w:sz w:val="20"/>
              <w:szCs w:val="20"/>
            </w:rPr>
            <w:fldChar w:fldCharType="end"/>
          </w:r>
        </w:sdtContent>
      </w:sdt>
      <w:sdt>
        <w:sdtPr>
          <w:rPr>
            <w:rFonts w:cs="Arial"/>
            <w:sz w:val="20"/>
            <w:szCs w:val="20"/>
          </w:rPr>
          <w:id w:val="-960487297"/>
          <w:citation/>
        </w:sdtPr>
        <w:sdtContent>
          <w:r w:rsidR="00A60574">
            <w:rPr>
              <w:rFonts w:cs="Arial"/>
              <w:sz w:val="20"/>
              <w:szCs w:val="20"/>
            </w:rPr>
            <w:fldChar w:fldCharType="begin"/>
          </w:r>
          <w:r w:rsidR="00A60574">
            <w:rPr>
              <w:rFonts w:cs="Arial"/>
              <w:sz w:val="20"/>
              <w:szCs w:val="20"/>
            </w:rPr>
            <w:instrText xml:space="preserve"> CITATION Bro19 \l 16393 </w:instrText>
          </w:r>
          <w:r w:rsidR="00A60574">
            <w:rPr>
              <w:rFonts w:cs="Arial"/>
              <w:sz w:val="20"/>
              <w:szCs w:val="20"/>
            </w:rPr>
            <w:fldChar w:fldCharType="separate"/>
          </w:r>
          <w:r w:rsidR="00A60574">
            <w:rPr>
              <w:rFonts w:cs="Arial"/>
              <w:noProof/>
              <w:sz w:val="20"/>
              <w:szCs w:val="20"/>
            </w:rPr>
            <w:t xml:space="preserve"> </w:t>
          </w:r>
          <w:r w:rsidR="00A60574" w:rsidRPr="00A60574">
            <w:rPr>
              <w:rFonts w:cs="Arial"/>
              <w:noProof/>
              <w:sz w:val="20"/>
              <w:szCs w:val="20"/>
            </w:rPr>
            <w:t>(Browne, 2019)</w:t>
          </w:r>
          <w:r w:rsidR="00A60574">
            <w:rPr>
              <w:rFonts w:cs="Arial"/>
              <w:sz w:val="20"/>
              <w:szCs w:val="20"/>
            </w:rPr>
            <w:fldChar w:fldCharType="end"/>
          </w:r>
        </w:sdtContent>
      </w:sdt>
    </w:p>
    <w:p w14:paraId="131B5AD2" w14:textId="07F98F18" w:rsidR="001B6282" w:rsidRPr="00AB5BEB" w:rsidRDefault="001B6282" w:rsidP="00AB5BEB">
      <w:pPr>
        <w:spacing w:after="100" w:afterAutospacing="1"/>
        <w:rPr>
          <w:rFonts w:cs="Arial"/>
          <w:sz w:val="20"/>
          <w:szCs w:val="20"/>
        </w:rPr>
      </w:pPr>
      <w:r w:rsidRPr="00AB5BEB">
        <w:rPr>
          <w:rFonts w:cs="Arial"/>
          <w:sz w:val="20"/>
          <w:szCs w:val="20"/>
        </w:rPr>
        <w:t>Entain plc (formerly GVC Holdings) is one of the leading FTSE 100 operators, as well as the worthy case study to evaluate the role of responsible gambling in enhancing customer loyalty. Entain</w:t>
      </w:r>
      <w:r w:rsidR="008C01A5" w:rsidRPr="00AB5BEB">
        <w:rPr>
          <w:rFonts w:cs="Arial"/>
          <w:sz w:val="20"/>
          <w:szCs w:val="20"/>
        </w:rPr>
        <w:t xml:space="preserve"> </w:t>
      </w:r>
      <w:r w:rsidRPr="00AB5BEB">
        <w:rPr>
          <w:rFonts w:cs="Arial"/>
          <w:sz w:val="20"/>
          <w:szCs w:val="20"/>
        </w:rPr>
        <w:t xml:space="preserve">owns major brands including Ladbrokes, coral, bwin and </w:t>
      </w:r>
      <w:proofErr w:type="spellStart"/>
      <w:r w:rsidRPr="00AB5BEB">
        <w:rPr>
          <w:rFonts w:cs="Arial"/>
          <w:sz w:val="20"/>
          <w:szCs w:val="20"/>
        </w:rPr>
        <w:t>BetMGM</w:t>
      </w:r>
      <w:proofErr w:type="spellEnd"/>
      <w:r w:rsidRPr="00AB5BEB">
        <w:rPr>
          <w:rFonts w:cs="Arial"/>
          <w:sz w:val="20"/>
          <w:szCs w:val="20"/>
        </w:rPr>
        <w:t xml:space="preserve"> which attract millions of customers in the international markets, particularly in the area of online services. The rebranding that the company has done in 2020 and the focus on sustainability, innovation, and safe gambling have made the company one of the first to transform the industry. The platform, which it uses in its label, Advanced Responsibility and Care (</w:t>
      </w:r>
      <w:proofErr w:type="spellStart"/>
      <w:r w:rsidRPr="00AB5BEB">
        <w:rPr>
          <w:rFonts w:cs="Arial"/>
          <w:sz w:val="20"/>
          <w:szCs w:val="20"/>
        </w:rPr>
        <w:t>ARCtm</w:t>
      </w:r>
      <w:proofErr w:type="spellEnd"/>
      <w:r w:rsidRPr="00AB5BEB">
        <w:rPr>
          <w:rFonts w:cs="Arial"/>
          <w:sz w:val="20"/>
          <w:szCs w:val="20"/>
        </w:rPr>
        <w:t xml:space="preserve">), is based on artificial intelligence to understand risky </w:t>
      </w:r>
      <w:proofErr w:type="spellStart"/>
      <w:r w:rsidRPr="00AB5BEB">
        <w:rPr>
          <w:rFonts w:cs="Arial"/>
          <w:sz w:val="20"/>
          <w:szCs w:val="20"/>
        </w:rPr>
        <w:t>behaviors</w:t>
      </w:r>
      <w:proofErr w:type="spellEnd"/>
      <w:r w:rsidRPr="00AB5BEB">
        <w:rPr>
          <w:rFonts w:cs="Arial"/>
          <w:sz w:val="20"/>
          <w:szCs w:val="20"/>
        </w:rPr>
        <w:t xml:space="preserve"> and provide individualized interventions, which is the core of its campaign, Changing for the Bettor. Entain has also put more into research, education, and harm treatment, over PS18 million in 2023- which is associated with corporate responsibility as well as strategic adjustment to more challenging regulatory environments.</w:t>
      </w:r>
      <w:sdt>
        <w:sdtPr>
          <w:rPr>
            <w:rFonts w:cs="Arial"/>
            <w:sz w:val="20"/>
            <w:szCs w:val="20"/>
          </w:rPr>
          <w:id w:val="701982073"/>
          <w:citation/>
        </w:sdtPr>
        <w:sdtContent>
          <w:r w:rsidR="00CD6EEF">
            <w:rPr>
              <w:rFonts w:cs="Arial"/>
              <w:sz w:val="20"/>
              <w:szCs w:val="20"/>
            </w:rPr>
            <w:fldChar w:fldCharType="begin"/>
          </w:r>
          <w:r w:rsidR="00CD6EEF">
            <w:rPr>
              <w:rFonts w:cs="Arial"/>
              <w:sz w:val="20"/>
              <w:szCs w:val="20"/>
            </w:rPr>
            <w:instrText xml:space="preserve"> CITATION Ent211 \l 16393 </w:instrText>
          </w:r>
          <w:r w:rsidR="00CD6EEF">
            <w:rPr>
              <w:rFonts w:cs="Arial"/>
              <w:sz w:val="20"/>
              <w:szCs w:val="20"/>
            </w:rPr>
            <w:fldChar w:fldCharType="separate"/>
          </w:r>
          <w:r w:rsidR="00CD6EEF">
            <w:rPr>
              <w:rFonts w:cs="Arial"/>
              <w:noProof/>
              <w:sz w:val="20"/>
              <w:szCs w:val="20"/>
            </w:rPr>
            <w:t xml:space="preserve"> </w:t>
          </w:r>
          <w:r w:rsidR="00CD6EEF" w:rsidRPr="00CD6EEF">
            <w:rPr>
              <w:rFonts w:cs="Arial"/>
              <w:noProof/>
              <w:sz w:val="20"/>
              <w:szCs w:val="20"/>
            </w:rPr>
            <w:t>(Entain plc, 2021)</w:t>
          </w:r>
          <w:r w:rsidR="00CD6EEF">
            <w:rPr>
              <w:rFonts w:cs="Arial"/>
              <w:sz w:val="20"/>
              <w:szCs w:val="20"/>
            </w:rPr>
            <w:fldChar w:fldCharType="end"/>
          </w:r>
        </w:sdtContent>
      </w:sdt>
      <w:sdt>
        <w:sdtPr>
          <w:rPr>
            <w:rFonts w:cs="Arial"/>
            <w:sz w:val="20"/>
            <w:szCs w:val="20"/>
          </w:rPr>
          <w:id w:val="-1214266612"/>
          <w:citation/>
        </w:sdtPr>
        <w:sdtContent>
          <w:r w:rsidR="00E842A4">
            <w:rPr>
              <w:rFonts w:cs="Arial"/>
              <w:sz w:val="20"/>
              <w:szCs w:val="20"/>
            </w:rPr>
            <w:fldChar w:fldCharType="begin"/>
          </w:r>
          <w:r w:rsidR="00E842A4">
            <w:rPr>
              <w:rFonts w:cs="Arial"/>
              <w:sz w:val="20"/>
              <w:szCs w:val="20"/>
            </w:rPr>
            <w:instrText xml:space="preserve"> CITATION Ent236 \l 16393 </w:instrText>
          </w:r>
          <w:r w:rsidR="00E842A4">
            <w:rPr>
              <w:rFonts w:cs="Arial"/>
              <w:sz w:val="20"/>
              <w:szCs w:val="20"/>
            </w:rPr>
            <w:fldChar w:fldCharType="separate"/>
          </w:r>
          <w:r w:rsidR="00E842A4">
            <w:rPr>
              <w:rFonts w:cs="Arial"/>
              <w:noProof/>
              <w:sz w:val="20"/>
              <w:szCs w:val="20"/>
            </w:rPr>
            <w:t xml:space="preserve"> </w:t>
          </w:r>
          <w:r w:rsidR="00E842A4" w:rsidRPr="00E842A4">
            <w:rPr>
              <w:rFonts w:cs="Arial"/>
              <w:noProof/>
              <w:sz w:val="20"/>
              <w:szCs w:val="20"/>
            </w:rPr>
            <w:t>(Entain plc, 2023)</w:t>
          </w:r>
          <w:r w:rsidR="00E842A4">
            <w:rPr>
              <w:rFonts w:cs="Arial"/>
              <w:sz w:val="20"/>
              <w:szCs w:val="20"/>
            </w:rPr>
            <w:fldChar w:fldCharType="end"/>
          </w:r>
        </w:sdtContent>
      </w:sdt>
      <w:r w:rsidR="00E842A4">
        <w:rPr>
          <w:rFonts w:cs="Arial"/>
          <w:sz w:val="20"/>
          <w:szCs w:val="20"/>
        </w:rPr>
        <w:t xml:space="preserve"> </w:t>
      </w:r>
    </w:p>
    <w:p w14:paraId="7A965C70" w14:textId="6B7541BA" w:rsidR="00421DF1" w:rsidRPr="00AB5BEB" w:rsidRDefault="00421DF1" w:rsidP="00AB5BEB">
      <w:pPr>
        <w:spacing w:after="100" w:afterAutospacing="1"/>
        <w:rPr>
          <w:rFonts w:cs="Arial"/>
          <w:sz w:val="20"/>
          <w:szCs w:val="20"/>
        </w:rPr>
      </w:pPr>
      <w:r w:rsidRPr="00AB5BEB">
        <w:rPr>
          <w:rFonts w:cs="Arial"/>
          <w:sz w:val="20"/>
          <w:szCs w:val="20"/>
        </w:rPr>
        <w:t xml:space="preserve">This study is motivated by the fact that gaming operators are facing a twofold problem in that they need to have strong consumer protection and be able to sustain their businesses and customer loyalty in the highly competitive regulated markets. The interaction of both the responsible gambling programs and the trust of the customers is very vital in this contemporary environment since companies, which do a good </w:t>
      </w:r>
      <w:r w:rsidRPr="00AB5BEB">
        <w:rPr>
          <w:rFonts w:cs="Arial"/>
          <w:sz w:val="20"/>
          <w:szCs w:val="20"/>
        </w:rPr>
        <w:lastRenderedPageBreak/>
        <w:t xml:space="preserve">job at protecting the players, are better placed to gain a </w:t>
      </w:r>
      <w:r w:rsidR="00AB5BEB" w:rsidRPr="00AB5BEB">
        <w:rPr>
          <w:rFonts w:cs="Arial"/>
          <w:sz w:val="20"/>
          <w:szCs w:val="20"/>
        </w:rPr>
        <w:t>long-term</w:t>
      </w:r>
      <w:r w:rsidRPr="00AB5BEB">
        <w:rPr>
          <w:rFonts w:cs="Arial"/>
          <w:sz w:val="20"/>
          <w:szCs w:val="20"/>
        </w:rPr>
        <w:t xml:space="preserve"> loyalty and good publics. In the context of Entain, it is not only a regulatory necessity but also a channel to a sustainable growth and a lead brand.</w:t>
      </w:r>
      <w:sdt>
        <w:sdtPr>
          <w:rPr>
            <w:rFonts w:cs="Arial"/>
            <w:sz w:val="20"/>
            <w:szCs w:val="20"/>
          </w:rPr>
          <w:id w:val="1919130814"/>
          <w:citation/>
        </w:sdtPr>
        <w:sdtContent>
          <w:r w:rsidR="0094621E">
            <w:rPr>
              <w:rFonts w:cs="Arial"/>
              <w:sz w:val="20"/>
              <w:szCs w:val="20"/>
            </w:rPr>
            <w:fldChar w:fldCharType="begin"/>
          </w:r>
          <w:r w:rsidR="0094621E">
            <w:rPr>
              <w:rFonts w:cs="Arial"/>
              <w:sz w:val="20"/>
              <w:szCs w:val="20"/>
            </w:rPr>
            <w:instrText xml:space="preserve"> CITATION Mor941 \l 16393 </w:instrText>
          </w:r>
          <w:r w:rsidR="0094621E">
            <w:rPr>
              <w:rFonts w:cs="Arial"/>
              <w:sz w:val="20"/>
              <w:szCs w:val="20"/>
            </w:rPr>
            <w:fldChar w:fldCharType="separate"/>
          </w:r>
          <w:r w:rsidR="0094621E">
            <w:rPr>
              <w:rFonts w:cs="Arial"/>
              <w:noProof/>
              <w:sz w:val="20"/>
              <w:szCs w:val="20"/>
            </w:rPr>
            <w:t xml:space="preserve"> </w:t>
          </w:r>
          <w:r w:rsidR="0094621E" w:rsidRPr="0094621E">
            <w:rPr>
              <w:rFonts w:cs="Arial"/>
              <w:noProof/>
              <w:sz w:val="20"/>
              <w:szCs w:val="20"/>
            </w:rPr>
            <w:t>(Morgan &amp; Hunt, 1994)</w:t>
          </w:r>
          <w:r w:rsidR="0094621E">
            <w:rPr>
              <w:rFonts w:cs="Arial"/>
              <w:sz w:val="20"/>
              <w:szCs w:val="20"/>
            </w:rPr>
            <w:fldChar w:fldCharType="end"/>
          </w:r>
        </w:sdtContent>
      </w:sdt>
      <w:sdt>
        <w:sdtPr>
          <w:rPr>
            <w:rFonts w:cs="Arial"/>
            <w:sz w:val="20"/>
            <w:szCs w:val="20"/>
          </w:rPr>
          <w:id w:val="-1879469885"/>
          <w:citation/>
        </w:sdtPr>
        <w:sdtContent>
          <w:r w:rsidR="0094621E">
            <w:rPr>
              <w:rFonts w:cs="Arial"/>
              <w:sz w:val="20"/>
              <w:szCs w:val="20"/>
            </w:rPr>
            <w:fldChar w:fldCharType="begin"/>
          </w:r>
          <w:r w:rsidR="0094621E">
            <w:rPr>
              <w:rFonts w:cs="Arial"/>
              <w:sz w:val="20"/>
              <w:szCs w:val="20"/>
            </w:rPr>
            <w:instrText xml:space="preserve"> CITATION Fre101 \l 16393 </w:instrText>
          </w:r>
          <w:r w:rsidR="0094621E">
            <w:rPr>
              <w:rFonts w:cs="Arial"/>
              <w:sz w:val="20"/>
              <w:szCs w:val="20"/>
            </w:rPr>
            <w:fldChar w:fldCharType="separate"/>
          </w:r>
          <w:r w:rsidR="0094621E">
            <w:rPr>
              <w:rFonts w:cs="Arial"/>
              <w:noProof/>
              <w:sz w:val="20"/>
              <w:szCs w:val="20"/>
            </w:rPr>
            <w:t xml:space="preserve"> </w:t>
          </w:r>
          <w:r w:rsidR="0094621E" w:rsidRPr="0094621E">
            <w:rPr>
              <w:rFonts w:cs="Arial"/>
              <w:noProof/>
              <w:sz w:val="20"/>
              <w:szCs w:val="20"/>
            </w:rPr>
            <w:t>(Freeman, 2010)</w:t>
          </w:r>
          <w:r w:rsidR="0094621E">
            <w:rPr>
              <w:rFonts w:cs="Arial"/>
              <w:sz w:val="20"/>
              <w:szCs w:val="20"/>
            </w:rPr>
            <w:fldChar w:fldCharType="end"/>
          </w:r>
        </w:sdtContent>
      </w:sdt>
      <w:sdt>
        <w:sdtPr>
          <w:rPr>
            <w:rFonts w:cs="Arial"/>
            <w:sz w:val="20"/>
            <w:szCs w:val="20"/>
          </w:rPr>
          <w:id w:val="-232624969"/>
          <w:citation/>
        </w:sdtPr>
        <w:sdtContent>
          <w:r w:rsidR="00972B5D">
            <w:rPr>
              <w:rFonts w:cs="Arial"/>
              <w:sz w:val="20"/>
              <w:szCs w:val="20"/>
            </w:rPr>
            <w:fldChar w:fldCharType="begin"/>
          </w:r>
          <w:r w:rsidR="00972B5D">
            <w:rPr>
              <w:rFonts w:cs="Arial"/>
              <w:sz w:val="20"/>
              <w:szCs w:val="20"/>
            </w:rPr>
            <w:instrText xml:space="preserve"> CITATION War202 \l 16393 </w:instrText>
          </w:r>
          <w:r w:rsidR="00972B5D">
            <w:rPr>
              <w:rFonts w:cs="Arial"/>
              <w:sz w:val="20"/>
              <w:szCs w:val="20"/>
            </w:rPr>
            <w:fldChar w:fldCharType="separate"/>
          </w:r>
          <w:r w:rsidR="00972B5D">
            <w:rPr>
              <w:rFonts w:cs="Arial"/>
              <w:noProof/>
              <w:sz w:val="20"/>
              <w:szCs w:val="20"/>
            </w:rPr>
            <w:t xml:space="preserve"> </w:t>
          </w:r>
          <w:r w:rsidR="00972B5D" w:rsidRPr="00972B5D">
            <w:rPr>
              <w:rFonts w:cs="Arial"/>
              <w:noProof/>
              <w:sz w:val="20"/>
              <w:szCs w:val="20"/>
            </w:rPr>
            <w:t>(Wardle, 2020)</w:t>
          </w:r>
          <w:r w:rsidR="00972B5D">
            <w:rPr>
              <w:rFonts w:cs="Arial"/>
              <w:sz w:val="20"/>
              <w:szCs w:val="20"/>
            </w:rPr>
            <w:fldChar w:fldCharType="end"/>
          </w:r>
        </w:sdtContent>
      </w:sdt>
    </w:p>
    <w:p w14:paraId="6D08DA4E" w14:textId="77777777" w:rsidR="0089387E" w:rsidRPr="00AB5BEB" w:rsidRDefault="0089387E" w:rsidP="0089387E">
      <w:pPr>
        <w:rPr>
          <w:rFonts w:cs="Arial"/>
          <w:b/>
          <w:bCs/>
          <w:sz w:val="24"/>
          <w:szCs w:val="24"/>
        </w:rPr>
      </w:pPr>
      <w:r w:rsidRPr="00AB5BEB">
        <w:rPr>
          <w:rFonts w:cs="Arial"/>
          <w:b/>
          <w:bCs/>
          <w:sz w:val="24"/>
          <w:szCs w:val="24"/>
        </w:rPr>
        <w:t>2. Research Aim and Objectives</w:t>
      </w:r>
    </w:p>
    <w:p w14:paraId="07ABC0F9" w14:textId="77777777" w:rsidR="0089387E" w:rsidRPr="008D4F1E" w:rsidRDefault="0089387E" w:rsidP="0089387E">
      <w:pPr>
        <w:rPr>
          <w:rFonts w:cs="Arial"/>
          <w:sz w:val="24"/>
          <w:szCs w:val="24"/>
        </w:rPr>
      </w:pPr>
      <w:r w:rsidRPr="00AB5BEB">
        <w:rPr>
          <w:rFonts w:cs="Arial"/>
          <w:b/>
          <w:bCs/>
        </w:rPr>
        <w:t>Aim:</w:t>
      </w:r>
      <w:r w:rsidRPr="008D4F1E">
        <w:rPr>
          <w:rFonts w:cs="Arial"/>
          <w:sz w:val="24"/>
          <w:szCs w:val="24"/>
        </w:rPr>
        <w:br/>
      </w:r>
      <w:r w:rsidRPr="00CD034D">
        <w:rPr>
          <w:rFonts w:cs="Arial"/>
          <w:sz w:val="20"/>
          <w:szCs w:val="20"/>
        </w:rPr>
        <w:t>To assess the impact of responsible gambling initiatives on customer loyalty within Entain plc’s online betting platforms.</w:t>
      </w:r>
    </w:p>
    <w:p w14:paraId="42CEB6C9" w14:textId="77777777" w:rsidR="007A57FB" w:rsidRPr="00CD034D" w:rsidRDefault="007A57FB" w:rsidP="007A57FB">
      <w:pPr>
        <w:rPr>
          <w:rFonts w:cs="Arial"/>
          <w:sz w:val="20"/>
          <w:szCs w:val="20"/>
        </w:rPr>
      </w:pPr>
      <w:r w:rsidRPr="008D4F1E">
        <w:rPr>
          <w:rFonts w:cs="Arial"/>
          <w:b/>
          <w:bCs/>
        </w:rPr>
        <w:t>Objectives:</w:t>
      </w:r>
      <w:r w:rsidRPr="008D4F1E">
        <w:rPr>
          <w:rFonts w:cs="Arial"/>
        </w:rPr>
        <w:br/>
      </w:r>
      <w:r w:rsidRPr="00CD034D">
        <w:rPr>
          <w:rFonts w:cs="Arial"/>
          <w:sz w:val="20"/>
          <w:szCs w:val="20"/>
        </w:rPr>
        <w:t>1. To explore consumer perceptions of responsible gambling tools offered by Entain.</w:t>
      </w:r>
      <w:r w:rsidRPr="00CD034D">
        <w:rPr>
          <w:rFonts w:cs="Arial"/>
          <w:sz w:val="20"/>
          <w:szCs w:val="20"/>
        </w:rPr>
        <w:br/>
        <w:t>2. To evaluate the relationship between responsible gambling initiatives and customer trust.</w:t>
      </w:r>
      <w:r w:rsidRPr="00CD034D">
        <w:rPr>
          <w:rFonts w:cs="Arial"/>
          <w:sz w:val="20"/>
          <w:szCs w:val="20"/>
        </w:rPr>
        <w:br/>
        <w:t>3. To determine how these initiatives influence customer retention and loyalty.</w:t>
      </w:r>
      <w:r w:rsidRPr="00CD034D">
        <w:rPr>
          <w:rFonts w:cs="Arial"/>
          <w:sz w:val="20"/>
          <w:szCs w:val="20"/>
        </w:rPr>
        <w:br/>
        <w:t>4. To provide recommendations to improve the balance between player protection and business performance.</w:t>
      </w:r>
    </w:p>
    <w:p w14:paraId="560587AA" w14:textId="77777777" w:rsidR="00101855" w:rsidRPr="00CD034D" w:rsidRDefault="00101855" w:rsidP="00101855">
      <w:pPr>
        <w:rPr>
          <w:rFonts w:cs="Arial"/>
          <w:b/>
          <w:bCs/>
          <w:sz w:val="24"/>
          <w:szCs w:val="24"/>
        </w:rPr>
      </w:pPr>
      <w:r w:rsidRPr="00CD034D">
        <w:rPr>
          <w:rFonts w:cs="Arial"/>
          <w:b/>
          <w:bCs/>
          <w:sz w:val="24"/>
          <w:szCs w:val="24"/>
        </w:rPr>
        <w:t>3. Research Questions</w:t>
      </w:r>
    </w:p>
    <w:p w14:paraId="6CFB170A" w14:textId="6E18A1AB" w:rsidR="00A10F41" w:rsidRPr="00CD034D" w:rsidRDefault="00101855" w:rsidP="00A10F41">
      <w:pPr>
        <w:rPr>
          <w:rFonts w:cs="Arial"/>
          <w:sz w:val="20"/>
          <w:szCs w:val="20"/>
        </w:rPr>
      </w:pPr>
      <w:r w:rsidRPr="00CD034D">
        <w:rPr>
          <w:rFonts w:cs="Arial"/>
          <w:sz w:val="20"/>
          <w:szCs w:val="20"/>
        </w:rPr>
        <w:t xml:space="preserve">1. How do </w:t>
      </w:r>
      <w:proofErr w:type="spellStart"/>
      <w:r w:rsidRPr="00CD034D">
        <w:rPr>
          <w:rFonts w:cs="Arial"/>
          <w:sz w:val="20"/>
          <w:szCs w:val="20"/>
        </w:rPr>
        <w:t>Entain’s</w:t>
      </w:r>
      <w:proofErr w:type="spellEnd"/>
      <w:r w:rsidRPr="00CD034D">
        <w:rPr>
          <w:rFonts w:cs="Arial"/>
          <w:sz w:val="20"/>
          <w:szCs w:val="20"/>
        </w:rPr>
        <w:t xml:space="preserve"> customers perceive the company’s responsible gambling initiatives?</w:t>
      </w:r>
      <w:r w:rsidRPr="00CD034D">
        <w:rPr>
          <w:rFonts w:cs="Arial"/>
          <w:sz w:val="20"/>
          <w:szCs w:val="20"/>
        </w:rPr>
        <w:br/>
        <w:t>2. What is the relationship between responsible gambling practices and consumer trust?</w:t>
      </w:r>
      <w:r w:rsidRPr="00CD034D">
        <w:rPr>
          <w:rFonts w:cs="Arial"/>
          <w:sz w:val="20"/>
          <w:szCs w:val="20"/>
        </w:rPr>
        <w:br/>
        <w:t>3. To what extent do responsible gambling tools influence long-term customer loyalty?</w:t>
      </w:r>
      <w:r w:rsidRPr="00CD034D">
        <w:rPr>
          <w:rFonts w:cs="Arial"/>
          <w:sz w:val="20"/>
          <w:szCs w:val="20"/>
        </w:rPr>
        <w:br/>
        <w:t>4. How can Entain enhance responsible gambling policies while maintaining customer satisfaction?</w:t>
      </w:r>
    </w:p>
    <w:p w14:paraId="3608CF68" w14:textId="785A6F3B" w:rsidR="00A10F41" w:rsidRPr="007402F7" w:rsidRDefault="00A10F41" w:rsidP="00A10F41">
      <w:pPr>
        <w:rPr>
          <w:rFonts w:cs="Arial"/>
          <w:b/>
          <w:bCs/>
          <w:sz w:val="24"/>
          <w:szCs w:val="24"/>
        </w:rPr>
      </w:pPr>
      <w:r w:rsidRPr="007402F7">
        <w:rPr>
          <w:rFonts w:cs="Arial"/>
          <w:b/>
          <w:bCs/>
          <w:sz w:val="24"/>
          <w:szCs w:val="24"/>
        </w:rPr>
        <w:t>Metho</w:t>
      </w:r>
      <w:r w:rsidR="001A6029" w:rsidRPr="007402F7">
        <w:rPr>
          <w:rFonts w:cs="Arial"/>
          <w:b/>
          <w:bCs/>
          <w:sz w:val="24"/>
          <w:szCs w:val="24"/>
        </w:rPr>
        <w:t>dology and limitations:</w:t>
      </w:r>
    </w:p>
    <w:p w14:paraId="596BDF95" w14:textId="14661929" w:rsidR="006D671F" w:rsidRPr="007402F7" w:rsidRDefault="0040268A" w:rsidP="006D671F">
      <w:pPr>
        <w:rPr>
          <w:rFonts w:cs="Arial"/>
          <w:sz w:val="20"/>
          <w:szCs w:val="20"/>
        </w:rPr>
      </w:pPr>
      <w:r w:rsidRPr="007402F7">
        <w:rPr>
          <w:rFonts w:cs="Arial"/>
          <w:sz w:val="20"/>
          <w:szCs w:val="20"/>
        </w:rPr>
        <w:t>The research will rely on secondary data analysis to utilize the primary sources such as the annual and ESG reports of Entain, regulatory documents, scholarly literature, and market research databases. Ethical protection such as anonymity and harmlessness will be strictly enforced. Limitations include possible sample bias, use of external sources and limited access to internal proprietary data.</w:t>
      </w:r>
    </w:p>
    <w:p w14:paraId="27A1F889" w14:textId="00FF2113" w:rsidR="006D671F" w:rsidRPr="00056397" w:rsidRDefault="006D671F" w:rsidP="006D671F">
      <w:pPr>
        <w:rPr>
          <w:rFonts w:cs="Arial"/>
        </w:rPr>
      </w:pPr>
      <w:r w:rsidRPr="00056397">
        <w:rPr>
          <w:rFonts w:cs="Arial"/>
        </w:rPr>
        <w:t>Dissertation Structure:</w:t>
      </w:r>
    </w:p>
    <w:p w14:paraId="0BC85FB0" w14:textId="2E0C54EA" w:rsidR="006D671F" w:rsidRPr="007402F7" w:rsidRDefault="006D671F" w:rsidP="00C8571A">
      <w:pPr>
        <w:rPr>
          <w:rFonts w:cs="Arial"/>
          <w:sz w:val="20"/>
          <w:szCs w:val="20"/>
        </w:rPr>
      </w:pPr>
      <w:r w:rsidRPr="007402F7">
        <w:rPr>
          <w:rFonts w:cs="Arial"/>
          <w:sz w:val="20"/>
          <w:szCs w:val="20"/>
        </w:rPr>
        <w:t xml:space="preserve">Chapter 2: Literature review on RG, regulation, customer </w:t>
      </w:r>
      <w:r w:rsidR="00107F8F" w:rsidRPr="007402F7">
        <w:rPr>
          <w:rFonts w:cs="Arial"/>
          <w:sz w:val="20"/>
          <w:szCs w:val="20"/>
        </w:rPr>
        <w:t>behaviour</w:t>
      </w:r>
      <w:r w:rsidRPr="007402F7">
        <w:rPr>
          <w:rFonts w:cs="Arial"/>
          <w:sz w:val="20"/>
          <w:szCs w:val="20"/>
        </w:rPr>
        <w:t>, and loyalty</w:t>
      </w:r>
    </w:p>
    <w:p w14:paraId="210B9418" w14:textId="77777777" w:rsidR="006D671F" w:rsidRPr="007402F7" w:rsidRDefault="006D671F" w:rsidP="00C8571A">
      <w:pPr>
        <w:rPr>
          <w:rFonts w:cs="Arial"/>
          <w:sz w:val="20"/>
          <w:szCs w:val="20"/>
        </w:rPr>
      </w:pPr>
      <w:r w:rsidRPr="007402F7">
        <w:rPr>
          <w:rFonts w:cs="Arial"/>
          <w:sz w:val="20"/>
          <w:szCs w:val="20"/>
        </w:rPr>
        <w:t>Chapter 3: Methodology and data analysis approach</w:t>
      </w:r>
    </w:p>
    <w:p w14:paraId="543D1630" w14:textId="046E559A" w:rsidR="006D671F" w:rsidRPr="007402F7" w:rsidRDefault="006D671F" w:rsidP="00C8571A">
      <w:pPr>
        <w:rPr>
          <w:rFonts w:cs="Arial"/>
          <w:sz w:val="20"/>
          <w:szCs w:val="20"/>
        </w:rPr>
      </w:pPr>
      <w:r w:rsidRPr="007402F7">
        <w:rPr>
          <w:rFonts w:cs="Arial"/>
          <w:sz w:val="20"/>
          <w:szCs w:val="20"/>
        </w:rPr>
        <w:t xml:space="preserve">Chapter 4: Findings </w:t>
      </w:r>
      <w:r w:rsidR="000D2729">
        <w:rPr>
          <w:rFonts w:cs="Arial"/>
          <w:sz w:val="20"/>
          <w:szCs w:val="20"/>
        </w:rPr>
        <w:t xml:space="preserve">and discussion </w:t>
      </w:r>
    </w:p>
    <w:p w14:paraId="4689157D" w14:textId="6E0E82B7" w:rsidR="006D671F" w:rsidRPr="007402F7" w:rsidRDefault="006D671F" w:rsidP="00C8571A">
      <w:pPr>
        <w:rPr>
          <w:rFonts w:cs="Arial"/>
          <w:sz w:val="20"/>
          <w:szCs w:val="20"/>
        </w:rPr>
      </w:pPr>
      <w:r w:rsidRPr="007402F7">
        <w:rPr>
          <w:rFonts w:cs="Arial"/>
          <w:sz w:val="20"/>
          <w:szCs w:val="20"/>
        </w:rPr>
        <w:t xml:space="preserve">Chapter 5:  </w:t>
      </w:r>
      <w:r w:rsidR="009336D6">
        <w:rPr>
          <w:rFonts w:cs="Arial"/>
          <w:sz w:val="20"/>
          <w:szCs w:val="20"/>
        </w:rPr>
        <w:t>E</w:t>
      </w:r>
      <w:r w:rsidRPr="007402F7">
        <w:rPr>
          <w:rFonts w:cs="Arial"/>
          <w:sz w:val="20"/>
          <w:szCs w:val="20"/>
        </w:rPr>
        <w:t>valuation</w:t>
      </w:r>
    </w:p>
    <w:p w14:paraId="140A4563" w14:textId="391A9932" w:rsidR="006D671F" w:rsidRPr="007402F7" w:rsidRDefault="006D671F" w:rsidP="00C454B0">
      <w:pPr>
        <w:rPr>
          <w:rFonts w:cs="Arial"/>
          <w:sz w:val="20"/>
          <w:szCs w:val="20"/>
        </w:rPr>
      </w:pPr>
      <w:r w:rsidRPr="007402F7">
        <w:rPr>
          <w:rFonts w:cs="Arial"/>
          <w:sz w:val="20"/>
          <w:szCs w:val="20"/>
        </w:rPr>
        <w:t xml:space="preserve">Chapter 6: Conclusion </w:t>
      </w:r>
    </w:p>
    <w:p w14:paraId="2E70A138" w14:textId="77777777" w:rsidR="00266604" w:rsidRPr="006A3E0C" w:rsidRDefault="00266604" w:rsidP="00C454B0"/>
    <w:p w14:paraId="47062DFB" w14:textId="71A9D3DD" w:rsidR="00AE7C2A" w:rsidRPr="00BF30F8" w:rsidRDefault="00AE7C2A" w:rsidP="00827846">
      <w:pPr>
        <w:pStyle w:val="Heading1"/>
        <w:rPr>
          <w:b/>
          <w:bCs/>
          <w:sz w:val="28"/>
          <w:szCs w:val="28"/>
        </w:rPr>
      </w:pPr>
      <w:bookmarkStart w:id="1" w:name="_Toc217223906"/>
      <w:bookmarkStart w:id="2" w:name="_Toc217225391"/>
      <w:bookmarkStart w:id="3" w:name="_Toc217226061"/>
      <w:r w:rsidRPr="00BF30F8">
        <w:rPr>
          <w:b/>
          <w:bCs/>
          <w:color w:val="000000" w:themeColor="text1"/>
          <w:sz w:val="28"/>
          <w:szCs w:val="28"/>
        </w:rPr>
        <w:t>C</w:t>
      </w:r>
      <w:bookmarkEnd w:id="1"/>
      <w:bookmarkEnd w:id="2"/>
      <w:r w:rsidR="00FE5EB0">
        <w:rPr>
          <w:b/>
          <w:bCs/>
          <w:color w:val="000000" w:themeColor="text1"/>
          <w:sz w:val="28"/>
          <w:szCs w:val="28"/>
        </w:rPr>
        <w:t>hapter 2: Literature Review</w:t>
      </w:r>
      <w:bookmarkEnd w:id="3"/>
    </w:p>
    <w:p w14:paraId="531EDA36" w14:textId="77777777" w:rsidR="00AE7C2A" w:rsidRPr="007402F7" w:rsidRDefault="00AE7C2A" w:rsidP="00AE7C2A">
      <w:pPr>
        <w:rPr>
          <w:b/>
          <w:bCs/>
        </w:rPr>
      </w:pPr>
      <w:r w:rsidRPr="007402F7">
        <w:rPr>
          <w:b/>
          <w:bCs/>
        </w:rPr>
        <w:t>2.1 Introduction</w:t>
      </w:r>
    </w:p>
    <w:p w14:paraId="61A63643" w14:textId="0BFF6165" w:rsidR="00AE7C2A" w:rsidRPr="007B2802" w:rsidRDefault="00AE7C2A" w:rsidP="00AE7C2A">
      <w:pPr>
        <w:rPr>
          <w:rFonts w:cs="Arial"/>
          <w:sz w:val="20"/>
          <w:szCs w:val="20"/>
        </w:rPr>
      </w:pPr>
      <w:r w:rsidRPr="007B2802">
        <w:rPr>
          <w:rFonts w:cs="Arial"/>
          <w:sz w:val="20"/>
          <w:szCs w:val="20"/>
        </w:rPr>
        <w:t xml:space="preserve">Responsible gambling (RG) has become a central concern for gambling operators, regulators and public </w:t>
      </w:r>
      <w:r w:rsidRPr="007402F7">
        <w:rPr>
          <w:rFonts w:cs="Arial"/>
          <w:sz w:val="20"/>
          <w:szCs w:val="20"/>
        </w:rPr>
        <w:t>health</w:t>
      </w:r>
      <w:r w:rsidRPr="007B2802">
        <w:rPr>
          <w:rFonts w:cs="Arial"/>
          <w:sz w:val="20"/>
          <w:szCs w:val="20"/>
        </w:rPr>
        <w:t xml:space="preserve"> bodies, especially in online markets where availability and speed can intensify harm. RG initiatives are intended to minimise gambling</w:t>
      </w:r>
      <w:r w:rsidR="00522369" w:rsidRPr="007B2802">
        <w:rPr>
          <w:rFonts w:cs="Arial"/>
          <w:sz w:val="20"/>
          <w:szCs w:val="20"/>
        </w:rPr>
        <w:t xml:space="preserve"> </w:t>
      </w:r>
      <w:r w:rsidRPr="007B2802">
        <w:rPr>
          <w:rFonts w:cs="Arial"/>
          <w:sz w:val="20"/>
          <w:szCs w:val="20"/>
        </w:rPr>
        <w:t xml:space="preserve">related problems while allowing adults to gamble recreationally. At the same time, operators compete in highly saturated digital markets where customer </w:t>
      </w:r>
      <w:r w:rsidR="00522369" w:rsidRPr="007B2802">
        <w:rPr>
          <w:rFonts w:cs="Arial"/>
          <w:sz w:val="20"/>
          <w:szCs w:val="20"/>
        </w:rPr>
        <w:t>loyalty repeat</w:t>
      </w:r>
      <w:r w:rsidRPr="007B2802">
        <w:rPr>
          <w:rFonts w:cs="Arial"/>
          <w:sz w:val="20"/>
          <w:szCs w:val="20"/>
        </w:rPr>
        <w:t xml:space="preserve"> use, positive attitudes and resistance to switching is commercially critical.</w:t>
      </w:r>
    </w:p>
    <w:p w14:paraId="407C90B7" w14:textId="125A0B56" w:rsidR="00AE7C2A" w:rsidRPr="007B2802" w:rsidRDefault="00AE7C2A" w:rsidP="00AE7C2A">
      <w:pPr>
        <w:rPr>
          <w:rFonts w:cs="Arial"/>
          <w:sz w:val="20"/>
          <w:szCs w:val="20"/>
        </w:rPr>
      </w:pPr>
      <w:r w:rsidRPr="007B2802">
        <w:rPr>
          <w:rFonts w:cs="Arial"/>
          <w:sz w:val="20"/>
          <w:szCs w:val="20"/>
        </w:rPr>
        <w:t xml:space="preserve">Entain plc, which owns Ladbrokes, Coral and other brands, presents itself as an industry leader in safer gambling. Its “Advanced Responsibility and Care” (ARC) system uses real-time behavioural data and </w:t>
      </w:r>
      <w:r w:rsidRPr="007B2802">
        <w:rPr>
          <w:rFonts w:cs="Arial"/>
          <w:sz w:val="20"/>
          <w:szCs w:val="20"/>
        </w:rPr>
        <w:lastRenderedPageBreak/>
        <w:t>artificial intelligence to identify risky play and trigger tailored interventions before serious harm emerges.</w:t>
      </w:r>
      <w:sdt>
        <w:sdtPr>
          <w:rPr>
            <w:rFonts w:cs="Arial"/>
            <w:sz w:val="20"/>
            <w:szCs w:val="20"/>
          </w:rPr>
          <w:id w:val="-715739351"/>
          <w:citation/>
        </w:sdtPr>
        <w:sdtEndPr/>
        <w:sdtContent>
          <w:r w:rsidR="00384984" w:rsidRPr="007B2802">
            <w:rPr>
              <w:rFonts w:cs="Arial"/>
              <w:sz w:val="20"/>
              <w:szCs w:val="20"/>
            </w:rPr>
            <w:fldChar w:fldCharType="begin"/>
          </w:r>
          <w:r w:rsidR="00384984" w:rsidRPr="007B2802">
            <w:rPr>
              <w:rFonts w:cs="Arial"/>
              <w:sz w:val="20"/>
              <w:szCs w:val="20"/>
            </w:rPr>
            <w:instrText xml:space="preserve"> CITATION ENT25 \l 16393 </w:instrText>
          </w:r>
          <w:r w:rsidR="00384984" w:rsidRPr="007B2802">
            <w:rPr>
              <w:rFonts w:cs="Arial"/>
              <w:sz w:val="20"/>
              <w:szCs w:val="20"/>
            </w:rPr>
            <w:fldChar w:fldCharType="separate"/>
          </w:r>
          <w:r w:rsidR="009E45A7" w:rsidRPr="007B2802">
            <w:rPr>
              <w:rFonts w:cs="Arial"/>
              <w:sz w:val="20"/>
              <w:szCs w:val="20"/>
            </w:rPr>
            <w:t xml:space="preserve"> (ENTAIN, n.d.)</w:t>
          </w:r>
          <w:r w:rsidR="00384984" w:rsidRPr="007B2802">
            <w:rPr>
              <w:rFonts w:cs="Arial"/>
              <w:sz w:val="20"/>
              <w:szCs w:val="20"/>
            </w:rPr>
            <w:fldChar w:fldCharType="end"/>
          </w:r>
        </w:sdtContent>
      </w:sdt>
      <w:r w:rsidRPr="007B2802">
        <w:rPr>
          <w:rFonts w:cs="Arial"/>
          <w:sz w:val="20"/>
          <w:szCs w:val="20"/>
        </w:rPr>
        <w:t xml:space="preserve"> Entain has also received GamCare’s Advanced Safer Gambling Standard accreditation, signalling high standards of player protection in its UK operations.</w:t>
      </w:r>
      <w:sdt>
        <w:sdtPr>
          <w:rPr>
            <w:rFonts w:cs="Arial"/>
            <w:sz w:val="20"/>
            <w:szCs w:val="20"/>
          </w:rPr>
          <w:id w:val="408360596"/>
          <w:citation/>
        </w:sdtPr>
        <w:sdtEndPr/>
        <w:sdtContent>
          <w:r w:rsidR="009E1971" w:rsidRPr="007B2802">
            <w:rPr>
              <w:rFonts w:cs="Arial"/>
              <w:sz w:val="20"/>
              <w:szCs w:val="20"/>
            </w:rPr>
            <w:fldChar w:fldCharType="begin"/>
          </w:r>
          <w:r w:rsidR="009E1971" w:rsidRPr="007B2802">
            <w:rPr>
              <w:rFonts w:cs="Arial"/>
              <w:sz w:val="20"/>
              <w:szCs w:val="20"/>
            </w:rPr>
            <w:instrText xml:space="preserve"> CITATION Ent22 \l 16393 </w:instrText>
          </w:r>
          <w:r w:rsidR="009E1971" w:rsidRPr="007B2802">
            <w:rPr>
              <w:rFonts w:cs="Arial"/>
              <w:sz w:val="20"/>
              <w:szCs w:val="20"/>
            </w:rPr>
            <w:fldChar w:fldCharType="separate"/>
          </w:r>
          <w:r w:rsidR="009E45A7" w:rsidRPr="007B2802">
            <w:rPr>
              <w:rFonts w:cs="Arial"/>
              <w:sz w:val="20"/>
              <w:szCs w:val="20"/>
            </w:rPr>
            <w:t xml:space="preserve"> (Entain Plc, 2022)</w:t>
          </w:r>
          <w:r w:rsidR="009E1971" w:rsidRPr="007B2802">
            <w:rPr>
              <w:rFonts w:cs="Arial"/>
              <w:sz w:val="20"/>
              <w:szCs w:val="20"/>
            </w:rPr>
            <w:fldChar w:fldCharType="end"/>
          </w:r>
        </w:sdtContent>
      </w:sdt>
    </w:p>
    <w:p w14:paraId="05C8974C" w14:textId="77777777" w:rsidR="00AE7C2A" w:rsidRPr="007B2802" w:rsidRDefault="00AE7C2A" w:rsidP="00AE7C2A">
      <w:pPr>
        <w:rPr>
          <w:rFonts w:cs="Arial"/>
          <w:sz w:val="20"/>
          <w:szCs w:val="20"/>
        </w:rPr>
      </w:pPr>
      <w:r w:rsidRPr="007B2802">
        <w:rPr>
          <w:rFonts w:cs="Arial"/>
          <w:sz w:val="20"/>
          <w:szCs w:val="20"/>
        </w:rPr>
        <w:t>Despite these developments, academic evidence on whether such initiatives strengthen, weaken or have no effect on customer loyalty is limited and mixed. This chapter reviews the literature relevant to the impact of RG initiatives on customer loyalty, with specific reference to Entain. Section 2.2 introduces key concepts and background; Section 2.3 discusses relevant theoretical frameworks; Section 2.4 reviews empirical studies and practice-based evidence; Section 2.5 identifies gaps that motivate the current research; and Section 2.6 summarises the key points.</w:t>
      </w:r>
    </w:p>
    <w:p w14:paraId="7B60F7C7" w14:textId="3D855133" w:rsidR="00AE7C2A" w:rsidRPr="007C7F55" w:rsidRDefault="00AE7C2A" w:rsidP="00AE7C2A"/>
    <w:p w14:paraId="520E7DD6" w14:textId="77777777" w:rsidR="00AE7C2A" w:rsidRDefault="00AE7C2A" w:rsidP="00AE7C2A">
      <w:pPr>
        <w:rPr>
          <w:b/>
          <w:bCs/>
          <w:sz w:val="24"/>
          <w:szCs w:val="24"/>
        </w:rPr>
      </w:pPr>
      <w:r w:rsidRPr="007C7F55">
        <w:rPr>
          <w:b/>
          <w:bCs/>
          <w:sz w:val="24"/>
          <w:szCs w:val="24"/>
        </w:rPr>
        <w:t>2.2 Base Theory and Background Aspects</w:t>
      </w:r>
    </w:p>
    <w:p w14:paraId="559E637F" w14:textId="77777777" w:rsidR="00D1173B" w:rsidRPr="007B2802" w:rsidRDefault="007D5C06" w:rsidP="00D1173B">
      <w:pPr>
        <w:rPr>
          <w:b/>
          <w:bCs/>
        </w:rPr>
      </w:pPr>
      <w:r w:rsidRPr="007B2802">
        <w:rPr>
          <w:b/>
          <w:bCs/>
        </w:rPr>
        <w:t>2</w:t>
      </w:r>
      <w:r w:rsidR="004C6104" w:rsidRPr="007B2802">
        <w:rPr>
          <w:b/>
          <w:bCs/>
        </w:rPr>
        <w:t>.2.1</w:t>
      </w:r>
      <w:r w:rsidR="008302D7" w:rsidRPr="007B2802">
        <w:rPr>
          <w:b/>
          <w:bCs/>
        </w:rPr>
        <w:t xml:space="preserve"> </w:t>
      </w:r>
      <w:r w:rsidR="00D1173B" w:rsidRPr="007B2802">
        <w:rPr>
          <w:b/>
          <w:bCs/>
        </w:rPr>
        <w:t>Responsible Gambling and Its Impact on Customer Behaviour and Mental Health</w:t>
      </w:r>
    </w:p>
    <w:p w14:paraId="2665D6A6" w14:textId="408EDCD8" w:rsidR="008740E6" w:rsidRDefault="00054E1B" w:rsidP="008740E6">
      <w:pPr>
        <w:rPr>
          <w:b/>
          <w:bCs/>
        </w:rPr>
      </w:pPr>
      <w:r w:rsidRPr="004E34D0">
        <w:rPr>
          <w:sz w:val="20"/>
          <w:szCs w:val="20"/>
        </w:rPr>
        <w:t xml:space="preserve">Responsible gambling (RG) is a collection of policies, practices, and protective measures aimed at preventing and reducing gambling-related harm and yet enable gambling to continue to be an adult form of entertainment. The common RG measures are self-exclusion programmes, limits on deposits and losses, time-out, reality checks, age and identity checks, staff training and behavioural monitoring to identify risky gambling habits. The initial versions of RG put much emphasis on personal responsibility, including informed choice and self-regulation. Nevertheless, these findings are being counterbalanced by more and more evidence in </w:t>
      </w:r>
      <w:proofErr w:type="spellStart"/>
      <w:r w:rsidRPr="004E34D0">
        <w:rPr>
          <w:sz w:val="20"/>
          <w:szCs w:val="20"/>
        </w:rPr>
        <w:t>favor</w:t>
      </w:r>
      <w:proofErr w:type="spellEnd"/>
      <w:r w:rsidRPr="004E34D0">
        <w:rPr>
          <w:sz w:val="20"/>
          <w:szCs w:val="20"/>
        </w:rPr>
        <w:t xml:space="preserve"> of a shared-responsibility approach, in which gambling operators and regulators have a role to play in minimizing harm, especially with regard to online gambling where the pace, accessibility and the design of products can render personal self-control ineffective.</w:t>
      </w:r>
      <w:r w:rsidR="008740E6" w:rsidRPr="0087617C">
        <w:t xml:space="preserve"> </w:t>
      </w:r>
      <w:sdt>
        <w:sdtPr>
          <w:id w:val="-1404374727"/>
          <w:citation/>
        </w:sdtPr>
        <w:sdtEndPr/>
        <w:sdtContent>
          <w:r w:rsidR="00BE3D2D">
            <w:fldChar w:fldCharType="begin"/>
          </w:r>
          <w:r w:rsidR="00BE3D2D">
            <w:instrText xml:space="preserve"> CITATION Bla11 \l 16393 </w:instrText>
          </w:r>
          <w:r w:rsidR="00BE3D2D">
            <w:fldChar w:fldCharType="separate"/>
          </w:r>
          <w:r w:rsidR="00BE3D2D" w:rsidRPr="00BE3D2D">
            <w:rPr>
              <w:noProof/>
            </w:rPr>
            <w:t>(Blaszczynski, 2011)</w:t>
          </w:r>
          <w:r w:rsidR="00BE3D2D">
            <w:fldChar w:fldCharType="end"/>
          </w:r>
        </w:sdtContent>
      </w:sdt>
    </w:p>
    <w:p w14:paraId="0C3F355F" w14:textId="4B7F2B32" w:rsidR="00E1504E" w:rsidRDefault="00E1504E" w:rsidP="00E1504E">
      <w:r w:rsidRPr="00C90945">
        <w:rPr>
          <w:sz w:val="20"/>
          <w:szCs w:val="20"/>
        </w:rPr>
        <w:t>The significance of responsible gambling is based on the fact that it is a fundamental consumer protection and public health tool. Harm caused by gambling is not only monetary but also psychological, conflict with the family, decreased workplace productivity and strain on health and social care. The successful RG initiatives would focus on minimising the prevalence and severity of these harms by detecting the risky behaviour early and putting the proper protection. Regulation RG promotes fairness, transparency, and trustworthiness of the gambling markets, which makes their social legitimacy. RG is also of strategic value to the gambling operators since lack of successful full responsible gambling can result in regulatory fines, tarnished reputations, and loss of operating licences</w:t>
      </w:r>
      <w:r w:rsidRPr="004D4274">
        <w:t>.</w:t>
      </w:r>
      <w:sdt>
        <w:sdtPr>
          <w:id w:val="198362601"/>
          <w:citation/>
        </w:sdtPr>
        <w:sdtEndPr/>
        <w:sdtContent>
          <w:r w:rsidR="00B04FA2">
            <w:fldChar w:fldCharType="begin"/>
          </w:r>
          <w:r w:rsidR="00B04FA2">
            <w:instrText xml:space="preserve"> CITATION War20 \l 16393 </w:instrText>
          </w:r>
          <w:r w:rsidR="00B04FA2">
            <w:fldChar w:fldCharType="separate"/>
          </w:r>
          <w:r w:rsidR="00B04FA2">
            <w:rPr>
              <w:noProof/>
            </w:rPr>
            <w:t xml:space="preserve"> </w:t>
          </w:r>
          <w:r w:rsidR="00B04FA2" w:rsidRPr="00B04FA2">
            <w:rPr>
              <w:noProof/>
            </w:rPr>
            <w:t>(Wardle, 2020)</w:t>
          </w:r>
          <w:r w:rsidR="00B04FA2">
            <w:fldChar w:fldCharType="end"/>
          </w:r>
        </w:sdtContent>
      </w:sdt>
      <w:r w:rsidRPr="0087617C">
        <w:t xml:space="preserve"> </w:t>
      </w:r>
    </w:p>
    <w:p w14:paraId="70DEF981" w14:textId="66B29816" w:rsidR="00850A78" w:rsidRDefault="00850A78" w:rsidP="00850A78">
      <w:r w:rsidRPr="001E1FDC">
        <w:rPr>
          <w:sz w:val="20"/>
          <w:szCs w:val="20"/>
        </w:rPr>
        <w:t>Psychological reinforcement, emotional vulnerability and structural characteristics of gambling products, including rapid response play and variable reward schedules, determine the customer behaviour in the gambling settings. Although some people may gamble recreationally and have no side effects, extensive studies have been associated with excessive gambling as a negative effect on mental health, such as anxiety, depression, stress and emotional regulation. Loss of control and compulsive behaviour tend to characterize problem gambling as individuals tend to use gambling as a coping mechanism of negative emotions. This may form a vicious circle whereby psychological distress enhances gambling behaviour and gambling losses further enhance mental health.</w:t>
      </w:r>
      <w:sdt>
        <w:sdtPr>
          <w:rPr>
            <w:sz w:val="20"/>
            <w:szCs w:val="20"/>
          </w:rPr>
          <w:id w:val="-943840844"/>
          <w:citation/>
        </w:sdtPr>
        <w:sdtEndPr/>
        <w:sdtContent>
          <w:r w:rsidR="00B23D71">
            <w:rPr>
              <w:sz w:val="20"/>
              <w:szCs w:val="20"/>
            </w:rPr>
            <w:fldChar w:fldCharType="begin"/>
          </w:r>
          <w:r w:rsidR="00B23D71">
            <w:rPr>
              <w:sz w:val="20"/>
              <w:szCs w:val="20"/>
            </w:rPr>
            <w:instrText xml:space="preserve"> CITATION Fel11 \l 16393 </w:instrText>
          </w:r>
          <w:r w:rsidR="00B23D71">
            <w:rPr>
              <w:sz w:val="20"/>
              <w:szCs w:val="20"/>
            </w:rPr>
            <w:fldChar w:fldCharType="separate"/>
          </w:r>
          <w:r w:rsidR="00B23D71">
            <w:rPr>
              <w:noProof/>
              <w:sz w:val="20"/>
              <w:szCs w:val="20"/>
            </w:rPr>
            <w:t xml:space="preserve"> </w:t>
          </w:r>
          <w:r w:rsidR="00B23D71" w:rsidRPr="00B23D71">
            <w:rPr>
              <w:noProof/>
              <w:sz w:val="20"/>
              <w:szCs w:val="20"/>
            </w:rPr>
            <w:t>(Felicity K. Lorains, 2011)</w:t>
          </w:r>
          <w:r w:rsidR="00B23D71">
            <w:rPr>
              <w:sz w:val="20"/>
              <w:szCs w:val="20"/>
            </w:rPr>
            <w:fldChar w:fldCharType="end"/>
          </w:r>
        </w:sdtContent>
      </w:sdt>
      <w:r w:rsidRPr="001E1FDC">
        <w:rPr>
          <w:sz w:val="20"/>
          <w:szCs w:val="20"/>
        </w:rPr>
        <w:t xml:space="preserve"> </w:t>
      </w:r>
    </w:p>
    <w:p w14:paraId="117FDAB9" w14:textId="04E01AF9" w:rsidR="00CB4770" w:rsidRDefault="000D3238" w:rsidP="00CB4770">
      <w:r w:rsidRPr="000D3238">
        <w:rPr>
          <w:sz w:val="20"/>
          <w:szCs w:val="20"/>
        </w:rPr>
        <w:t>These psychological effects make conventional understandings of customer behaviour and loyalty difficult. The habit of gambling could be an indicator of compulsion and not satisfaction, trust or a positive attachment to the brand. Responsible gaming programs have the potential to break the cycles of harmful behaviour through raising awareness and perceived control and through safer gambling. Nonetheless, the reaction of customers to the RG tools is not uniform: some people see them as protective and helping, whereas some other people are invasive or inhibitory. In line with this, proportionality, transparency and perceived credibility of RG initiatives are key determinants of their success in improving mental health outcomes and customer attitudes.</w:t>
      </w:r>
      <w:sdt>
        <w:sdtPr>
          <w:rPr>
            <w:sz w:val="20"/>
            <w:szCs w:val="20"/>
          </w:rPr>
          <w:id w:val="1010336124"/>
          <w:citation/>
        </w:sdtPr>
        <w:sdtEndPr/>
        <w:sdtContent>
          <w:r w:rsidR="00B84C96">
            <w:rPr>
              <w:sz w:val="20"/>
              <w:szCs w:val="20"/>
            </w:rPr>
            <w:fldChar w:fldCharType="begin"/>
          </w:r>
          <w:r w:rsidR="00B84C96">
            <w:rPr>
              <w:sz w:val="20"/>
              <w:szCs w:val="20"/>
            </w:rPr>
            <w:instrText xml:space="preserve"> CITATION Gai18 \l 16393 </w:instrText>
          </w:r>
          <w:r w:rsidR="00B84C96">
            <w:rPr>
              <w:sz w:val="20"/>
              <w:szCs w:val="20"/>
            </w:rPr>
            <w:fldChar w:fldCharType="separate"/>
          </w:r>
          <w:r w:rsidR="00B84C96">
            <w:rPr>
              <w:noProof/>
              <w:sz w:val="20"/>
              <w:szCs w:val="20"/>
            </w:rPr>
            <w:t xml:space="preserve"> </w:t>
          </w:r>
          <w:r w:rsidR="00B84C96" w:rsidRPr="00B84C96">
            <w:rPr>
              <w:noProof/>
              <w:sz w:val="20"/>
              <w:szCs w:val="20"/>
            </w:rPr>
            <w:t>(Gainsbury, 2018)</w:t>
          </w:r>
          <w:r w:rsidR="00B84C96">
            <w:rPr>
              <w:sz w:val="20"/>
              <w:szCs w:val="20"/>
            </w:rPr>
            <w:fldChar w:fldCharType="end"/>
          </w:r>
        </w:sdtContent>
      </w:sdt>
      <w:r w:rsidR="00CB4770" w:rsidRPr="001E2867">
        <w:rPr>
          <w:sz w:val="20"/>
          <w:szCs w:val="20"/>
        </w:rPr>
        <w:t xml:space="preserve"> </w:t>
      </w:r>
    </w:p>
    <w:p w14:paraId="0E91D33B" w14:textId="385BE976" w:rsidR="000E5EBF" w:rsidRDefault="000E5EBF" w:rsidP="002C4C25">
      <w:pPr>
        <w:rPr>
          <w:sz w:val="20"/>
          <w:szCs w:val="20"/>
        </w:rPr>
      </w:pPr>
    </w:p>
    <w:p w14:paraId="54194AB3" w14:textId="77777777" w:rsidR="004D5ABE" w:rsidRDefault="004D5ABE" w:rsidP="002C4C25">
      <w:pPr>
        <w:rPr>
          <w:sz w:val="20"/>
          <w:szCs w:val="20"/>
        </w:rPr>
      </w:pPr>
    </w:p>
    <w:p w14:paraId="28102D95" w14:textId="4745EBA2" w:rsidR="004A76C7" w:rsidRDefault="005112DE" w:rsidP="004A76C7">
      <w:pPr>
        <w:rPr>
          <w:b/>
          <w:bCs/>
          <w:sz w:val="24"/>
          <w:szCs w:val="24"/>
        </w:rPr>
      </w:pPr>
      <w:r>
        <w:rPr>
          <w:b/>
          <w:bCs/>
          <w:sz w:val="24"/>
          <w:szCs w:val="24"/>
        </w:rPr>
        <w:t xml:space="preserve">2.2.3 </w:t>
      </w:r>
      <w:proofErr w:type="spellStart"/>
      <w:r w:rsidR="004A76C7" w:rsidRPr="004A76C7">
        <w:rPr>
          <w:b/>
          <w:bCs/>
          <w:sz w:val="24"/>
          <w:szCs w:val="24"/>
        </w:rPr>
        <w:t>Entain’s</w:t>
      </w:r>
      <w:proofErr w:type="spellEnd"/>
      <w:r w:rsidR="004A76C7" w:rsidRPr="004A76C7">
        <w:rPr>
          <w:b/>
          <w:bCs/>
          <w:sz w:val="24"/>
          <w:szCs w:val="24"/>
        </w:rPr>
        <w:t xml:space="preserve"> Responsible Gambling initiatives &amp; Their Role in Enhancing customer loyalty</w:t>
      </w:r>
    </w:p>
    <w:p w14:paraId="26FDB599" w14:textId="6DBA5436" w:rsidR="00735491" w:rsidRPr="00136DD0" w:rsidRDefault="00735491" w:rsidP="00092220">
      <w:pPr>
        <w:rPr>
          <w:sz w:val="20"/>
          <w:szCs w:val="20"/>
        </w:rPr>
      </w:pPr>
      <w:r w:rsidRPr="00136DD0">
        <w:rPr>
          <w:sz w:val="20"/>
          <w:szCs w:val="20"/>
        </w:rPr>
        <w:t>Entain plc makes safer gambling central to its operating model, where its flagship Advanced Responsibility and Care (ARC™) system applies behavioural indicators and AI-driven analytics to detect signs of potential harm (e.g. unusual deposit frequency, lengthy sessions, quick changes in staking) and instigate more personalised customer interactions to prevent a problem. This turns safer gambling, in terms of loyalty, into a compliance add-on, however, and the brand may be viewed as a more trusted and professionally-managed service, when risk is proactively tracked and addressed</w:t>
      </w:r>
      <w:r w:rsidRPr="00D91CB9">
        <w:rPr>
          <w:sz w:val="20"/>
          <w:szCs w:val="20"/>
        </w:rPr>
        <w:t>.</w:t>
      </w:r>
      <w:sdt>
        <w:sdtPr>
          <w:id w:val="-2005114013"/>
          <w:citation/>
        </w:sdtPr>
        <w:sdtEndPr/>
        <w:sdtContent>
          <w:r w:rsidR="00D91CB9" w:rsidRPr="00D91CB9">
            <w:fldChar w:fldCharType="begin"/>
          </w:r>
          <w:r w:rsidR="00D91CB9" w:rsidRPr="00D91CB9">
            <w:instrText xml:space="preserve"> CITATION Ent232 \l 16393 </w:instrText>
          </w:r>
          <w:r w:rsidR="00D91CB9" w:rsidRPr="00D91CB9">
            <w:fldChar w:fldCharType="separate"/>
          </w:r>
          <w:r w:rsidR="00D91CB9" w:rsidRPr="00D91CB9">
            <w:rPr>
              <w:noProof/>
            </w:rPr>
            <w:t>(Entain plc, 2023)</w:t>
          </w:r>
          <w:r w:rsidR="00D91CB9" w:rsidRPr="00D91CB9">
            <w:fldChar w:fldCharType="end"/>
          </w:r>
        </w:sdtContent>
      </w:sdt>
      <w:sdt>
        <w:sdtPr>
          <w:id w:val="-1009755976"/>
          <w:citation/>
        </w:sdtPr>
        <w:sdtEndPr/>
        <w:sdtContent>
          <w:r w:rsidR="00026FAC">
            <w:fldChar w:fldCharType="begin"/>
          </w:r>
          <w:r w:rsidR="00026FAC">
            <w:instrText xml:space="preserve"> CITATION Ent21 \l 16393 </w:instrText>
          </w:r>
          <w:r w:rsidR="00026FAC">
            <w:fldChar w:fldCharType="separate"/>
          </w:r>
          <w:r w:rsidR="00026FAC">
            <w:rPr>
              <w:noProof/>
            </w:rPr>
            <w:t xml:space="preserve"> </w:t>
          </w:r>
          <w:r w:rsidR="00026FAC" w:rsidRPr="00026FAC">
            <w:rPr>
              <w:noProof/>
            </w:rPr>
            <w:t>(Entain plc, 2021)</w:t>
          </w:r>
          <w:r w:rsidR="00026FAC">
            <w:fldChar w:fldCharType="end"/>
          </w:r>
        </w:sdtContent>
      </w:sdt>
    </w:p>
    <w:p w14:paraId="3720B982" w14:textId="4D863A1A" w:rsidR="00446828" w:rsidRPr="00025230" w:rsidRDefault="00446828" w:rsidP="00092220">
      <w:pPr>
        <w:rPr>
          <w:sz w:val="20"/>
          <w:szCs w:val="20"/>
        </w:rPr>
      </w:pPr>
      <w:r w:rsidRPr="00136DD0">
        <w:rPr>
          <w:sz w:val="20"/>
          <w:szCs w:val="20"/>
        </w:rPr>
        <w:t>The self-reporting of Entain presents ARC as being compatible with sustained engagement, with such results as 92% of higher-risk customers maintaining or reducing a limit due to ARC interventions, and 95% still active 30 days after contact. These statistics (albeit operator-reported) create a case of sustainable loyalty: instead of maximising intensity, safer gambling will promote further involvement at lower risk levels of customer confidence and decrease the risk of crisis-induced self-exclusion or drop-out. Nonetheless, the causality in attitudinal loyalty (commitment and advocacy) cannot be well established without conducting research on customers separately.</w:t>
      </w:r>
      <w:sdt>
        <w:sdtPr>
          <w:rPr>
            <w:sz w:val="20"/>
            <w:szCs w:val="20"/>
          </w:rPr>
          <w:id w:val="1533693365"/>
          <w:citation/>
        </w:sdtPr>
        <w:sdtEndPr/>
        <w:sdtContent>
          <w:r w:rsidR="00042346">
            <w:rPr>
              <w:sz w:val="20"/>
              <w:szCs w:val="20"/>
            </w:rPr>
            <w:fldChar w:fldCharType="begin"/>
          </w:r>
          <w:r w:rsidR="00042346">
            <w:rPr>
              <w:sz w:val="20"/>
              <w:szCs w:val="20"/>
            </w:rPr>
            <w:instrText xml:space="preserve"> CITATION Ent233 \l 16393 </w:instrText>
          </w:r>
          <w:r w:rsidR="00042346">
            <w:rPr>
              <w:sz w:val="20"/>
              <w:szCs w:val="20"/>
            </w:rPr>
            <w:fldChar w:fldCharType="separate"/>
          </w:r>
          <w:r w:rsidR="00042346">
            <w:rPr>
              <w:noProof/>
              <w:sz w:val="20"/>
              <w:szCs w:val="20"/>
            </w:rPr>
            <w:t xml:space="preserve"> </w:t>
          </w:r>
          <w:r w:rsidR="00042346" w:rsidRPr="00042346">
            <w:rPr>
              <w:noProof/>
              <w:sz w:val="20"/>
              <w:szCs w:val="20"/>
            </w:rPr>
            <w:t>(Entain plc, 2023)</w:t>
          </w:r>
          <w:r w:rsidR="00042346">
            <w:rPr>
              <w:sz w:val="20"/>
              <w:szCs w:val="20"/>
            </w:rPr>
            <w:fldChar w:fldCharType="end"/>
          </w:r>
        </w:sdtContent>
      </w:sdt>
      <w:r w:rsidR="00D807FD">
        <w:t xml:space="preserve"> </w:t>
      </w:r>
      <w:sdt>
        <w:sdtPr>
          <w:id w:val="1125276259"/>
          <w:citation/>
        </w:sdtPr>
        <w:sdtEndPr/>
        <w:sdtContent>
          <w:r w:rsidR="00D4665B">
            <w:fldChar w:fldCharType="begin"/>
          </w:r>
          <w:r w:rsidR="00D4665B">
            <w:instrText xml:space="preserve"> CITATION Mac24 \l 16393 </w:instrText>
          </w:r>
          <w:r w:rsidR="00D4665B">
            <w:fldChar w:fldCharType="separate"/>
          </w:r>
          <w:r w:rsidR="00D4665B" w:rsidRPr="00D4665B">
            <w:rPr>
              <w:noProof/>
            </w:rPr>
            <w:t>(Macedo, 2024)</w:t>
          </w:r>
          <w:r w:rsidR="00D4665B">
            <w:fldChar w:fldCharType="end"/>
          </w:r>
        </w:sdtContent>
      </w:sdt>
    </w:p>
    <w:p w14:paraId="4DFA5187" w14:textId="2B563DA4" w:rsidR="00D807FD" w:rsidRPr="00830CC0" w:rsidRDefault="00D82681" w:rsidP="00092220">
      <w:pPr>
        <w:rPr>
          <w:sz w:val="20"/>
          <w:szCs w:val="20"/>
        </w:rPr>
      </w:pPr>
      <w:r w:rsidRPr="00830CC0">
        <w:rPr>
          <w:sz w:val="20"/>
          <w:szCs w:val="20"/>
        </w:rPr>
        <w:t>Entain also uses third-party validation as a way to enhance credibility, such as with the Safer Gambling Standard of GamCare at advanced levels to have its operations, which may help customers trust it by indicating that its operations and governance are audited. One of the antecedents of loyalty in the digital services is trust, particularly where the customers are high-risk perishers (fairness, data use, withdrawals). However, perceived authenticity is important to trust: and when the customers see accreditation as a sign of badge marketing as opposed to a sign of serious protection, the effects of loyalty might be minimal.</w:t>
      </w:r>
      <w:sdt>
        <w:sdtPr>
          <w:rPr>
            <w:sz w:val="20"/>
            <w:szCs w:val="20"/>
          </w:rPr>
          <w:id w:val="-1988617348"/>
          <w:citation/>
        </w:sdtPr>
        <w:sdtEndPr/>
        <w:sdtContent>
          <w:r w:rsidR="00CF0D01">
            <w:rPr>
              <w:sz w:val="20"/>
              <w:szCs w:val="20"/>
            </w:rPr>
            <w:fldChar w:fldCharType="begin"/>
          </w:r>
          <w:r w:rsidR="00CF0D01">
            <w:rPr>
              <w:sz w:val="20"/>
              <w:szCs w:val="20"/>
            </w:rPr>
            <w:instrText xml:space="preserve"> CITATION Ent22 \l 16393 </w:instrText>
          </w:r>
          <w:r w:rsidR="00CF0D01">
            <w:rPr>
              <w:sz w:val="20"/>
              <w:szCs w:val="20"/>
            </w:rPr>
            <w:fldChar w:fldCharType="separate"/>
          </w:r>
          <w:r w:rsidR="00CF0D01">
            <w:rPr>
              <w:noProof/>
              <w:sz w:val="20"/>
              <w:szCs w:val="20"/>
            </w:rPr>
            <w:t xml:space="preserve"> </w:t>
          </w:r>
          <w:r w:rsidR="00CF0D01" w:rsidRPr="00CF0D01">
            <w:rPr>
              <w:noProof/>
              <w:sz w:val="20"/>
              <w:szCs w:val="20"/>
            </w:rPr>
            <w:t>(Entain Plc, 2022)</w:t>
          </w:r>
          <w:r w:rsidR="00CF0D01">
            <w:rPr>
              <w:sz w:val="20"/>
              <w:szCs w:val="20"/>
            </w:rPr>
            <w:fldChar w:fldCharType="end"/>
          </w:r>
        </w:sdtContent>
      </w:sdt>
      <w:sdt>
        <w:sdtPr>
          <w:rPr>
            <w:sz w:val="20"/>
            <w:szCs w:val="20"/>
          </w:rPr>
          <w:id w:val="-1955937122"/>
          <w:citation/>
        </w:sdtPr>
        <w:sdtEndPr/>
        <w:sdtContent>
          <w:r w:rsidR="00A83021">
            <w:rPr>
              <w:sz w:val="20"/>
              <w:szCs w:val="20"/>
            </w:rPr>
            <w:fldChar w:fldCharType="begin"/>
          </w:r>
          <w:r w:rsidR="00A83021">
            <w:rPr>
              <w:sz w:val="20"/>
              <w:szCs w:val="20"/>
            </w:rPr>
            <w:instrText xml:space="preserve"> CITATION Ent243 \l 16393 </w:instrText>
          </w:r>
          <w:r w:rsidR="00A83021">
            <w:rPr>
              <w:sz w:val="20"/>
              <w:szCs w:val="20"/>
            </w:rPr>
            <w:fldChar w:fldCharType="separate"/>
          </w:r>
          <w:r w:rsidR="00A83021">
            <w:rPr>
              <w:noProof/>
              <w:sz w:val="20"/>
              <w:szCs w:val="20"/>
            </w:rPr>
            <w:t xml:space="preserve"> </w:t>
          </w:r>
          <w:r w:rsidR="00A83021" w:rsidRPr="00A83021">
            <w:rPr>
              <w:noProof/>
              <w:sz w:val="20"/>
              <w:szCs w:val="20"/>
            </w:rPr>
            <w:t>(Entain plc, 2024)</w:t>
          </w:r>
          <w:r w:rsidR="00A83021">
            <w:rPr>
              <w:sz w:val="20"/>
              <w:szCs w:val="20"/>
            </w:rPr>
            <w:fldChar w:fldCharType="end"/>
          </w:r>
        </w:sdtContent>
      </w:sdt>
    </w:p>
    <w:p w14:paraId="503C1433" w14:textId="6699D0FE" w:rsidR="006A16AA" w:rsidRPr="002B0879" w:rsidRDefault="006A16AA" w:rsidP="00092220">
      <w:pPr>
        <w:rPr>
          <w:sz w:val="20"/>
          <w:szCs w:val="20"/>
        </w:rPr>
      </w:pPr>
      <w:r w:rsidRPr="002B0879">
        <w:rPr>
          <w:sz w:val="20"/>
          <w:szCs w:val="20"/>
        </w:rPr>
        <w:t>One of them is a critical aspect since the effect of loyalty may not be the same across the customer segments. Customers whose preferences are high intensity (can be affected by interventions, like limits, checks, friction) can perceive it as invasive and can move to the competition, whereas recreational ones can appreciate a safer environment. The reputational history can also limit the responsible positioning of Entain, as any historical failed regulatory practices can undermine the effectiveness of the present-day ones and influence the way in which the customers will decipher the message of responsibility. This renders customer perception rather than tool deployment a key point when gauging the level to which RG initiatives contribute to loyalty.</w:t>
      </w:r>
      <w:sdt>
        <w:sdtPr>
          <w:rPr>
            <w:sz w:val="20"/>
            <w:szCs w:val="20"/>
          </w:rPr>
          <w:id w:val="-1684744327"/>
          <w:citation/>
        </w:sdtPr>
        <w:sdtEndPr/>
        <w:sdtContent>
          <w:r w:rsidR="00A353A7">
            <w:rPr>
              <w:sz w:val="20"/>
              <w:szCs w:val="20"/>
            </w:rPr>
            <w:fldChar w:fldCharType="begin"/>
          </w:r>
          <w:r w:rsidR="00A353A7">
            <w:rPr>
              <w:sz w:val="20"/>
              <w:szCs w:val="20"/>
            </w:rPr>
            <w:instrText xml:space="preserve"> CITATION Rac22 \l 16393 </w:instrText>
          </w:r>
          <w:r w:rsidR="00A353A7">
            <w:rPr>
              <w:sz w:val="20"/>
              <w:szCs w:val="20"/>
            </w:rPr>
            <w:fldChar w:fldCharType="separate"/>
          </w:r>
          <w:r w:rsidR="00A353A7">
            <w:rPr>
              <w:noProof/>
              <w:sz w:val="20"/>
              <w:szCs w:val="20"/>
            </w:rPr>
            <w:t xml:space="preserve"> </w:t>
          </w:r>
          <w:r w:rsidR="00A353A7" w:rsidRPr="00A353A7">
            <w:rPr>
              <w:noProof/>
              <w:sz w:val="20"/>
              <w:szCs w:val="20"/>
            </w:rPr>
            <w:t>(Racing Post, 2022)</w:t>
          </w:r>
          <w:r w:rsidR="00A353A7">
            <w:rPr>
              <w:sz w:val="20"/>
              <w:szCs w:val="20"/>
            </w:rPr>
            <w:fldChar w:fldCharType="end"/>
          </w:r>
        </w:sdtContent>
      </w:sdt>
      <w:r w:rsidR="009641BE">
        <w:rPr>
          <w:sz w:val="20"/>
          <w:szCs w:val="20"/>
        </w:rPr>
        <w:t xml:space="preserve"> </w:t>
      </w:r>
      <w:sdt>
        <w:sdtPr>
          <w:rPr>
            <w:sz w:val="20"/>
            <w:szCs w:val="20"/>
          </w:rPr>
          <w:id w:val="1724706507"/>
          <w:citation/>
        </w:sdtPr>
        <w:sdtEndPr/>
        <w:sdtContent>
          <w:r w:rsidR="009641BE">
            <w:rPr>
              <w:sz w:val="20"/>
              <w:szCs w:val="20"/>
            </w:rPr>
            <w:fldChar w:fldCharType="begin"/>
          </w:r>
          <w:r w:rsidR="009641BE">
            <w:rPr>
              <w:sz w:val="20"/>
              <w:szCs w:val="20"/>
            </w:rPr>
            <w:instrText xml:space="preserve"> CITATION Ent234 \l 16393 </w:instrText>
          </w:r>
          <w:r w:rsidR="009641BE">
            <w:rPr>
              <w:sz w:val="20"/>
              <w:szCs w:val="20"/>
            </w:rPr>
            <w:fldChar w:fldCharType="separate"/>
          </w:r>
          <w:r w:rsidR="009641BE" w:rsidRPr="009641BE">
            <w:rPr>
              <w:noProof/>
              <w:sz w:val="20"/>
              <w:szCs w:val="20"/>
            </w:rPr>
            <w:t>(Entain plc, 2023)</w:t>
          </w:r>
          <w:r w:rsidR="009641BE">
            <w:rPr>
              <w:sz w:val="20"/>
              <w:szCs w:val="20"/>
            </w:rPr>
            <w:fldChar w:fldCharType="end"/>
          </w:r>
        </w:sdtContent>
      </w:sdt>
    </w:p>
    <w:p w14:paraId="59EA552C" w14:textId="2EC71858" w:rsidR="00092220" w:rsidRDefault="007F5CF1" w:rsidP="00092220">
      <w:pPr>
        <w:rPr>
          <w:b/>
          <w:bCs/>
          <w:sz w:val="24"/>
          <w:szCs w:val="24"/>
        </w:rPr>
      </w:pPr>
      <w:r>
        <w:rPr>
          <w:b/>
          <w:bCs/>
          <w:sz w:val="24"/>
          <w:szCs w:val="24"/>
        </w:rPr>
        <w:t xml:space="preserve">2.2.4 </w:t>
      </w:r>
      <w:r w:rsidR="00092220" w:rsidRPr="00092220">
        <w:rPr>
          <w:b/>
          <w:bCs/>
          <w:sz w:val="24"/>
          <w:szCs w:val="24"/>
        </w:rPr>
        <w:t>Effectiveness and customer benefits</w:t>
      </w:r>
    </w:p>
    <w:p w14:paraId="40C90FAB" w14:textId="61923ED8" w:rsidR="005B566D" w:rsidRPr="00C44580" w:rsidRDefault="006716E2" w:rsidP="00AE7C2A">
      <w:pPr>
        <w:rPr>
          <w:sz w:val="20"/>
          <w:szCs w:val="20"/>
        </w:rPr>
      </w:pPr>
      <w:r w:rsidRPr="006716E2">
        <w:rPr>
          <w:sz w:val="20"/>
          <w:szCs w:val="20"/>
        </w:rPr>
        <w:t>In Entain plc, the responsible gambling initiatives are implemented in its Advanced Responsibility and Care (ARC™) programme, which operates on the basis of real-time behavioural data and artificial intelligence to detect signs of harm and set up customised customer responses. According to Entain, ARC interventions have caused a large share of the higher-risk customers to switch to or keep to safer gambling controls, a substantial number of which remain at lower risk levels. This implies that proactive and individualised interventions may work in alleviating damage without an immediate lack of engagement with customers and therefore a model of sustainable play and not unlimited gambling may be effective</w:t>
      </w:r>
      <w:r w:rsidR="000706E2">
        <w:rPr>
          <w:sz w:val="20"/>
          <w:szCs w:val="20"/>
        </w:rPr>
        <w:t>.</w:t>
      </w:r>
      <w:sdt>
        <w:sdtPr>
          <w:rPr>
            <w:sz w:val="20"/>
            <w:szCs w:val="20"/>
          </w:rPr>
          <w:id w:val="1635824146"/>
          <w:citation/>
        </w:sdtPr>
        <w:sdtEndPr/>
        <w:sdtContent>
          <w:r w:rsidR="00122CAC" w:rsidRPr="00122CAC">
            <w:rPr>
              <w:sz w:val="20"/>
              <w:szCs w:val="20"/>
            </w:rPr>
            <w:fldChar w:fldCharType="begin"/>
          </w:r>
          <w:r w:rsidR="00122CAC" w:rsidRPr="00122CAC">
            <w:rPr>
              <w:sz w:val="20"/>
              <w:szCs w:val="20"/>
            </w:rPr>
            <w:instrText xml:space="preserve"> CITATION Ent234 \l 16393 </w:instrText>
          </w:r>
          <w:r w:rsidR="00122CAC" w:rsidRPr="00122CAC">
            <w:rPr>
              <w:sz w:val="20"/>
              <w:szCs w:val="20"/>
            </w:rPr>
            <w:fldChar w:fldCharType="separate"/>
          </w:r>
          <w:r w:rsidR="00122CAC" w:rsidRPr="00122CAC">
            <w:rPr>
              <w:noProof/>
              <w:sz w:val="20"/>
              <w:szCs w:val="20"/>
            </w:rPr>
            <w:t xml:space="preserve"> (Entain plc, 2023)</w:t>
          </w:r>
          <w:r w:rsidR="00122CAC" w:rsidRPr="00122CAC">
            <w:rPr>
              <w:sz w:val="20"/>
              <w:szCs w:val="20"/>
            </w:rPr>
            <w:fldChar w:fldCharType="end"/>
          </w:r>
        </w:sdtContent>
      </w:sdt>
      <w:r w:rsidR="00922BA0" w:rsidRPr="00C44580">
        <w:rPr>
          <w:sz w:val="20"/>
          <w:szCs w:val="20"/>
        </w:rPr>
        <w:t xml:space="preserve"> </w:t>
      </w:r>
      <w:sdt>
        <w:sdtPr>
          <w:rPr>
            <w:sz w:val="20"/>
            <w:szCs w:val="20"/>
          </w:rPr>
          <w:id w:val="1081491355"/>
          <w:citation/>
        </w:sdtPr>
        <w:sdtEndPr/>
        <w:sdtContent>
          <w:r w:rsidR="002341D0">
            <w:rPr>
              <w:sz w:val="20"/>
              <w:szCs w:val="20"/>
            </w:rPr>
            <w:fldChar w:fldCharType="begin"/>
          </w:r>
          <w:r w:rsidR="002341D0">
            <w:rPr>
              <w:sz w:val="20"/>
              <w:szCs w:val="20"/>
            </w:rPr>
            <w:instrText xml:space="preserve"> CITATION iGa24 \l 16393 </w:instrText>
          </w:r>
          <w:r w:rsidR="002341D0">
            <w:rPr>
              <w:sz w:val="20"/>
              <w:szCs w:val="20"/>
            </w:rPr>
            <w:fldChar w:fldCharType="separate"/>
          </w:r>
          <w:r w:rsidR="002341D0" w:rsidRPr="002341D0">
            <w:rPr>
              <w:noProof/>
              <w:sz w:val="20"/>
              <w:szCs w:val="20"/>
            </w:rPr>
            <w:t>(iGaming Business, 2024)</w:t>
          </w:r>
          <w:r w:rsidR="002341D0">
            <w:rPr>
              <w:sz w:val="20"/>
              <w:szCs w:val="20"/>
            </w:rPr>
            <w:fldChar w:fldCharType="end"/>
          </w:r>
        </w:sdtContent>
      </w:sdt>
    </w:p>
    <w:p w14:paraId="705535A4" w14:textId="011F7D8A" w:rsidR="00AB788B" w:rsidRDefault="0005476E" w:rsidP="00AE7C2A">
      <w:pPr>
        <w:rPr>
          <w:sz w:val="20"/>
          <w:szCs w:val="20"/>
        </w:rPr>
      </w:pPr>
      <w:r w:rsidRPr="0005476E">
        <w:rPr>
          <w:sz w:val="20"/>
          <w:szCs w:val="20"/>
        </w:rPr>
        <w:t xml:space="preserve">From a consumer perspective such an approach could be considered to have positive effects including </w:t>
      </w:r>
      <w:r w:rsidR="00600440" w:rsidRPr="0005476E">
        <w:rPr>
          <w:sz w:val="20"/>
          <w:szCs w:val="20"/>
        </w:rPr>
        <w:t xml:space="preserve">increased control over the gambling behaviour, less financial and psychological harm experienced and increased belief in the operator’s commitment to the safety of the players. The use of external validated measures such as GamCare’s Advanced Safer Gambling Standard adds further trust and credibility and </w:t>
      </w:r>
      <w:r w:rsidR="00600440" w:rsidRPr="0005476E">
        <w:rPr>
          <w:sz w:val="20"/>
          <w:szCs w:val="20"/>
        </w:rPr>
        <w:lastRenderedPageBreak/>
        <w:t>would contribute to longer-term relationships with customers, even if short-term expenditure might be moderated.</w:t>
      </w:r>
      <w:sdt>
        <w:sdtPr>
          <w:rPr>
            <w:sz w:val="20"/>
            <w:szCs w:val="20"/>
          </w:rPr>
          <w:id w:val="1892845105"/>
          <w:citation/>
        </w:sdtPr>
        <w:sdtEndPr/>
        <w:sdtContent>
          <w:r w:rsidR="002649B0">
            <w:rPr>
              <w:sz w:val="20"/>
              <w:szCs w:val="20"/>
            </w:rPr>
            <w:fldChar w:fldCharType="begin"/>
          </w:r>
          <w:r w:rsidR="002649B0">
            <w:rPr>
              <w:sz w:val="20"/>
              <w:szCs w:val="20"/>
            </w:rPr>
            <w:instrText xml:space="preserve"> CITATION UKG25 \l 16393 </w:instrText>
          </w:r>
          <w:r w:rsidR="002649B0">
            <w:rPr>
              <w:sz w:val="20"/>
              <w:szCs w:val="20"/>
            </w:rPr>
            <w:fldChar w:fldCharType="separate"/>
          </w:r>
          <w:r w:rsidR="002649B0">
            <w:rPr>
              <w:noProof/>
              <w:sz w:val="20"/>
              <w:szCs w:val="20"/>
            </w:rPr>
            <w:t xml:space="preserve"> </w:t>
          </w:r>
          <w:r w:rsidR="002649B0" w:rsidRPr="002649B0">
            <w:rPr>
              <w:noProof/>
              <w:sz w:val="20"/>
              <w:szCs w:val="20"/>
            </w:rPr>
            <w:t>(UK Gambling Commission, 2025)</w:t>
          </w:r>
          <w:r w:rsidR="002649B0">
            <w:rPr>
              <w:sz w:val="20"/>
              <w:szCs w:val="20"/>
            </w:rPr>
            <w:fldChar w:fldCharType="end"/>
          </w:r>
        </w:sdtContent>
      </w:sdt>
      <w:sdt>
        <w:sdtPr>
          <w:rPr>
            <w:sz w:val="20"/>
            <w:szCs w:val="20"/>
          </w:rPr>
          <w:id w:val="-709722446"/>
          <w:citation/>
        </w:sdtPr>
        <w:sdtEndPr/>
        <w:sdtContent>
          <w:r w:rsidR="00386B63">
            <w:rPr>
              <w:sz w:val="20"/>
              <w:szCs w:val="20"/>
            </w:rPr>
            <w:fldChar w:fldCharType="begin"/>
          </w:r>
          <w:r w:rsidR="00386B63">
            <w:rPr>
              <w:sz w:val="20"/>
              <w:szCs w:val="20"/>
            </w:rPr>
            <w:instrText xml:space="preserve"> CITATION Gam19 \l 16393 </w:instrText>
          </w:r>
          <w:r w:rsidR="00386B63">
            <w:rPr>
              <w:sz w:val="20"/>
              <w:szCs w:val="20"/>
            </w:rPr>
            <w:fldChar w:fldCharType="separate"/>
          </w:r>
          <w:r w:rsidR="00386B63">
            <w:rPr>
              <w:noProof/>
              <w:sz w:val="20"/>
              <w:szCs w:val="20"/>
            </w:rPr>
            <w:t xml:space="preserve"> </w:t>
          </w:r>
          <w:r w:rsidR="00386B63" w:rsidRPr="00386B63">
            <w:rPr>
              <w:noProof/>
              <w:sz w:val="20"/>
              <w:szCs w:val="20"/>
            </w:rPr>
            <w:t>(GamCare, 2019)</w:t>
          </w:r>
          <w:r w:rsidR="00386B63">
            <w:rPr>
              <w:sz w:val="20"/>
              <w:szCs w:val="20"/>
            </w:rPr>
            <w:fldChar w:fldCharType="end"/>
          </w:r>
        </w:sdtContent>
      </w:sdt>
      <w:r w:rsidR="008D1645">
        <w:rPr>
          <w:sz w:val="20"/>
          <w:szCs w:val="20"/>
        </w:rPr>
        <w:t>.</w:t>
      </w:r>
    </w:p>
    <w:p w14:paraId="253EB9F2" w14:textId="77777777" w:rsidR="00427F3B" w:rsidRPr="006716E2" w:rsidRDefault="00427F3B" w:rsidP="00AE7C2A">
      <w:pPr>
        <w:rPr>
          <w:sz w:val="20"/>
          <w:szCs w:val="20"/>
        </w:rPr>
      </w:pPr>
    </w:p>
    <w:p w14:paraId="2EAF8F49" w14:textId="77777777" w:rsidR="00AE7C2A" w:rsidRPr="007C7F55" w:rsidRDefault="00AE7C2A" w:rsidP="00AE7C2A">
      <w:pPr>
        <w:rPr>
          <w:b/>
          <w:bCs/>
          <w:sz w:val="24"/>
          <w:szCs w:val="24"/>
        </w:rPr>
      </w:pPr>
      <w:r w:rsidRPr="007C7F55">
        <w:rPr>
          <w:b/>
          <w:bCs/>
          <w:sz w:val="24"/>
          <w:szCs w:val="24"/>
        </w:rPr>
        <w:t>2.3 Theoretical Frameworks, Models and Related Issues</w:t>
      </w:r>
    </w:p>
    <w:p w14:paraId="2018B15F" w14:textId="77777777" w:rsidR="00AE7C2A" w:rsidRPr="00600440" w:rsidRDefault="00AE7C2A" w:rsidP="00AE7C2A">
      <w:pPr>
        <w:rPr>
          <w:b/>
          <w:bCs/>
        </w:rPr>
      </w:pPr>
      <w:r w:rsidRPr="00600440">
        <w:rPr>
          <w:b/>
          <w:bCs/>
        </w:rPr>
        <w:t>2.3.1 Stakeholder Theory</w:t>
      </w:r>
    </w:p>
    <w:p w14:paraId="6E5958C9" w14:textId="52142B5F" w:rsidR="00AE7C2A" w:rsidRPr="00A2751C" w:rsidRDefault="00AE7C2A" w:rsidP="00AE7C2A">
      <w:pPr>
        <w:rPr>
          <w:sz w:val="20"/>
          <w:szCs w:val="20"/>
        </w:rPr>
      </w:pPr>
      <w:r w:rsidRPr="00A2751C">
        <w:rPr>
          <w:sz w:val="20"/>
          <w:szCs w:val="20"/>
        </w:rPr>
        <w:t xml:space="preserve">Stakeholder theory argues that firms should create value for a broad set of stakeholders, not just shareholders </w:t>
      </w:r>
      <w:sdt>
        <w:sdtPr>
          <w:rPr>
            <w:sz w:val="20"/>
            <w:szCs w:val="20"/>
          </w:rPr>
          <w:id w:val="-1475515796"/>
          <w:citation/>
        </w:sdtPr>
        <w:sdtEndPr/>
        <w:sdtContent>
          <w:r w:rsidR="0057533C" w:rsidRPr="00A2751C">
            <w:rPr>
              <w:sz w:val="20"/>
              <w:szCs w:val="20"/>
            </w:rPr>
            <w:fldChar w:fldCharType="begin"/>
          </w:r>
          <w:r w:rsidR="0057533C" w:rsidRPr="00A2751C">
            <w:rPr>
              <w:sz w:val="20"/>
              <w:szCs w:val="20"/>
            </w:rPr>
            <w:instrText xml:space="preserve"> CITATION Fre10 \l 16393 </w:instrText>
          </w:r>
          <w:r w:rsidR="0057533C" w:rsidRPr="00A2751C">
            <w:rPr>
              <w:sz w:val="20"/>
              <w:szCs w:val="20"/>
            </w:rPr>
            <w:fldChar w:fldCharType="separate"/>
          </w:r>
          <w:r w:rsidR="009E45A7" w:rsidRPr="009E45A7">
            <w:rPr>
              <w:noProof/>
              <w:sz w:val="20"/>
              <w:szCs w:val="20"/>
            </w:rPr>
            <w:t>(Freeman, 2010)</w:t>
          </w:r>
          <w:r w:rsidR="0057533C" w:rsidRPr="00A2751C">
            <w:rPr>
              <w:sz w:val="20"/>
              <w:szCs w:val="20"/>
            </w:rPr>
            <w:fldChar w:fldCharType="end"/>
          </w:r>
        </w:sdtContent>
      </w:sdt>
      <w:r w:rsidRPr="00A2751C">
        <w:rPr>
          <w:sz w:val="20"/>
          <w:szCs w:val="20"/>
        </w:rPr>
        <w:t xml:space="preserve">. Applied to gambling, RG is a concrete expression of duties to customers, regulators, communities and advocacy groups. From this perspective, </w:t>
      </w:r>
      <w:proofErr w:type="spellStart"/>
      <w:r w:rsidRPr="00A2751C">
        <w:rPr>
          <w:sz w:val="20"/>
          <w:szCs w:val="20"/>
        </w:rPr>
        <w:t>Entain’s</w:t>
      </w:r>
      <w:proofErr w:type="spellEnd"/>
      <w:r w:rsidRPr="00A2751C">
        <w:rPr>
          <w:sz w:val="20"/>
          <w:szCs w:val="20"/>
        </w:rPr>
        <w:t xml:space="preserve"> investment in ARC, RET funding and higher-standard accreditations can be interpreted as seeking alignment between shareholder interests and those of other stakeholders.</w:t>
      </w:r>
      <w:sdt>
        <w:sdtPr>
          <w:rPr>
            <w:sz w:val="20"/>
            <w:szCs w:val="20"/>
          </w:rPr>
          <w:id w:val="154113269"/>
          <w:citation/>
        </w:sdtPr>
        <w:sdtEndPr/>
        <w:sdtContent>
          <w:r w:rsidR="00F32375" w:rsidRPr="00A2751C">
            <w:rPr>
              <w:sz w:val="20"/>
              <w:szCs w:val="20"/>
            </w:rPr>
            <w:fldChar w:fldCharType="begin"/>
          </w:r>
          <w:r w:rsidR="00F32375" w:rsidRPr="00A2751C">
            <w:rPr>
              <w:sz w:val="20"/>
              <w:szCs w:val="20"/>
            </w:rPr>
            <w:instrText xml:space="preserve"> CITATION Eur22 \l 16393 </w:instrText>
          </w:r>
          <w:r w:rsidR="00F32375" w:rsidRPr="00A2751C">
            <w:rPr>
              <w:sz w:val="20"/>
              <w:szCs w:val="20"/>
            </w:rPr>
            <w:fldChar w:fldCharType="separate"/>
          </w:r>
          <w:r w:rsidR="009E45A7">
            <w:rPr>
              <w:noProof/>
              <w:sz w:val="20"/>
              <w:szCs w:val="20"/>
            </w:rPr>
            <w:t xml:space="preserve"> </w:t>
          </w:r>
          <w:r w:rsidR="009E45A7" w:rsidRPr="009E45A7">
            <w:rPr>
              <w:noProof/>
              <w:sz w:val="20"/>
              <w:szCs w:val="20"/>
            </w:rPr>
            <w:t>(Association, 2022)</w:t>
          </w:r>
          <w:r w:rsidR="00F32375" w:rsidRPr="00A2751C">
            <w:rPr>
              <w:sz w:val="20"/>
              <w:szCs w:val="20"/>
            </w:rPr>
            <w:fldChar w:fldCharType="end"/>
          </w:r>
        </w:sdtContent>
      </w:sdt>
      <w:r w:rsidR="005C258B" w:rsidRPr="00A2751C">
        <w:rPr>
          <w:sz w:val="20"/>
          <w:szCs w:val="20"/>
        </w:rPr>
        <w:t xml:space="preserve"> </w:t>
      </w:r>
    </w:p>
    <w:p w14:paraId="74AFF799" w14:textId="77777777" w:rsidR="00AE7C2A" w:rsidRPr="00A2751C" w:rsidRDefault="00AE7C2A" w:rsidP="00AE7C2A">
      <w:pPr>
        <w:rPr>
          <w:sz w:val="20"/>
          <w:szCs w:val="20"/>
        </w:rPr>
      </w:pPr>
      <w:r w:rsidRPr="00A2751C">
        <w:rPr>
          <w:sz w:val="20"/>
          <w:szCs w:val="20"/>
        </w:rPr>
        <w:t>However, stakeholder theory is sometimes criticised for glossing over conflicts between stakeholder groups. In practice, high-value customers who generate a large proportion of revenue may also face the highest risk of harm. For Entain, restricting or closing such accounts for RG reasons could reduce short-term profit. The literature offers little empirical insight into how operators actually balance these trade-offs, or how customers perceive them, leaving an important theoretical and practical gap.</w:t>
      </w:r>
    </w:p>
    <w:p w14:paraId="1DBAAE08" w14:textId="77777777" w:rsidR="00AE7C2A" w:rsidRPr="001F25BA" w:rsidRDefault="00AE7C2A" w:rsidP="00AE7C2A">
      <w:pPr>
        <w:rPr>
          <w:b/>
          <w:bCs/>
        </w:rPr>
      </w:pPr>
      <w:r w:rsidRPr="001F25BA">
        <w:rPr>
          <w:b/>
          <w:bCs/>
        </w:rPr>
        <w:t>2.3.2 Social Exchange Theory</w:t>
      </w:r>
    </w:p>
    <w:p w14:paraId="7077DB18" w14:textId="4854D767" w:rsidR="0010523B" w:rsidRDefault="0010523B" w:rsidP="00AE7C2A">
      <w:pPr>
        <w:rPr>
          <w:sz w:val="20"/>
          <w:szCs w:val="20"/>
        </w:rPr>
      </w:pPr>
      <w:r w:rsidRPr="0010523B">
        <w:rPr>
          <w:sz w:val="20"/>
          <w:szCs w:val="20"/>
        </w:rPr>
        <w:t>Social Exchange Theory (SET) simply provides that individuals will maintain relationships as long as what they receive in this relationship is worth the work. Trust, fairness, and the extent to which a brand is supportive are all working benefits that make customers remain loyal in a services marketing. In its application to gambling, responsible gambling (RG) initiatives are visible as those non-cash benefits, operators provide tools, information and proactive assistance to the wellbeing of players, which can be returned in the form of loyalty and good word-of-mouth. But SET presupposes that all of us are making rational and voluntary decisions, which is questionable when people are uncontrolled or addicted. In case of high-risk customers, such as affordability checks or data-based surveillance, may seem intrusive or limiting, in the short term, the loyalty of players may be decreased, but over time, they may protect them.</w:t>
      </w:r>
      <w:sdt>
        <w:sdtPr>
          <w:rPr>
            <w:sz w:val="20"/>
            <w:szCs w:val="20"/>
          </w:rPr>
          <w:id w:val="-1910914641"/>
          <w:citation/>
        </w:sdtPr>
        <w:sdtEndPr/>
        <w:sdtContent>
          <w:r w:rsidR="00662E8C">
            <w:rPr>
              <w:sz w:val="20"/>
              <w:szCs w:val="20"/>
            </w:rPr>
            <w:fldChar w:fldCharType="begin"/>
          </w:r>
          <w:r w:rsidR="00662E8C">
            <w:rPr>
              <w:sz w:val="20"/>
              <w:szCs w:val="20"/>
            </w:rPr>
            <w:instrText xml:space="preserve"> CITATION Ahm23 \l 16393 </w:instrText>
          </w:r>
          <w:r w:rsidR="00662E8C">
            <w:rPr>
              <w:sz w:val="20"/>
              <w:szCs w:val="20"/>
            </w:rPr>
            <w:fldChar w:fldCharType="separate"/>
          </w:r>
          <w:r w:rsidR="00662E8C">
            <w:rPr>
              <w:noProof/>
              <w:sz w:val="20"/>
              <w:szCs w:val="20"/>
            </w:rPr>
            <w:t xml:space="preserve"> </w:t>
          </w:r>
          <w:r w:rsidR="00662E8C" w:rsidRPr="00662E8C">
            <w:rPr>
              <w:noProof/>
              <w:sz w:val="20"/>
              <w:szCs w:val="20"/>
            </w:rPr>
            <w:t>(Ahmad, 2023)</w:t>
          </w:r>
          <w:r w:rsidR="00662E8C">
            <w:rPr>
              <w:sz w:val="20"/>
              <w:szCs w:val="20"/>
            </w:rPr>
            <w:fldChar w:fldCharType="end"/>
          </w:r>
        </w:sdtContent>
      </w:sdt>
      <w:sdt>
        <w:sdtPr>
          <w:rPr>
            <w:sz w:val="20"/>
            <w:szCs w:val="20"/>
          </w:rPr>
          <w:id w:val="-43758076"/>
          <w:citation/>
        </w:sdtPr>
        <w:sdtEndPr/>
        <w:sdtContent>
          <w:r w:rsidR="001841E4">
            <w:rPr>
              <w:sz w:val="20"/>
              <w:szCs w:val="20"/>
            </w:rPr>
            <w:fldChar w:fldCharType="begin"/>
          </w:r>
          <w:r w:rsidR="001841E4">
            <w:rPr>
              <w:sz w:val="20"/>
              <w:szCs w:val="20"/>
            </w:rPr>
            <w:instrText xml:space="preserve"> CITATION Cro17 \l 16393 </w:instrText>
          </w:r>
          <w:r w:rsidR="001841E4">
            <w:rPr>
              <w:sz w:val="20"/>
              <w:szCs w:val="20"/>
            </w:rPr>
            <w:fldChar w:fldCharType="separate"/>
          </w:r>
          <w:r w:rsidR="001841E4">
            <w:rPr>
              <w:noProof/>
              <w:sz w:val="20"/>
              <w:szCs w:val="20"/>
            </w:rPr>
            <w:t xml:space="preserve"> </w:t>
          </w:r>
          <w:r w:rsidR="001841E4" w:rsidRPr="001841E4">
            <w:rPr>
              <w:noProof/>
              <w:sz w:val="20"/>
              <w:szCs w:val="20"/>
            </w:rPr>
            <w:t>(Cropanzano, 2017)</w:t>
          </w:r>
          <w:r w:rsidR="001841E4">
            <w:rPr>
              <w:sz w:val="20"/>
              <w:szCs w:val="20"/>
            </w:rPr>
            <w:fldChar w:fldCharType="end"/>
          </w:r>
        </w:sdtContent>
      </w:sdt>
      <w:sdt>
        <w:sdtPr>
          <w:rPr>
            <w:sz w:val="20"/>
            <w:szCs w:val="20"/>
          </w:rPr>
          <w:id w:val="-1243479390"/>
          <w:citation/>
        </w:sdtPr>
        <w:sdtEndPr/>
        <w:sdtContent>
          <w:r w:rsidR="00357D89">
            <w:rPr>
              <w:sz w:val="20"/>
              <w:szCs w:val="20"/>
            </w:rPr>
            <w:fldChar w:fldCharType="begin"/>
          </w:r>
          <w:r w:rsidR="00357D89">
            <w:rPr>
              <w:sz w:val="20"/>
              <w:szCs w:val="20"/>
            </w:rPr>
            <w:instrText xml:space="preserve"> CITATION War24 \l 16393 </w:instrText>
          </w:r>
          <w:r w:rsidR="00357D89">
            <w:rPr>
              <w:sz w:val="20"/>
              <w:szCs w:val="20"/>
            </w:rPr>
            <w:fldChar w:fldCharType="separate"/>
          </w:r>
          <w:r w:rsidR="00357D89">
            <w:rPr>
              <w:noProof/>
              <w:sz w:val="20"/>
              <w:szCs w:val="20"/>
            </w:rPr>
            <w:t xml:space="preserve"> </w:t>
          </w:r>
          <w:r w:rsidR="00357D89" w:rsidRPr="00357D89">
            <w:rPr>
              <w:noProof/>
              <w:sz w:val="20"/>
              <w:szCs w:val="20"/>
            </w:rPr>
            <w:t>(Wardle, 2024)</w:t>
          </w:r>
          <w:r w:rsidR="00357D89">
            <w:rPr>
              <w:sz w:val="20"/>
              <w:szCs w:val="20"/>
            </w:rPr>
            <w:fldChar w:fldCharType="end"/>
          </w:r>
        </w:sdtContent>
      </w:sdt>
    </w:p>
    <w:p w14:paraId="1D7EE79D" w14:textId="0B41A587" w:rsidR="00AE7C2A" w:rsidRPr="007C7F55" w:rsidRDefault="00AE7C2A" w:rsidP="00AE7C2A">
      <w:pPr>
        <w:rPr>
          <w:b/>
          <w:bCs/>
          <w:sz w:val="24"/>
          <w:szCs w:val="24"/>
        </w:rPr>
      </w:pPr>
      <w:r w:rsidRPr="007C7F55">
        <w:rPr>
          <w:b/>
          <w:bCs/>
          <w:sz w:val="24"/>
          <w:szCs w:val="24"/>
        </w:rPr>
        <w:t>2.3.3 Theory of Planned Behaviour</w:t>
      </w:r>
    </w:p>
    <w:p w14:paraId="28882DE8" w14:textId="5FEEB993" w:rsidR="00AE7C2A" w:rsidRPr="00C57D39" w:rsidRDefault="00B97442" w:rsidP="00AE7C2A">
      <w:pPr>
        <w:rPr>
          <w:sz w:val="20"/>
          <w:szCs w:val="20"/>
        </w:rPr>
      </w:pPr>
      <w:r w:rsidRPr="00B97442">
        <w:rPr>
          <w:sz w:val="20"/>
          <w:szCs w:val="20"/>
        </w:rPr>
        <w:t>In simple terms, the Theory of Planned Behaviour states that what we actually do is motivated by what we think we are going to do, and what we think we are going to do is motivated by how we feel about it, what our friends and the society consider it to be okay and how much we perceive we control. Responsible Gambling programs have tools to help them feel that they have more control over gambling such as the setting deposit limits, making time-outs and sending of personalised messages. The feeling of increased control can indeed positively affect our attitude towards the gambling itself and the operator who is providing us with those tools</w:t>
      </w:r>
      <w:r w:rsidR="00AE7C2A" w:rsidRPr="00C57D39">
        <w:rPr>
          <w:sz w:val="20"/>
          <w:szCs w:val="20"/>
        </w:rPr>
        <w:t>.</w:t>
      </w:r>
      <w:sdt>
        <w:sdtPr>
          <w:rPr>
            <w:sz w:val="20"/>
            <w:szCs w:val="20"/>
          </w:rPr>
          <w:id w:val="-1963100353"/>
          <w:citation/>
        </w:sdtPr>
        <w:sdtEndPr/>
        <w:sdtContent>
          <w:r w:rsidR="00E056E6" w:rsidRPr="00862CD0">
            <w:rPr>
              <w:sz w:val="20"/>
              <w:szCs w:val="20"/>
            </w:rPr>
            <w:fldChar w:fldCharType="begin"/>
          </w:r>
          <w:r w:rsidR="00E056E6" w:rsidRPr="00862CD0">
            <w:rPr>
              <w:sz w:val="20"/>
              <w:szCs w:val="20"/>
            </w:rPr>
            <w:instrText xml:space="preserve"> CITATION Ice91 \l 16393 </w:instrText>
          </w:r>
          <w:r w:rsidR="00E056E6" w:rsidRPr="00862CD0">
            <w:rPr>
              <w:sz w:val="20"/>
              <w:szCs w:val="20"/>
            </w:rPr>
            <w:fldChar w:fldCharType="separate"/>
          </w:r>
          <w:r w:rsidR="00E056E6" w:rsidRPr="00862CD0">
            <w:rPr>
              <w:noProof/>
              <w:sz w:val="20"/>
              <w:szCs w:val="20"/>
            </w:rPr>
            <w:t xml:space="preserve"> (Icek Ajzen, 1991)</w:t>
          </w:r>
          <w:r w:rsidR="00E056E6" w:rsidRPr="00862CD0">
            <w:rPr>
              <w:sz w:val="20"/>
              <w:szCs w:val="20"/>
            </w:rPr>
            <w:fldChar w:fldCharType="end"/>
          </w:r>
        </w:sdtContent>
      </w:sdt>
    </w:p>
    <w:p w14:paraId="76F70B7B" w14:textId="308FC6F0" w:rsidR="00AE7C2A" w:rsidRDefault="00897911" w:rsidP="00897911">
      <w:pPr>
        <w:rPr>
          <w:sz w:val="20"/>
          <w:szCs w:val="20"/>
        </w:rPr>
      </w:pPr>
      <w:r w:rsidRPr="00897911">
        <w:rPr>
          <w:sz w:val="20"/>
          <w:szCs w:val="20"/>
        </w:rPr>
        <w:t>Hence, in essence, individual behavioural feedback can reduce the amount of time and money individuals spend gambling, demonstrating the fact that RG tools are indeed effective when provided with the clear and timely information. The fact that ARC uses real-time information to instigate personalised interventions is a TPB logic fit: when players are aware of what they are doing and believe that they have the capability to do something about it, then they will adjust their play and start to think more positively about the operator.</w:t>
      </w:r>
      <w:r>
        <w:rPr>
          <w:sz w:val="20"/>
          <w:szCs w:val="20"/>
        </w:rPr>
        <w:t xml:space="preserve"> </w:t>
      </w:r>
      <w:r w:rsidRPr="00897911">
        <w:rPr>
          <w:sz w:val="20"/>
          <w:szCs w:val="20"/>
        </w:rPr>
        <w:t>But, no, TPB is watered down because it does not actually address the emotional and compulsive aspect of it. In video games, motives are hyper wobbly and get confused by mood, close calls and all those cognition biases. The theory does not also specify how the players feel towards interventions such as affordability checks: in their opinion, are they beneficial, neutral or suspicious? Therefore, TPB does assist in explaining the possibility of RG having an impact to behaviour although it is not that powerful as far as predicting deeper loyalty is concerned</w:t>
      </w:r>
      <w:r w:rsidR="00AE7C2A" w:rsidRPr="00C57D39">
        <w:rPr>
          <w:sz w:val="20"/>
          <w:szCs w:val="20"/>
        </w:rPr>
        <w:t>.</w:t>
      </w:r>
      <w:r w:rsidR="00FD7720">
        <w:rPr>
          <w:sz w:val="20"/>
          <w:szCs w:val="20"/>
        </w:rPr>
        <w:t xml:space="preserve"> </w:t>
      </w:r>
      <w:sdt>
        <w:sdtPr>
          <w:rPr>
            <w:sz w:val="20"/>
            <w:szCs w:val="20"/>
          </w:rPr>
          <w:id w:val="1592353620"/>
          <w:citation/>
        </w:sdtPr>
        <w:sdtEndPr/>
        <w:sdtContent>
          <w:r w:rsidR="00FD7720" w:rsidRPr="004010A7">
            <w:rPr>
              <w:sz w:val="20"/>
              <w:szCs w:val="20"/>
            </w:rPr>
            <w:fldChar w:fldCharType="begin"/>
          </w:r>
          <w:r w:rsidR="00FD7720" w:rsidRPr="004010A7">
            <w:rPr>
              <w:sz w:val="20"/>
              <w:szCs w:val="20"/>
            </w:rPr>
            <w:instrText xml:space="preserve"> CITATION Mic16 \l 16393 </w:instrText>
          </w:r>
          <w:r w:rsidR="00FD7720" w:rsidRPr="004010A7">
            <w:rPr>
              <w:sz w:val="20"/>
              <w:szCs w:val="20"/>
            </w:rPr>
            <w:fldChar w:fldCharType="separate"/>
          </w:r>
          <w:r w:rsidR="00FD7720" w:rsidRPr="004010A7">
            <w:rPr>
              <w:noProof/>
              <w:sz w:val="20"/>
              <w:szCs w:val="20"/>
            </w:rPr>
            <w:t>(Michael M Auer, 2016)</w:t>
          </w:r>
          <w:r w:rsidR="00FD7720" w:rsidRPr="004010A7">
            <w:rPr>
              <w:sz w:val="20"/>
              <w:szCs w:val="20"/>
            </w:rPr>
            <w:fldChar w:fldCharType="end"/>
          </w:r>
        </w:sdtContent>
      </w:sdt>
    </w:p>
    <w:p w14:paraId="033F1E7E" w14:textId="77777777" w:rsidR="00216EF0" w:rsidRDefault="00216EF0" w:rsidP="00897911">
      <w:pPr>
        <w:rPr>
          <w:sz w:val="20"/>
          <w:szCs w:val="20"/>
        </w:rPr>
      </w:pPr>
    </w:p>
    <w:p w14:paraId="479D068F" w14:textId="77777777" w:rsidR="0043424F" w:rsidRDefault="0043424F" w:rsidP="00897911">
      <w:pPr>
        <w:rPr>
          <w:sz w:val="20"/>
          <w:szCs w:val="20"/>
        </w:rPr>
      </w:pPr>
    </w:p>
    <w:p w14:paraId="7068D9B9" w14:textId="77777777" w:rsidR="00D82D95" w:rsidRPr="00C57D39" w:rsidRDefault="00D82D95" w:rsidP="00897911">
      <w:pPr>
        <w:rPr>
          <w:sz w:val="20"/>
          <w:szCs w:val="20"/>
        </w:rPr>
      </w:pPr>
    </w:p>
    <w:p w14:paraId="7E8065DD" w14:textId="77777777" w:rsidR="00AE7C2A" w:rsidRPr="007C7F55" w:rsidRDefault="00AE7C2A" w:rsidP="00AE7C2A">
      <w:pPr>
        <w:rPr>
          <w:b/>
          <w:bCs/>
          <w:sz w:val="24"/>
          <w:szCs w:val="24"/>
        </w:rPr>
      </w:pPr>
      <w:r w:rsidRPr="007C7F55">
        <w:rPr>
          <w:b/>
          <w:bCs/>
          <w:sz w:val="24"/>
          <w:szCs w:val="24"/>
        </w:rPr>
        <w:t>2.3.4 Relationship Marketing and Brand Trust</w:t>
      </w:r>
    </w:p>
    <w:p w14:paraId="1ED0DCFA" w14:textId="66711372" w:rsidR="00AE7C2A" w:rsidRPr="00A8024F" w:rsidRDefault="00AE7C2A" w:rsidP="00AE7C2A">
      <w:pPr>
        <w:rPr>
          <w:sz w:val="20"/>
          <w:szCs w:val="20"/>
        </w:rPr>
      </w:pPr>
      <w:r w:rsidRPr="00A8024F">
        <w:rPr>
          <w:sz w:val="20"/>
          <w:szCs w:val="20"/>
        </w:rPr>
        <w:t>Relationship marketing emphasises trust and commitment as core mediators of long-term customer relationships In this view, RG can be interpreted as a trust-building mechanism: by visibly protecting customers, an operator signals integrity and long-term orientation, potentially enhancing brand attachment and loyalty.</w:t>
      </w:r>
      <w:sdt>
        <w:sdtPr>
          <w:rPr>
            <w:sz w:val="20"/>
            <w:szCs w:val="20"/>
          </w:rPr>
          <w:id w:val="195741285"/>
          <w:citation/>
        </w:sdtPr>
        <w:sdtEndPr/>
        <w:sdtContent>
          <w:r w:rsidR="009140D7">
            <w:rPr>
              <w:sz w:val="20"/>
              <w:szCs w:val="20"/>
            </w:rPr>
            <w:fldChar w:fldCharType="begin"/>
          </w:r>
          <w:r w:rsidR="009140D7">
            <w:rPr>
              <w:sz w:val="20"/>
              <w:szCs w:val="20"/>
            </w:rPr>
            <w:instrText xml:space="preserve"> CITATION Robly \l 16393 </w:instrText>
          </w:r>
          <w:r w:rsidR="009140D7">
            <w:rPr>
              <w:sz w:val="20"/>
              <w:szCs w:val="20"/>
            </w:rPr>
            <w:fldChar w:fldCharType="separate"/>
          </w:r>
          <w:r w:rsidR="009140D7">
            <w:rPr>
              <w:noProof/>
              <w:sz w:val="20"/>
              <w:szCs w:val="20"/>
            </w:rPr>
            <w:t xml:space="preserve"> </w:t>
          </w:r>
          <w:r w:rsidR="009140D7" w:rsidRPr="009140D7">
            <w:rPr>
              <w:noProof/>
              <w:sz w:val="20"/>
              <w:szCs w:val="20"/>
            </w:rPr>
            <w:t>(Robert M. Morgan, 1994 july)</w:t>
          </w:r>
          <w:r w:rsidR="009140D7">
            <w:rPr>
              <w:sz w:val="20"/>
              <w:szCs w:val="20"/>
            </w:rPr>
            <w:fldChar w:fldCharType="end"/>
          </w:r>
        </w:sdtContent>
      </w:sdt>
    </w:p>
    <w:p w14:paraId="4DBA28E1" w14:textId="024644FA" w:rsidR="00AE7C2A" w:rsidRPr="00A8024F" w:rsidRDefault="00AF7394" w:rsidP="00AE7C2A">
      <w:pPr>
        <w:rPr>
          <w:sz w:val="20"/>
          <w:szCs w:val="20"/>
        </w:rPr>
      </w:pPr>
      <w:r w:rsidRPr="00AF7394">
        <w:rPr>
          <w:sz w:val="20"/>
          <w:szCs w:val="20"/>
        </w:rPr>
        <w:t>The communication of Entain</w:t>
      </w:r>
      <w:r w:rsidR="00BF351F">
        <w:rPr>
          <w:sz w:val="20"/>
          <w:szCs w:val="20"/>
        </w:rPr>
        <w:t xml:space="preserve"> </w:t>
      </w:r>
      <w:r w:rsidRPr="00AF7394">
        <w:rPr>
          <w:sz w:val="20"/>
          <w:szCs w:val="20"/>
        </w:rPr>
        <w:t>about ARC as being pioneering and concerned with intervening before a problem arises fits into this logic of relationship marketing. But gambling CSR critics argue that these stories could simply be nothing but reputation management especially when you consider it in comparison to the aggressive marketing and all the previous failures. When customers see a disconnect between what the company claims to do and what it actually does, trust is destroyed rather than created and therefore the loyalty implications of RG truly hang on whether people believe it is authentic.</w:t>
      </w:r>
      <w:sdt>
        <w:sdtPr>
          <w:rPr>
            <w:sz w:val="20"/>
            <w:szCs w:val="20"/>
          </w:rPr>
          <w:id w:val="-433213257"/>
          <w:citation/>
        </w:sdtPr>
        <w:sdtEndPr/>
        <w:sdtContent>
          <w:r w:rsidR="00AF5708" w:rsidRPr="00A8024F">
            <w:rPr>
              <w:sz w:val="20"/>
              <w:szCs w:val="20"/>
            </w:rPr>
            <w:fldChar w:fldCharType="begin"/>
          </w:r>
          <w:r w:rsidR="00AF5708" w:rsidRPr="00A8024F">
            <w:rPr>
              <w:sz w:val="20"/>
              <w:szCs w:val="20"/>
            </w:rPr>
            <w:instrText xml:space="preserve"> CITATION ENT21 \l 16393 </w:instrText>
          </w:r>
          <w:r w:rsidR="00AF5708" w:rsidRPr="00A8024F">
            <w:rPr>
              <w:sz w:val="20"/>
              <w:szCs w:val="20"/>
            </w:rPr>
            <w:fldChar w:fldCharType="separate"/>
          </w:r>
          <w:r w:rsidR="00AF5708" w:rsidRPr="009E45A7">
            <w:rPr>
              <w:noProof/>
              <w:sz w:val="20"/>
              <w:szCs w:val="20"/>
            </w:rPr>
            <w:t>(ENTAIN PLC, 2021)</w:t>
          </w:r>
          <w:r w:rsidR="00AF5708" w:rsidRPr="00A8024F">
            <w:rPr>
              <w:sz w:val="20"/>
              <w:szCs w:val="20"/>
            </w:rPr>
            <w:fldChar w:fldCharType="end"/>
          </w:r>
        </w:sdtContent>
      </w:sdt>
      <w:r w:rsidR="00AF5708" w:rsidRPr="00A8024F">
        <w:rPr>
          <w:sz w:val="20"/>
          <w:szCs w:val="20"/>
        </w:rPr>
        <w:t>.</w:t>
      </w:r>
    </w:p>
    <w:p w14:paraId="79BF1335" w14:textId="16203C77" w:rsidR="00AE7C2A" w:rsidRPr="00A8024F" w:rsidRDefault="00AE7C2A" w:rsidP="00AE7C2A">
      <w:pPr>
        <w:rPr>
          <w:sz w:val="20"/>
          <w:szCs w:val="20"/>
        </w:rPr>
      </w:pPr>
    </w:p>
    <w:p w14:paraId="3250BF6E" w14:textId="77777777" w:rsidR="00AE7C2A" w:rsidRPr="007C7F55" w:rsidRDefault="00AE7C2A" w:rsidP="00AE7C2A">
      <w:pPr>
        <w:rPr>
          <w:b/>
          <w:bCs/>
          <w:sz w:val="24"/>
          <w:szCs w:val="24"/>
        </w:rPr>
      </w:pPr>
      <w:r w:rsidRPr="007C7F55">
        <w:rPr>
          <w:b/>
          <w:bCs/>
          <w:sz w:val="24"/>
          <w:szCs w:val="24"/>
        </w:rPr>
        <w:t>2.4 Previous Studies and Lessons Learnt</w:t>
      </w:r>
    </w:p>
    <w:p w14:paraId="5ECCBD72" w14:textId="77777777" w:rsidR="00AE7C2A" w:rsidRPr="007C7F55" w:rsidRDefault="00AE7C2A" w:rsidP="00AE7C2A">
      <w:pPr>
        <w:rPr>
          <w:b/>
          <w:bCs/>
          <w:sz w:val="24"/>
          <w:szCs w:val="24"/>
        </w:rPr>
      </w:pPr>
      <w:r w:rsidRPr="007C7F55">
        <w:rPr>
          <w:b/>
          <w:bCs/>
          <w:sz w:val="24"/>
          <w:szCs w:val="24"/>
        </w:rPr>
        <w:t>2.4.1 Customer Attitudes to RG Tools</w:t>
      </w:r>
    </w:p>
    <w:p w14:paraId="6F8C9A20" w14:textId="7D6E3B38" w:rsidR="00AE7C2A" w:rsidRPr="00D732D2" w:rsidRDefault="00CC3BAA" w:rsidP="00AE7C2A">
      <w:pPr>
        <w:rPr>
          <w:sz w:val="20"/>
          <w:szCs w:val="20"/>
        </w:rPr>
      </w:pPr>
      <w:r w:rsidRPr="00CC3BAA">
        <w:rPr>
          <w:sz w:val="20"/>
          <w:szCs w:val="20"/>
        </w:rPr>
        <w:t>Empirical studies indicate that gamblers are more likely to be in a favourable attitude towards the use of responsible gambling (RG) tools, particularly, when they are easily accessible and presented in a clear manner, and the tools have not gone beyond the comprehension of the player.</w:t>
      </w:r>
      <w:sdt>
        <w:sdtPr>
          <w:rPr>
            <w:sz w:val="20"/>
            <w:szCs w:val="20"/>
          </w:rPr>
          <w:id w:val="-652220807"/>
          <w:citation/>
        </w:sdtPr>
        <w:sdtEndPr/>
        <w:sdtContent>
          <w:r w:rsidR="00D31F5D">
            <w:rPr>
              <w:sz w:val="20"/>
              <w:szCs w:val="20"/>
            </w:rPr>
            <w:fldChar w:fldCharType="begin"/>
          </w:r>
          <w:r w:rsidR="00D31F5D">
            <w:rPr>
              <w:sz w:val="20"/>
              <w:szCs w:val="20"/>
            </w:rPr>
            <w:instrText xml:space="preserve"> CITATION Gai18 \l 16393 </w:instrText>
          </w:r>
          <w:r w:rsidR="00D31F5D">
            <w:rPr>
              <w:sz w:val="20"/>
              <w:szCs w:val="20"/>
            </w:rPr>
            <w:fldChar w:fldCharType="separate"/>
          </w:r>
          <w:r w:rsidR="00D31F5D">
            <w:rPr>
              <w:noProof/>
              <w:sz w:val="20"/>
              <w:szCs w:val="20"/>
            </w:rPr>
            <w:t xml:space="preserve"> </w:t>
          </w:r>
          <w:r w:rsidR="00D31F5D" w:rsidRPr="00D31F5D">
            <w:rPr>
              <w:noProof/>
              <w:sz w:val="20"/>
              <w:szCs w:val="20"/>
            </w:rPr>
            <w:t>(Gainsbury, 2018)</w:t>
          </w:r>
          <w:r w:rsidR="00D31F5D">
            <w:rPr>
              <w:sz w:val="20"/>
              <w:szCs w:val="20"/>
            </w:rPr>
            <w:fldChar w:fldCharType="end"/>
          </w:r>
        </w:sdtContent>
      </w:sdt>
      <w:r w:rsidR="000D405B" w:rsidRPr="00D31F5D">
        <w:rPr>
          <w:sz w:val="20"/>
          <w:szCs w:val="20"/>
        </w:rPr>
        <w:t>suggest</w:t>
      </w:r>
      <w:r w:rsidR="000D405B" w:rsidRPr="000D405B">
        <w:rPr>
          <w:sz w:val="20"/>
          <w:szCs w:val="20"/>
        </w:rPr>
        <w:t xml:space="preserve"> that the availability of unambiguous responsible gambling (RG) information and the availability of consumer protective measures do positively influence the perception of fairness and overall satisfaction of the user in an online</w:t>
      </w:r>
      <w:r w:rsidR="0015128A">
        <w:rPr>
          <w:sz w:val="20"/>
          <w:szCs w:val="20"/>
        </w:rPr>
        <w:t xml:space="preserve"> and re</w:t>
      </w:r>
      <w:r w:rsidR="00B05323">
        <w:rPr>
          <w:sz w:val="20"/>
          <w:szCs w:val="20"/>
        </w:rPr>
        <w:t xml:space="preserve">tail </w:t>
      </w:r>
      <w:r w:rsidR="000D405B" w:rsidRPr="000D405B">
        <w:rPr>
          <w:sz w:val="20"/>
          <w:szCs w:val="20"/>
        </w:rPr>
        <w:t xml:space="preserve"> gambling environment.</w:t>
      </w:r>
      <w:sdt>
        <w:sdtPr>
          <w:rPr>
            <w:sz w:val="20"/>
            <w:szCs w:val="20"/>
          </w:rPr>
          <w:id w:val="-574206201"/>
          <w:citation/>
        </w:sdtPr>
        <w:sdtEndPr/>
        <w:sdtContent>
          <w:r w:rsidR="00EE4293" w:rsidRPr="00D732D2">
            <w:rPr>
              <w:sz w:val="20"/>
              <w:szCs w:val="20"/>
            </w:rPr>
            <w:fldChar w:fldCharType="begin"/>
          </w:r>
          <w:r w:rsidR="00EE4293" w:rsidRPr="00D732D2">
            <w:rPr>
              <w:sz w:val="20"/>
              <w:szCs w:val="20"/>
            </w:rPr>
            <w:instrText xml:space="preserve"> CITATION Mic16 \l 16393 </w:instrText>
          </w:r>
          <w:r w:rsidR="00EE4293" w:rsidRPr="00D732D2">
            <w:rPr>
              <w:sz w:val="20"/>
              <w:szCs w:val="20"/>
            </w:rPr>
            <w:fldChar w:fldCharType="separate"/>
          </w:r>
          <w:r w:rsidR="009E45A7">
            <w:rPr>
              <w:noProof/>
              <w:sz w:val="20"/>
              <w:szCs w:val="20"/>
            </w:rPr>
            <w:t xml:space="preserve"> </w:t>
          </w:r>
          <w:r w:rsidR="009E45A7" w:rsidRPr="009E45A7">
            <w:rPr>
              <w:noProof/>
              <w:sz w:val="20"/>
              <w:szCs w:val="20"/>
            </w:rPr>
            <w:t>(Michael M Auer, 2016)</w:t>
          </w:r>
          <w:r w:rsidR="00EE4293" w:rsidRPr="00D732D2">
            <w:rPr>
              <w:sz w:val="20"/>
              <w:szCs w:val="20"/>
            </w:rPr>
            <w:fldChar w:fldCharType="end"/>
          </w:r>
        </w:sdtContent>
      </w:sdt>
      <w:r w:rsidR="00AE7C2A" w:rsidRPr="00D732D2">
        <w:rPr>
          <w:sz w:val="20"/>
          <w:szCs w:val="20"/>
        </w:rPr>
        <w:t xml:space="preserve"> </w:t>
      </w:r>
      <w:r w:rsidR="00727FCB" w:rsidRPr="00727FCB">
        <w:rPr>
          <w:sz w:val="20"/>
          <w:szCs w:val="20"/>
        </w:rPr>
        <w:t>According to other empirical surveys, a substantial number of players expect the operators to provide risk-management tools as a standard service, and the consumers may thus perceive the companies lacking such mechanisms as less reliable.</w:t>
      </w:r>
      <w:sdt>
        <w:sdtPr>
          <w:rPr>
            <w:sz w:val="20"/>
            <w:szCs w:val="20"/>
          </w:rPr>
          <w:id w:val="-1800600809"/>
          <w:citation/>
        </w:sdtPr>
        <w:sdtEndPr/>
        <w:sdtContent>
          <w:r w:rsidR="009D7557" w:rsidRPr="00D732D2">
            <w:rPr>
              <w:sz w:val="20"/>
              <w:szCs w:val="20"/>
            </w:rPr>
            <w:fldChar w:fldCharType="begin"/>
          </w:r>
          <w:r w:rsidR="009D7557" w:rsidRPr="00D732D2">
            <w:rPr>
              <w:sz w:val="20"/>
              <w:szCs w:val="20"/>
            </w:rPr>
            <w:instrText xml:space="preserve"> CITATION Rui21 \l 16393 </w:instrText>
          </w:r>
          <w:r w:rsidR="009D7557" w:rsidRPr="00D732D2">
            <w:rPr>
              <w:sz w:val="20"/>
              <w:szCs w:val="20"/>
            </w:rPr>
            <w:fldChar w:fldCharType="separate"/>
          </w:r>
          <w:r w:rsidR="009E45A7">
            <w:rPr>
              <w:noProof/>
              <w:sz w:val="20"/>
              <w:szCs w:val="20"/>
            </w:rPr>
            <w:t xml:space="preserve"> </w:t>
          </w:r>
          <w:r w:rsidR="009E45A7" w:rsidRPr="009E45A7">
            <w:rPr>
              <w:noProof/>
              <w:sz w:val="20"/>
              <w:szCs w:val="20"/>
            </w:rPr>
            <w:t>(Keith Phalp, 2021)</w:t>
          </w:r>
          <w:r w:rsidR="009D7557" w:rsidRPr="00D732D2">
            <w:rPr>
              <w:sz w:val="20"/>
              <w:szCs w:val="20"/>
            </w:rPr>
            <w:fldChar w:fldCharType="end"/>
          </w:r>
        </w:sdtContent>
      </w:sdt>
      <w:r w:rsidR="00804D68" w:rsidRPr="00D732D2">
        <w:rPr>
          <w:sz w:val="20"/>
          <w:szCs w:val="20"/>
        </w:rPr>
        <w:t xml:space="preserve"> </w:t>
      </w:r>
    </w:p>
    <w:p w14:paraId="0001A40E" w14:textId="77777777" w:rsidR="00AE7C2A" w:rsidRDefault="00AE7C2A" w:rsidP="00AE7C2A">
      <w:pPr>
        <w:rPr>
          <w:sz w:val="20"/>
          <w:szCs w:val="20"/>
        </w:rPr>
      </w:pPr>
      <w:r w:rsidRPr="00D732D2">
        <w:rPr>
          <w:sz w:val="20"/>
          <w:szCs w:val="20"/>
        </w:rPr>
        <w:t>For Entain, these findings imply that integrating ARC-style protections and visible RG messaging into the user experience can support positive attitudes and perhaps loyalty, particularly among lower-risk or more risk-averse customers. However, these studies mostly measure attitudes, not actual loyalty behaviours (e.g. retention, share of wallet), and often do not isolate the effect of RG from other factors such as odds, usability or brand familiarity.</w:t>
      </w:r>
    </w:p>
    <w:p w14:paraId="6C8AFB1A" w14:textId="77777777" w:rsidR="00D732D2" w:rsidRPr="00D732D2" w:rsidRDefault="00D732D2" w:rsidP="00AE7C2A">
      <w:pPr>
        <w:rPr>
          <w:sz w:val="20"/>
          <w:szCs w:val="20"/>
        </w:rPr>
      </w:pPr>
    </w:p>
    <w:p w14:paraId="59FF6C40" w14:textId="77777777" w:rsidR="00AE7C2A" w:rsidRPr="007C7F55" w:rsidRDefault="00AE7C2A" w:rsidP="00AE7C2A">
      <w:pPr>
        <w:rPr>
          <w:b/>
          <w:bCs/>
          <w:sz w:val="24"/>
          <w:szCs w:val="24"/>
        </w:rPr>
      </w:pPr>
      <w:r w:rsidRPr="007C7F55">
        <w:rPr>
          <w:b/>
          <w:bCs/>
          <w:sz w:val="24"/>
          <w:szCs w:val="24"/>
        </w:rPr>
        <w:t>2.4.2 Behavioural Evidence on RG Interventions</w:t>
      </w:r>
    </w:p>
    <w:p w14:paraId="36E8B1D0" w14:textId="53CA82C4" w:rsidR="00AE7C2A" w:rsidRPr="00B75F77" w:rsidRDefault="003C19A7" w:rsidP="00AE7C2A">
      <w:pPr>
        <w:rPr>
          <w:sz w:val="20"/>
          <w:szCs w:val="20"/>
        </w:rPr>
      </w:pPr>
      <w:sdt>
        <w:sdtPr>
          <w:rPr>
            <w:sz w:val="20"/>
            <w:szCs w:val="20"/>
          </w:rPr>
          <w:id w:val="-238181700"/>
          <w:citation/>
        </w:sdtPr>
        <w:sdtEndPr/>
        <w:sdtContent>
          <w:r w:rsidR="00150E9D" w:rsidRPr="00150E9D">
            <w:rPr>
              <w:sz w:val="20"/>
              <w:szCs w:val="20"/>
            </w:rPr>
            <w:fldChar w:fldCharType="begin"/>
          </w:r>
          <w:r w:rsidR="00150E9D" w:rsidRPr="00150E9D">
            <w:rPr>
              <w:sz w:val="20"/>
              <w:szCs w:val="20"/>
            </w:rPr>
            <w:instrText xml:space="preserve"> CITATION Aue15 \l 16393 </w:instrText>
          </w:r>
          <w:r w:rsidR="00150E9D" w:rsidRPr="00150E9D">
            <w:rPr>
              <w:sz w:val="20"/>
              <w:szCs w:val="20"/>
            </w:rPr>
            <w:fldChar w:fldCharType="separate"/>
          </w:r>
          <w:r w:rsidR="00150E9D" w:rsidRPr="00150E9D">
            <w:rPr>
              <w:noProof/>
              <w:sz w:val="20"/>
              <w:szCs w:val="20"/>
            </w:rPr>
            <w:t>(Auer, 2015)</w:t>
          </w:r>
          <w:r w:rsidR="00150E9D" w:rsidRPr="00150E9D">
            <w:rPr>
              <w:sz w:val="20"/>
              <w:szCs w:val="20"/>
            </w:rPr>
            <w:fldChar w:fldCharType="end"/>
          </w:r>
        </w:sdtContent>
      </w:sdt>
      <w:sdt>
        <w:sdtPr>
          <w:rPr>
            <w:sz w:val="20"/>
            <w:szCs w:val="20"/>
          </w:rPr>
          <w:id w:val="685873181"/>
          <w:citation/>
        </w:sdtPr>
        <w:sdtEndPr/>
        <w:sdtContent>
          <w:r w:rsidR="00150E9D" w:rsidRPr="00150E9D">
            <w:rPr>
              <w:sz w:val="20"/>
              <w:szCs w:val="20"/>
            </w:rPr>
            <w:fldChar w:fldCharType="begin"/>
          </w:r>
          <w:r w:rsidR="00150E9D" w:rsidRPr="00150E9D">
            <w:rPr>
              <w:sz w:val="20"/>
              <w:szCs w:val="20"/>
            </w:rPr>
            <w:instrText xml:space="preserve"> CITATION Aue161 \l 16393 </w:instrText>
          </w:r>
          <w:r w:rsidR="00150E9D" w:rsidRPr="00150E9D">
            <w:rPr>
              <w:sz w:val="20"/>
              <w:szCs w:val="20"/>
            </w:rPr>
            <w:fldChar w:fldCharType="separate"/>
          </w:r>
          <w:r w:rsidR="00150E9D" w:rsidRPr="00150E9D">
            <w:rPr>
              <w:noProof/>
              <w:sz w:val="20"/>
              <w:szCs w:val="20"/>
            </w:rPr>
            <w:t xml:space="preserve"> (Auer, 2016)</w:t>
          </w:r>
          <w:r w:rsidR="00150E9D" w:rsidRPr="00150E9D">
            <w:rPr>
              <w:sz w:val="20"/>
              <w:szCs w:val="20"/>
            </w:rPr>
            <w:fldChar w:fldCharType="end"/>
          </w:r>
        </w:sdtContent>
      </w:sdt>
      <w:r w:rsidR="00D44A12" w:rsidRPr="00D44A12">
        <w:rPr>
          <w:sz w:val="20"/>
          <w:szCs w:val="20"/>
        </w:rPr>
        <w:t xml:space="preserve"> and similar studies provide strong evidence that behavioural feedback and restrictive measures work in reducing the level of gambling among some of the participants. The participants who subscribe to voluntary restrictions or provided with individualised feedback tend to have lower future spending compared to control groups.</w:t>
      </w:r>
      <w:sdt>
        <w:sdtPr>
          <w:rPr>
            <w:sz w:val="20"/>
            <w:szCs w:val="20"/>
          </w:rPr>
          <w:id w:val="-1318652034"/>
          <w:citation/>
        </w:sdtPr>
        <w:sdtEndPr/>
        <w:sdtContent>
          <w:r w:rsidR="002C77DF" w:rsidRPr="00B75F77">
            <w:rPr>
              <w:sz w:val="20"/>
              <w:szCs w:val="20"/>
            </w:rPr>
            <w:fldChar w:fldCharType="begin"/>
          </w:r>
          <w:r w:rsidR="002C77DF" w:rsidRPr="00B75F77">
            <w:rPr>
              <w:sz w:val="20"/>
              <w:szCs w:val="20"/>
            </w:rPr>
            <w:instrText xml:space="preserve"> CITATION Mic16 \l 16393 </w:instrText>
          </w:r>
          <w:r w:rsidR="002C77DF" w:rsidRPr="00B75F77">
            <w:rPr>
              <w:sz w:val="20"/>
              <w:szCs w:val="20"/>
            </w:rPr>
            <w:fldChar w:fldCharType="separate"/>
          </w:r>
          <w:r w:rsidR="009E45A7">
            <w:rPr>
              <w:noProof/>
              <w:sz w:val="20"/>
              <w:szCs w:val="20"/>
            </w:rPr>
            <w:t xml:space="preserve"> </w:t>
          </w:r>
          <w:r w:rsidR="009E45A7" w:rsidRPr="009E45A7">
            <w:rPr>
              <w:noProof/>
              <w:sz w:val="20"/>
              <w:szCs w:val="20"/>
            </w:rPr>
            <w:t>(Michael M Auer, 2016)</w:t>
          </w:r>
          <w:r w:rsidR="002C77DF" w:rsidRPr="00B75F77">
            <w:rPr>
              <w:sz w:val="20"/>
              <w:szCs w:val="20"/>
            </w:rPr>
            <w:fldChar w:fldCharType="end"/>
          </w:r>
        </w:sdtContent>
      </w:sdt>
      <w:r w:rsidR="00AE7C2A" w:rsidRPr="00B75F77">
        <w:rPr>
          <w:sz w:val="20"/>
          <w:szCs w:val="20"/>
        </w:rPr>
        <w:t xml:space="preserve"> </w:t>
      </w:r>
      <w:r w:rsidR="001565A0" w:rsidRPr="001565A0">
        <w:rPr>
          <w:sz w:val="20"/>
          <w:szCs w:val="20"/>
        </w:rPr>
        <w:t>Such results support the technical design of systems like ARC that use behavioural tracking systems to trigger individualised messages and interventions.</w:t>
      </w:r>
      <w:sdt>
        <w:sdtPr>
          <w:rPr>
            <w:sz w:val="20"/>
            <w:szCs w:val="20"/>
          </w:rPr>
          <w:id w:val="1231268172"/>
          <w:citation/>
        </w:sdtPr>
        <w:sdtEndPr/>
        <w:sdtContent>
          <w:r w:rsidR="00AE4BDC" w:rsidRPr="00B75F77">
            <w:rPr>
              <w:sz w:val="20"/>
              <w:szCs w:val="20"/>
            </w:rPr>
            <w:fldChar w:fldCharType="begin"/>
          </w:r>
          <w:r w:rsidR="00AE4BDC" w:rsidRPr="00B75F77">
            <w:rPr>
              <w:sz w:val="20"/>
              <w:szCs w:val="20"/>
            </w:rPr>
            <w:instrText xml:space="preserve"> CITATION ENT21 \l 16393 </w:instrText>
          </w:r>
          <w:r w:rsidR="00AE4BDC" w:rsidRPr="00B75F77">
            <w:rPr>
              <w:sz w:val="20"/>
              <w:szCs w:val="20"/>
            </w:rPr>
            <w:fldChar w:fldCharType="separate"/>
          </w:r>
          <w:r w:rsidR="009E45A7">
            <w:rPr>
              <w:noProof/>
              <w:sz w:val="20"/>
              <w:szCs w:val="20"/>
            </w:rPr>
            <w:t xml:space="preserve"> </w:t>
          </w:r>
          <w:r w:rsidR="009E45A7" w:rsidRPr="009E45A7">
            <w:rPr>
              <w:noProof/>
              <w:sz w:val="20"/>
              <w:szCs w:val="20"/>
            </w:rPr>
            <w:t>(ENTAIN PLC, 2021)</w:t>
          </w:r>
          <w:r w:rsidR="00AE4BDC" w:rsidRPr="00B75F77">
            <w:rPr>
              <w:sz w:val="20"/>
              <w:szCs w:val="20"/>
            </w:rPr>
            <w:fldChar w:fldCharType="end"/>
          </w:r>
        </w:sdtContent>
      </w:sdt>
      <w:r w:rsidR="00AE4BDC" w:rsidRPr="00B75F77">
        <w:rPr>
          <w:sz w:val="20"/>
          <w:szCs w:val="20"/>
        </w:rPr>
        <w:t xml:space="preserve"> </w:t>
      </w:r>
    </w:p>
    <w:p w14:paraId="7F789763" w14:textId="5054BA15" w:rsidR="0054112B" w:rsidRDefault="0054112B" w:rsidP="00AE7C2A">
      <w:pPr>
        <w:rPr>
          <w:b/>
          <w:bCs/>
          <w:sz w:val="24"/>
          <w:szCs w:val="24"/>
        </w:rPr>
      </w:pPr>
      <w:r w:rsidRPr="0054112B">
        <w:rPr>
          <w:sz w:val="20"/>
          <w:szCs w:val="20"/>
        </w:rPr>
        <w:t xml:space="preserve">Moreover, there is limited analysis of the segment-specific responses. High-risk or high-motivated gamblers might also be found to be unwilling to accept the wagering restrictions or may instead transfer </w:t>
      </w:r>
      <w:r w:rsidRPr="0054112B">
        <w:rPr>
          <w:sz w:val="20"/>
          <w:szCs w:val="20"/>
        </w:rPr>
        <w:lastRenderedPageBreak/>
        <w:t>to other operators that have a more permissive responsible-gambling policy, posing specific risks to major branded players such as Entain who express a much more conspicuous safer-gambling stance</w:t>
      </w:r>
      <w:r>
        <w:rPr>
          <w:sz w:val="20"/>
          <w:szCs w:val="20"/>
        </w:rPr>
        <w:t>.</w:t>
      </w:r>
    </w:p>
    <w:p w14:paraId="76DF461E" w14:textId="7F76AED9" w:rsidR="00AE7C2A" w:rsidRPr="007C7F55" w:rsidRDefault="00AE7C2A" w:rsidP="00AE7C2A">
      <w:pPr>
        <w:rPr>
          <w:b/>
          <w:bCs/>
          <w:sz w:val="24"/>
          <w:szCs w:val="24"/>
        </w:rPr>
      </w:pPr>
      <w:r w:rsidRPr="007C7F55">
        <w:rPr>
          <w:b/>
          <w:bCs/>
          <w:sz w:val="24"/>
          <w:szCs w:val="24"/>
        </w:rPr>
        <w:t>2.4.3 CSR, RG and Loyalty in Gambling and Other Risky Industries</w:t>
      </w:r>
    </w:p>
    <w:p w14:paraId="6E91D798" w14:textId="105DF90D" w:rsidR="00AE7C2A" w:rsidRPr="00AB6284" w:rsidRDefault="00257264" w:rsidP="00AE7C2A">
      <w:pPr>
        <w:rPr>
          <w:sz w:val="20"/>
          <w:szCs w:val="20"/>
        </w:rPr>
      </w:pPr>
      <w:r w:rsidRPr="00257264">
        <w:rPr>
          <w:sz w:val="20"/>
          <w:szCs w:val="20"/>
        </w:rPr>
        <w:t>The systematic review of corporate social responsibility (CSR) in the gambling industry suggests that operators use the CSR activities, especially responsible gambling (RG) programs, as the main means of gaining favourable publicity, reinforce their legitimacy and protect their survival amidst criticisms by the society. There is some contradictory evidence on whether CSR has a direct influence on customer loyalty. According to some consumer research that has been performed in the alcohol, tobacco, and gambling sectors, certain consumer segments are more willing to buy and trust responsible branding, but other research indicates doubt and suggestions of health-washing.</w:t>
      </w:r>
      <w:sdt>
        <w:sdtPr>
          <w:rPr>
            <w:sz w:val="20"/>
            <w:szCs w:val="20"/>
          </w:rPr>
          <w:id w:val="894089158"/>
          <w:citation/>
        </w:sdtPr>
        <w:sdtEndPr/>
        <w:sdtContent>
          <w:r w:rsidR="00F671AE">
            <w:rPr>
              <w:sz w:val="20"/>
              <w:szCs w:val="20"/>
            </w:rPr>
            <w:fldChar w:fldCharType="begin"/>
          </w:r>
          <w:r w:rsidR="00F671AE">
            <w:rPr>
              <w:sz w:val="20"/>
              <w:szCs w:val="20"/>
            </w:rPr>
            <w:instrText xml:space="preserve"> CITATION Lib23 \l 16393 </w:instrText>
          </w:r>
          <w:r w:rsidR="00F671AE">
            <w:rPr>
              <w:sz w:val="20"/>
              <w:szCs w:val="20"/>
            </w:rPr>
            <w:fldChar w:fldCharType="separate"/>
          </w:r>
          <w:r w:rsidR="00F671AE">
            <w:rPr>
              <w:noProof/>
              <w:sz w:val="20"/>
              <w:szCs w:val="20"/>
            </w:rPr>
            <w:t xml:space="preserve"> </w:t>
          </w:r>
          <w:r w:rsidR="00F671AE" w:rsidRPr="00F671AE">
            <w:rPr>
              <w:noProof/>
              <w:sz w:val="20"/>
              <w:szCs w:val="20"/>
            </w:rPr>
            <w:t>(Tetrevova, 2023)</w:t>
          </w:r>
          <w:r w:rsidR="00F671AE">
            <w:rPr>
              <w:sz w:val="20"/>
              <w:szCs w:val="20"/>
            </w:rPr>
            <w:fldChar w:fldCharType="end"/>
          </w:r>
        </w:sdtContent>
      </w:sdt>
      <w:r w:rsidR="00FF6E93" w:rsidRPr="00AB6284">
        <w:rPr>
          <w:sz w:val="20"/>
          <w:szCs w:val="20"/>
        </w:rPr>
        <w:t xml:space="preserve"> </w:t>
      </w:r>
    </w:p>
    <w:p w14:paraId="6C08D53B" w14:textId="2FB218E9" w:rsidR="00AE7C2A" w:rsidRPr="00AB6284" w:rsidRDefault="00AE7C2A" w:rsidP="00AE7C2A">
      <w:pPr>
        <w:rPr>
          <w:sz w:val="20"/>
          <w:szCs w:val="20"/>
        </w:rPr>
      </w:pPr>
      <w:r w:rsidRPr="00AB6284">
        <w:rPr>
          <w:sz w:val="20"/>
          <w:szCs w:val="20"/>
        </w:rPr>
        <w:t>Entain’s ESG narrative, GamCare accreditation and public commitment to RET funding clearly align with the “strategic CSR” model, where responsibility is expected to generate long-term competitive advantage.</w:t>
      </w:r>
      <w:r w:rsidR="00773B57" w:rsidRPr="00AB6284">
        <w:rPr>
          <w:sz w:val="20"/>
          <w:szCs w:val="20"/>
        </w:rPr>
        <w:t xml:space="preserve"> </w:t>
      </w:r>
      <w:r w:rsidRPr="00AB6284">
        <w:rPr>
          <w:sz w:val="20"/>
          <w:szCs w:val="20"/>
        </w:rPr>
        <w:t>Yet there is little independent empirical work assessing whether Entain’s customers actually reward these efforts with increased loyalty, or whether such initiatives simply mitigate reputational risk and regulatory pressure without major effects on customer behaviour.</w:t>
      </w:r>
      <w:sdt>
        <w:sdtPr>
          <w:rPr>
            <w:sz w:val="20"/>
            <w:szCs w:val="20"/>
          </w:rPr>
          <w:id w:val="-872998870"/>
          <w:citation/>
        </w:sdtPr>
        <w:sdtEndPr/>
        <w:sdtContent>
          <w:r w:rsidR="00773B57">
            <w:rPr>
              <w:sz w:val="20"/>
              <w:szCs w:val="20"/>
            </w:rPr>
            <w:fldChar w:fldCharType="begin"/>
          </w:r>
          <w:r w:rsidR="00773B57">
            <w:rPr>
              <w:sz w:val="20"/>
              <w:szCs w:val="20"/>
            </w:rPr>
            <w:instrText xml:space="preserve"> CITATION Ent22 \l 16393 </w:instrText>
          </w:r>
          <w:r w:rsidR="00773B57">
            <w:rPr>
              <w:sz w:val="20"/>
              <w:szCs w:val="20"/>
            </w:rPr>
            <w:fldChar w:fldCharType="separate"/>
          </w:r>
          <w:r w:rsidR="00773B57">
            <w:rPr>
              <w:noProof/>
              <w:sz w:val="20"/>
              <w:szCs w:val="20"/>
            </w:rPr>
            <w:t xml:space="preserve"> </w:t>
          </w:r>
          <w:r w:rsidR="00773B57" w:rsidRPr="007B23B0">
            <w:rPr>
              <w:noProof/>
              <w:sz w:val="20"/>
              <w:szCs w:val="20"/>
            </w:rPr>
            <w:t>(Entain Plc, 2022)</w:t>
          </w:r>
          <w:r w:rsidR="00773B57">
            <w:rPr>
              <w:sz w:val="20"/>
              <w:szCs w:val="20"/>
            </w:rPr>
            <w:fldChar w:fldCharType="end"/>
          </w:r>
        </w:sdtContent>
      </w:sdt>
    </w:p>
    <w:p w14:paraId="29E931BF" w14:textId="77777777" w:rsidR="00AE7C2A" w:rsidRPr="007C7F55" w:rsidRDefault="00AE7C2A" w:rsidP="00AE7C2A">
      <w:pPr>
        <w:rPr>
          <w:b/>
          <w:bCs/>
          <w:sz w:val="24"/>
          <w:szCs w:val="24"/>
        </w:rPr>
      </w:pPr>
      <w:r w:rsidRPr="007C7F55">
        <w:rPr>
          <w:b/>
          <w:bCs/>
          <w:sz w:val="24"/>
          <w:szCs w:val="24"/>
        </w:rPr>
        <w:t>2.4.4 Transparency, Trust and Authenticity</w:t>
      </w:r>
    </w:p>
    <w:p w14:paraId="722622DB" w14:textId="415937FB" w:rsidR="00AE7C2A" w:rsidRPr="00C91C28" w:rsidRDefault="00C26491" w:rsidP="00AE7C2A">
      <w:pPr>
        <w:rPr>
          <w:sz w:val="20"/>
          <w:szCs w:val="20"/>
        </w:rPr>
      </w:pPr>
      <w:r w:rsidRPr="00C26491">
        <w:rPr>
          <w:sz w:val="20"/>
          <w:szCs w:val="20"/>
        </w:rPr>
        <w:t>It has been identified that transparency is a vital aspect of responsible g</w:t>
      </w:r>
      <w:r w:rsidR="00294A21">
        <w:rPr>
          <w:sz w:val="20"/>
          <w:szCs w:val="20"/>
        </w:rPr>
        <w:t>ambling</w:t>
      </w:r>
      <w:r w:rsidRPr="00C26491">
        <w:rPr>
          <w:sz w:val="20"/>
          <w:szCs w:val="20"/>
        </w:rPr>
        <w:t xml:space="preserve"> (RG) that entails honesty in the use of tools, data use, and protection limits.</w:t>
      </w:r>
      <w:sdt>
        <w:sdtPr>
          <w:rPr>
            <w:sz w:val="20"/>
            <w:szCs w:val="20"/>
          </w:rPr>
          <w:id w:val="723259667"/>
          <w:citation/>
        </w:sdtPr>
        <w:sdtEndPr/>
        <w:sdtContent>
          <w:r w:rsidR="00BB447E">
            <w:rPr>
              <w:sz w:val="20"/>
              <w:szCs w:val="20"/>
            </w:rPr>
            <w:fldChar w:fldCharType="begin"/>
          </w:r>
          <w:r w:rsidR="00BB447E">
            <w:rPr>
              <w:sz w:val="20"/>
              <w:szCs w:val="20"/>
            </w:rPr>
            <w:instrText xml:space="preserve"> CITATION Wan211 \l 16393 </w:instrText>
          </w:r>
          <w:r w:rsidR="00BB447E">
            <w:rPr>
              <w:sz w:val="20"/>
              <w:szCs w:val="20"/>
            </w:rPr>
            <w:fldChar w:fldCharType="separate"/>
          </w:r>
          <w:r w:rsidR="00BB447E" w:rsidRPr="00BB447E">
            <w:rPr>
              <w:noProof/>
              <w:sz w:val="20"/>
              <w:szCs w:val="20"/>
            </w:rPr>
            <w:t>(Wang, et al., 2021)</w:t>
          </w:r>
          <w:r w:rsidR="00BB447E">
            <w:rPr>
              <w:sz w:val="20"/>
              <w:szCs w:val="20"/>
            </w:rPr>
            <w:fldChar w:fldCharType="end"/>
          </w:r>
        </w:sdtContent>
      </w:sdt>
      <w:r w:rsidR="008D6646">
        <w:rPr>
          <w:sz w:val="20"/>
          <w:szCs w:val="20"/>
        </w:rPr>
        <w:t>.</w:t>
      </w:r>
      <w:r w:rsidR="00A57B24" w:rsidRPr="00A57B24">
        <w:rPr>
          <w:sz w:val="20"/>
          <w:szCs w:val="20"/>
        </w:rPr>
        <w:t>Entain claims that ARC uses customer data to identify risk and take action at an early stage, however, publicly accessible records give scarce details on both the type of the algorithms and performance indicators.</w:t>
      </w:r>
      <w:sdt>
        <w:sdtPr>
          <w:rPr>
            <w:sz w:val="20"/>
            <w:szCs w:val="20"/>
          </w:rPr>
          <w:id w:val="2048869137"/>
          <w:citation/>
        </w:sdtPr>
        <w:sdtEndPr/>
        <w:sdtContent>
          <w:r w:rsidR="009A0892">
            <w:rPr>
              <w:sz w:val="20"/>
              <w:szCs w:val="20"/>
            </w:rPr>
            <w:fldChar w:fldCharType="begin"/>
          </w:r>
          <w:r w:rsidR="009A0892">
            <w:rPr>
              <w:sz w:val="20"/>
              <w:szCs w:val="20"/>
            </w:rPr>
            <w:instrText xml:space="preserve"> CITATION ENT21 \l 16393 </w:instrText>
          </w:r>
          <w:r w:rsidR="009A0892">
            <w:rPr>
              <w:sz w:val="20"/>
              <w:szCs w:val="20"/>
            </w:rPr>
            <w:fldChar w:fldCharType="separate"/>
          </w:r>
          <w:r w:rsidR="009A0892">
            <w:rPr>
              <w:noProof/>
              <w:sz w:val="20"/>
              <w:szCs w:val="20"/>
            </w:rPr>
            <w:t xml:space="preserve"> </w:t>
          </w:r>
          <w:r w:rsidR="009A0892" w:rsidRPr="009A0892">
            <w:rPr>
              <w:noProof/>
              <w:sz w:val="20"/>
              <w:szCs w:val="20"/>
            </w:rPr>
            <w:t>(ENTAIN PLC, 2021)</w:t>
          </w:r>
          <w:r w:rsidR="009A0892">
            <w:rPr>
              <w:sz w:val="20"/>
              <w:szCs w:val="20"/>
            </w:rPr>
            <w:fldChar w:fldCharType="end"/>
          </w:r>
        </w:sdtContent>
      </w:sdt>
      <w:r w:rsidR="00AE7C2A" w:rsidRPr="00C91C28">
        <w:rPr>
          <w:sz w:val="20"/>
          <w:szCs w:val="20"/>
        </w:rPr>
        <w:t xml:space="preserve"> review of RG transparency suggests that vague or selective disclosure can undermine trust and invites suspicion that RG is more about image than substance.</w:t>
      </w:r>
      <w:r w:rsidR="00654818" w:rsidRPr="00C91C28">
        <w:rPr>
          <w:sz w:val="20"/>
          <w:szCs w:val="20"/>
        </w:rPr>
        <w:t xml:space="preserve"> </w:t>
      </w:r>
      <w:sdt>
        <w:sdtPr>
          <w:rPr>
            <w:sz w:val="20"/>
            <w:szCs w:val="20"/>
          </w:rPr>
          <w:id w:val="-2126833115"/>
          <w:citation/>
        </w:sdtPr>
        <w:sdtEndPr/>
        <w:sdtContent>
          <w:r w:rsidR="00654818">
            <w:rPr>
              <w:sz w:val="20"/>
              <w:szCs w:val="20"/>
            </w:rPr>
            <w:fldChar w:fldCharType="begin"/>
          </w:r>
          <w:r w:rsidR="00654818">
            <w:rPr>
              <w:sz w:val="20"/>
              <w:szCs w:val="20"/>
            </w:rPr>
            <w:instrText xml:space="preserve"> CITATION Wan211 \l 16393 </w:instrText>
          </w:r>
          <w:r w:rsidR="00654818">
            <w:rPr>
              <w:sz w:val="20"/>
              <w:szCs w:val="20"/>
            </w:rPr>
            <w:fldChar w:fldCharType="separate"/>
          </w:r>
          <w:r w:rsidR="00654818" w:rsidRPr="00BB447E">
            <w:rPr>
              <w:noProof/>
              <w:sz w:val="20"/>
              <w:szCs w:val="20"/>
            </w:rPr>
            <w:t>(Wang, et al., 2021)</w:t>
          </w:r>
          <w:r w:rsidR="00654818">
            <w:rPr>
              <w:sz w:val="20"/>
              <w:szCs w:val="20"/>
            </w:rPr>
            <w:fldChar w:fldCharType="end"/>
          </w:r>
        </w:sdtContent>
      </w:sdt>
    </w:p>
    <w:p w14:paraId="6D2D462B" w14:textId="516CAFEC" w:rsidR="00AE7C2A" w:rsidRPr="007C7F55" w:rsidRDefault="00B45EB1" w:rsidP="00AE7C2A">
      <w:pPr>
        <w:rPr>
          <w:sz w:val="24"/>
          <w:szCs w:val="24"/>
        </w:rPr>
      </w:pPr>
      <w:r w:rsidRPr="00B45EB1">
        <w:rPr>
          <w:sz w:val="20"/>
          <w:szCs w:val="20"/>
        </w:rPr>
        <w:t>In a statement released by GamCare after a regulatory settlement with Entain, this tension is emphasized: the statement recognizes the subsequent changes and accreditation of Entain, but also points at the fact that the deficiencies existed previously, which had effectual consequences on the customers. This shows how compliance concerns in the past can be present together with modern-day best practices designation, which may make it difficult to interpret the claims of regulatory groups by customers and their impact on their loyalty</w:t>
      </w:r>
      <w:r w:rsidR="00AE7C2A" w:rsidRPr="00B45EB1">
        <w:rPr>
          <w:sz w:val="20"/>
          <w:szCs w:val="20"/>
        </w:rPr>
        <w:t>.</w:t>
      </w:r>
      <w:sdt>
        <w:sdtPr>
          <w:rPr>
            <w:sz w:val="20"/>
            <w:szCs w:val="20"/>
          </w:rPr>
          <w:id w:val="791104869"/>
          <w:citation/>
        </w:sdtPr>
        <w:sdtEndPr/>
        <w:sdtContent>
          <w:r w:rsidR="004C446C" w:rsidRPr="004C446C">
            <w:rPr>
              <w:sz w:val="20"/>
              <w:szCs w:val="20"/>
            </w:rPr>
            <w:fldChar w:fldCharType="begin"/>
          </w:r>
          <w:r w:rsidR="004C446C" w:rsidRPr="004C446C">
            <w:rPr>
              <w:sz w:val="20"/>
              <w:szCs w:val="20"/>
            </w:rPr>
            <w:instrText xml:space="preserve"> CITATION Gam222 \l 16393 </w:instrText>
          </w:r>
          <w:r w:rsidR="004C446C" w:rsidRPr="004C446C">
            <w:rPr>
              <w:sz w:val="20"/>
              <w:szCs w:val="20"/>
            </w:rPr>
            <w:fldChar w:fldCharType="separate"/>
          </w:r>
          <w:r w:rsidR="004C446C" w:rsidRPr="004C446C">
            <w:rPr>
              <w:noProof/>
              <w:sz w:val="20"/>
              <w:szCs w:val="20"/>
            </w:rPr>
            <w:t xml:space="preserve"> (GamCare, 2022)</w:t>
          </w:r>
          <w:r w:rsidR="004C446C" w:rsidRPr="004C446C">
            <w:rPr>
              <w:sz w:val="20"/>
              <w:szCs w:val="20"/>
            </w:rPr>
            <w:fldChar w:fldCharType="end"/>
          </w:r>
        </w:sdtContent>
      </w:sdt>
    </w:p>
    <w:p w14:paraId="7CE9CAC4" w14:textId="77777777" w:rsidR="00AE7C2A" w:rsidRPr="007C7F55" w:rsidRDefault="00AE7C2A" w:rsidP="00AE7C2A">
      <w:pPr>
        <w:rPr>
          <w:b/>
          <w:bCs/>
          <w:sz w:val="24"/>
          <w:szCs w:val="24"/>
        </w:rPr>
      </w:pPr>
      <w:r w:rsidRPr="007C7F55">
        <w:rPr>
          <w:b/>
          <w:bCs/>
          <w:sz w:val="24"/>
          <w:szCs w:val="24"/>
        </w:rPr>
        <w:t>2.5 Gaps Identified to Situate the Present Research</w:t>
      </w:r>
    </w:p>
    <w:p w14:paraId="3014B7D1" w14:textId="77777777" w:rsidR="00AE7C2A" w:rsidRPr="00672820" w:rsidRDefault="00AE7C2A" w:rsidP="00C059E2">
      <w:pPr>
        <w:rPr>
          <w:sz w:val="20"/>
          <w:szCs w:val="20"/>
        </w:rPr>
      </w:pPr>
      <w:r w:rsidRPr="00672820">
        <w:rPr>
          <w:sz w:val="20"/>
          <w:szCs w:val="20"/>
        </w:rPr>
        <w:t>The review above highlights several important gaps that the present dissertation aims to address:</w:t>
      </w:r>
    </w:p>
    <w:p w14:paraId="65DACD0C" w14:textId="36F0A517" w:rsidR="007D489A" w:rsidRPr="00672820" w:rsidRDefault="00672820" w:rsidP="00C059E2">
      <w:pPr>
        <w:rPr>
          <w:b/>
          <w:bCs/>
        </w:rPr>
      </w:pPr>
      <w:r>
        <w:rPr>
          <w:b/>
          <w:bCs/>
        </w:rPr>
        <w:t>1.</w:t>
      </w:r>
      <w:r w:rsidR="007D489A" w:rsidRPr="00672820">
        <w:rPr>
          <w:b/>
          <w:bCs/>
        </w:rPr>
        <w:t>Minimal support of responsible gambling (RG) on customer loyalty.</w:t>
      </w:r>
    </w:p>
    <w:p w14:paraId="70136DB9" w14:textId="17AB0FCC" w:rsidR="007D489A" w:rsidRPr="00C059E2" w:rsidRDefault="007D489A" w:rsidP="00C059E2">
      <w:pPr>
        <w:rPr>
          <w:sz w:val="20"/>
          <w:szCs w:val="20"/>
        </w:rPr>
      </w:pPr>
      <w:r w:rsidRPr="00C059E2">
        <w:rPr>
          <w:sz w:val="20"/>
          <w:szCs w:val="20"/>
        </w:rPr>
        <w:t>Recent empirical research on RG has focused heavily on harm reduction and there is relatively little research assessing effects of RG on other metrics like customer loyalty, trust and retention in the long term. The character of the relations between RG initiatives and such customer outcomes, therefore, is not studied fully enough.</w:t>
      </w:r>
      <w:sdt>
        <w:sdtPr>
          <w:rPr>
            <w:sz w:val="20"/>
            <w:szCs w:val="20"/>
          </w:rPr>
          <w:id w:val="1604997379"/>
          <w:citation/>
        </w:sdtPr>
        <w:sdtEndPr/>
        <w:sdtContent>
          <w:r w:rsidR="006112E9" w:rsidRPr="00C059E2">
            <w:rPr>
              <w:sz w:val="20"/>
              <w:szCs w:val="20"/>
            </w:rPr>
            <w:fldChar w:fldCharType="begin"/>
          </w:r>
          <w:r w:rsidR="006112E9" w:rsidRPr="00C059E2">
            <w:rPr>
              <w:sz w:val="20"/>
              <w:szCs w:val="20"/>
            </w:rPr>
            <w:instrText xml:space="preserve"> CITATION Rob16 \l 16393 </w:instrText>
          </w:r>
          <w:r w:rsidR="006112E9" w:rsidRPr="00C059E2">
            <w:rPr>
              <w:sz w:val="20"/>
              <w:szCs w:val="20"/>
            </w:rPr>
            <w:fldChar w:fldCharType="separate"/>
          </w:r>
          <w:r w:rsidR="006112E9" w:rsidRPr="00C059E2">
            <w:rPr>
              <w:sz w:val="20"/>
              <w:szCs w:val="20"/>
            </w:rPr>
            <w:t xml:space="preserve"> (Robert Ladouceur, 2016)</w:t>
          </w:r>
          <w:r w:rsidR="006112E9" w:rsidRPr="00C059E2">
            <w:rPr>
              <w:sz w:val="20"/>
              <w:szCs w:val="20"/>
            </w:rPr>
            <w:fldChar w:fldCharType="end"/>
          </w:r>
        </w:sdtContent>
      </w:sdt>
    </w:p>
    <w:p w14:paraId="12092F60" w14:textId="4418ACAE" w:rsidR="007D489A" w:rsidRPr="00672820" w:rsidRDefault="00672820" w:rsidP="009A67D7">
      <w:pPr>
        <w:rPr>
          <w:b/>
          <w:bCs/>
        </w:rPr>
      </w:pPr>
      <w:r>
        <w:rPr>
          <w:b/>
          <w:bCs/>
        </w:rPr>
        <w:t>2.</w:t>
      </w:r>
      <w:r w:rsidR="007D489A" w:rsidRPr="00672820">
        <w:rPr>
          <w:b/>
          <w:bCs/>
        </w:rPr>
        <w:t>Limited Insight into how individual operators implement RG</w:t>
      </w:r>
    </w:p>
    <w:p w14:paraId="2230688D" w14:textId="7BC95879" w:rsidR="00672820" w:rsidRPr="00B90399" w:rsidRDefault="007D489A" w:rsidP="009A67D7">
      <w:pPr>
        <w:rPr>
          <w:sz w:val="20"/>
          <w:szCs w:val="20"/>
        </w:rPr>
      </w:pPr>
      <w:r w:rsidRPr="00B90399">
        <w:rPr>
          <w:sz w:val="20"/>
          <w:szCs w:val="20"/>
        </w:rPr>
        <w:t>Available literature often draws on the information provided by the anonymous operators or regulatory authorities, which provide little information on the integration of RG practices in the frameworks of large, multinational gambling businesses. This dependence on generic datasets is a challenge to a sophisticated interpretation of brand-specific RG implementation strategies.</w:t>
      </w:r>
      <w:sdt>
        <w:sdtPr>
          <w:rPr>
            <w:sz w:val="20"/>
            <w:szCs w:val="20"/>
          </w:rPr>
          <w:id w:val="2096440543"/>
          <w:citation/>
        </w:sdtPr>
        <w:sdtEndPr/>
        <w:sdtContent>
          <w:r w:rsidR="00EE77C3" w:rsidRPr="00B90399">
            <w:rPr>
              <w:sz w:val="20"/>
              <w:szCs w:val="20"/>
            </w:rPr>
            <w:fldChar w:fldCharType="begin"/>
          </w:r>
          <w:r w:rsidR="00EE77C3" w:rsidRPr="00B90399">
            <w:rPr>
              <w:sz w:val="20"/>
              <w:szCs w:val="20"/>
            </w:rPr>
            <w:instrText xml:space="preserve"> CITATION Han17 \l 16393 </w:instrText>
          </w:r>
          <w:r w:rsidR="00EE77C3" w:rsidRPr="00B90399">
            <w:rPr>
              <w:sz w:val="20"/>
              <w:szCs w:val="20"/>
            </w:rPr>
            <w:fldChar w:fldCharType="separate"/>
          </w:r>
          <w:r w:rsidR="00EE77C3" w:rsidRPr="00B90399">
            <w:rPr>
              <w:noProof/>
              <w:sz w:val="20"/>
              <w:szCs w:val="20"/>
            </w:rPr>
            <w:t xml:space="preserve"> (Hancock, 2017)</w:t>
          </w:r>
          <w:r w:rsidR="00EE77C3" w:rsidRPr="00B90399">
            <w:rPr>
              <w:sz w:val="20"/>
              <w:szCs w:val="20"/>
            </w:rPr>
            <w:fldChar w:fldCharType="end"/>
          </w:r>
        </w:sdtContent>
      </w:sdt>
    </w:p>
    <w:p w14:paraId="370A13D6" w14:textId="411AF0A3" w:rsidR="007D489A" w:rsidRPr="00672820" w:rsidRDefault="00672820" w:rsidP="00B90399">
      <w:pPr>
        <w:rPr>
          <w:b/>
          <w:bCs/>
        </w:rPr>
      </w:pPr>
      <w:r>
        <w:rPr>
          <w:b/>
          <w:bCs/>
        </w:rPr>
        <w:t>3.</w:t>
      </w:r>
      <w:r w:rsidR="007D489A" w:rsidRPr="00672820">
        <w:rPr>
          <w:b/>
          <w:bCs/>
        </w:rPr>
        <w:t>Minimally studied AI-based RG systems</w:t>
      </w:r>
    </w:p>
    <w:p w14:paraId="0BE43C62" w14:textId="0E387F4C" w:rsidR="007D489A" w:rsidRPr="00061F03" w:rsidRDefault="007D489A" w:rsidP="00061F03">
      <w:pPr>
        <w:rPr>
          <w:b/>
          <w:bCs/>
          <w:sz w:val="20"/>
          <w:szCs w:val="20"/>
        </w:rPr>
      </w:pPr>
      <w:r w:rsidRPr="00061F03">
        <w:rPr>
          <w:sz w:val="20"/>
          <w:szCs w:val="20"/>
        </w:rPr>
        <w:t xml:space="preserve">Although behavioural monitoring has received a lot of focus in the literature, it still lacks rigorous academic examination with regards to real-time, artificial-intelligence-based RG systems. Specifically, </w:t>
      </w:r>
      <w:r w:rsidRPr="00061F03">
        <w:rPr>
          <w:sz w:val="20"/>
          <w:szCs w:val="20"/>
        </w:rPr>
        <w:lastRenderedPageBreak/>
        <w:t>researchers have not explored the perceptions of consumers regarding the transparency of such technologically mediated interventions and their intrusiveness in details.</w:t>
      </w:r>
      <w:sdt>
        <w:sdtPr>
          <w:rPr>
            <w:sz w:val="20"/>
            <w:szCs w:val="20"/>
          </w:rPr>
          <w:id w:val="665513012"/>
          <w:citation/>
        </w:sdtPr>
        <w:sdtEndPr/>
        <w:sdtContent>
          <w:r w:rsidR="0000299A" w:rsidRPr="00061F03">
            <w:rPr>
              <w:sz w:val="20"/>
              <w:szCs w:val="20"/>
            </w:rPr>
            <w:fldChar w:fldCharType="begin"/>
          </w:r>
          <w:r w:rsidR="0000299A" w:rsidRPr="00061F03">
            <w:rPr>
              <w:sz w:val="20"/>
              <w:szCs w:val="20"/>
            </w:rPr>
            <w:instrText xml:space="preserve"> CITATION Aue16 \l 16393 </w:instrText>
          </w:r>
          <w:r w:rsidR="0000299A" w:rsidRPr="00061F03">
            <w:rPr>
              <w:sz w:val="20"/>
              <w:szCs w:val="20"/>
            </w:rPr>
            <w:fldChar w:fldCharType="separate"/>
          </w:r>
          <w:r w:rsidR="0000299A" w:rsidRPr="00061F03">
            <w:rPr>
              <w:noProof/>
              <w:sz w:val="20"/>
              <w:szCs w:val="20"/>
            </w:rPr>
            <w:t xml:space="preserve"> (Auer, 2016)</w:t>
          </w:r>
          <w:r w:rsidR="0000299A" w:rsidRPr="00061F03">
            <w:rPr>
              <w:sz w:val="20"/>
              <w:szCs w:val="20"/>
            </w:rPr>
            <w:fldChar w:fldCharType="end"/>
          </w:r>
        </w:sdtContent>
      </w:sdt>
    </w:p>
    <w:p w14:paraId="4DED282F" w14:textId="2E22921B" w:rsidR="007D489A" w:rsidRDefault="00672820" w:rsidP="00A349C5">
      <w:r>
        <w:rPr>
          <w:b/>
          <w:bCs/>
        </w:rPr>
        <w:t>4.</w:t>
      </w:r>
      <w:r w:rsidR="007D489A" w:rsidRPr="00672820">
        <w:rPr>
          <w:b/>
          <w:bCs/>
        </w:rPr>
        <w:t>The lack of segmentation of gambler responses</w:t>
      </w:r>
    </w:p>
    <w:p w14:paraId="1E2B6FD6" w14:textId="15054675" w:rsidR="007D489A" w:rsidRDefault="007D489A" w:rsidP="00A349C5">
      <w:r w:rsidRPr="003E2062">
        <w:rPr>
          <w:sz w:val="20"/>
          <w:szCs w:val="20"/>
        </w:rPr>
        <w:t xml:space="preserve">Most of the studies consider gamblers as a homogeneous group of people, yet the evidence keeps piling up to show that the perception of RG is different depending on the stratification of risk, the motive of gambling, and the intensity of the play. In this regard, a severe gap in research is required to disaggregate </w:t>
      </w:r>
      <w:r w:rsidRPr="00D62B0D">
        <w:rPr>
          <w:sz w:val="20"/>
          <w:szCs w:val="20"/>
        </w:rPr>
        <w:t>the populations of gamblers to be able to capture heterogeneity in the RG attitudes and behaviours.</w:t>
      </w:r>
      <w:r w:rsidR="008F67B9" w:rsidRPr="00D62B0D">
        <w:rPr>
          <w:sz w:val="20"/>
          <w:szCs w:val="20"/>
        </w:rPr>
        <w:t xml:space="preserve"> </w:t>
      </w:r>
      <w:sdt>
        <w:sdtPr>
          <w:rPr>
            <w:sz w:val="20"/>
            <w:szCs w:val="20"/>
          </w:rPr>
          <w:id w:val="1949034870"/>
          <w:citation/>
        </w:sdtPr>
        <w:sdtEndPr/>
        <w:sdtContent>
          <w:r w:rsidR="00B24191" w:rsidRPr="00B24191">
            <w:rPr>
              <w:sz w:val="20"/>
              <w:szCs w:val="20"/>
            </w:rPr>
            <w:fldChar w:fldCharType="begin"/>
          </w:r>
          <w:r w:rsidR="00B24191" w:rsidRPr="00B24191">
            <w:rPr>
              <w:sz w:val="20"/>
              <w:szCs w:val="20"/>
            </w:rPr>
            <w:instrText xml:space="preserve"> CITATION Hin211 \l 16393 </w:instrText>
          </w:r>
          <w:r w:rsidR="00B24191" w:rsidRPr="00B24191">
            <w:rPr>
              <w:sz w:val="20"/>
              <w:szCs w:val="20"/>
            </w:rPr>
            <w:fldChar w:fldCharType="separate"/>
          </w:r>
          <w:r w:rsidR="00B24191" w:rsidRPr="00B24191">
            <w:rPr>
              <w:noProof/>
              <w:sz w:val="20"/>
              <w:szCs w:val="20"/>
            </w:rPr>
            <w:t>(Hing, 2021)</w:t>
          </w:r>
          <w:r w:rsidR="00B24191" w:rsidRPr="00B24191">
            <w:rPr>
              <w:sz w:val="20"/>
              <w:szCs w:val="20"/>
            </w:rPr>
            <w:fldChar w:fldCharType="end"/>
          </w:r>
        </w:sdtContent>
      </w:sdt>
    </w:p>
    <w:p w14:paraId="036E39A4" w14:textId="06AE706F" w:rsidR="007D489A" w:rsidRDefault="00672820" w:rsidP="004175C6">
      <w:r>
        <w:rPr>
          <w:b/>
          <w:bCs/>
        </w:rPr>
        <w:t xml:space="preserve">5. </w:t>
      </w:r>
      <w:r w:rsidR="007D489A" w:rsidRPr="00672820">
        <w:rPr>
          <w:b/>
          <w:bCs/>
        </w:rPr>
        <w:t>Poorly developed regulatory and trust situations</w:t>
      </w:r>
      <w:r w:rsidR="007D489A" w:rsidRPr="00356B4B">
        <w:t xml:space="preserve"> </w:t>
      </w:r>
    </w:p>
    <w:p w14:paraId="02916CF0" w14:textId="685A2E9E" w:rsidR="00AE7C2A" w:rsidRPr="006A6FCA" w:rsidRDefault="007D489A" w:rsidP="004175C6">
      <w:pPr>
        <w:rPr>
          <w:sz w:val="20"/>
          <w:szCs w:val="20"/>
        </w:rPr>
      </w:pPr>
      <w:r w:rsidRPr="006A6FCA">
        <w:rPr>
          <w:sz w:val="20"/>
          <w:szCs w:val="20"/>
        </w:rPr>
        <w:t>There are limited studies that evaluate RG initiatives in the wider context of regulatory systems, reputational forces, and trust relationships, particularly in those jurisdictions where regulatory systems are highly regulated, like the United Kingdom. The absence of such a gap shows that there is a deficiency in grounded analysis about the influence of legal and trust environment on the effectiveness of RG strategies.</w:t>
      </w:r>
      <w:sdt>
        <w:sdtPr>
          <w:rPr>
            <w:sz w:val="20"/>
            <w:szCs w:val="20"/>
          </w:rPr>
          <w:id w:val="1238061724"/>
          <w:citation/>
        </w:sdtPr>
        <w:sdtEndPr/>
        <w:sdtContent>
          <w:r w:rsidR="000B4444">
            <w:rPr>
              <w:sz w:val="20"/>
              <w:szCs w:val="20"/>
            </w:rPr>
            <w:fldChar w:fldCharType="begin"/>
          </w:r>
          <w:r w:rsidR="000B4444">
            <w:rPr>
              <w:sz w:val="20"/>
              <w:szCs w:val="20"/>
            </w:rPr>
            <w:instrText xml:space="preserve"> CITATION Lad17 \l 16393 </w:instrText>
          </w:r>
          <w:r w:rsidR="000B4444">
            <w:rPr>
              <w:sz w:val="20"/>
              <w:szCs w:val="20"/>
            </w:rPr>
            <w:fldChar w:fldCharType="separate"/>
          </w:r>
          <w:r w:rsidR="000B4444">
            <w:rPr>
              <w:noProof/>
              <w:sz w:val="20"/>
              <w:szCs w:val="20"/>
            </w:rPr>
            <w:t xml:space="preserve"> </w:t>
          </w:r>
          <w:r w:rsidR="000B4444" w:rsidRPr="000B4444">
            <w:rPr>
              <w:noProof/>
              <w:sz w:val="20"/>
              <w:szCs w:val="20"/>
            </w:rPr>
            <w:t>(Ladouceur, 2017)</w:t>
          </w:r>
          <w:r w:rsidR="000B4444">
            <w:rPr>
              <w:sz w:val="20"/>
              <w:szCs w:val="20"/>
            </w:rPr>
            <w:fldChar w:fldCharType="end"/>
          </w:r>
        </w:sdtContent>
      </w:sdt>
    </w:p>
    <w:p w14:paraId="200CEDA2" w14:textId="77777777" w:rsidR="00AE7C2A" w:rsidRPr="007C7F55" w:rsidRDefault="00AE7C2A" w:rsidP="00AE7C2A">
      <w:pPr>
        <w:rPr>
          <w:b/>
          <w:bCs/>
          <w:sz w:val="24"/>
          <w:szCs w:val="24"/>
        </w:rPr>
      </w:pPr>
      <w:r w:rsidRPr="007C7F55">
        <w:rPr>
          <w:b/>
          <w:bCs/>
          <w:sz w:val="24"/>
          <w:szCs w:val="24"/>
        </w:rPr>
        <w:t>2.6 Summary of Chapter 2</w:t>
      </w:r>
    </w:p>
    <w:p w14:paraId="3F898037" w14:textId="77777777" w:rsidR="001C1B42" w:rsidRDefault="00353A0F" w:rsidP="00AE7C2A">
      <w:pPr>
        <w:rPr>
          <w:sz w:val="20"/>
          <w:szCs w:val="20"/>
        </w:rPr>
      </w:pPr>
      <w:r w:rsidRPr="00353A0F">
        <w:rPr>
          <w:sz w:val="20"/>
          <w:szCs w:val="20"/>
        </w:rPr>
        <w:t>The chapter has discussed the main ideas, theoretical framework and empirical data concerning the effect of responsible gambling programs on the loyalty of customers with reference to Entain plc in particular. RG has become a leading component of gambling CSR and ESG policies, and the ARC framework adopted by Entain is a technologically advanced effort to operationalise proactive harm-minimisation.</w:t>
      </w:r>
    </w:p>
    <w:p w14:paraId="0C8A1DBD" w14:textId="421BCCB8" w:rsidR="00EB22CE" w:rsidRDefault="00AE7C2A" w:rsidP="00AE7C2A">
      <w:pPr>
        <w:rPr>
          <w:sz w:val="20"/>
          <w:szCs w:val="20"/>
        </w:rPr>
      </w:pPr>
      <w:r w:rsidRPr="00AF760F">
        <w:rPr>
          <w:sz w:val="20"/>
          <w:szCs w:val="20"/>
        </w:rPr>
        <w:t xml:space="preserve">The chapter introduced core theoretical </w:t>
      </w:r>
      <w:r w:rsidR="00DB7F4F" w:rsidRPr="00AF760F">
        <w:rPr>
          <w:sz w:val="20"/>
          <w:szCs w:val="20"/>
        </w:rPr>
        <w:t>perspectives stakeholder</w:t>
      </w:r>
      <w:r w:rsidRPr="00AF760F">
        <w:rPr>
          <w:sz w:val="20"/>
          <w:szCs w:val="20"/>
        </w:rPr>
        <w:t xml:space="preserve"> theory, Social Exchange Theory, the Theory of Planned Behaviour and relationship </w:t>
      </w:r>
      <w:r w:rsidR="00DB7F4F" w:rsidRPr="00AF760F">
        <w:rPr>
          <w:sz w:val="20"/>
          <w:szCs w:val="20"/>
        </w:rPr>
        <w:t>marketing that</w:t>
      </w:r>
      <w:r w:rsidRPr="00AF760F">
        <w:rPr>
          <w:sz w:val="20"/>
          <w:szCs w:val="20"/>
        </w:rPr>
        <w:t xml:space="preserve"> help explain possible pathways linking RG initiatives to customer loyalty via trust, perceived control and ethical alignment. However, these frameworks also have limitations when applied to an industry characterised by addiction risks, asymmetric information and contested legitimacy.</w:t>
      </w:r>
    </w:p>
    <w:p w14:paraId="36691AAD" w14:textId="76183A70" w:rsidR="00DA729E" w:rsidRDefault="00DA729E" w:rsidP="00AE7C2A">
      <w:pPr>
        <w:rPr>
          <w:sz w:val="20"/>
          <w:szCs w:val="20"/>
        </w:rPr>
      </w:pPr>
      <w:r w:rsidRPr="00DA729E">
        <w:rPr>
          <w:sz w:val="20"/>
          <w:szCs w:val="20"/>
        </w:rPr>
        <w:t>The empirical evidence demonstrates that the RG tools can decrease harmful gambling behaviour and are generally rated positively by the customers. However, it is difficult to find direct evidence indicating that these tools lead to increased loyalty and little literature is devoted to particular large operators or AI-based systems such as ARC. Issues of authenticity, transparency and historic compliance shortcomings also complicate the positive relationship that is assumed to exist between RG and loyalty.</w:t>
      </w:r>
    </w:p>
    <w:p w14:paraId="1AA84894" w14:textId="226DA35A" w:rsidR="00EB22CE" w:rsidRDefault="00F8702B" w:rsidP="00AE7C2A">
      <w:pPr>
        <w:rPr>
          <w:sz w:val="20"/>
          <w:szCs w:val="20"/>
        </w:rPr>
      </w:pPr>
      <w:r w:rsidRPr="00F8702B">
        <w:rPr>
          <w:sz w:val="20"/>
          <w:szCs w:val="20"/>
        </w:rPr>
        <w:t>These gaps underlie the current study, which seeks to determine the perceptions of Entain customers about its responsible gambling programs and how such perceptions influence various aspects of customer loyalty. The following chapter presents the methodology that has been taken in answering these questions.</w:t>
      </w:r>
    </w:p>
    <w:p w14:paraId="3B844B8E" w14:textId="106CEE4B" w:rsidR="00F233AF" w:rsidRPr="001C0D7F" w:rsidRDefault="00F233AF" w:rsidP="00827846">
      <w:pPr>
        <w:pStyle w:val="Heading1"/>
        <w:rPr>
          <w:b/>
          <w:bCs/>
          <w:color w:val="000000" w:themeColor="text1"/>
          <w:sz w:val="28"/>
          <w:szCs w:val="28"/>
        </w:rPr>
      </w:pPr>
      <w:bookmarkStart w:id="4" w:name="_Toc217223907"/>
      <w:bookmarkStart w:id="5" w:name="_Toc217225392"/>
      <w:bookmarkStart w:id="6" w:name="_Toc217226062"/>
      <w:r w:rsidRPr="001C0D7F">
        <w:rPr>
          <w:b/>
          <w:bCs/>
          <w:color w:val="000000" w:themeColor="text1"/>
          <w:sz w:val="28"/>
          <w:szCs w:val="28"/>
        </w:rPr>
        <w:t>Chapter 3 Methodology</w:t>
      </w:r>
      <w:bookmarkEnd w:id="4"/>
      <w:bookmarkEnd w:id="5"/>
      <w:bookmarkEnd w:id="6"/>
    </w:p>
    <w:p w14:paraId="1A2C02C1" w14:textId="63A865FD" w:rsidR="00F233AF" w:rsidRDefault="007D2DAA" w:rsidP="00AE7C2A">
      <w:pPr>
        <w:rPr>
          <w:b/>
          <w:bCs/>
        </w:rPr>
      </w:pPr>
      <w:r w:rsidRPr="009D7352">
        <w:rPr>
          <w:b/>
          <w:bCs/>
        </w:rPr>
        <w:t>3.1</w:t>
      </w:r>
      <w:r w:rsidR="009D7352" w:rsidRPr="009D7352">
        <w:rPr>
          <w:b/>
          <w:bCs/>
        </w:rPr>
        <w:t xml:space="preserve"> Introduction </w:t>
      </w:r>
    </w:p>
    <w:p w14:paraId="6CB1AE39" w14:textId="5FB8143E" w:rsidR="00736487" w:rsidRPr="00736487" w:rsidRDefault="00736487" w:rsidP="00AE7C2A">
      <w:pPr>
        <w:rPr>
          <w:sz w:val="20"/>
          <w:szCs w:val="20"/>
        </w:rPr>
      </w:pPr>
      <w:r w:rsidRPr="00736487">
        <w:rPr>
          <w:sz w:val="20"/>
          <w:szCs w:val="20"/>
        </w:rPr>
        <w:t>This chapter describes the methodology followed to explore the effects of responsible gambling programs on loyalty to customers in the case of Entain plc. It describes the research philosophy, research design, data collection techniques, sampling plan, and data analysis techniques that were applied to answer the research aim and questions. Ethical issues and methodological constraints are also presented. Since the topic of gambling research is sensitive and the ethical issues related to direct interaction with potentially vulnerable individuals are high, the secondary qualitative research design was deemed as the most suitable one to use in this undergraduate research. This method lets the study be ethically accountable and yet come up with valuable and scholarly findings.</w:t>
      </w:r>
    </w:p>
    <w:p w14:paraId="6A4F28DD" w14:textId="4968D109" w:rsidR="008B5629" w:rsidRPr="00835CFE" w:rsidRDefault="00667118" w:rsidP="00AE7C2A">
      <w:pPr>
        <w:rPr>
          <w:b/>
          <w:bCs/>
        </w:rPr>
      </w:pPr>
      <w:r w:rsidRPr="00835CFE">
        <w:rPr>
          <w:b/>
          <w:bCs/>
        </w:rPr>
        <w:lastRenderedPageBreak/>
        <w:t>3.2 Research Philosophy</w:t>
      </w:r>
    </w:p>
    <w:p w14:paraId="02614172" w14:textId="47F595DE" w:rsidR="00667118" w:rsidRDefault="00F16C05" w:rsidP="00AE7C2A">
      <w:pPr>
        <w:rPr>
          <w:sz w:val="20"/>
          <w:szCs w:val="20"/>
        </w:rPr>
      </w:pPr>
      <w:r w:rsidRPr="00F16C05">
        <w:rPr>
          <w:sz w:val="20"/>
          <w:szCs w:val="20"/>
        </w:rPr>
        <w:t>The research philosophy applied in this study is an interpretivist research philosophy since it involves seeking to explain social phenomena in terms of meanings, experiences, and interpretation of contexts instead of using objective measurement. Interpretivism should be used especially well when focusing on such concepts like trust, perception, and loyalty because they are subjective and socially constructed.</w:t>
      </w:r>
      <w:sdt>
        <w:sdtPr>
          <w:rPr>
            <w:sz w:val="20"/>
            <w:szCs w:val="20"/>
          </w:rPr>
          <w:id w:val="-1033800390"/>
          <w:citation/>
        </w:sdtPr>
        <w:sdtEndPr/>
        <w:sdtContent>
          <w:r w:rsidR="008D6D9F">
            <w:rPr>
              <w:sz w:val="20"/>
              <w:szCs w:val="20"/>
            </w:rPr>
            <w:fldChar w:fldCharType="begin"/>
          </w:r>
          <w:r w:rsidR="008D6D9F">
            <w:rPr>
              <w:sz w:val="20"/>
              <w:szCs w:val="20"/>
            </w:rPr>
            <w:instrText xml:space="preserve"> CITATION Cre18 \l 16393 </w:instrText>
          </w:r>
          <w:r w:rsidR="008D6D9F">
            <w:rPr>
              <w:sz w:val="20"/>
              <w:szCs w:val="20"/>
            </w:rPr>
            <w:fldChar w:fldCharType="separate"/>
          </w:r>
          <w:r w:rsidR="008D6D9F">
            <w:rPr>
              <w:noProof/>
              <w:sz w:val="20"/>
              <w:szCs w:val="20"/>
            </w:rPr>
            <w:t xml:space="preserve"> </w:t>
          </w:r>
          <w:r w:rsidR="008D6D9F" w:rsidRPr="008D6D9F">
            <w:rPr>
              <w:noProof/>
              <w:sz w:val="20"/>
              <w:szCs w:val="20"/>
            </w:rPr>
            <w:t>(Creswell, 2018)</w:t>
          </w:r>
          <w:r w:rsidR="008D6D9F">
            <w:rPr>
              <w:sz w:val="20"/>
              <w:szCs w:val="20"/>
            </w:rPr>
            <w:fldChar w:fldCharType="end"/>
          </w:r>
        </w:sdtContent>
      </w:sdt>
      <w:r w:rsidR="007864CB" w:rsidRPr="007864CB">
        <w:t xml:space="preserve"> </w:t>
      </w:r>
      <w:r w:rsidR="00466570" w:rsidRPr="00466570">
        <w:rPr>
          <w:sz w:val="20"/>
          <w:szCs w:val="20"/>
        </w:rPr>
        <w:t>The focus is not on the development of universal causal relationships but exploring the presentation, understanding, and interpretation of responsible gambling initiatives in a particular organisational and regulatory setting. This philosophical stance is consistent with the fact that the study was based on documentary evidence and interpretation of the data using qualitative methods.</w:t>
      </w:r>
    </w:p>
    <w:p w14:paraId="75790784" w14:textId="67EFD9B7" w:rsidR="00DF3C8F" w:rsidRPr="009F0AA5" w:rsidRDefault="00DF3C8F" w:rsidP="00AE7C2A">
      <w:pPr>
        <w:rPr>
          <w:b/>
          <w:bCs/>
        </w:rPr>
      </w:pPr>
      <w:r w:rsidRPr="009F0AA5">
        <w:rPr>
          <w:b/>
          <w:bCs/>
        </w:rPr>
        <w:t xml:space="preserve">3.3 </w:t>
      </w:r>
      <w:r w:rsidR="00DE6A21">
        <w:rPr>
          <w:b/>
          <w:bCs/>
        </w:rPr>
        <w:t>R</w:t>
      </w:r>
      <w:r w:rsidRPr="009F0AA5">
        <w:rPr>
          <w:b/>
          <w:bCs/>
        </w:rPr>
        <w:t xml:space="preserve">esearch Approach </w:t>
      </w:r>
      <w:r w:rsidR="00A5297A" w:rsidRPr="009F0AA5">
        <w:rPr>
          <w:b/>
          <w:bCs/>
        </w:rPr>
        <w:t xml:space="preserve">and design </w:t>
      </w:r>
    </w:p>
    <w:p w14:paraId="53ED8A46" w14:textId="2CE2CDD3" w:rsidR="00E11807" w:rsidRDefault="009F0AA5" w:rsidP="00AE7C2A">
      <w:pPr>
        <w:rPr>
          <w:sz w:val="20"/>
          <w:szCs w:val="20"/>
        </w:rPr>
      </w:pPr>
      <w:r w:rsidRPr="009F0AA5">
        <w:rPr>
          <w:sz w:val="20"/>
          <w:szCs w:val="20"/>
        </w:rPr>
        <w:t>The qualitative research design was adopted with the use of one case study design based on Entain plc. Case studies allow researchers to examine detailed complex organisational practice in the context of their real practice, and are commonly applied in both business and social research</w:t>
      </w:r>
      <w:sdt>
        <w:sdtPr>
          <w:rPr>
            <w:sz w:val="20"/>
            <w:szCs w:val="20"/>
          </w:rPr>
          <w:id w:val="30696328"/>
          <w:citation/>
        </w:sdtPr>
        <w:sdtEndPr/>
        <w:sdtContent>
          <w:r w:rsidR="00125750" w:rsidRPr="00125750">
            <w:rPr>
              <w:sz w:val="20"/>
              <w:szCs w:val="20"/>
            </w:rPr>
            <w:fldChar w:fldCharType="begin"/>
          </w:r>
          <w:r w:rsidR="00125750" w:rsidRPr="00125750">
            <w:instrText xml:space="preserve"> CITATION Yin18 \l 16393 </w:instrText>
          </w:r>
          <w:r w:rsidR="00125750" w:rsidRPr="00125750">
            <w:rPr>
              <w:sz w:val="20"/>
              <w:szCs w:val="20"/>
            </w:rPr>
            <w:fldChar w:fldCharType="separate"/>
          </w:r>
          <w:r w:rsidR="00125750" w:rsidRPr="00125750">
            <w:rPr>
              <w:noProof/>
            </w:rPr>
            <w:t xml:space="preserve"> (Yin, 2018)</w:t>
          </w:r>
          <w:r w:rsidR="00125750" w:rsidRPr="00125750">
            <w:rPr>
              <w:sz w:val="20"/>
              <w:szCs w:val="20"/>
            </w:rPr>
            <w:fldChar w:fldCharType="end"/>
          </w:r>
        </w:sdtContent>
      </w:sdt>
      <w:r w:rsidR="00125750">
        <w:rPr>
          <w:sz w:val="20"/>
          <w:szCs w:val="20"/>
        </w:rPr>
        <w:t>.</w:t>
      </w:r>
      <w:r w:rsidR="00F02BF1" w:rsidRPr="00F02BF1">
        <w:rPr>
          <w:sz w:val="20"/>
          <w:szCs w:val="20"/>
        </w:rPr>
        <w:t>The reason why Entain was chosen is that it occupies a leading role in the UK gambling sector and its widespread reporting in the responsibility of gambling practices. This design enables to have a closer look at the ways in which responsible gambling initiatives can be incorporated into the corporate strategy and how they can impact customer loyalty outcomes</w:t>
      </w:r>
      <w:r w:rsidR="00262AAA">
        <w:rPr>
          <w:sz w:val="20"/>
          <w:szCs w:val="20"/>
        </w:rPr>
        <w:t>.</w:t>
      </w:r>
    </w:p>
    <w:p w14:paraId="6251703E" w14:textId="0EF541BF" w:rsidR="00262AAA" w:rsidRDefault="00C92B4B" w:rsidP="00AE7C2A">
      <w:pPr>
        <w:rPr>
          <w:b/>
          <w:bCs/>
        </w:rPr>
      </w:pPr>
      <w:r w:rsidRPr="00DE6A21">
        <w:rPr>
          <w:b/>
          <w:bCs/>
        </w:rPr>
        <w:t xml:space="preserve">3.4 Data Collection </w:t>
      </w:r>
      <w:r w:rsidR="00DE6A21" w:rsidRPr="00DE6A21">
        <w:rPr>
          <w:b/>
          <w:bCs/>
        </w:rPr>
        <w:t>Methods</w:t>
      </w:r>
    </w:p>
    <w:p w14:paraId="6DFD3339" w14:textId="61BA9BAC" w:rsidR="001644F9" w:rsidRDefault="00E1362F" w:rsidP="00AE7C2A">
      <w:pPr>
        <w:rPr>
          <w:sz w:val="20"/>
          <w:szCs w:val="20"/>
        </w:rPr>
      </w:pPr>
      <w:r w:rsidRPr="00E1362F">
        <w:rPr>
          <w:sz w:val="20"/>
          <w:szCs w:val="20"/>
        </w:rPr>
        <w:t xml:space="preserve">The research is based solely on secondary and qualitative data that has been obtained in a few reputable and publicly available documents. These will be annual and ESG reports of Entain, regulatory publications issued by UK gambling regulators, academic literature published by scholars and report of industry policies. This has been due to the ethical implication of carrying out </w:t>
      </w:r>
      <w:r w:rsidR="00F54DA7" w:rsidRPr="00E1362F">
        <w:rPr>
          <w:sz w:val="20"/>
          <w:szCs w:val="20"/>
        </w:rPr>
        <w:t>primary research</w:t>
      </w:r>
      <w:r w:rsidRPr="00E1362F">
        <w:rPr>
          <w:sz w:val="20"/>
          <w:szCs w:val="20"/>
        </w:rPr>
        <w:t xml:space="preserve"> amongst gambling consumers, and practical aspects of time and access to the secondary data. In addition, the usage of documentary sources allows </w:t>
      </w:r>
      <w:r w:rsidR="00F54DA7" w:rsidRPr="00E1362F">
        <w:rPr>
          <w:sz w:val="20"/>
          <w:szCs w:val="20"/>
        </w:rPr>
        <w:t>analysing</w:t>
      </w:r>
      <w:r w:rsidRPr="00E1362F">
        <w:rPr>
          <w:sz w:val="20"/>
          <w:szCs w:val="20"/>
        </w:rPr>
        <w:t xml:space="preserve"> institutional practices and regulatory expectations on a temporal basis</w:t>
      </w:r>
      <w:r w:rsidR="008B35BB" w:rsidRPr="008B35BB">
        <w:t xml:space="preserve"> </w:t>
      </w:r>
      <w:sdt>
        <w:sdtPr>
          <w:id w:val="-779413222"/>
          <w:citation/>
        </w:sdtPr>
        <w:sdtEndPr/>
        <w:sdtContent>
          <w:r w:rsidR="00683841" w:rsidRPr="00683841">
            <w:fldChar w:fldCharType="begin"/>
          </w:r>
          <w:r w:rsidR="00683841" w:rsidRPr="00683841">
            <w:instrText xml:space="preserve"> CITATION Joh17 \l 16393 </w:instrText>
          </w:r>
          <w:r w:rsidR="00683841" w:rsidRPr="00683841">
            <w:fldChar w:fldCharType="separate"/>
          </w:r>
          <w:r w:rsidR="00683841" w:rsidRPr="00683841">
            <w:rPr>
              <w:noProof/>
            </w:rPr>
            <w:t>(Johnston, 2017)</w:t>
          </w:r>
          <w:r w:rsidR="00683841" w:rsidRPr="00683841">
            <w:fldChar w:fldCharType="end"/>
          </w:r>
        </w:sdtContent>
      </w:sdt>
      <w:r w:rsidR="008B35BB" w:rsidRPr="00BD6C74">
        <w:t>.</w:t>
      </w:r>
      <w:r w:rsidR="000C33AD" w:rsidRPr="000C33AD">
        <w:rPr>
          <w:sz w:val="20"/>
          <w:szCs w:val="20"/>
        </w:rPr>
        <w:t>A critical review of all data sources served to determine the relevance of information that directly addresses the research questions.</w:t>
      </w:r>
    </w:p>
    <w:p w14:paraId="71D032DB" w14:textId="4A0CE233" w:rsidR="00982B8E" w:rsidRPr="000D3413" w:rsidRDefault="00982B8E" w:rsidP="00AE7C2A">
      <w:pPr>
        <w:rPr>
          <w:b/>
          <w:bCs/>
        </w:rPr>
      </w:pPr>
      <w:r w:rsidRPr="000D3413">
        <w:rPr>
          <w:b/>
          <w:bCs/>
        </w:rPr>
        <w:t xml:space="preserve">3.5 Sampling </w:t>
      </w:r>
      <w:r w:rsidR="001D0D3E" w:rsidRPr="000D3413">
        <w:rPr>
          <w:b/>
          <w:bCs/>
        </w:rPr>
        <w:t>Strate</w:t>
      </w:r>
      <w:r w:rsidR="009D6F6F" w:rsidRPr="000D3413">
        <w:rPr>
          <w:b/>
          <w:bCs/>
        </w:rPr>
        <w:t>gy</w:t>
      </w:r>
    </w:p>
    <w:p w14:paraId="3F2FD73B" w14:textId="052B77EE" w:rsidR="009D6F6F" w:rsidRDefault="000D3413" w:rsidP="00AE7C2A">
      <w:pPr>
        <w:rPr>
          <w:sz w:val="20"/>
          <w:szCs w:val="20"/>
        </w:rPr>
      </w:pPr>
      <w:r w:rsidRPr="000D3413">
        <w:rPr>
          <w:sz w:val="20"/>
          <w:szCs w:val="20"/>
        </w:rPr>
        <w:t xml:space="preserve">The documents and sources that were the most relevant to the issues of responsible gambling, customer trust, and loyalty were identified using a purposive sampling strategy. These selection criteria included relevance, credibility and correlation with United Kingdom gambling context. Recent publications were prioritized because of the need to capture the current regulatory and industry developments. This type of non-probability sampling is considered appropriate in qualitative studies, where the focus is on the depth of the understanding as opposed to statistical </w:t>
      </w:r>
      <w:r w:rsidR="009755EB" w:rsidRPr="000D3413">
        <w:rPr>
          <w:sz w:val="20"/>
          <w:szCs w:val="20"/>
        </w:rPr>
        <w:t>generalisability</w:t>
      </w:r>
      <w:r w:rsidR="00DF5F08">
        <w:t>(</w:t>
      </w:r>
      <w:sdt>
        <w:sdtPr>
          <w:id w:val="-118767079"/>
          <w:citation/>
        </w:sdtPr>
        <w:sdtEndPr/>
        <w:sdtContent>
          <w:r w:rsidR="0047187D">
            <w:fldChar w:fldCharType="begin"/>
          </w:r>
          <w:r w:rsidR="0047187D">
            <w:instrText xml:space="preserve"> CITATION Alk16 \l 16393 </w:instrText>
          </w:r>
          <w:r w:rsidR="0047187D">
            <w:fldChar w:fldCharType="separate"/>
          </w:r>
          <w:r w:rsidR="0047187D">
            <w:rPr>
              <w:noProof/>
            </w:rPr>
            <w:t xml:space="preserve"> </w:t>
          </w:r>
          <w:r w:rsidR="0047187D" w:rsidRPr="0047187D">
            <w:rPr>
              <w:noProof/>
            </w:rPr>
            <w:t>(Alkassim, 2016)</w:t>
          </w:r>
          <w:r w:rsidR="0047187D">
            <w:fldChar w:fldCharType="end"/>
          </w:r>
        </w:sdtContent>
      </w:sdt>
      <w:r w:rsidR="00386D4B" w:rsidRPr="00BD6C74">
        <w:t>).</w:t>
      </w:r>
      <w:r w:rsidR="009755EB" w:rsidRPr="009755EB">
        <w:rPr>
          <w:sz w:val="20"/>
          <w:szCs w:val="20"/>
        </w:rPr>
        <w:t>The methodology ensures long term concentration and at the same time ensures high standards of academic rigor.</w:t>
      </w:r>
    </w:p>
    <w:p w14:paraId="20F57F60" w14:textId="501EDF60" w:rsidR="00E13ED9" w:rsidRPr="008204BA" w:rsidRDefault="00641117" w:rsidP="00AE7C2A">
      <w:pPr>
        <w:rPr>
          <w:b/>
          <w:bCs/>
        </w:rPr>
      </w:pPr>
      <w:r w:rsidRPr="008204BA">
        <w:rPr>
          <w:b/>
          <w:bCs/>
        </w:rPr>
        <w:t xml:space="preserve">3.6 </w:t>
      </w:r>
      <w:r w:rsidR="008204BA" w:rsidRPr="008204BA">
        <w:rPr>
          <w:b/>
          <w:bCs/>
        </w:rPr>
        <w:t>Data Analysis Method</w:t>
      </w:r>
    </w:p>
    <w:p w14:paraId="2900B1FC" w14:textId="54EE3218" w:rsidR="007B5E7F" w:rsidRDefault="00CE4BA5" w:rsidP="00D651AC">
      <w:pPr>
        <w:rPr>
          <w:sz w:val="20"/>
          <w:szCs w:val="20"/>
        </w:rPr>
      </w:pPr>
      <w:r w:rsidRPr="00CE4BA5">
        <w:rPr>
          <w:sz w:val="20"/>
          <w:szCs w:val="20"/>
        </w:rPr>
        <w:t xml:space="preserve">The data were analysed using thematic analysis, a qualitative method that tries to identify and explain common patterns in textual data. It followed a methodological process that included the familiarisation of data, initial coding, theme building and further </w:t>
      </w:r>
      <w:r w:rsidR="00565E1E" w:rsidRPr="00CE4BA5">
        <w:rPr>
          <w:sz w:val="20"/>
          <w:szCs w:val="20"/>
        </w:rPr>
        <w:t>interpretatio</w:t>
      </w:r>
      <w:r w:rsidR="00565E1E" w:rsidRPr="00D8538E">
        <w:rPr>
          <w:sz w:val="20"/>
          <w:szCs w:val="20"/>
        </w:rPr>
        <w:t>n</w:t>
      </w:r>
      <w:r w:rsidR="00565E1E" w:rsidRPr="00D8538E">
        <w:t xml:space="preserve"> (</w:t>
      </w:r>
      <w:sdt>
        <w:sdtPr>
          <w:id w:val="-573049800"/>
          <w:citation/>
        </w:sdtPr>
        <w:sdtEndPr/>
        <w:sdtContent>
          <w:r w:rsidR="00D8538E" w:rsidRPr="00D8538E">
            <w:fldChar w:fldCharType="begin"/>
          </w:r>
          <w:r w:rsidR="00D8538E" w:rsidRPr="00D8538E">
            <w:instrText xml:space="preserve"> CITATION Vir06 \l 16393 </w:instrText>
          </w:r>
          <w:r w:rsidR="00D8538E" w:rsidRPr="00D8538E">
            <w:fldChar w:fldCharType="separate"/>
          </w:r>
          <w:r w:rsidR="00D8538E" w:rsidRPr="00D8538E">
            <w:rPr>
              <w:noProof/>
            </w:rPr>
            <w:t xml:space="preserve"> (Virginia Braun, 2006)</w:t>
          </w:r>
          <w:r w:rsidR="00D8538E" w:rsidRPr="00D8538E">
            <w:fldChar w:fldCharType="end"/>
          </w:r>
        </w:sdtContent>
      </w:sdt>
      <w:r w:rsidR="00565E1E" w:rsidRPr="00BD6C74">
        <w:t>)</w:t>
      </w:r>
      <w:r w:rsidRPr="00D8538E">
        <w:rPr>
          <w:sz w:val="20"/>
          <w:szCs w:val="20"/>
        </w:rPr>
        <w:t>.</w:t>
      </w:r>
      <w:r w:rsidR="00EE21C1" w:rsidRPr="00EE21C1">
        <w:t xml:space="preserve"> </w:t>
      </w:r>
      <w:r w:rsidR="00EE21C1" w:rsidRPr="00EE21C1">
        <w:rPr>
          <w:sz w:val="20"/>
          <w:szCs w:val="20"/>
        </w:rPr>
        <w:t>Themes were mainly obtained based on the research questions with customer perception, trust, and loyalty being the main aspects. Such a methodological position enabled making an organized comparative analysis of the responsible gambling practices of Entain and the current academic and regulatory frameworks, thus enhancing the analytical rigor.</w:t>
      </w:r>
    </w:p>
    <w:p w14:paraId="6AF493EB" w14:textId="77777777" w:rsidR="00C13B5E" w:rsidRDefault="00C13B5E" w:rsidP="00D651AC">
      <w:pPr>
        <w:rPr>
          <w:sz w:val="20"/>
          <w:szCs w:val="20"/>
        </w:rPr>
      </w:pPr>
    </w:p>
    <w:p w14:paraId="2E5CCD00" w14:textId="77777777" w:rsidR="001C0D7F" w:rsidRDefault="001C0D7F" w:rsidP="00D651AC">
      <w:pPr>
        <w:rPr>
          <w:sz w:val="20"/>
          <w:szCs w:val="20"/>
        </w:rPr>
      </w:pPr>
    </w:p>
    <w:p w14:paraId="73804210" w14:textId="6E9365BC" w:rsidR="00DB6E81" w:rsidRPr="00E56BBE" w:rsidRDefault="0096125A" w:rsidP="00D651AC">
      <w:pPr>
        <w:rPr>
          <w:b/>
          <w:bCs/>
        </w:rPr>
      </w:pPr>
      <w:r w:rsidRPr="00E56BBE">
        <w:rPr>
          <w:b/>
          <w:bCs/>
        </w:rPr>
        <w:lastRenderedPageBreak/>
        <w:t xml:space="preserve">3.7 Reliability and </w:t>
      </w:r>
      <w:r w:rsidR="0001057C" w:rsidRPr="00E56BBE">
        <w:rPr>
          <w:b/>
          <w:bCs/>
        </w:rPr>
        <w:t>Va</w:t>
      </w:r>
      <w:r w:rsidR="00507747" w:rsidRPr="00E56BBE">
        <w:rPr>
          <w:b/>
          <w:bCs/>
        </w:rPr>
        <w:t xml:space="preserve">lidity </w:t>
      </w:r>
    </w:p>
    <w:p w14:paraId="6280C120" w14:textId="0F4A0F80" w:rsidR="00DB6E81" w:rsidRDefault="00F66255" w:rsidP="00D651AC">
      <w:pPr>
        <w:rPr>
          <w:sz w:val="20"/>
          <w:szCs w:val="20"/>
        </w:rPr>
      </w:pPr>
      <w:r w:rsidRPr="00F66255">
        <w:rPr>
          <w:sz w:val="20"/>
          <w:szCs w:val="20"/>
        </w:rPr>
        <w:t>Reliability and validity were achieved through data triangulation and adoption of transparent research procedures. The information was supported with a wide range of different sources, such as corporate reports, peer-reviewed academic researches, or even regulatory documents, to increase the overall validity of the results</w:t>
      </w:r>
      <w:r w:rsidR="00312CA1">
        <w:rPr>
          <w:sz w:val="20"/>
          <w:szCs w:val="20"/>
        </w:rPr>
        <w:t xml:space="preserve"> </w:t>
      </w:r>
      <w:sdt>
        <w:sdtPr>
          <w:rPr>
            <w:sz w:val="20"/>
            <w:szCs w:val="20"/>
          </w:rPr>
          <w:id w:val="2059730191"/>
          <w:citation/>
        </w:sdtPr>
        <w:sdtEndPr/>
        <w:sdtContent>
          <w:r w:rsidR="00956506">
            <w:rPr>
              <w:sz w:val="20"/>
              <w:szCs w:val="20"/>
            </w:rPr>
            <w:fldChar w:fldCharType="begin"/>
          </w:r>
          <w:r w:rsidR="00956506">
            <w:rPr>
              <w:sz w:val="20"/>
              <w:szCs w:val="20"/>
            </w:rPr>
            <w:instrText xml:space="preserve"> CITATION Bow09 \l 16393 </w:instrText>
          </w:r>
          <w:r w:rsidR="00956506">
            <w:rPr>
              <w:sz w:val="20"/>
              <w:szCs w:val="20"/>
            </w:rPr>
            <w:fldChar w:fldCharType="separate"/>
          </w:r>
          <w:r w:rsidR="00956506" w:rsidRPr="00956506">
            <w:rPr>
              <w:noProof/>
              <w:sz w:val="20"/>
              <w:szCs w:val="20"/>
            </w:rPr>
            <w:t>(Bowen, 2009)</w:t>
          </w:r>
          <w:r w:rsidR="00956506">
            <w:rPr>
              <w:sz w:val="20"/>
              <w:szCs w:val="20"/>
            </w:rPr>
            <w:fldChar w:fldCharType="end"/>
          </w:r>
        </w:sdtContent>
      </w:sdt>
      <w:r w:rsidR="00956506">
        <w:t>.</w:t>
      </w:r>
      <w:r w:rsidR="008153D4" w:rsidRPr="00A04067">
        <w:rPr>
          <w:sz w:val="20"/>
          <w:szCs w:val="20"/>
        </w:rPr>
        <w:t>Ensuring an audit trail of information sources, and decisions made in analytics, is the foundation of reliability and repeatability of a research study at the undergraduate level. Though qualitative case study enquiry makes no attempt at statistical generalisation, analytical validity is achieved by establishing an explicit connection between evidence and the mentioned research objectives and questions.</w:t>
      </w:r>
    </w:p>
    <w:p w14:paraId="478D6FD5" w14:textId="5D042676" w:rsidR="000D38CE" w:rsidRDefault="000D38CE" w:rsidP="00D651AC">
      <w:pPr>
        <w:rPr>
          <w:b/>
          <w:bCs/>
        </w:rPr>
      </w:pPr>
      <w:r w:rsidRPr="00F24DE1">
        <w:rPr>
          <w:b/>
          <w:bCs/>
        </w:rPr>
        <w:t xml:space="preserve">3.8 </w:t>
      </w:r>
      <w:r w:rsidR="00F24DE1" w:rsidRPr="00F24DE1">
        <w:rPr>
          <w:b/>
          <w:bCs/>
        </w:rPr>
        <w:t xml:space="preserve">Ethical Considerations </w:t>
      </w:r>
    </w:p>
    <w:p w14:paraId="41300E83" w14:textId="51BB0D47" w:rsidR="00F24DE1" w:rsidRDefault="00D83156" w:rsidP="00D651AC">
      <w:pPr>
        <w:rPr>
          <w:sz w:val="20"/>
          <w:szCs w:val="20"/>
        </w:rPr>
      </w:pPr>
      <w:r w:rsidRPr="00D83156">
        <w:rPr>
          <w:sz w:val="20"/>
          <w:szCs w:val="20"/>
        </w:rPr>
        <w:t>The use of ethical considerations was formally built into the research design. The fact that the primary data collection was not done was an effective way of reducing risks of harm to the participants, problem of informed consent and confidentiality. Any empirical material used was taken out of publicly accessible sources and referenced accordingly. Empirical data were used to outline unique reflective observations, which were based on professional praxis in order to maintain an ethical level of transparency. As a result, this methodological position is consistent with the existing ethical regulations of the studies of sensitive sociocultural phenomena</w:t>
      </w:r>
      <w:sdt>
        <w:sdtPr>
          <w:id w:val="-115600319"/>
          <w:citation/>
        </w:sdtPr>
        <w:sdtEndPr/>
        <w:sdtContent>
          <w:r w:rsidR="00C65C53" w:rsidRPr="00C65C53">
            <w:fldChar w:fldCharType="begin"/>
          </w:r>
          <w:r w:rsidR="00C65C53" w:rsidRPr="00C65C53">
            <w:instrText xml:space="preserve"> CITATION Isr06 \l 16393 </w:instrText>
          </w:r>
          <w:r w:rsidR="00C65C53" w:rsidRPr="00C65C53">
            <w:fldChar w:fldCharType="separate"/>
          </w:r>
          <w:r w:rsidR="00C65C53" w:rsidRPr="00C65C53">
            <w:rPr>
              <w:noProof/>
            </w:rPr>
            <w:t xml:space="preserve"> (Israel, 2006)</w:t>
          </w:r>
          <w:r w:rsidR="00C65C53" w:rsidRPr="00C65C53">
            <w:fldChar w:fldCharType="end"/>
          </w:r>
        </w:sdtContent>
      </w:sdt>
      <w:r w:rsidRPr="00C65C53">
        <w:rPr>
          <w:sz w:val="20"/>
          <w:szCs w:val="20"/>
        </w:rPr>
        <w:t>.</w:t>
      </w:r>
    </w:p>
    <w:p w14:paraId="2E84CC26" w14:textId="096C14F5" w:rsidR="00EF705A" w:rsidRDefault="00EF705A" w:rsidP="00D651AC">
      <w:pPr>
        <w:rPr>
          <w:b/>
          <w:bCs/>
        </w:rPr>
      </w:pPr>
      <w:r w:rsidRPr="00460E8F">
        <w:rPr>
          <w:b/>
          <w:bCs/>
        </w:rPr>
        <w:t xml:space="preserve">3.9 </w:t>
      </w:r>
      <w:r w:rsidR="00460E8F" w:rsidRPr="00460E8F">
        <w:rPr>
          <w:b/>
          <w:bCs/>
        </w:rPr>
        <w:t>Methodological Limitations</w:t>
      </w:r>
    </w:p>
    <w:p w14:paraId="1FC80EFB" w14:textId="7A0C27A9" w:rsidR="007A2A87" w:rsidRDefault="007A2A87" w:rsidP="00D651AC">
      <w:pPr>
        <w:rPr>
          <w:sz w:val="20"/>
          <w:szCs w:val="20"/>
        </w:rPr>
      </w:pPr>
      <w:r w:rsidRPr="007A2A87">
        <w:rPr>
          <w:sz w:val="20"/>
          <w:szCs w:val="20"/>
        </w:rPr>
        <w:t>The use of secondary data limits the ability to directly measure customer sentiments and to establish cause-and-effect relationships between customer loyalty and responsible gambling programs. Corporate disclosures can also create a positive picture of responsible gambling practices, which can likely bring bias. Besides, by focusing on one organisation only, one cannot reasonably extrapolate the results to other gambling operators. However, these restrictions are considered to be acceptable in the framework of exploration of the research and are rightfully noted in the interpretation of the findings.</w:t>
      </w:r>
    </w:p>
    <w:p w14:paraId="6821AA7A" w14:textId="445FF1C3" w:rsidR="007A2A87" w:rsidRDefault="007A2A87" w:rsidP="00D651AC">
      <w:pPr>
        <w:rPr>
          <w:b/>
          <w:bCs/>
        </w:rPr>
      </w:pPr>
      <w:r w:rsidRPr="007A2A87">
        <w:rPr>
          <w:b/>
          <w:bCs/>
        </w:rPr>
        <w:t xml:space="preserve">3.10 </w:t>
      </w:r>
      <w:r w:rsidR="007D6B62">
        <w:rPr>
          <w:b/>
          <w:bCs/>
        </w:rPr>
        <w:t>Summary of the chapter</w:t>
      </w:r>
    </w:p>
    <w:p w14:paraId="45DA07A2" w14:textId="77777777" w:rsidR="00F01F45" w:rsidRPr="00F01F45" w:rsidRDefault="00F01F45" w:rsidP="00F01F45">
      <w:pPr>
        <w:rPr>
          <w:sz w:val="20"/>
          <w:szCs w:val="20"/>
        </w:rPr>
      </w:pPr>
      <w:r w:rsidRPr="00F01F45">
        <w:rPr>
          <w:sz w:val="20"/>
          <w:szCs w:val="20"/>
        </w:rPr>
        <w:t>This chapter has outlined the methodology that would be used to research on the connection between responsible gambling programs and customer retention at Entain plc. The approach taken to secure the level of ethical integrity and contextual depth was an interpretivist and qualitative case study approach based on secondary data. The methodology provides a solid basis of the analysis of the results that are presented in the following chapter and forms the basis of the critical analysis that will follow.</w:t>
      </w:r>
    </w:p>
    <w:p w14:paraId="59CC5CFF" w14:textId="00DE6C93" w:rsidR="00097CC7" w:rsidRPr="00F01F45" w:rsidRDefault="00F01F45" w:rsidP="00F01F45">
      <w:pPr>
        <w:rPr>
          <w:sz w:val="20"/>
          <w:szCs w:val="20"/>
        </w:rPr>
      </w:pPr>
      <w:r w:rsidRPr="00F01F45">
        <w:rPr>
          <w:sz w:val="20"/>
          <w:szCs w:val="20"/>
        </w:rPr>
        <w:t>Moreover, the chapter is methodologically coherent since the philosophical assumptions, research design, and analytical techniques approach are aligned with the dissertation objectives, enhancing the credibility, transparency, and scholarly contribution of the study as a whole in the context of the undergraduate research and fulfilling the assessment requirements in full.</w:t>
      </w:r>
    </w:p>
    <w:p w14:paraId="301AC040" w14:textId="77777777" w:rsidR="006E4EA0" w:rsidRPr="00AF760F" w:rsidRDefault="006E4EA0" w:rsidP="00D651AC">
      <w:pPr>
        <w:rPr>
          <w:rFonts w:cs="Arial"/>
          <w:sz w:val="20"/>
          <w:szCs w:val="20"/>
        </w:rPr>
      </w:pPr>
    </w:p>
    <w:p w14:paraId="3EA83533" w14:textId="4547B03B" w:rsidR="0030217C" w:rsidRPr="006A4C3B" w:rsidRDefault="00286A10" w:rsidP="00827846">
      <w:pPr>
        <w:pStyle w:val="Heading1"/>
        <w:rPr>
          <w:rFonts w:cs="Arial"/>
          <w:b/>
          <w:bCs/>
          <w:color w:val="000000" w:themeColor="text1"/>
          <w:sz w:val="28"/>
          <w:szCs w:val="28"/>
        </w:rPr>
      </w:pPr>
      <w:bookmarkStart w:id="7" w:name="_Toc217223908"/>
      <w:bookmarkStart w:id="8" w:name="_Toc217225393"/>
      <w:bookmarkStart w:id="9" w:name="_Toc217226063"/>
      <w:r w:rsidRPr="006A4C3B">
        <w:rPr>
          <w:rFonts w:cs="Arial"/>
          <w:b/>
          <w:bCs/>
          <w:color w:val="000000" w:themeColor="text1"/>
          <w:sz w:val="28"/>
          <w:szCs w:val="28"/>
        </w:rPr>
        <w:t xml:space="preserve">Chapter 4: </w:t>
      </w:r>
      <w:r w:rsidR="00F44BC0" w:rsidRPr="006A4C3B">
        <w:rPr>
          <w:rFonts w:cs="Arial"/>
          <w:b/>
          <w:bCs/>
          <w:color w:val="000000" w:themeColor="text1"/>
          <w:sz w:val="28"/>
          <w:szCs w:val="28"/>
        </w:rPr>
        <w:t>Findings and Discussion</w:t>
      </w:r>
      <w:bookmarkEnd w:id="7"/>
      <w:bookmarkEnd w:id="8"/>
      <w:bookmarkEnd w:id="9"/>
    </w:p>
    <w:p w14:paraId="55E14274" w14:textId="77777777" w:rsidR="0030217C" w:rsidRPr="00DE25DF" w:rsidRDefault="0030217C" w:rsidP="00DE25DF">
      <w:pPr>
        <w:rPr>
          <w:b/>
          <w:bCs/>
        </w:rPr>
      </w:pPr>
      <w:r w:rsidRPr="00DE25DF">
        <w:rPr>
          <w:b/>
          <w:bCs/>
        </w:rPr>
        <w:t>4.1 Introduction</w:t>
      </w:r>
    </w:p>
    <w:p w14:paraId="22ED9EB3" w14:textId="7DC5D0A3" w:rsidR="00FC34A8" w:rsidRDefault="00C13F3F" w:rsidP="00CA69E8">
      <w:pPr>
        <w:tabs>
          <w:tab w:val="num" w:pos="720"/>
        </w:tabs>
        <w:rPr>
          <w:rFonts w:cs="Arial"/>
          <w:sz w:val="20"/>
          <w:szCs w:val="20"/>
        </w:rPr>
      </w:pPr>
      <w:r w:rsidRPr="008C474E">
        <w:rPr>
          <w:rFonts w:cs="Arial"/>
          <w:sz w:val="20"/>
          <w:szCs w:val="20"/>
        </w:rPr>
        <w:t>The chapter provides and explains the results of the research conducted to determine how responsible gambling programs affect customer loyalty using Entain plc as a case</w:t>
      </w:r>
      <w:r w:rsidR="00185304" w:rsidRPr="008C474E">
        <w:rPr>
          <w:rFonts w:cs="Arial"/>
          <w:sz w:val="20"/>
          <w:szCs w:val="20"/>
        </w:rPr>
        <w:t xml:space="preserve"> study</w:t>
      </w:r>
      <w:r w:rsidRPr="008C474E">
        <w:rPr>
          <w:rFonts w:cs="Arial"/>
          <w:sz w:val="20"/>
          <w:szCs w:val="20"/>
        </w:rPr>
        <w:t>. In particular, the analysis is based on online</w:t>
      </w:r>
      <w:r w:rsidR="00276E81" w:rsidRPr="008C474E">
        <w:rPr>
          <w:rFonts w:cs="Arial"/>
          <w:sz w:val="20"/>
          <w:szCs w:val="20"/>
        </w:rPr>
        <w:t xml:space="preserve"> </w:t>
      </w:r>
      <w:r w:rsidRPr="008C474E">
        <w:rPr>
          <w:rFonts w:cs="Arial"/>
          <w:sz w:val="20"/>
          <w:szCs w:val="20"/>
        </w:rPr>
        <w:t>and UK retail betting shops because this organisation has a multi-channel business model that is described in its annual and sustainability reporting (Entain plc, 2023). The analysis is fully rooted in the secondary qualitative data,</w:t>
      </w:r>
      <w:r w:rsidRPr="00C13F3F">
        <w:rPr>
          <w:rFonts w:cs="Arial"/>
          <w:sz w:val="20"/>
          <w:szCs w:val="20"/>
        </w:rPr>
        <w:t xml:space="preserve"> such as scholarly and academic research, regulatory documents published by UK Gambling Commission, and publicly available corporate and ESG reports released by Entain</w:t>
      </w:r>
      <w:r w:rsidR="00E1187E">
        <w:rPr>
          <w:rFonts w:cs="Arial"/>
          <w:sz w:val="20"/>
          <w:szCs w:val="20"/>
        </w:rPr>
        <w:t xml:space="preserve"> (</w:t>
      </w:r>
      <w:sdt>
        <w:sdtPr>
          <w:rPr>
            <w:rFonts w:cs="Arial"/>
            <w:sz w:val="20"/>
            <w:szCs w:val="20"/>
          </w:rPr>
          <w:id w:val="-1717495356"/>
          <w:citation/>
        </w:sdtPr>
        <w:sdtEndPr/>
        <w:sdtContent>
          <w:r w:rsidR="00E1187E">
            <w:rPr>
              <w:rFonts w:cs="Arial"/>
              <w:sz w:val="20"/>
              <w:szCs w:val="20"/>
            </w:rPr>
            <w:fldChar w:fldCharType="begin"/>
          </w:r>
          <w:r w:rsidR="00E1187E">
            <w:rPr>
              <w:rFonts w:cs="Arial"/>
              <w:sz w:val="20"/>
              <w:szCs w:val="20"/>
            </w:rPr>
            <w:instrText xml:space="preserve"> CITATION UKG23 \l 16393 </w:instrText>
          </w:r>
          <w:r w:rsidR="00E1187E">
            <w:rPr>
              <w:rFonts w:cs="Arial"/>
              <w:sz w:val="20"/>
              <w:szCs w:val="20"/>
            </w:rPr>
            <w:fldChar w:fldCharType="separate"/>
          </w:r>
          <w:r w:rsidR="00E1187E">
            <w:rPr>
              <w:rFonts w:cs="Arial"/>
              <w:noProof/>
              <w:sz w:val="20"/>
              <w:szCs w:val="20"/>
            </w:rPr>
            <w:t xml:space="preserve"> </w:t>
          </w:r>
          <w:r w:rsidR="00E1187E" w:rsidRPr="00E1187E">
            <w:rPr>
              <w:rFonts w:cs="Arial"/>
              <w:noProof/>
              <w:sz w:val="20"/>
              <w:szCs w:val="20"/>
            </w:rPr>
            <w:t>(UK Gambling Commission, 2023)</w:t>
          </w:r>
          <w:r w:rsidR="00E1187E">
            <w:rPr>
              <w:rFonts w:cs="Arial"/>
              <w:sz w:val="20"/>
              <w:szCs w:val="20"/>
            </w:rPr>
            <w:fldChar w:fldCharType="end"/>
          </w:r>
        </w:sdtContent>
      </w:sdt>
      <w:r w:rsidRPr="00C13F3F">
        <w:rPr>
          <w:rFonts w:cs="Arial"/>
          <w:sz w:val="20"/>
          <w:szCs w:val="20"/>
        </w:rPr>
        <w:t xml:space="preserve"> </w:t>
      </w:r>
      <w:sdt>
        <w:sdtPr>
          <w:rPr>
            <w:rFonts w:cs="Arial"/>
            <w:sz w:val="20"/>
            <w:szCs w:val="20"/>
          </w:rPr>
          <w:id w:val="2131425248"/>
          <w:citation/>
        </w:sdtPr>
        <w:sdtEndPr/>
        <w:sdtContent>
          <w:r w:rsidR="00B81DA0" w:rsidRPr="00B81DA0">
            <w:rPr>
              <w:rFonts w:cs="Arial"/>
              <w:sz w:val="20"/>
              <w:szCs w:val="20"/>
            </w:rPr>
            <w:fldChar w:fldCharType="begin"/>
          </w:r>
          <w:r w:rsidR="00B81DA0" w:rsidRPr="00B81DA0">
            <w:rPr>
              <w:rFonts w:cs="Arial"/>
              <w:sz w:val="20"/>
              <w:szCs w:val="20"/>
            </w:rPr>
            <w:instrText xml:space="preserve"> CITATION ENT23 \l 16393 </w:instrText>
          </w:r>
          <w:r w:rsidR="00B81DA0" w:rsidRPr="00B81DA0">
            <w:rPr>
              <w:rFonts w:cs="Arial"/>
              <w:sz w:val="20"/>
              <w:szCs w:val="20"/>
            </w:rPr>
            <w:fldChar w:fldCharType="separate"/>
          </w:r>
          <w:r w:rsidR="00B81DA0" w:rsidRPr="00B81DA0">
            <w:rPr>
              <w:rFonts w:cs="Arial"/>
              <w:noProof/>
              <w:sz w:val="20"/>
              <w:szCs w:val="20"/>
            </w:rPr>
            <w:t>(ENTAIN plc, 2023)</w:t>
          </w:r>
          <w:r w:rsidR="00B81DA0" w:rsidRPr="00B81DA0">
            <w:rPr>
              <w:rFonts w:cs="Arial"/>
              <w:sz w:val="20"/>
              <w:szCs w:val="20"/>
            </w:rPr>
            <w:fldChar w:fldCharType="end"/>
          </w:r>
        </w:sdtContent>
      </w:sdt>
      <w:r w:rsidRPr="00C13F3F">
        <w:rPr>
          <w:rFonts w:cs="Arial"/>
          <w:sz w:val="20"/>
          <w:szCs w:val="20"/>
        </w:rPr>
        <w:t xml:space="preserve">Results are presented in terms </w:t>
      </w:r>
      <w:r w:rsidRPr="00C13F3F">
        <w:rPr>
          <w:rFonts w:cs="Arial"/>
          <w:sz w:val="20"/>
          <w:szCs w:val="20"/>
        </w:rPr>
        <w:lastRenderedPageBreak/>
        <w:t xml:space="preserve">of the research questions and identified themes and then discussed, which clarifies and evaluates their importance based on responsible gambling practices of Entain. This has been appropriately addressed by clearly </w:t>
      </w:r>
      <w:r w:rsidR="000F71C1" w:rsidRPr="00C13F3F">
        <w:rPr>
          <w:rFonts w:cs="Arial"/>
          <w:sz w:val="20"/>
          <w:szCs w:val="20"/>
        </w:rPr>
        <w:t>labelling</w:t>
      </w:r>
      <w:r w:rsidRPr="00C13F3F">
        <w:rPr>
          <w:rFonts w:cs="Arial"/>
          <w:sz w:val="20"/>
          <w:szCs w:val="20"/>
        </w:rPr>
        <w:t xml:space="preserve"> any allusions to the professional experience of the researcher as reflective context, and not as research data as is appropriate to the established guidelines of qualitative research.</w:t>
      </w:r>
      <w:sdt>
        <w:sdtPr>
          <w:rPr>
            <w:rFonts w:cs="Arial"/>
            <w:sz w:val="20"/>
            <w:szCs w:val="20"/>
          </w:rPr>
          <w:id w:val="1627593325"/>
          <w:citation/>
        </w:sdtPr>
        <w:sdtEndPr/>
        <w:sdtContent>
          <w:r w:rsidR="001608E1">
            <w:rPr>
              <w:rFonts w:cs="Arial"/>
              <w:sz w:val="20"/>
              <w:szCs w:val="20"/>
            </w:rPr>
            <w:fldChar w:fldCharType="begin"/>
          </w:r>
          <w:r w:rsidR="001608E1">
            <w:rPr>
              <w:rFonts w:cs="Arial"/>
              <w:sz w:val="20"/>
              <w:szCs w:val="20"/>
            </w:rPr>
            <w:instrText xml:space="preserve"> CITATION Sau23 \l 16393 </w:instrText>
          </w:r>
          <w:r w:rsidR="001608E1">
            <w:rPr>
              <w:rFonts w:cs="Arial"/>
              <w:sz w:val="20"/>
              <w:szCs w:val="20"/>
            </w:rPr>
            <w:fldChar w:fldCharType="separate"/>
          </w:r>
          <w:r w:rsidR="001608E1">
            <w:rPr>
              <w:rFonts w:cs="Arial"/>
              <w:noProof/>
              <w:sz w:val="20"/>
              <w:szCs w:val="20"/>
            </w:rPr>
            <w:t xml:space="preserve"> </w:t>
          </w:r>
          <w:r w:rsidR="001608E1" w:rsidRPr="001608E1">
            <w:rPr>
              <w:rFonts w:cs="Arial"/>
              <w:noProof/>
              <w:sz w:val="20"/>
              <w:szCs w:val="20"/>
            </w:rPr>
            <w:t>(Saunders, et al., 2023)</w:t>
          </w:r>
          <w:r w:rsidR="001608E1">
            <w:rPr>
              <w:rFonts w:cs="Arial"/>
              <w:sz w:val="20"/>
              <w:szCs w:val="20"/>
            </w:rPr>
            <w:fldChar w:fldCharType="end"/>
          </w:r>
        </w:sdtContent>
      </w:sdt>
    </w:p>
    <w:p w14:paraId="72C0CFE4" w14:textId="77777777" w:rsidR="006A1D2F" w:rsidRDefault="006A1D2F" w:rsidP="00CA69E8">
      <w:pPr>
        <w:tabs>
          <w:tab w:val="num" w:pos="720"/>
        </w:tabs>
        <w:rPr>
          <w:rFonts w:cs="Arial"/>
          <w:sz w:val="20"/>
          <w:szCs w:val="20"/>
        </w:rPr>
      </w:pPr>
    </w:p>
    <w:p w14:paraId="5ACBB87D" w14:textId="77777777" w:rsidR="006A1D2F" w:rsidRDefault="006A1D2F" w:rsidP="00CA69E8">
      <w:pPr>
        <w:tabs>
          <w:tab w:val="num" w:pos="720"/>
        </w:tabs>
        <w:rPr>
          <w:rFonts w:cs="Arial"/>
          <w:sz w:val="20"/>
          <w:szCs w:val="20"/>
        </w:rPr>
      </w:pPr>
    </w:p>
    <w:p w14:paraId="69794D67" w14:textId="4720C0D5" w:rsidR="00FF76E5" w:rsidRPr="00450102" w:rsidRDefault="0043241C" w:rsidP="00CA69E8">
      <w:pPr>
        <w:tabs>
          <w:tab w:val="num" w:pos="720"/>
        </w:tabs>
        <w:rPr>
          <w:rFonts w:cs="Arial"/>
          <w:b/>
          <w:bCs/>
          <w:sz w:val="24"/>
          <w:szCs w:val="24"/>
        </w:rPr>
      </w:pPr>
      <w:r w:rsidRPr="00450102">
        <w:rPr>
          <w:rFonts w:cs="Arial"/>
          <w:b/>
          <w:bCs/>
          <w:sz w:val="24"/>
          <w:szCs w:val="24"/>
        </w:rPr>
        <w:t>4.2 Customer perception</w:t>
      </w:r>
      <w:r w:rsidR="00BC6B12" w:rsidRPr="00450102">
        <w:rPr>
          <w:rFonts w:cs="Arial"/>
          <w:b/>
          <w:bCs/>
          <w:sz w:val="24"/>
          <w:szCs w:val="24"/>
        </w:rPr>
        <w:t xml:space="preserve">s of </w:t>
      </w:r>
      <w:r w:rsidR="00156E72" w:rsidRPr="00450102">
        <w:rPr>
          <w:rFonts w:cs="Arial"/>
          <w:b/>
          <w:bCs/>
          <w:sz w:val="24"/>
          <w:szCs w:val="24"/>
        </w:rPr>
        <w:t xml:space="preserve">Responsible Gambling </w:t>
      </w:r>
      <w:r w:rsidR="00EE7F16" w:rsidRPr="00450102">
        <w:rPr>
          <w:rFonts w:cs="Arial"/>
          <w:b/>
          <w:bCs/>
          <w:sz w:val="24"/>
          <w:szCs w:val="24"/>
        </w:rPr>
        <w:t xml:space="preserve">Initiatives </w:t>
      </w:r>
      <w:r w:rsidR="00450102" w:rsidRPr="00450102">
        <w:rPr>
          <w:rFonts w:cs="Arial"/>
          <w:b/>
          <w:bCs/>
          <w:sz w:val="24"/>
          <w:szCs w:val="24"/>
        </w:rPr>
        <w:t>at Entain Plc</w:t>
      </w:r>
    </w:p>
    <w:p w14:paraId="4679E5E8" w14:textId="37C972A7" w:rsidR="00E96218" w:rsidRDefault="006E4795" w:rsidP="005102F7">
      <w:pPr>
        <w:tabs>
          <w:tab w:val="num" w:pos="720"/>
        </w:tabs>
        <w:rPr>
          <w:rFonts w:cs="Arial"/>
          <w:sz w:val="20"/>
          <w:szCs w:val="20"/>
        </w:rPr>
      </w:pPr>
      <w:r w:rsidRPr="006E4795">
        <w:rPr>
          <w:rFonts w:cs="Arial"/>
          <w:sz w:val="20"/>
          <w:szCs w:val="20"/>
        </w:rPr>
        <w:t>Results show that the perceptions of customers towards responsible gambling efforts by Entain depend on their visibility, consistency and precise expression on the web and retail platforms. Entain gives safer gambling messages, deposit limits, time reminders, and self-exclusion schemes as responsible gambling tools to ensure protection of customers and regulatory compliance. Past research on other operators of online forms of gambling implies that tippers have a better shot of viewing the tools as positive when they are simple to comprehend and are in a supportive format opposed to being restrictive.</w:t>
      </w:r>
      <w:sdt>
        <w:sdtPr>
          <w:rPr>
            <w:rFonts w:cs="Arial"/>
            <w:sz w:val="20"/>
            <w:szCs w:val="20"/>
          </w:rPr>
          <w:id w:val="-872069580"/>
          <w:citation/>
        </w:sdtPr>
        <w:sdtEndPr/>
        <w:sdtContent>
          <w:r w:rsidR="00CC3F0E">
            <w:rPr>
              <w:rFonts w:cs="Arial"/>
              <w:sz w:val="20"/>
              <w:szCs w:val="20"/>
            </w:rPr>
            <w:fldChar w:fldCharType="begin"/>
          </w:r>
          <w:r w:rsidR="00CC3F0E">
            <w:rPr>
              <w:rFonts w:cs="Arial"/>
              <w:sz w:val="20"/>
              <w:szCs w:val="20"/>
            </w:rPr>
            <w:instrText xml:space="preserve"> CITATION Rus19 \l 16393 </w:instrText>
          </w:r>
          <w:r w:rsidR="00CC3F0E">
            <w:rPr>
              <w:rFonts w:cs="Arial"/>
              <w:sz w:val="20"/>
              <w:szCs w:val="20"/>
            </w:rPr>
            <w:fldChar w:fldCharType="separate"/>
          </w:r>
          <w:r w:rsidR="00CC3F0E">
            <w:rPr>
              <w:rFonts w:cs="Arial"/>
              <w:noProof/>
              <w:sz w:val="20"/>
              <w:szCs w:val="20"/>
            </w:rPr>
            <w:t xml:space="preserve"> </w:t>
          </w:r>
          <w:r w:rsidR="00CC3F0E" w:rsidRPr="00CC3F0E">
            <w:rPr>
              <w:rFonts w:cs="Arial"/>
              <w:noProof/>
              <w:sz w:val="20"/>
              <w:szCs w:val="20"/>
            </w:rPr>
            <w:t>(Russell, 2019)</w:t>
          </w:r>
          <w:r w:rsidR="00CC3F0E">
            <w:rPr>
              <w:rFonts w:cs="Arial"/>
              <w:sz w:val="20"/>
              <w:szCs w:val="20"/>
            </w:rPr>
            <w:fldChar w:fldCharType="end"/>
          </w:r>
        </w:sdtContent>
      </w:sdt>
    </w:p>
    <w:p w14:paraId="5B86235B" w14:textId="7CAC3B36" w:rsidR="008B37ED" w:rsidRDefault="002B21FF" w:rsidP="005102F7">
      <w:pPr>
        <w:tabs>
          <w:tab w:val="num" w:pos="720"/>
        </w:tabs>
        <w:rPr>
          <w:rFonts w:cs="Arial"/>
          <w:sz w:val="20"/>
          <w:szCs w:val="20"/>
        </w:rPr>
      </w:pPr>
      <w:r w:rsidRPr="002B21FF">
        <w:rPr>
          <w:rFonts w:cs="Arial"/>
          <w:sz w:val="20"/>
          <w:szCs w:val="20"/>
        </w:rPr>
        <w:t>In Entain UK retail betting shops, responsible gambling efforts become more prominent with on-shop communications and interactions facilitated by the staff members and online with the help of automated tools and digital notifications. Studies have indicated that consumers demand uniformity in these channels and variation in the implementation can influence the notions of fairness and accountability.</w:t>
      </w:r>
      <w:sdt>
        <w:sdtPr>
          <w:rPr>
            <w:rFonts w:cs="Arial"/>
            <w:sz w:val="20"/>
            <w:szCs w:val="20"/>
          </w:rPr>
          <w:id w:val="823702822"/>
          <w:citation/>
        </w:sdtPr>
        <w:sdtEndPr/>
        <w:sdtContent>
          <w:r w:rsidR="00F91358">
            <w:rPr>
              <w:rFonts w:cs="Arial"/>
              <w:sz w:val="20"/>
              <w:szCs w:val="20"/>
            </w:rPr>
            <w:fldChar w:fldCharType="begin"/>
          </w:r>
          <w:r w:rsidR="00F91358">
            <w:rPr>
              <w:rFonts w:cs="Arial"/>
              <w:sz w:val="20"/>
              <w:szCs w:val="20"/>
            </w:rPr>
            <w:instrText xml:space="preserve"> CITATION UKG23 \l 16393 </w:instrText>
          </w:r>
          <w:r w:rsidR="00F91358">
            <w:rPr>
              <w:rFonts w:cs="Arial"/>
              <w:sz w:val="20"/>
              <w:szCs w:val="20"/>
            </w:rPr>
            <w:fldChar w:fldCharType="separate"/>
          </w:r>
          <w:r w:rsidR="00F91358">
            <w:rPr>
              <w:rFonts w:cs="Arial"/>
              <w:noProof/>
              <w:sz w:val="20"/>
              <w:szCs w:val="20"/>
            </w:rPr>
            <w:t xml:space="preserve"> </w:t>
          </w:r>
          <w:r w:rsidR="00F91358" w:rsidRPr="00F91358">
            <w:rPr>
              <w:rFonts w:cs="Arial"/>
              <w:noProof/>
              <w:sz w:val="20"/>
              <w:szCs w:val="20"/>
            </w:rPr>
            <w:t>(UK Gambling Commission, 2023)</w:t>
          </w:r>
          <w:r w:rsidR="00F91358">
            <w:rPr>
              <w:rFonts w:cs="Arial"/>
              <w:sz w:val="20"/>
              <w:szCs w:val="20"/>
            </w:rPr>
            <w:fldChar w:fldCharType="end"/>
          </w:r>
        </w:sdtContent>
      </w:sdt>
    </w:p>
    <w:p w14:paraId="1F79C11C" w14:textId="03A8CCF2" w:rsidR="00F91358" w:rsidRPr="009F63F9" w:rsidRDefault="00B54E57" w:rsidP="005102F7">
      <w:pPr>
        <w:tabs>
          <w:tab w:val="num" w:pos="720"/>
        </w:tabs>
        <w:rPr>
          <w:rFonts w:cs="Arial"/>
          <w:b/>
          <w:bCs/>
        </w:rPr>
      </w:pPr>
      <w:r w:rsidRPr="009F63F9">
        <w:rPr>
          <w:rFonts w:cs="Arial"/>
          <w:b/>
          <w:bCs/>
        </w:rPr>
        <w:t>Discussion</w:t>
      </w:r>
    </w:p>
    <w:p w14:paraId="07468E48" w14:textId="524087BC" w:rsidR="001A094E" w:rsidRDefault="00D56829" w:rsidP="005102F7">
      <w:pPr>
        <w:tabs>
          <w:tab w:val="num" w:pos="720"/>
        </w:tabs>
        <w:rPr>
          <w:sz w:val="20"/>
          <w:szCs w:val="20"/>
        </w:rPr>
      </w:pPr>
      <w:r w:rsidRPr="00D56829">
        <w:rPr>
          <w:rFonts w:cs="Arial"/>
          <w:sz w:val="20"/>
          <w:szCs w:val="20"/>
        </w:rPr>
        <w:t>These results answer Research Question 1 by demonstrating that the customer perception of the responsible gambling programs of Entain is highly contingent on the transparency and consistency between the retail and online setting. The connection can be explained by the stakeholder theory that states that organisations that take customer wellbeing into account actively have higher chances to be perceived positively by stakeholders.</w:t>
      </w:r>
      <w:r w:rsidR="00C3586F" w:rsidRPr="00C3586F">
        <w:t xml:space="preserve"> </w:t>
      </w:r>
      <w:sdt>
        <w:sdtPr>
          <w:rPr>
            <w:sz w:val="20"/>
            <w:szCs w:val="20"/>
          </w:rPr>
          <w:id w:val="-612821921"/>
          <w:citation/>
        </w:sdtPr>
        <w:sdtEndPr/>
        <w:sdtContent>
          <w:r w:rsidR="00CC2AA4" w:rsidRPr="005F24C8">
            <w:rPr>
              <w:sz w:val="20"/>
              <w:szCs w:val="20"/>
            </w:rPr>
            <w:fldChar w:fldCharType="begin"/>
          </w:r>
          <w:r w:rsidR="00CC2AA4" w:rsidRPr="005F24C8">
            <w:rPr>
              <w:sz w:val="20"/>
              <w:szCs w:val="20"/>
            </w:rPr>
            <w:instrText xml:space="preserve"> CITATION Fre84 \l 16393 </w:instrText>
          </w:r>
          <w:r w:rsidR="00CC2AA4" w:rsidRPr="005F24C8">
            <w:rPr>
              <w:sz w:val="20"/>
              <w:szCs w:val="20"/>
            </w:rPr>
            <w:fldChar w:fldCharType="separate"/>
          </w:r>
          <w:r w:rsidR="00CC2AA4" w:rsidRPr="005F24C8">
            <w:rPr>
              <w:noProof/>
              <w:sz w:val="20"/>
              <w:szCs w:val="20"/>
            </w:rPr>
            <w:t>(Freeman, 1984)</w:t>
          </w:r>
          <w:r w:rsidR="00CC2AA4" w:rsidRPr="005F24C8">
            <w:rPr>
              <w:sz w:val="20"/>
              <w:szCs w:val="20"/>
            </w:rPr>
            <w:fldChar w:fldCharType="end"/>
          </w:r>
        </w:sdtContent>
      </w:sdt>
      <w:r w:rsidR="005F24C8">
        <w:rPr>
          <w:sz w:val="20"/>
          <w:szCs w:val="20"/>
        </w:rPr>
        <w:t xml:space="preserve"> By i</w:t>
      </w:r>
      <w:r w:rsidR="005F24C8" w:rsidRPr="005F24C8">
        <w:rPr>
          <w:sz w:val="20"/>
          <w:szCs w:val="20"/>
        </w:rPr>
        <w:t>mplementing responsible gambling practices at all channels regularly, Entain stands more chances of becoming ethical and customer-oriented by the customers.</w:t>
      </w:r>
    </w:p>
    <w:p w14:paraId="2112B809" w14:textId="5157000C" w:rsidR="00B67847" w:rsidRPr="00444B32" w:rsidRDefault="00243AFF" w:rsidP="005102F7">
      <w:pPr>
        <w:tabs>
          <w:tab w:val="num" w:pos="720"/>
        </w:tabs>
        <w:rPr>
          <w:rFonts w:cs="Arial"/>
          <w:b/>
          <w:bCs/>
        </w:rPr>
      </w:pPr>
      <w:r w:rsidRPr="00444B32">
        <w:rPr>
          <w:rFonts w:cs="Arial"/>
          <w:b/>
          <w:bCs/>
        </w:rPr>
        <w:t xml:space="preserve">Reflective </w:t>
      </w:r>
      <w:r w:rsidR="0005463F" w:rsidRPr="00444B32">
        <w:rPr>
          <w:rFonts w:cs="Arial"/>
          <w:b/>
          <w:bCs/>
        </w:rPr>
        <w:t xml:space="preserve">Context </w:t>
      </w:r>
      <w:r w:rsidR="00EF2DC8" w:rsidRPr="00444B32">
        <w:rPr>
          <w:rFonts w:cs="Arial"/>
          <w:b/>
          <w:bCs/>
        </w:rPr>
        <w:t>(Not a research Data)</w:t>
      </w:r>
    </w:p>
    <w:p w14:paraId="3DDEA922" w14:textId="79397C66" w:rsidR="00B210AD" w:rsidRPr="00CA11F3" w:rsidRDefault="00896391" w:rsidP="005102F7">
      <w:pPr>
        <w:tabs>
          <w:tab w:val="num" w:pos="720"/>
        </w:tabs>
        <w:rPr>
          <w:rFonts w:cs="Arial"/>
          <w:sz w:val="20"/>
          <w:szCs w:val="20"/>
        </w:rPr>
      </w:pPr>
      <w:r w:rsidRPr="00896391">
        <w:rPr>
          <w:rFonts w:cs="Arial"/>
          <w:sz w:val="20"/>
          <w:szCs w:val="20"/>
        </w:rPr>
        <w:t>Based on the experience of the researcher, being a customer service manager, Entain customers tend to respond negatively to gambling limits or interventions initially. Nonetheless, in case the cause of these actions can be clarified, customers will be more accepting. The reflections are not taken as evidence but they assist in the explanation of patterns that have been detected previously in the studies on customer perception and communication.</w:t>
      </w:r>
      <w:sdt>
        <w:sdtPr>
          <w:rPr>
            <w:rFonts w:cs="Arial"/>
            <w:sz w:val="20"/>
            <w:szCs w:val="20"/>
          </w:rPr>
          <w:id w:val="-1080445775"/>
          <w:citation/>
        </w:sdtPr>
        <w:sdtEndPr/>
        <w:sdtContent>
          <w:r w:rsidR="00A7208D">
            <w:rPr>
              <w:rFonts w:cs="Arial"/>
              <w:sz w:val="20"/>
              <w:szCs w:val="20"/>
            </w:rPr>
            <w:fldChar w:fldCharType="begin"/>
          </w:r>
          <w:r w:rsidR="00A7208D">
            <w:rPr>
              <w:rFonts w:cs="Arial"/>
              <w:sz w:val="20"/>
              <w:szCs w:val="20"/>
            </w:rPr>
            <w:instrText xml:space="preserve"> CITATION Hin21 \l 16393 </w:instrText>
          </w:r>
          <w:r w:rsidR="00A7208D">
            <w:rPr>
              <w:rFonts w:cs="Arial"/>
              <w:sz w:val="20"/>
              <w:szCs w:val="20"/>
            </w:rPr>
            <w:fldChar w:fldCharType="separate"/>
          </w:r>
          <w:r w:rsidR="00A7208D">
            <w:rPr>
              <w:rFonts w:cs="Arial"/>
              <w:noProof/>
              <w:sz w:val="20"/>
              <w:szCs w:val="20"/>
            </w:rPr>
            <w:t xml:space="preserve"> </w:t>
          </w:r>
          <w:r w:rsidR="00A7208D" w:rsidRPr="00A7208D">
            <w:rPr>
              <w:rFonts w:cs="Arial"/>
              <w:noProof/>
              <w:sz w:val="20"/>
              <w:szCs w:val="20"/>
            </w:rPr>
            <w:t>(Hing, 2021)</w:t>
          </w:r>
          <w:r w:rsidR="00A7208D">
            <w:rPr>
              <w:rFonts w:cs="Arial"/>
              <w:sz w:val="20"/>
              <w:szCs w:val="20"/>
            </w:rPr>
            <w:fldChar w:fldCharType="end"/>
          </w:r>
        </w:sdtContent>
      </w:sdt>
    </w:p>
    <w:p w14:paraId="08481EFB" w14:textId="11630950" w:rsidR="0031229E" w:rsidRDefault="0031229E" w:rsidP="005102F7">
      <w:pPr>
        <w:tabs>
          <w:tab w:val="num" w:pos="720"/>
        </w:tabs>
        <w:rPr>
          <w:rFonts w:cs="Arial"/>
          <w:b/>
          <w:bCs/>
          <w:sz w:val="24"/>
          <w:szCs w:val="24"/>
        </w:rPr>
      </w:pPr>
      <w:r w:rsidRPr="00721B54">
        <w:rPr>
          <w:rFonts w:cs="Arial"/>
          <w:b/>
          <w:bCs/>
          <w:sz w:val="24"/>
          <w:szCs w:val="24"/>
        </w:rPr>
        <w:t xml:space="preserve">4.3 Relationship Between </w:t>
      </w:r>
      <w:r w:rsidR="004A50E8" w:rsidRPr="00721B54">
        <w:rPr>
          <w:rFonts w:cs="Arial"/>
          <w:b/>
          <w:bCs/>
          <w:sz w:val="24"/>
          <w:szCs w:val="24"/>
        </w:rPr>
        <w:t xml:space="preserve">Responsible </w:t>
      </w:r>
      <w:r w:rsidR="00B210AD" w:rsidRPr="00721B54">
        <w:rPr>
          <w:rFonts w:cs="Arial"/>
          <w:b/>
          <w:bCs/>
          <w:sz w:val="24"/>
          <w:szCs w:val="24"/>
        </w:rPr>
        <w:t>Gambling practices</w:t>
      </w:r>
      <w:r w:rsidR="007159EE" w:rsidRPr="00721B54">
        <w:rPr>
          <w:rFonts w:cs="Arial"/>
          <w:b/>
          <w:bCs/>
          <w:sz w:val="24"/>
          <w:szCs w:val="24"/>
        </w:rPr>
        <w:t xml:space="preserve"> and consumer trust </w:t>
      </w:r>
      <w:r w:rsidR="00D72155" w:rsidRPr="00721B54">
        <w:rPr>
          <w:rFonts w:cs="Arial"/>
          <w:b/>
          <w:bCs/>
          <w:sz w:val="24"/>
          <w:szCs w:val="24"/>
        </w:rPr>
        <w:t>at Entain</w:t>
      </w:r>
      <w:r w:rsidR="00721B54" w:rsidRPr="00721B54">
        <w:rPr>
          <w:rFonts w:cs="Arial"/>
          <w:b/>
          <w:bCs/>
          <w:sz w:val="24"/>
          <w:szCs w:val="24"/>
        </w:rPr>
        <w:t xml:space="preserve"> Plc</w:t>
      </w:r>
      <w:r w:rsidR="00295981" w:rsidRPr="00721B54">
        <w:rPr>
          <w:rFonts w:cs="Arial"/>
          <w:b/>
          <w:bCs/>
          <w:sz w:val="24"/>
          <w:szCs w:val="24"/>
        </w:rPr>
        <w:t xml:space="preserve"> </w:t>
      </w:r>
    </w:p>
    <w:p w14:paraId="2A5372FE" w14:textId="1B40B875" w:rsidR="00721B54" w:rsidRPr="00CA11F3" w:rsidRDefault="000473EB" w:rsidP="005102F7">
      <w:pPr>
        <w:tabs>
          <w:tab w:val="num" w:pos="720"/>
        </w:tabs>
        <w:rPr>
          <w:rFonts w:cs="Arial"/>
          <w:b/>
          <w:bCs/>
        </w:rPr>
      </w:pPr>
      <w:r w:rsidRPr="00CA11F3">
        <w:rPr>
          <w:rFonts w:cs="Arial"/>
          <w:b/>
          <w:bCs/>
        </w:rPr>
        <w:t>Findings</w:t>
      </w:r>
    </w:p>
    <w:p w14:paraId="0AE28D05" w14:textId="5C877286" w:rsidR="00EF2DC8" w:rsidRPr="001F799D" w:rsidRDefault="00B210AD" w:rsidP="005102F7">
      <w:pPr>
        <w:tabs>
          <w:tab w:val="num" w:pos="720"/>
        </w:tabs>
        <w:rPr>
          <w:rFonts w:cs="Arial"/>
          <w:sz w:val="20"/>
          <w:szCs w:val="20"/>
        </w:rPr>
      </w:pPr>
      <w:r w:rsidRPr="001F799D">
        <w:rPr>
          <w:rFonts w:cs="Arial"/>
          <w:sz w:val="20"/>
          <w:szCs w:val="20"/>
        </w:rPr>
        <w:t>Trust becomes a key element of the connections between responsible gambling practices and customer loyalty at Entain. Research has always indicated that trust is significant especially in services where money is at stake as well as services that are emotionally charged like gambling.</w:t>
      </w:r>
      <w:r w:rsidR="00326A06" w:rsidRPr="001F799D">
        <w:rPr>
          <w:rFonts w:cs="Arial"/>
          <w:sz w:val="20"/>
          <w:szCs w:val="20"/>
        </w:rPr>
        <w:t xml:space="preserve"> </w:t>
      </w:r>
      <w:sdt>
        <w:sdtPr>
          <w:rPr>
            <w:rFonts w:cs="Arial"/>
            <w:sz w:val="20"/>
            <w:szCs w:val="20"/>
          </w:rPr>
          <w:id w:val="182405951"/>
          <w:citation/>
        </w:sdtPr>
        <w:sdtEndPr/>
        <w:sdtContent>
          <w:r w:rsidR="002B4D00" w:rsidRPr="001F799D">
            <w:rPr>
              <w:rFonts w:cs="Arial"/>
              <w:sz w:val="20"/>
              <w:szCs w:val="20"/>
            </w:rPr>
            <w:fldChar w:fldCharType="begin"/>
          </w:r>
          <w:r w:rsidR="002B4D00" w:rsidRPr="001F799D">
            <w:rPr>
              <w:rFonts w:cs="Arial"/>
              <w:sz w:val="20"/>
              <w:szCs w:val="20"/>
            </w:rPr>
            <w:instrText xml:space="preserve"> CITATION She94 \l 16393 </w:instrText>
          </w:r>
          <w:r w:rsidR="002B4D00" w:rsidRPr="001F799D">
            <w:rPr>
              <w:rFonts w:cs="Arial"/>
              <w:sz w:val="20"/>
              <w:szCs w:val="20"/>
            </w:rPr>
            <w:fldChar w:fldCharType="separate"/>
          </w:r>
          <w:r w:rsidR="002B4D00" w:rsidRPr="001F799D">
            <w:rPr>
              <w:rFonts w:cs="Arial"/>
              <w:sz w:val="20"/>
              <w:szCs w:val="20"/>
            </w:rPr>
            <w:t>(Shelby Hunt, 1994)</w:t>
          </w:r>
          <w:r w:rsidR="002B4D00" w:rsidRPr="001F799D">
            <w:rPr>
              <w:rFonts w:cs="Arial"/>
              <w:sz w:val="20"/>
              <w:szCs w:val="20"/>
            </w:rPr>
            <w:fldChar w:fldCharType="end"/>
          </w:r>
        </w:sdtContent>
      </w:sdt>
      <w:r w:rsidR="005B7231" w:rsidRPr="001F799D">
        <w:rPr>
          <w:rFonts w:cs="Arial"/>
          <w:sz w:val="20"/>
          <w:szCs w:val="20"/>
        </w:rPr>
        <w:t>Affordability checks, proactive approach and training of staff in retail stores are some of the responsible gambling initiatives that are meant to show that Entain does care about its customers. Studies show that operators who work proactively to avert harm will be more likely to be viewed as being trustworthy.</w:t>
      </w:r>
      <w:r w:rsidR="00493241" w:rsidRPr="001F799D">
        <w:rPr>
          <w:rFonts w:cs="Arial"/>
          <w:sz w:val="20"/>
          <w:szCs w:val="20"/>
        </w:rPr>
        <w:t xml:space="preserve"> </w:t>
      </w:r>
      <w:sdt>
        <w:sdtPr>
          <w:rPr>
            <w:rFonts w:cs="Arial"/>
            <w:sz w:val="20"/>
            <w:szCs w:val="20"/>
          </w:rPr>
          <w:id w:val="-1832434263"/>
          <w:citation/>
        </w:sdtPr>
        <w:sdtEndPr/>
        <w:sdtContent>
          <w:r w:rsidR="00882D25" w:rsidRPr="001F799D">
            <w:rPr>
              <w:rFonts w:cs="Arial"/>
              <w:sz w:val="20"/>
              <w:szCs w:val="20"/>
            </w:rPr>
            <w:fldChar w:fldCharType="begin"/>
          </w:r>
          <w:r w:rsidR="00882D25" w:rsidRPr="001F799D">
            <w:rPr>
              <w:rFonts w:cs="Arial"/>
              <w:sz w:val="20"/>
              <w:szCs w:val="20"/>
            </w:rPr>
            <w:instrText xml:space="preserve">CITATION New22 \l 16393 </w:instrText>
          </w:r>
          <w:r w:rsidR="00882D25" w:rsidRPr="001F799D">
            <w:rPr>
              <w:rFonts w:cs="Arial"/>
              <w:sz w:val="20"/>
              <w:szCs w:val="20"/>
            </w:rPr>
            <w:fldChar w:fldCharType="separate"/>
          </w:r>
          <w:r w:rsidR="00882D25" w:rsidRPr="001F799D">
            <w:rPr>
              <w:rFonts w:cs="Arial"/>
              <w:sz w:val="20"/>
              <w:szCs w:val="20"/>
            </w:rPr>
            <w:t>(Newall, 2022)</w:t>
          </w:r>
          <w:r w:rsidR="00882D25" w:rsidRPr="001F799D">
            <w:rPr>
              <w:rFonts w:cs="Arial"/>
              <w:sz w:val="20"/>
              <w:szCs w:val="20"/>
            </w:rPr>
            <w:fldChar w:fldCharType="end"/>
          </w:r>
        </w:sdtContent>
      </w:sdt>
    </w:p>
    <w:p w14:paraId="6525C220" w14:textId="2AC022DD" w:rsidR="005B7231" w:rsidRDefault="007D4DAF" w:rsidP="005102F7">
      <w:pPr>
        <w:tabs>
          <w:tab w:val="num" w:pos="720"/>
        </w:tabs>
        <w:rPr>
          <w:rFonts w:cs="Arial"/>
          <w:sz w:val="20"/>
          <w:szCs w:val="20"/>
        </w:rPr>
      </w:pPr>
      <w:r w:rsidRPr="001F799D">
        <w:rPr>
          <w:rFonts w:cs="Arial"/>
          <w:sz w:val="20"/>
          <w:szCs w:val="20"/>
        </w:rPr>
        <w:lastRenderedPageBreak/>
        <w:t>The fact that Entain adheres to the regulatory requirements of the UK online, as well as offline environment is another strength that builds the trust. Consumers will trust more those operators who exceed expectations of the regulatory authorities and show responsibility by apparent safer gambling practices.</w:t>
      </w:r>
      <w:sdt>
        <w:sdtPr>
          <w:rPr>
            <w:rFonts w:cs="Arial"/>
            <w:sz w:val="20"/>
            <w:szCs w:val="20"/>
          </w:rPr>
          <w:id w:val="1930923560"/>
          <w:citation/>
        </w:sdtPr>
        <w:sdtEndPr/>
        <w:sdtContent>
          <w:r w:rsidR="00340084" w:rsidRPr="001F799D">
            <w:rPr>
              <w:rFonts w:cs="Arial"/>
              <w:sz w:val="20"/>
              <w:szCs w:val="20"/>
            </w:rPr>
            <w:fldChar w:fldCharType="begin"/>
          </w:r>
          <w:r w:rsidR="00340084" w:rsidRPr="001F799D">
            <w:rPr>
              <w:rFonts w:cs="Arial"/>
              <w:sz w:val="20"/>
              <w:szCs w:val="20"/>
            </w:rPr>
            <w:instrText xml:space="preserve"> CITATION UKG23 \l 16393 </w:instrText>
          </w:r>
          <w:r w:rsidR="00340084" w:rsidRPr="001F799D">
            <w:rPr>
              <w:rFonts w:cs="Arial"/>
              <w:sz w:val="20"/>
              <w:szCs w:val="20"/>
            </w:rPr>
            <w:fldChar w:fldCharType="separate"/>
          </w:r>
          <w:r w:rsidR="00340084" w:rsidRPr="001F799D">
            <w:rPr>
              <w:rFonts w:cs="Arial"/>
              <w:sz w:val="20"/>
              <w:szCs w:val="20"/>
            </w:rPr>
            <w:t xml:space="preserve"> (UK Gambling Commission, 2023)</w:t>
          </w:r>
          <w:r w:rsidR="00340084" w:rsidRPr="001F799D">
            <w:rPr>
              <w:rFonts w:cs="Arial"/>
              <w:sz w:val="20"/>
              <w:szCs w:val="20"/>
            </w:rPr>
            <w:fldChar w:fldCharType="end"/>
          </w:r>
        </w:sdtContent>
      </w:sdt>
    </w:p>
    <w:p w14:paraId="203802EC" w14:textId="77777777" w:rsidR="00A301BA" w:rsidRPr="001F799D" w:rsidRDefault="00A301BA" w:rsidP="005102F7">
      <w:pPr>
        <w:tabs>
          <w:tab w:val="num" w:pos="720"/>
        </w:tabs>
        <w:rPr>
          <w:rFonts w:cs="Arial"/>
          <w:sz w:val="20"/>
          <w:szCs w:val="20"/>
        </w:rPr>
      </w:pPr>
    </w:p>
    <w:p w14:paraId="742B2887" w14:textId="0EB37092" w:rsidR="00124C53" w:rsidRPr="00304013" w:rsidRDefault="007D0BBA" w:rsidP="005102F7">
      <w:pPr>
        <w:tabs>
          <w:tab w:val="num" w:pos="720"/>
        </w:tabs>
        <w:rPr>
          <w:b/>
          <w:bCs/>
        </w:rPr>
      </w:pPr>
      <w:r w:rsidRPr="00304013">
        <w:rPr>
          <w:b/>
          <w:bCs/>
        </w:rPr>
        <w:t>Discussion</w:t>
      </w:r>
    </w:p>
    <w:p w14:paraId="0F03347C" w14:textId="3D1E68F8" w:rsidR="00304013" w:rsidRPr="001F799D" w:rsidRDefault="00F7258C" w:rsidP="005102F7">
      <w:pPr>
        <w:tabs>
          <w:tab w:val="num" w:pos="720"/>
        </w:tabs>
        <w:rPr>
          <w:rFonts w:cs="Arial"/>
          <w:sz w:val="20"/>
          <w:szCs w:val="20"/>
        </w:rPr>
      </w:pPr>
      <w:r w:rsidRPr="001F799D">
        <w:rPr>
          <w:rFonts w:cs="Arial"/>
          <w:sz w:val="20"/>
          <w:szCs w:val="20"/>
        </w:rPr>
        <w:t>Regarding Research Question 2, the results indicate that there is a positive correlation between the responsible gambling behaviour of Entain and consumer trust. The theory of relationship marketing states that customer relationship is an important factor that entails trust and commitment in the long run</w:t>
      </w:r>
      <w:r w:rsidR="004776E6" w:rsidRPr="001F799D">
        <w:rPr>
          <w:rFonts w:cs="Arial"/>
          <w:sz w:val="20"/>
          <w:szCs w:val="20"/>
        </w:rPr>
        <w:t xml:space="preserve"> </w:t>
      </w:r>
      <w:sdt>
        <w:sdtPr>
          <w:rPr>
            <w:rFonts w:cs="Arial"/>
            <w:sz w:val="20"/>
            <w:szCs w:val="20"/>
          </w:rPr>
          <w:id w:val="943258809"/>
          <w:citation/>
        </w:sdtPr>
        <w:sdtEndPr/>
        <w:sdtContent>
          <w:r w:rsidR="002B4D00" w:rsidRPr="001F799D">
            <w:rPr>
              <w:rFonts w:cs="Arial"/>
              <w:sz w:val="20"/>
              <w:szCs w:val="20"/>
            </w:rPr>
            <w:fldChar w:fldCharType="begin"/>
          </w:r>
          <w:r w:rsidR="002B4D00" w:rsidRPr="001F799D">
            <w:rPr>
              <w:rFonts w:cs="Arial"/>
              <w:sz w:val="20"/>
              <w:szCs w:val="20"/>
            </w:rPr>
            <w:instrText xml:space="preserve"> CITATION Mor94 \l 16393 </w:instrText>
          </w:r>
          <w:r w:rsidR="002B4D00" w:rsidRPr="001F799D">
            <w:rPr>
              <w:rFonts w:cs="Arial"/>
              <w:sz w:val="20"/>
              <w:szCs w:val="20"/>
            </w:rPr>
            <w:fldChar w:fldCharType="separate"/>
          </w:r>
          <w:r w:rsidR="002B4D00" w:rsidRPr="001F799D">
            <w:rPr>
              <w:rFonts w:cs="Arial"/>
              <w:sz w:val="20"/>
              <w:szCs w:val="20"/>
            </w:rPr>
            <w:t>(Morgan, 1994)</w:t>
          </w:r>
          <w:r w:rsidR="002B4D00" w:rsidRPr="001F799D">
            <w:rPr>
              <w:rFonts w:cs="Arial"/>
              <w:sz w:val="20"/>
              <w:szCs w:val="20"/>
            </w:rPr>
            <w:fldChar w:fldCharType="end"/>
          </w:r>
        </w:sdtContent>
      </w:sdt>
      <w:r w:rsidR="004776E6" w:rsidRPr="001F799D">
        <w:rPr>
          <w:rFonts w:cs="Arial"/>
          <w:sz w:val="20"/>
          <w:szCs w:val="20"/>
        </w:rPr>
        <w:t xml:space="preserve"> </w:t>
      </w:r>
      <w:r w:rsidR="005C1796" w:rsidRPr="001F799D">
        <w:rPr>
          <w:rFonts w:cs="Arial"/>
          <w:sz w:val="20"/>
          <w:szCs w:val="20"/>
        </w:rPr>
        <w:t>Focusing on customer protection, Entain demonstrates a long-term orientation, which enhances trust and contributes to the ongoing engagement.</w:t>
      </w:r>
    </w:p>
    <w:p w14:paraId="15D92523" w14:textId="6B2584AE" w:rsidR="00DB1BD7" w:rsidRDefault="00100DAC" w:rsidP="005102F7">
      <w:pPr>
        <w:tabs>
          <w:tab w:val="num" w:pos="720"/>
        </w:tabs>
        <w:rPr>
          <w:b/>
          <w:bCs/>
        </w:rPr>
      </w:pPr>
      <w:r w:rsidRPr="00C859DE">
        <w:rPr>
          <w:b/>
          <w:bCs/>
        </w:rPr>
        <w:t xml:space="preserve">Reflective </w:t>
      </w:r>
      <w:r w:rsidR="00FE1DDE" w:rsidRPr="00C859DE">
        <w:rPr>
          <w:b/>
          <w:bCs/>
        </w:rPr>
        <w:t xml:space="preserve">Context (Not a </w:t>
      </w:r>
      <w:r w:rsidR="00C859DE" w:rsidRPr="00C859DE">
        <w:rPr>
          <w:b/>
          <w:bCs/>
        </w:rPr>
        <w:t>Research Data)</w:t>
      </w:r>
    </w:p>
    <w:p w14:paraId="626D700A" w14:textId="47806898" w:rsidR="001B784B" w:rsidRPr="004963C6" w:rsidRDefault="00814B3E" w:rsidP="005B4B2F">
      <w:pPr>
        <w:tabs>
          <w:tab w:val="num" w:pos="720"/>
        </w:tabs>
        <w:rPr>
          <w:rFonts w:cs="Arial"/>
          <w:sz w:val="20"/>
          <w:szCs w:val="20"/>
        </w:rPr>
      </w:pPr>
      <w:r w:rsidRPr="005B4B2F">
        <w:rPr>
          <w:rFonts w:cs="Arial"/>
          <w:sz w:val="20"/>
          <w:szCs w:val="20"/>
        </w:rPr>
        <w:t>According to professional experience, when dealing with customers, speaking with Entain customer support teams, they will tend to show more trust when the responsible gambling behaviours are described in a clear and calming tone. Such considerations aid in the current studies that indicate that effective communication safeguards trust when seeking sensitive accounts interventions.</w:t>
      </w:r>
      <w:r w:rsidR="001B784B" w:rsidRPr="005B4B2F">
        <w:rPr>
          <w:rFonts w:cs="Arial"/>
          <w:sz w:val="20"/>
          <w:szCs w:val="20"/>
        </w:rPr>
        <w:t xml:space="preserve"> </w:t>
      </w:r>
      <w:sdt>
        <w:sdtPr>
          <w:rPr>
            <w:rFonts w:cs="Arial"/>
            <w:sz w:val="20"/>
            <w:szCs w:val="20"/>
          </w:rPr>
          <w:id w:val="1587570433"/>
          <w:citation/>
        </w:sdtPr>
        <w:sdtEndPr/>
        <w:sdtContent>
          <w:r w:rsidR="00FB584D" w:rsidRPr="005B4B2F">
            <w:rPr>
              <w:rFonts w:cs="Arial"/>
              <w:sz w:val="20"/>
              <w:szCs w:val="20"/>
            </w:rPr>
            <w:fldChar w:fldCharType="begin"/>
          </w:r>
          <w:r w:rsidR="00FB584D" w:rsidRPr="005B4B2F">
            <w:rPr>
              <w:rFonts w:cs="Arial"/>
              <w:sz w:val="20"/>
              <w:szCs w:val="20"/>
            </w:rPr>
            <w:instrText xml:space="preserve"> CITATION Tho21 \l 16393 </w:instrText>
          </w:r>
          <w:r w:rsidR="00FB584D" w:rsidRPr="005B4B2F">
            <w:rPr>
              <w:rFonts w:cs="Arial"/>
              <w:sz w:val="20"/>
              <w:szCs w:val="20"/>
            </w:rPr>
            <w:fldChar w:fldCharType="separate"/>
          </w:r>
          <w:r w:rsidR="00FB584D" w:rsidRPr="005B4B2F">
            <w:rPr>
              <w:rFonts w:cs="Arial"/>
              <w:sz w:val="20"/>
              <w:szCs w:val="20"/>
            </w:rPr>
            <w:t>(Thomas, 2021)</w:t>
          </w:r>
          <w:r w:rsidR="00FB584D" w:rsidRPr="005B4B2F">
            <w:rPr>
              <w:rFonts w:cs="Arial"/>
              <w:sz w:val="20"/>
              <w:szCs w:val="20"/>
            </w:rPr>
            <w:fldChar w:fldCharType="end"/>
          </w:r>
        </w:sdtContent>
      </w:sdt>
    </w:p>
    <w:p w14:paraId="4311AC09" w14:textId="4269B3E7" w:rsidR="000535E3" w:rsidRDefault="00BC3841" w:rsidP="005102F7">
      <w:pPr>
        <w:tabs>
          <w:tab w:val="num" w:pos="720"/>
        </w:tabs>
        <w:rPr>
          <w:rFonts w:cs="Arial"/>
          <w:b/>
          <w:bCs/>
          <w:sz w:val="24"/>
          <w:szCs w:val="24"/>
        </w:rPr>
      </w:pPr>
      <w:r w:rsidRPr="00014DCE">
        <w:rPr>
          <w:rFonts w:cs="Arial"/>
          <w:b/>
          <w:bCs/>
          <w:sz w:val="24"/>
          <w:szCs w:val="24"/>
        </w:rPr>
        <w:t xml:space="preserve">4.4 </w:t>
      </w:r>
      <w:r w:rsidR="003F2D01" w:rsidRPr="00014DCE">
        <w:rPr>
          <w:rFonts w:cs="Arial"/>
          <w:b/>
          <w:bCs/>
          <w:sz w:val="24"/>
          <w:szCs w:val="24"/>
        </w:rPr>
        <w:t xml:space="preserve">Influence of Responsible Gambling </w:t>
      </w:r>
      <w:r w:rsidR="008842BB" w:rsidRPr="00014DCE">
        <w:rPr>
          <w:rFonts w:cs="Arial"/>
          <w:b/>
          <w:bCs/>
          <w:sz w:val="24"/>
          <w:szCs w:val="24"/>
        </w:rPr>
        <w:t xml:space="preserve">Tools </w:t>
      </w:r>
      <w:r w:rsidR="00E6301C" w:rsidRPr="00014DCE">
        <w:rPr>
          <w:rFonts w:cs="Arial"/>
          <w:b/>
          <w:bCs/>
          <w:sz w:val="24"/>
          <w:szCs w:val="24"/>
        </w:rPr>
        <w:t>on Long</w:t>
      </w:r>
      <w:r w:rsidR="00D81F83" w:rsidRPr="00014DCE">
        <w:rPr>
          <w:rFonts w:cs="Arial"/>
          <w:b/>
          <w:bCs/>
          <w:sz w:val="24"/>
          <w:szCs w:val="24"/>
        </w:rPr>
        <w:t xml:space="preserve">-Term </w:t>
      </w:r>
      <w:r w:rsidR="00DE4605" w:rsidRPr="00014DCE">
        <w:rPr>
          <w:rFonts w:cs="Arial"/>
          <w:b/>
          <w:bCs/>
          <w:sz w:val="24"/>
          <w:szCs w:val="24"/>
        </w:rPr>
        <w:t xml:space="preserve">customer Loyalty </w:t>
      </w:r>
      <w:r w:rsidR="00264DE6" w:rsidRPr="00014DCE">
        <w:rPr>
          <w:rFonts w:cs="Arial"/>
          <w:b/>
          <w:bCs/>
          <w:sz w:val="24"/>
          <w:szCs w:val="24"/>
        </w:rPr>
        <w:t xml:space="preserve">at </w:t>
      </w:r>
      <w:r w:rsidR="00014DCE" w:rsidRPr="00014DCE">
        <w:rPr>
          <w:rFonts w:cs="Arial"/>
          <w:b/>
          <w:bCs/>
          <w:sz w:val="24"/>
          <w:szCs w:val="24"/>
        </w:rPr>
        <w:t>Entain Plc</w:t>
      </w:r>
    </w:p>
    <w:p w14:paraId="0CC40B09" w14:textId="080436ED" w:rsidR="005559AA" w:rsidRPr="005559AA" w:rsidRDefault="005559AA" w:rsidP="005102F7">
      <w:pPr>
        <w:tabs>
          <w:tab w:val="num" w:pos="720"/>
        </w:tabs>
        <w:rPr>
          <w:b/>
          <w:bCs/>
        </w:rPr>
      </w:pPr>
      <w:r w:rsidRPr="005559AA">
        <w:rPr>
          <w:b/>
          <w:bCs/>
        </w:rPr>
        <w:t>Findings</w:t>
      </w:r>
    </w:p>
    <w:p w14:paraId="129AB081" w14:textId="427F9DA3" w:rsidR="00B35C2E" w:rsidRPr="00CA11F3" w:rsidRDefault="0070170D" w:rsidP="0070170D">
      <w:r w:rsidRPr="00690539">
        <w:rPr>
          <w:rFonts w:cs="Arial"/>
          <w:sz w:val="20"/>
          <w:szCs w:val="20"/>
        </w:rPr>
        <w:t>The results indicate that customer loyalty is impacted by the responsible gambling tools of Entain both in the long term and short term. There are other instances where customers cut down or halt the gambling activity after limits or self-exclusion is imposed especially in the retail environments where the interventions are more noticeable. Nevertheless, past research demonstrates that customers who feel that the tools support them will be willing to come back and be loyal even in the long-term</w:t>
      </w:r>
      <w:r w:rsidR="00C575B7" w:rsidRPr="00690539">
        <w:rPr>
          <w:rFonts w:cs="Arial"/>
          <w:sz w:val="20"/>
          <w:szCs w:val="20"/>
        </w:rPr>
        <w:t xml:space="preserve"> </w:t>
      </w:r>
      <w:sdt>
        <w:sdtPr>
          <w:rPr>
            <w:rFonts w:cs="Arial"/>
            <w:sz w:val="20"/>
            <w:szCs w:val="20"/>
          </w:rPr>
          <w:id w:val="-2143407645"/>
          <w:citation/>
        </w:sdtPr>
        <w:sdtEndPr/>
        <w:sdtContent>
          <w:r w:rsidR="00FA5BD0" w:rsidRPr="00690539">
            <w:rPr>
              <w:rFonts w:cs="Arial"/>
              <w:sz w:val="20"/>
              <w:szCs w:val="20"/>
            </w:rPr>
            <w:fldChar w:fldCharType="begin"/>
          </w:r>
          <w:r w:rsidR="00FA5BD0" w:rsidRPr="00690539">
            <w:rPr>
              <w:rFonts w:cs="Arial"/>
              <w:sz w:val="20"/>
              <w:szCs w:val="20"/>
            </w:rPr>
            <w:instrText xml:space="preserve"> CITATION Rus20 \l 16393 </w:instrText>
          </w:r>
          <w:r w:rsidR="00FA5BD0" w:rsidRPr="00690539">
            <w:rPr>
              <w:rFonts w:cs="Arial"/>
              <w:sz w:val="20"/>
              <w:szCs w:val="20"/>
            </w:rPr>
            <w:fldChar w:fldCharType="separate"/>
          </w:r>
          <w:r w:rsidR="00FA5BD0" w:rsidRPr="00690539">
            <w:rPr>
              <w:rFonts w:cs="Arial"/>
              <w:sz w:val="20"/>
              <w:szCs w:val="20"/>
            </w:rPr>
            <w:t>(Russell, 2020)</w:t>
          </w:r>
          <w:r w:rsidR="00FA5BD0" w:rsidRPr="00690539">
            <w:rPr>
              <w:rFonts w:cs="Arial"/>
              <w:sz w:val="20"/>
              <w:szCs w:val="20"/>
            </w:rPr>
            <w:fldChar w:fldCharType="end"/>
          </w:r>
        </w:sdtContent>
      </w:sdt>
      <w:r w:rsidR="00FA5BD0" w:rsidRPr="00690539">
        <w:rPr>
          <w:rFonts w:cs="Arial"/>
          <w:sz w:val="20"/>
          <w:szCs w:val="20"/>
        </w:rPr>
        <w:t>.</w:t>
      </w:r>
      <w:r w:rsidR="000D2A5D" w:rsidRPr="00690539">
        <w:rPr>
          <w:rFonts w:cs="Arial"/>
          <w:sz w:val="20"/>
          <w:szCs w:val="20"/>
        </w:rPr>
        <w:t xml:space="preserve">This customer loyalty is not only the process of repeat use but includes emotional trust and </w:t>
      </w:r>
      <w:r w:rsidR="006610AB" w:rsidRPr="00690539">
        <w:rPr>
          <w:rFonts w:cs="Arial"/>
          <w:sz w:val="20"/>
          <w:szCs w:val="20"/>
        </w:rPr>
        <w:t>favourable</w:t>
      </w:r>
      <w:r w:rsidR="000D2A5D" w:rsidRPr="00690539">
        <w:rPr>
          <w:rFonts w:cs="Arial"/>
          <w:sz w:val="20"/>
          <w:szCs w:val="20"/>
        </w:rPr>
        <w:t xml:space="preserve"> brand attitudes as well.</w:t>
      </w:r>
      <w:sdt>
        <w:sdtPr>
          <w:rPr>
            <w:rFonts w:cs="Arial"/>
            <w:sz w:val="20"/>
            <w:szCs w:val="20"/>
          </w:rPr>
          <w:id w:val="-2007664198"/>
          <w:citation/>
        </w:sdtPr>
        <w:sdtEndPr/>
        <w:sdtContent>
          <w:r w:rsidR="00917694" w:rsidRPr="00690539">
            <w:rPr>
              <w:rFonts w:cs="Arial"/>
              <w:sz w:val="20"/>
              <w:szCs w:val="20"/>
            </w:rPr>
            <w:fldChar w:fldCharType="begin"/>
          </w:r>
          <w:r w:rsidR="00917694" w:rsidRPr="00690539">
            <w:rPr>
              <w:rFonts w:cs="Arial"/>
              <w:sz w:val="20"/>
              <w:szCs w:val="20"/>
            </w:rPr>
            <w:instrText xml:space="preserve"> CITATION Dic94 \l 16393 </w:instrText>
          </w:r>
          <w:r w:rsidR="00917694" w:rsidRPr="00690539">
            <w:rPr>
              <w:rFonts w:cs="Arial"/>
              <w:sz w:val="20"/>
              <w:szCs w:val="20"/>
            </w:rPr>
            <w:fldChar w:fldCharType="separate"/>
          </w:r>
          <w:r w:rsidR="00917694" w:rsidRPr="00690539">
            <w:rPr>
              <w:rFonts w:cs="Arial"/>
              <w:sz w:val="20"/>
              <w:szCs w:val="20"/>
            </w:rPr>
            <w:t xml:space="preserve"> (Dick, 1994)</w:t>
          </w:r>
          <w:r w:rsidR="00917694" w:rsidRPr="00690539">
            <w:rPr>
              <w:rFonts w:cs="Arial"/>
              <w:sz w:val="20"/>
              <w:szCs w:val="20"/>
            </w:rPr>
            <w:fldChar w:fldCharType="end"/>
          </w:r>
        </w:sdtContent>
      </w:sdt>
      <w:r w:rsidR="0009762D" w:rsidRPr="00690539">
        <w:rPr>
          <w:rFonts w:cs="Arial"/>
          <w:sz w:val="20"/>
          <w:szCs w:val="20"/>
        </w:rPr>
        <w:t xml:space="preserve"> </w:t>
      </w:r>
      <w:r w:rsidR="00633E1B" w:rsidRPr="00690539">
        <w:rPr>
          <w:rFonts w:cs="Arial"/>
          <w:sz w:val="20"/>
          <w:szCs w:val="20"/>
        </w:rPr>
        <w:t>Responsible gambling on online and retail platforms, a principle promoted by Entain, facilitates sustainable customer interaction through the minimisation of gambling-related harm and enhancement of long-term relationships, as opposed to short-term revenue maximisation.</w:t>
      </w:r>
      <w:sdt>
        <w:sdtPr>
          <w:rPr>
            <w:rFonts w:cs="Arial"/>
            <w:sz w:val="20"/>
            <w:szCs w:val="20"/>
          </w:rPr>
          <w:id w:val="416059675"/>
          <w:citation/>
        </w:sdtPr>
        <w:sdtEndPr/>
        <w:sdtContent>
          <w:r w:rsidR="00C8206B" w:rsidRPr="00690539">
            <w:rPr>
              <w:rFonts w:cs="Arial"/>
              <w:sz w:val="20"/>
              <w:szCs w:val="20"/>
            </w:rPr>
            <w:fldChar w:fldCharType="begin"/>
          </w:r>
          <w:r w:rsidR="00C02AB5" w:rsidRPr="00690539">
            <w:rPr>
              <w:rFonts w:cs="Arial"/>
              <w:sz w:val="20"/>
              <w:szCs w:val="20"/>
            </w:rPr>
            <w:instrText xml:space="preserve">CITATION Bin14 \l 16393 </w:instrText>
          </w:r>
          <w:r w:rsidR="00C8206B" w:rsidRPr="00690539">
            <w:rPr>
              <w:rFonts w:cs="Arial"/>
              <w:sz w:val="20"/>
              <w:szCs w:val="20"/>
            </w:rPr>
            <w:fldChar w:fldCharType="separate"/>
          </w:r>
          <w:r w:rsidR="00C02AB5" w:rsidRPr="00690539">
            <w:rPr>
              <w:rFonts w:cs="Arial"/>
              <w:sz w:val="20"/>
              <w:szCs w:val="20"/>
            </w:rPr>
            <w:t xml:space="preserve"> (Binde, 2014)</w:t>
          </w:r>
          <w:r w:rsidR="00C8206B" w:rsidRPr="00690539">
            <w:rPr>
              <w:rFonts w:cs="Arial"/>
              <w:sz w:val="20"/>
              <w:szCs w:val="20"/>
            </w:rPr>
            <w:fldChar w:fldCharType="end"/>
          </w:r>
        </w:sdtContent>
      </w:sdt>
      <w:r w:rsidR="009A0771" w:rsidRPr="00690539">
        <w:rPr>
          <w:rFonts w:cs="Arial"/>
          <w:sz w:val="20"/>
          <w:szCs w:val="20"/>
        </w:rPr>
        <w:t>.</w:t>
      </w:r>
      <w:r w:rsidR="00633E1B" w:rsidRPr="00633E1B">
        <w:br/>
      </w:r>
      <w:r w:rsidR="009A339C" w:rsidRPr="009A339C">
        <w:rPr>
          <w:b/>
          <w:bCs/>
        </w:rPr>
        <w:t>Discussion</w:t>
      </w:r>
    </w:p>
    <w:p w14:paraId="07D7F834" w14:textId="7C4771D9" w:rsidR="0005480F" w:rsidRPr="00690539" w:rsidRDefault="0005480F" w:rsidP="0070170D">
      <w:pPr>
        <w:rPr>
          <w:rFonts w:cs="Arial"/>
          <w:sz w:val="20"/>
          <w:szCs w:val="20"/>
        </w:rPr>
      </w:pPr>
      <w:r w:rsidRPr="00690539">
        <w:rPr>
          <w:rFonts w:cs="Arial"/>
          <w:sz w:val="20"/>
          <w:szCs w:val="20"/>
        </w:rPr>
        <w:t>Responding to Research Question 3, the results show that responsible gambling tools are capable of enhancing the long-term customer loyalty at Entain by making customers develop trust and emotional attachment. This interpretation is upheld by the attitude loyalty theory whereby loyalty depends on customer feelings and confidence, rather than the repetition of behaviour.</w:t>
      </w:r>
      <w:sdt>
        <w:sdtPr>
          <w:rPr>
            <w:rFonts w:cs="Arial"/>
            <w:sz w:val="20"/>
            <w:szCs w:val="20"/>
          </w:rPr>
          <w:id w:val="552429418"/>
          <w:citation/>
        </w:sdtPr>
        <w:sdtEndPr/>
        <w:sdtContent>
          <w:r w:rsidR="007A44E1" w:rsidRPr="00690539">
            <w:rPr>
              <w:rFonts w:cs="Arial"/>
              <w:sz w:val="20"/>
              <w:szCs w:val="20"/>
            </w:rPr>
            <w:fldChar w:fldCharType="begin"/>
          </w:r>
          <w:r w:rsidR="007A44E1" w:rsidRPr="00690539">
            <w:rPr>
              <w:rFonts w:cs="Arial"/>
              <w:sz w:val="20"/>
              <w:szCs w:val="20"/>
            </w:rPr>
            <w:instrText xml:space="preserve"> CITATION Dic94 \l 16393 </w:instrText>
          </w:r>
          <w:r w:rsidR="007A44E1" w:rsidRPr="00690539">
            <w:rPr>
              <w:rFonts w:cs="Arial"/>
              <w:sz w:val="20"/>
              <w:szCs w:val="20"/>
            </w:rPr>
            <w:fldChar w:fldCharType="separate"/>
          </w:r>
          <w:r w:rsidR="007A44E1" w:rsidRPr="00690539">
            <w:rPr>
              <w:rFonts w:cs="Arial"/>
              <w:sz w:val="20"/>
              <w:szCs w:val="20"/>
            </w:rPr>
            <w:t xml:space="preserve"> (Dick, 1994)</w:t>
          </w:r>
          <w:r w:rsidR="007A44E1" w:rsidRPr="00690539">
            <w:rPr>
              <w:rFonts w:cs="Arial"/>
              <w:sz w:val="20"/>
              <w:szCs w:val="20"/>
            </w:rPr>
            <w:fldChar w:fldCharType="end"/>
          </w:r>
        </w:sdtContent>
      </w:sdt>
      <w:r w:rsidR="00796C09" w:rsidRPr="00690539">
        <w:rPr>
          <w:rFonts w:cs="Arial"/>
          <w:sz w:val="20"/>
          <w:szCs w:val="20"/>
        </w:rPr>
        <w:t xml:space="preserve"> Customers who perceive protection are more inclined to have a positive relationship with Entain.</w:t>
      </w:r>
    </w:p>
    <w:p w14:paraId="6D62F009" w14:textId="74C4B81A" w:rsidR="0022663D" w:rsidRPr="00C1591A" w:rsidRDefault="00E52223" w:rsidP="0070170D">
      <w:pPr>
        <w:rPr>
          <w:b/>
          <w:bCs/>
        </w:rPr>
      </w:pPr>
      <w:r w:rsidRPr="00C1591A">
        <w:rPr>
          <w:b/>
          <w:bCs/>
        </w:rPr>
        <w:t xml:space="preserve">Reflective Context </w:t>
      </w:r>
      <w:r w:rsidR="00B96DB3" w:rsidRPr="00C1591A">
        <w:rPr>
          <w:b/>
          <w:bCs/>
        </w:rPr>
        <w:t xml:space="preserve">(Not a research data) </w:t>
      </w:r>
    </w:p>
    <w:p w14:paraId="405B0635" w14:textId="0C58F98B" w:rsidR="00610B20" w:rsidRDefault="00FC1C0B" w:rsidP="0070170D">
      <w:pPr>
        <w:rPr>
          <w:rFonts w:cs="Arial"/>
          <w:sz w:val="20"/>
          <w:szCs w:val="20"/>
        </w:rPr>
      </w:pPr>
      <w:r w:rsidRPr="00690539">
        <w:rPr>
          <w:rFonts w:cs="Arial"/>
          <w:sz w:val="20"/>
          <w:szCs w:val="20"/>
        </w:rPr>
        <w:t>According to professional experience of the researcher, later some Entain customers state gratitude towards responsible gambling interventions offered at the hard times. These considerations are only illustrative and consistent with past research that responsible gambling programs are capable of fostering closer long-term loyalty.</w:t>
      </w:r>
      <w:sdt>
        <w:sdtPr>
          <w:rPr>
            <w:rFonts w:cs="Arial"/>
            <w:sz w:val="20"/>
            <w:szCs w:val="20"/>
          </w:rPr>
          <w:id w:val="1394388267"/>
          <w:citation/>
        </w:sdtPr>
        <w:sdtEndPr/>
        <w:sdtContent>
          <w:r w:rsidR="00112FC7" w:rsidRPr="00690539">
            <w:rPr>
              <w:rFonts w:cs="Arial"/>
              <w:sz w:val="20"/>
              <w:szCs w:val="20"/>
            </w:rPr>
            <w:fldChar w:fldCharType="begin"/>
          </w:r>
          <w:r w:rsidR="00112FC7" w:rsidRPr="00690539">
            <w:rPr>
              <w:rFonts w:cs="Arial"/>
              <w:sz w:val="20"/>
              <w:szCs w:val="20"/>
            </w:rPr>
            <w:instrText xml:space="preserve"> CITATION Hin19 \l 16393 </w:instrText>
          </w:r>
          <w:r w:rsidR="00112FC7" w:rsidRPr="00690539">
            <w:rPr>
              <w:rFonts w:cs="Arial"/>
              <w:sz w:val="20"/>
              <w:szCs w:val="20"/>
            </w:rPr>
            <w:fldChar w:fldCharType="separate"/>
          </w:r>
          <w:r w:rsidR="00112FC7" w:rsidRPr="00690539">
            <w:rPr>
              <w:rFonts w:cs="Arial"/>
              <w:sz w:val="20"/>
              <w:szCs w:val="20"/>
            </w:rPr>
            <w:t xml:space="preserve"> (Hing, 2019)</w:t>
          </w:r>
          <w:r w:rsidR="00112FC7" w:rsidRPr="00690539">
            <w:rPr>
              <w:rFonts w:cs="Arial"/>
              <w:sz w:val="20"/>
              <w:szCs w:val="20"/>
            </w:rPr>
            <w:fldChar w:fldCharType="end"/>
          </w:r>
        </w:sdtContent>
      </w:sdt>
    </w:p>
    <w:p w14:paraId="198EB94D" w14:textId="77777777" w:rsidR="007461DA" w:rsidRDefault="007461DA" w:rsidP="0070170D">
      <w:pPr>
        <w:rPr>
          <w:rFonts w:cs="Arial"/>
          <w:sz w:val="20"/>
          <w:szCs w:val="20"/>
        </w:rPr>
      </w:pPr>
    </w:p>
    <w:p w14:paraId="06644C00" w14:textId="77777777" w:rsidR="007461DA" w:rsidRPr="00690539" w:rsidRDefault="007461DA" w:rsidP="0070170D">
      <w:pPr>
        <w:rPr>
          <w:rFonts w:cs="Arial"/>
          <w:sz w:val="20"/>
          <w:szCs w:val="20"/>
        </w:rPr>
      </w:pPr>
    </w:p>
    <w:p w14:paraId="41071A85" w14:textId="0949673F" w:rsidR="00654280" w:rsidRDefault="00654280" w:rsidP="00531DC6">
      <w:pPr>
        <w:tabs>
          <w:tab w:val="num" w:pos="720"/>
        </w:tabs>
        <w:rPr>
          <w:rFonts w:cs="Arial"/>
          <w:b/>
          <w:bCs/>
          <w:sz w:val="24"/>
          <w:szCs w:val="24"/>
        </w:rPr>
      </w:pPr>
      <w:r w:rsidRPr="00531DC6">
        <w:rPr>
          <w:rFonts w:cs="Arial"/>
          <w:b/>
          <w:bCs/>
          <w:sz w:val="24"/>
          <w:szCs w:val="24"/>
        </w:rPr>
        <w:lastRenderedPageBreak/>
        <w:t xml:space="preserve">4.5 Enhancing </w:t>
      </w:r>
      <w:r w:rsidR="00096D21" w:rsidRPr="00531DC6">
        <w:rPr>
          <w:rFonts w:cs="Arial"/>
          <w:b/>
          <w:bCs/>
          <w:sz w:val="24"/>
          <w:szCs w:val="24"/>
        </w:rPr>
        <w:t xml:space="preserve">Responsible Gambling </w:t>
      </w:r>
      <w:r w:rsidR="00BE7126" w:rsidRPr="00531DC6">
        <w:rPr>
          <w:rFonts w:cs="Arial"/>
          <w:b/>
          <w:bCs/>
          <w:sz w:val="24"/>
          <w:szCs w:val="24"/>
        </w:rPr>
        <w:t xml:space="preserve">at Entain </w:t>
      </w:r>
      <w:r w:rsidR="00AC48AE" w:rsidRPr="00531DC6">
        <w:rPr>
          <w:rFonts w:cs="Arial"/>
          <w:b/>
          <w:bCs/>
          <w:sz w:val="24"/>
          <w:szCs w:val="24"/>
        </w:rPr>
        <w:t xml:space="preserve">Plc while </w:t>
      </w:r>
      <w:r w:rsidR="00531DC6" w:rsidRPr="00531DC6">
        <w:rPr>
          <w:rFonts w:cs="Arial"/>
          <w:b/>
          <w:bCs/>
          <w:sz w:val="24"/>
          <w:szCs w:val="24"/>
        </w:rPr>
        <w:t>Maintaining Customer Satisfaction</w:t>
      </w:r>
    </w:p>
    <w:p w14:paraId="7892AB71" w14:textId="4E105389" w:rsidR="00531DC6" w:rsidRDefault="00A511C4" w:rsidP="00A511C4">
      <w:pPr>
        <w:rPr>
          <w:b/>
          <w:bCs/>
        </w:rPr>
      </w:pPr>
      <w:r w:rsidRPr="00A511C4">
        <w:rPr>
          <w:b/>
          <w:bCs/>
        </w:rPr>
        <w:t>Findings</w:t>
      </w:r>
    </w:p>
    <w:p w14:paraId="3AA16F9F" w14:textId="45667B38" w:rsidR="00A511C4" w:rsidRPr="00071604" w:rsidRDefault="00071EFC" w:rsidP="00A511C4">
      <w:pPr>
        <w:rPr>
          <w:rFonts w:cs="Arial"/>
          <w:sz w:val="20"/>
          <w:szCs w:val="20"/>
        </w:rPr>
      </w:pPr>
      <w:r w:rsidRPr="00071604">
        <w:rPr>
          <w:rFonts w:cs="Arial"/>
          <w:sz w:val="20"/>
          <w:szCs w:val="20"/>
        </w:rPr>
        <w:t>The results indicate that Entain will be able to reinforce responsible gambling programs without losing customer satisfaction through personalisation, staff education, and effective communication. It has been found that behaviour-based tools can more effectively and less irritably influence an individual customer than a uniform restriction.</w:t>
      </w:r>
      <w:sdt>
        <w:sdtPr>
          <w:rPr>
            <w:rFonts w:cs="Arial"/>
            <w:sz w:val="20"/>
            <w:szCs w:val="20"/>
          </w:rPr>
          <w:id w:val="280074070"/>
          <w:citation/>
        </w:sdtPr>
        <w:sdtEndPr/>
        <w:sdtContent>
          <w:r w:rsidR="00392E9A" w:rsidRPr="00071604">
            <w:rPr>
              <w:rFonts w:cs="Arial"/>
              <w:sz w:val="20"/>
              <w:szCs w:val="20"/>
            </w:rPr>
            <w:fldChar w:fldCharType="begin"/>
          </w:r>
          <w:r w:rsidR="00392E9A" w:rsidRPr="00071604">
            <w:rPr>
              <w:rFonts w:cs="Arial"/>
              <w:sz w:val="20"/>
              <w:szCs w:val="20"/>
            </w:rPr>
            <w:instrText xml:space="preserve"> CITATION Gai20 \l 16393 </w:instrText>
          </w:r>
          <w:r w:rsidR="00392E9A" w:rsidRPr="00071604">
            <w:rPr>
              <w:rFonts w:cs="Arial"/>
              <w:sz w:val="20"/>
              <w:szCs w:val="20"/>
            </w:rPr>
            <w:fldChar w:fldCharType="separate"/>
          </w:r>
          <w:r w:rsidR="00392E9A" w:rsidRPr="00071604">
            <w:rPr>
              <w:rFonts w:cs="Arial"/>
              <w:sz w:val="20"/>
              <w:szCs w:val="20"/>
            </w:rPr>
            <w:t xml:space="preserve"> (Gainsbury, 2020)</w:t>
          </w:r>
          <w:r w:rsidR="00392E9A" w:rsidRPr="00071604">
            <w:rPr>
              <w:rFonts w:cs="Arial"/>
              <w:sz w:val="20"/>
              <w:szCs w:val="20"/>
            </w:rPr>
            <w:fldChar w:fldCharType="end"/>
          </w:r>
        </w:sdtContent>
      </w:sdt>
      <w:r w:rsidR="00F94F9F" w:rsidRPr="00071604">
        <w:rPr>
          <w:rFonts w:cs="Arial"/>
          <w:sz w:val="20"/>
          <w:szCs w:val="20"/>
        </w:rPr>
        <w:t>.</w:t>
      </w:r>
      <w:r w:rsidR="001B794D" w:rsidRPr="00071604">
        <w:rPr>
          <w:rFonts w:cs="Arial"/>
          <w:sz w:val="20"/>
          <w:szCs w:val="20"/>
        </w:rPr>
        <w:t>Staff competence is crucial to customer acceptance of safer methods of gambling in retail betting shops whereas on-line methods depend on transparent digital communications.</w:t>
      </w:r>
      <w:sdt>
        <w:sdtPr>
          <w:rPr>
            <w:rFonts w:cs="Arial"/>
            <w:sz w:val="20"/>
            <w:szCs w:val="20"/>
          </w:rPr>
          <w:id w:val="-1976055300"/>
          <w:citation/>
        </w:sdtPr>
        <w:sdtEndPr/>
        <w:sdtContent>
          <w:r w:rsidR="005B0B7E" w:rsidRPr="00071604">
            <w:rPr>
              <w:rFonts w:cs="Arial"/>
              <w:sz w:val="20"/>
              <w:szCs w:val="20"/>
            </w:rPr>
            <w:fldChar w:fldCharType="begin"/>
          </w:r>
          <w:r w:rsidR="005B0B7E" w:rsidRPr="00071604">
            <w:rPr>
              <w:rFonts w:cs="Arial"/>
              <w:sz w:val="20"/>
              <w:szCs w:val="20"/>
            </w:rPr>
            <w:instrText xml:space="preserve"> CITATION Tho21 \l 16393 </w:instrText>
          </w:r>
          <w:r w:rsidR="005B0B7E" w:rsidRPr="00071604">
            <w:rPr>
              <w:rFonts w:cs="Arial"/>
              <w:sz w:val="20"/>
              <w:szCs w:val="20"/>
            </w:rPr>
            <w:fldChar w:fldCharType="separate"/>
          </w:r>
          <w:r w:rsidR="005B0B7E" w:rsidRPr="00071604">
            <w:rPr>
              <w:rFonts w:cs="Arial"/>
              <w:sz w:val="20"/>
              <w:szCs w:val="20"/>
            </w:rPr>
            <w:t xml:space="preserve"> (Thomas, 2021)</w:t>
          </w:r>
          <w:r w:rsidR="005B0B7E" w:rsidRPr="00071604">
            <w:rPr>
              <w:rFonts w:cs="Arial"/>
              <w:sz w:val="20"/>
              <w:szCs w:val="20"/>
            </w:rPr>
            <w:fldChar w:fldCharType="end"/>
          </w:r>
        </w:sdtContent>
      </w:sdt>
    </w:p>
    <w:p w14:paraId="042C4612" w14:textId="2382AB6B" w:rsidR="009163FD" w:rsidRDefault="009163FD" w:rsidP="00A511C4">
      <w:pPr>
        <w:rPr>
          <w:b/>
          <w:bCs/>
        </w:rPr>
      </w:pPr>
      <w:r w:rsidRPr="00AF1366">
        <w:rPr>
          <w:b/>
          <w:bCs/>
        </w:rPr>
        <w:t>Discussion</w:t>
      </w:r>
    </w:p>
    <w:p w14:paraId="1658EE5A" w14:textId="397E635E" w:rsidR="00AF1366" w:rsidRPr="00071604" w:rsidRDefault="002E1B17" w:rsidP="00A511C4">
      <w:pPr>
        <w:rPr>
          <w:rFonts w:cs="Arial"/>
          <w:sz w:val="20"/>
          <w:szCs w:val="20"/>
        </w:rPr>
      </w:pPr>
      <w:r w:rsidRPr="00071604">
        <w:rPr>
          <w:rFonts w:cs="Arial"/>
          <w:sz w:val="20"/>
          <w:szCs w:val="20"/>
        </w:rPr>
        <w:t>To answer Research Question 4, the results indicate that Entain can improve responsible gambling practices through making online and retail gambling sites consistent, training staff, and providing transparent communication. Service-dominant logic helps to justify this approach as it discusses the value creation on the basis of positive interactions between organisations and customers.</w:t>
      </w:r>
      <w:sdt>
        <w:sdtPr>
          <w:rPr>
            <w:rFonts w:cs="Arial"/>
            <w:sz w:val="20"/>
            <w:szCs w:val="20"/>
          </w:rPr>
          <w:id w:val="1977254685"/>
          <w:citation/>
        </w:sdtPr>
        <w:sdtEndPr/>
        <w:sdtContent>
          <w:r w:rsidR="00DE4DBA" w:rsidRPr="00071604">
            <w:rPr>
              <w:rFonts w:cs="Arial"/>
              <w:sz w:val="20"/>
              <w:szCs w:val="20"/>
            </w:rPr>
            <w:fldChar w:fldCharType="begin"/>
          </w:r>
          <w:r w:rsidR="00DE4DBA" w:rsidRPr="00071604">
            <w:rPr>
              <w:rFonts w:cs="Arial"/>
              <w:sz w:val="20"/>
              <w:szCs w:val="20"/>
            </w:rPr>
            <w:instrText xml:space="preserve"> CITATION Var08 \l 16393 </w:instrText>
          </w:r>
          <w:r w:rsidR="00DE4DBA" w:rsidRPr="00071604">
            <w:rPr>
              <w:rFonts w:cs="Arial"/>
              <w:sz w:val="20"/>
              <w:szCs w:val="20"/>
            </w:rPr>
            <w:fldChar w:fldCharType="separate"/>
          </w:r>
          <w:r w:rsidR="00DE4DBA" w:rsidRPr="00071604">
            <w:rPr>
              <w:rFonts w:cs="Arial"/>
              <w:sz w:val="20"/>
              <w:szCs w:val="20"/>
            </w:rPr>
            <w:t xml:space="preserve"> (Vargo, 2008)</w:t>
          </w:r>
          <w:r w:rsidR="00DE4DBA" w:rsidRPr="00071604">
            <w:rPr>
              <w:rFonts w:cs="Arial"/>
              <w:sz w:val="20"/>
              <w:szCs w:val="20"/>
            </w:rPr>
            <w:fldChar w:fldCharType="end"/>
          </w:r>
        </w:sdtContent>
      </w:sdt>
    </w:p>
    <w:p w14:paraId="1DCFDFC1" w14:textId="11DA99A1" w:rsidR="003D1F6F" w:rsidRPr="00781004" w:rsidRDefault="003D1F6F" w:rsidP="00A511C4">
      <w:pPr>
        <w:rPr>
          <w:b/>
          <w:bCs/>
        </w:rPr>
      </w:pPr>
      <w:r w:rsidRPr="00781004">
        <w:rPr>
          <w:b/>
          <w:bCs/>
        </w:rPr>
        <w:t xml:space="preserve">Reflective </w:t>
      </w:r>
      <w:r w:rsidR="002835E2" w:rsidRPr="00781004">
        <w:rPr>
          <w:b/>
          <w:bCs/>
        </w:rPr>
        <w:t xml:space="preserve">Context </w:t>
      </w:r>
      <w:r w:rsidR="00BE64A3" w:rsidRPr="00781004">
        <w:rPr>
          <w:b/>
          <w:bCs/>
        </w:rPr>
        <w:t xml:space="preserve">(Not Research </w:t>
      </w:r>
      <w:r w:rsidR="008A5E4C" w:rsidRPr="00781004">
        <w:rPr>
          <w:b/>
          <w:bCs/>
        </w:rPr>
        <w:t>Data)</w:t>
      </w:r>
    </w:p>
    <w:p w14:paraId="76175F53" w14:textId="4607CBF5" w:rsidR="001E6137" w:rsidRPr="00C46AB0" w:rsidRDefault="008027EB" w:rsidP="00C46AB0">
      <w:pPr>
        <w:rPr>
          <w:rFonts w:cs="Arial"/>
          <w:sz w:val="20"/>
          <w:szCs w:val="20"/>
        </w:rPr>
      </w:pPr>
      <w:r w:rsidRPr="00A23187">
        <w:rPr>
          <w:rFonts w:cs="Arial"/>
          <w:sz w:val="20"/>
          <w:szCs w:val="20"/>
        </w:rPr>
        <w:t>Experience shows that customers of Entain will be more satisfied when both retail and online support staff approach the topic of responsible gambling with confidence and empathy. Such considerations assist in interpreting the results of past researches, and are not accepted as evidence.</w:t>
      </w:r>
      <w:sdt>
        <w:sdtPr>
          <w:rPr>
            <w:rFonts w:cs="Arial"/>
            <w:sz w:val="20"/>
            <w:szCs w:val="20"/>
          </w:rPr>
          <w:id w:val="2099283407"/>
          <w:citation/>
        </w:sdtPr>
        <w:sdtEndPr/>
        <w:sdtContent>
          <w:r w:rsidR="00850B42" w:rsidRPr="00A23187">
            <w:rPr>
              <w:rFonts w:cs="Arial"/>
              <w:sz w:val="20"/>
              <w:szCs w:val="20"/>
            </w:rPr>
            <w:fldChar w:fldCharType="begin"/>
          </w:r>
          <w:r w:rsidR="00850B42" w:rsidRPr="00A23187">
            <w:rPr>
              <w:rFonts w:cs="Arial"/>
              <w:sz w:val="20"/>
              <w:szCs w:val="20"/>
            </w:rPr>
            <w:instrText xml:space="preserve"> CITATION Tho21 \l 16393 </w:instrText>
          </w:r>
          <w:r w:rsidR="00850B42" w:rsidRPr="00A23187">
            <w:rPr>
              <w:rFonts w:cs="Arial"/>
              <w:sz w:val="20"/>
              <w:szCs w:val="20"/>
            </w:rPr>
            <w:fldChar w:fldCharType="separate"/>
          </w:r>
          <w:r w:rsidR="00850B42" w:rsidRPr="00A23187">
            <w:rPr>
              <w:rFonts w:cs="Arial"/>
              <w:sz w:val="20"/>
              <w:szCs w:val="20"/>
            </w:rPr>
            <w:t xml:space="preserve"> (Thomas, 2021)</w:t>
          </w:r>
          <w:r w:rsidR="00850B42" w:rsidRPr="00A23187">
            <w:rPr>
              <w:rFonts w:cs="Arial"/>
              <w:sz w:val="20"/>
              <w:szCs w:val="20"/>
            </w:rPr>
            <w:fldChar w:fldCharType="end"/>
          </w:r>
        </w:sdtContent>
      </w:sdt>
    </w:p>
    <w:p w14:paraId="4AC9D359" w14:textId="45531951" w:rsidR="000E404D" w:rsidRPr="002E60ED" w:rsidRDefault="0028412B" w:rsidP="00827846">
      <w:pPr>
        <w:pStyle w:val="Heading1"/>
        <w:rPr>
          <w:b/>
          <w:bCs/>
          <w:color w:val="000000" w:themeColor="text1"/>
          <w:sz w:val="28"/>
          <w:szCs w:val="28"/>
        </w:rPr>
      </w:pPr>
      <w:bookmarkStart w:id="10" w:name="_Toc217223909"/>
      <w:bookmarkStart w:id="11" w:name="_Toc217225394"/>
      <w:bookmarkStart w:id="12" w:name="_Toc217226064"/>
      <w:r>
        <w:rPr>
          <w:b/>
          <w:bCs/>
          <w:color w:val="000000" w:themeColor="text1"/>
          <w:sz w:val="28"/>
          <w:szCs w:val="28"/>
        </w:rPr>
        <w:t xml:space="preserve">Chapter </w:t>
      </w:r>
      <w:r w:rsidR="003A22D8" w:rsidRPr="002E60ED">
        <w:rPr>
          <w:b/>
          <w:bCs/>
          <w:color w:val="000000" w:themeColor="text1"/>
          <w:sz w:val="28"/>
          <w:szCs w:val="28"/>
        </w:rPr>
        <w:t>5</w:t>
      </w:r>
      <w:r>
        <w:rPr>
          <w:b/>
          <w:bCs/>
          <w:color w:val="000000" w:themeColor="text1"/>
          <w:sz w:val="28"/>
          <w:szCs w:val="28"/>
        </w:rPr>
        <w:t xml:space="preserve">: </w:t>
      </w:r>
      <w:r w:rsidR="00526F4B" w:rsidRPr="002E60ED">
        <w:rPr>
          <w:b/>
          <w:bCs/>
          <w:color w:val="000000" w:themeColor="text1"/>
          <w:sz w:val="28"/>
          <w:szCs w:val="28"/>
        </w:rPr>
        <w:t>Evaluation</w:t>
      </w:r>
      <w:bookmarkEnd w:id="10"/>
      <w:bookmarkEnd w:id="11"/>
      <w:bookmarkEnd w:id="12"/>
      <w:r w:rsidR="00526F4B" w:rsidRPr="002E60ED">
        <w:rPr>
          <w:b/>
          <w:bCs/>
          <w:color w:val="000000" w:themeColor="text1"/>
          <w:sz w:val="28"/>
          <w:szCs w:val="28"/>
        </w:rPr>
        <w:t xml:space="preserve"> </w:t>
      </w:r>
    </w:p>
    <w:p w14:paraId="0BBCBD29" w14:textId="629671E5" w:rsidR="00FA1448" w:rsidRPr="00EF229D" w:rsidRDefault="00FA1448" w:rsidP="00EF229D">
      <w:pPr>
        <w:rPr>
          <w:b/>
          <w:bCs/>
        </w:rPr>
      </w:pPr>
      <w:r w:rsidRPr="00EF229D">
        <w:rPr>
          <w:b/>
          <w:bCs/>
        </w:rPr>
        <w:t xml:space="preserve">5.1 </w:t>
      </w:r>
      <w:r w:rsidR="00AC3768" w:rsidRPr="00EF229D">
        <w:rPr>
          <w:b/>
          <w:bCs/>
        </w:rPr>
        <w:t xml:space="preserve">Introduction </w:t>
      </w:r>
    </w:p>
    <w:p w14:paraId="48FDFB74" w14:textId="3D9F29E7" w:rsidR="00AC3768" w:rsidRPr="00EF229D" w:rsidRDefault="00A2340A" w:rsidP="00A2340A">
      <w:pPr>
        <w:rPr>
          <w:rFonts w:cs="Arial"/>
          <w:sz w:val="20"/>
          <w:szCs w:val="20"/>
        </w:rPr>
      </w:pPr>
      <w:r w:rsidRPr="00EF229D">
        <w:rPr>
          <w:rFonts w:cs="Arial"/>
          <w:sz w:val="20"/>
          <w:szCs w:val="20"/>
        </w:rPr>
        <w:t>This chapter presents a review of the research design and the quality of the study in general in regards to Entain plc. It talks about strengths and limitations, reliability and validity, ethical considerations, and future research recommendations. This critique reflects critical knowledge of the research procedure in the undergraduate level.</w:t>
      </w:r>
      <w:sdt>
        <w:sdtPr>
          <w:rPr>
            <w:rFonts w:cs="Arial"/>
            <w:sz w:val="20"/>
            <w:szCs w:val="20"/>
          </w:rPr>
          <w:id w:val="-1524008357"/>
          <w:citation/>
        </w:sdtPr>
        <w:sdtEndPr/>
        <w:sdtContent>
          <w:r w:rsidR="00951AFB" w:rsidRPr="00EF229D">
            <w:rPr>
              <w:rFonts w:cs="Arial"/>
              <w:sz w:val="20"/>
              <w:szCs w:val="20"/>
            </w:rPr>
            <w:fldChar w:fldCharType="begin"/>
          </w:r>
          <w:r w:rsidR="00951AFB" w:rsidRPr="00EF229D">
            <w:rPr>
              <w:rFonts w:cs="Arial"/>
              <w:sz w:val="20"/>
              <w:szCs w:val="20"/>
            </w:rPr>
            <w:instrText xml:space="preserve"> CITATION Bry16 \l 16393 </w:instrText>
          </w:r>
          <w:r w:rsidR="00951AFB" w:rsidRPr="00EF229D">
            <w:rPr>
              <w:rFonts w:cs="Arial"/>
              <w:sz w:val="20"/>
              <w:szCs w:val="20"/>
            </w:rPr>
            <w:fldChar w:fldCharType="separate"/>
          </w:r>
          <w:r w:rsidR="00951AFB" w:rsidRPr="00EF229D">
            <w:rPr>
              <w:rFonts w:cs="Arial"/>
              <w:sz w:val="20"/>
              <w:szCs w:val="20"/>
            </w:rPr>
            <w:t xml:space="preserve"> (Bryman, 2016)</w:t>
          </w:r>
          <w:r w:rsidR="00951AFB" w:rsidRPr="00EF229D">
            <w:rPr>
              <w:rFonts w:cs="Arial"/>
              <w:sz w:val="20"/>
              <w:szCs w:val="20"/>
            </w:rPr>
            <w:fldChar w:fldCharType="end"/>
          </w:r>
        </w:sdtContent>
      </w:sdt>
    </w:p>
    <w:p w14:paraId="36B1A35F" w14:textId="77777777" w:rsidR="0056353B" w:rsidRDefault="005854C9" w:rsidP="00E31751">
      <w:pPr>
        <w:tabs>
          <w:tab w:val="num" w:pos="720"/>
        </w:tabs>
        <w:rPr>
          <w:rFonts w:cs="Arial"/>
          <w:b/>
          <w:bCs/>
        </w:rPr>
      </w:pPr>
      <w:r w:rsidRPr="00E31751">
        <w:rPr>
          <w:rFonts w:cs="Arial"/>
          <w:b/>
          <w:bCs/>
        </w:rPr>
        <w:t xml:space="preserve">5.2 Strengths of </w:t>
      </w:r>
      <w:r w:rsidR="0056353B" w:rsidRPr="00E31751">
        <w:rPr>
          <w:rFonts w:cs="Arial"/>
          <w:b/>
          <w:bCs/>
        </w:rPr>
        <w:t xml:space="preserve">the Research </w:t>
      </w:r>
    </w:p>
    <w:p w14:paraId="755B9D24" w14:textId="17D5D32A" w:rsidR="00F42C1F" w:rsidRPr="00EF229D" w:rsidRDefault="00F42C1F" w:rsidP="00F42C1F">
      <w:pPr>
        <w:rPr>
          <w:rFonts w:cs="Arial"/>
          <w:sz w:val="20"/>
          <w:szCs w:val="20"/>
        </w:rPr>
      </w:pPr>
      <w:r w:rsidRPr="00EF229D">
        <w:rPr>
          <w:rFonts w:cs="Arial"/>
          <w:sz w:val="20"/>
          <w:szCs w:val="20"/>
        </w:rPr>
        <w:t>The main strength of this paper is that it is limited to Entain plc and its responsible gambling approach on both online and offline platforms. This is permitting the thorough analysis of organisations in a real UK gambling operator. The credibility of the findings is enhanced by means of using various secondary sources, whereas the distinctiveness of evidence and the reflective context enhance methodological transparency.</w:t>
      </w:r>
      <w:sdt>
        <w:sdtPr>
          <w:rPr>
            <w:rFonts w:cs="Arial"/>
            <w:sz w:val="20"/>
            <w:szCs w:val="20"/>
          </w:rPr>
          <w:id w:val="-452557881"/>
          <w:citation/>
        </w:sdtPr>
        <w:sdtEndPr/>
        <w:sdtContent>
          <w:r w:rsidR="0008173A" w:rsidRPr="00EF229D">
            <w:rPr>
              <w:rFonts w:cs="Arial"/>
              <w:sz w:val="20"/>
              <w:szCs w:val="20"/>
            </w:rPr>
            <w:fldChar w:fldCharType="begin"/>
          </w:r>
          <w:r w:rsidR="0008173A" w:rsidRPr="00EF229D">
            <w:rPr>
              <w:rFonts w:cs="Arial"/>
              <w:sz w:val="20"/>
              <w:szCs w:val="20"/>
            </w:rPr>
            <w:instrText xml:space="preserve"> CITATION Tho19 \l 16393 </w:instrText>
          </w:r>
          <w:r w:rsidR="0008173A" w:rsidRPr="00EF229D">
            <w:rPr>
              <w:rFonts w:cs="Arial"/>
              <w:sz w:val="20"/>
              <w:szCs w:val="20"/>
            </w:rPr>
            <w:fldChar w:fldCharType="separate"/>
          </w:r>
          <w:r w:rsidR="0008173A" w:rsidRPr="00EF229D">
            <w:rPr>
              <w:rFonts w:cs="Arial"/>
              <w:sz w:val="20"/>
              <w:szCs w:val="20"/>
            </w:rPr>
            <w:t xml:space="preserve"> (Thornhill, 2019)</w:t>
          </w:r>
          <w:r w:rsidR="0008173A" w:rsidRPr="00EF229D">
            <w:rPr>
              <w:rFonts w:cs="Arial"/>
              <w:sz w:val="20"/>
              <w:szCs w:val="20"/>
            </w:rPr>
            <w:fldChar w:fldCharType="end"/>
          </w:r>
        </w:sdtContent>
      </w:sdt>
    </w:p>
    <w:p w14:paraId="3143DBC1" w14:textId="6F1DDADF" w:rsidR="00F50EA3" w:rsidRDefault="00F50E06" w:rsidP="00F50E06">
      <w:pPr>
        <w:tabs>
          <w:tab w:val="num" w:pos="720"/>
        </w:tabs>
        <w:rPr>
          <w:rFonts w:cs="Arial"/>
          <w:b/>
          <w:bCs/>
        </w:rPr>
      </w:pPr>
      <w:r w:rsidRPr="00F50E06">
        <w:rPr>
          <w:rFonts w:cs="Arial"/>
          <w:b/>
          <w:bCs/>
        </w:rPr>
        <w:t>5.3 Limitations of the research</w:t>
      </w:r>
    </w:p>
    <w:p w14:paraId="1AF37254" w14:textId="3E635B4E" w:rsidR="00F50E06" w:rsidRPr="00EF229D" w:rsidRDefault="00006518" w:rsidP="00006518">
      <w:pPr>
        <w:rPr>
          <w:rFonts w:cs="Arial"/>
          <w:sz w:val="20"/>
          <w:szCs w:val="20"/>
        </w:rPr>
      </w:pPr>
      <w:r w:rsidRPr="00EF229D">
        <w:rPr>
          <w:rFonts w:cs="Arial"/>
          <w:sz w:val="20"/>
          <w:szCs w:val="20"/>
        </w:rPr>
        <w:t>The primary limitation of the study is that no primary data was gathered with the customers of Entain. Since the perception and the loyalty of customers are assumed based on the past research, there is no possibility to test the causal relations empirically</w:t>
      </w:r>
      <w:sdt>
        <w:sdtPr>
          <w:rPr>
            <w:rFonts w:cs="Arial"/>
            <w:sz w:val="20"/>
            <w:szCs w:val="20"/>
          </w:rPr>
          <w:id w:val="-699548368"/>
          <w:citation/>
        </w:sdtPr>
        <w:sdtEndPr/>
        <w:sdtContent>
          <w:r w:rsidR="003A7F0B" w:rsidRPr="00EF229D">
            <w:rPr>
              <w:rFonts w:cs="Arial"/>
              <w:sz w:val="20"/>
              <w:szCs w:val="20"/>
            </w:rPr>
            <w:fldChar w:fldCharType="begin"/>
          </w:r>
          <w:r w:rsidR="003A7F0B" w:rsidRPr="00EF229D">
            <w:rPr>
              <w:rFonts w:cs="Arial"/>
              <w:sz w:val="20"/>
              <w:szCs w:val="20"/>
            </w:rPr>
            <w:instrText xml:space="preserve"> CITATION Bry16 \l 16393 </w:instrText>
          </w:r>
          <w:r w:rsidR="003A7F0B" w:rsidRPr="00EF229D">
            <w:rPr>
              <w:rFonts w:cs="Arial"/>
              <w:sz w:val="20"/>
              <w:szCs w:val="20"/>
            </w:rPr>
            <w:fldChar w:fldCharType="separate"/>
          </w:r>
          <w:r w:rsidR="003A7F0B" w:rsidRPr="00EF229D">
            <w:rPr>
              <w:rFonts w:cs="Arial"/>
              <w:sz w:val="20"/>
              <w:szCs w:val="20"/>
            </w:rPr>
            <w:t xml:space="preserve"> (Bryman, 2016)</w:t>
          </w:r>
          <w:r w:rsidR="003A7F0B" w:rsidRPr="00EF229D">
            <w:rPr>
              <w:rFonts w:cs="Arial"/>
              <w:sz w:val="20"/>
              <w:szCs w:val="20"/>
            </w:rPr>
            <w:fldChar w:fldCharType="end"/>
          </w:r>
        </w:sdtContent>
      </w:sdt>
      <w:r w:rsidRPr="00EF229D">
        <w:rPr>
          <w:rFonts w:cs="Arial"/>
          <w:sz w:val="20"/>
          <w:szCs w:val="20"/>
        </w:rPr>
        <w:t>. Moreover, concentration on one organisation restricts the extrapolation of the results to other organisations other than Entain plc.</w:t>
      </w:r>
    </w:p>
    <w:p w14:paraId="310C3CAB" w14:textId="31AC91AC" w:rsidR="003B2546" w:rsidRDefault="003B2546" w:rsidP="003B2546">
      <w:pPr>
        <w:tabs>
          <w:tab w:val="num" w:pos="720"/>
        </w:tabs>
        <w:rPr>
          <w:rFonts w:cs="Arial"/>
          <w:b/>
          <w:bCs/>
        </w:rPr>
      </w:pPr>
      <w:r w:rsidRPr="003B2546">
        <w:rPr>
          <w:rFonts w:cs="Arial"/>
          <w:b/>
          <w:bCs/>
        </w:rPr>
        <w:t>5.4</w:t>
      </w:r>
      <w:r w:rsidR="001D59EE">
        <w:rPr>
          <w:rFonts w:cs="Arial"/>
          <w:b/>
          <w:bCs/>
        </w:rPr>
        <w:t xml:space="preserve"> Reliab</w:t>
      </w:r>
      <w:r w:rsidR="00715CF5">
        <w:rPr>
          <w:rFonts w:cs="Arial"/>
          <w:b/>
          <w:bCs/>
        </w:rPr>
        <w:t>ility, Validity, Ethics</w:t>
      </w:r>
    </w:p>
    <w:p w14:paraId="717D6B23" w14:textId="6CF03EF7" w:rsidR="004F4389" w:rsidRDefault="004F4389" w:rsidP="004F4389">
      <w:pPr>
        <w:rPr>
          <w:rFonts w:cs="Arial"/>
          <w:sz w:val="20"/>
          <w:szCs w:val="20"/>
        </w:rPr>
      </w:pPr>
      <w:r w:rsidRPr="00EF229D">
        <w:rPr>
          <w:rFonts w:cs="Arial"/>
          <w:sz w:val="20"/>
          <w:szCs w:val="20"/>
        </w:rPr>
        <w:t>The reliability is ensured by applying established academic and regulatory sources. The validity is enhanced by a close correspondence of the research questions to the responsible gambling practices at Entain. Only publicly available data and anonymised professional reflections have been used, with no confidential customer or company information being used to maintain ethical standards.</w:t>
      </w:r>
    </w:p>
    <w:p w14:paraId="675F314C" w14:textId="77777777" w:rsidR="002E60ED" w:rsidRPr="00EF229D" w:rsidRDefault="002E60ED" w:rsidP="004F4389">
      <w:pPr>
        <w:rPr>
          <w:rFonts w:cs="Arial"/>
          <w:sz w:val="20"/>
          <w:szCs w:val="20"/>
        </w:rPr>
      </w:pPr>
    </w:p>
    <w:p w14:paraId="1A20888F" w14:textId="086FE8C6" w:rsidR="00736C0C" w:rsidRDefault="00736C0C" w:rsidP="00093933">
      <w:pPr>
        <w:tabs>
          <w:tab w:val="num" w:pos="720"/>
        </w:tabs>
        <w:rPr>
          <w:rFonts w:cs="Arial"/>
          <w:b/>
          <w:bCs/>
        </w:rPr>
      </w:pPr>
      <w:r w:rsidRPr="00093933">
        <w:rPr>
          <w:rFonts w:cs="Arial"/>
          <w:b/>
          <w:bCs/>
        </w:rPr>
        <w:lastRenderedPageBreak/>
        <w:t xml:space="preserve">5.5 </w:t>
      </w:r>
      <w:r w:rsidR="00516FF6" w:rsidRPr="00093933">
        <w:rPr>
          <w:rFonts w:cs="Arial"/>
          <w:b/>
          <w:bCs/>
        </w:rPr>
        <w:t xml:space="preserve">Recommendations for the future </w:t>
      </w:r>
      <w:r w:rsidR="003D545B" w:rsidRPr="00093933">
        <w:rPr>
          <w:rFonts w:cs="Arial"/>
          <w:b/>
          <w:bCs/>
        </w:rPr>
        <w:t>Research</w:t>
      </w:r>
    </w:p>
    <w:p w14:paraId="774C4223" w14:textId="5450B934" w:rsidR="00EF229D" w:rsidRDefault="00D4598B" w:rsidP="00D4598B">
      <w:pPr>
        <w:rPr>
          <w:rFonts w:cs="Arial"/>
          <w:sz w:val="20"/>
          <w:szCs w:val="20"/>
        </w:rPr>
      </w:pPr>
      <w:r w:rsidRPr="00EF229D">
        <w:rPr>
          <w:rFonts w:cs="Arial"/>
          <w:sz w:val="20"/>
          <w:szCs w:val="20"/>
        </w:rPr>
        <w:t>Further studies may involve interviews or surveys of Entain customers both online and on the retail platform to have a first-hand experience of customer perceptions. This could be strengthened by comparative research with other UK gambling operators or longitudinal research that looks at the change of customer behaviour over time.</w:t>
      </w:r>
      <w:sdt>
        <w:sdtPr>
          <w:rPr>
            <w:rFonts w:cs="Arial"/>
            <w:sz w:val="20"/>
            <w:szCs w:val="20"/>
          </w:rPr>
          <w:id w:val="-1936203930"/>
          <w:citation/>
        </w:sdtPr>
        <w:sdtEndPr/>
        <w:sdtContent>
          <w:r w:rsidR="004F2026" w:rsidRPr="00EF229D">
            <w:rPr>
              <w:rFonts w:cs="Arial"/>
              <w:sz w:val="20"/>
              <w:szCs w:val="20"/>
            </w:rPr>
            <w:fldChar w:fldCharType="begin"/>
          </w:r>
          <w:r w:rsidR="004F2026" w:rsidRPr="00EF229D">
            <w:rPr>
              <w:rFonts w:cs="Arial"/>
              <w:sz w:val="20"/>
              <w:szCs w:val="20"/>
            </w:rPr>
            <w:instrText xml:space="preserve"> CITATION Gai20 \l 16393 </w:instrText>
          </w:r>
          <w:r w:rsidR="004F2026" w:rsidRPr="00EF229D">
            <w:rPr>
              <w:rFonts w:cs="Arial"/>
              <w:sz w:val="20"/>
              <w:szCs w:val="20"/>
            </w:rPr>
            <w:fldChar w:fldCharType="separate"/>
          </w:r>
          <w:r w:rsidR="004F2026" w:rsidRPr="00EF229D">
            <w:rPr>
              <w:rFonts w:cs="Arial"/>
              <w:sz w:val="20"/>
              <w:szCs w:val="20"/>
            </w:rPr>
            <w:t xml:space="preserve"> (Gainsbury, 2020)</w:t>
          </w:r>
          <w:r w:rsidR="004F2026" w:rsidRPr="00EF229D">
            <w:rPr>
              <w:rFonts w:cs="Arial"/>
              <w:sz w:val="20"/>
              <w:szCs w:val="20"/>
            </w:rPr>
            <w:fldChar w:fldCharType="end"/>
          </w:r>
        </w:sdtContent>
      </w:sdt>
    </w:p>
    <w:p w14:paraId="165C9BC3" w14:textId="77777777" w:rsidR="00C1567A" w:rsidRPr="00EF229D" w:rsidRDefault="00C1567A" w:rsidP="00D4598B">
      <w:pPr>
        <w:rPr>
          <w:rFonts w:cs="Arial"/>
          <w:sz w:val="20"/>
          <w:szCs w:val="20"/>
        </w:rPr>
      </w:pPr>
    </w:p>
    <w:p w14:paraId="58171622" w14:textId="36D2E3CE" w:rsidR="00EE2BF0" w:rsidRDefault="00EE2BF0" w:rsidP="00EE2BF0">
      <w:pPr>
        <w:tabs>
          <w:tab w:val="num" w:pos="720"/>
        </w:tabs>
        <w:rPr>
          <w:rFonts w:cs="Arial"/>
          <w:b/>
          <w:bCs/>
        </w:rPr>
      </w:pPr>
      <w:r w:rsidRPr="00EE2BF0">
        <w:rPr>
          <w:rFonts w:cs="Arial"/>
          <w:b/>
          <w:bCs/>
        </w:rPr>
        <w:t>5.6 Conclusion</w:t>
      </w:r>
    </w:p>
    <w:p w14:paraId="7895D18C" w14:textId="339C85A1" w:rsidR="00537681" w:rsidRDefault="009548D7" w:rsidP="009548D7">
      <w:pPr>
        <w:rPr>
          <w:rFonts w:cs="Arial"/>
          <w:sz w:val="20"/>
          <w:szCs w:val="20"/>
        </w:rPr>
      </w:pPr>
      <w:r w:rsidRPr="00EF229D">
        <w:rPr>
          <w:rFonts w:cs="Arial"/>
          <w:sz w:val="20"/>
          <w:szCs w:val="20"/>
        </w:rPr>
        <w:t>This case study concludes that the responsible gambling efforts of Entain plc on the online and retail platforms can have a positive impact on consumer trust, long-term customer loyalty in case they are applied on a regular basis and communicated. Although the research needs more work, the results indicate the significance of responsible gambling approaches that are customer-centric in the functioning of Entain.</w:t>
      </w:r>
      <w:sdt>
        <w:sdtPr>
          <w:rPr>
            <w:rFonts w:cs="Arial"/>
            <w:sz w:val="20"/>
            <w:szCs w:val="20"/>
          </w:rPr>
          <w:id w:val="-1239471197"/>
          <w:citation/>
        </w:sdtPr>
        <w:sdtEndPr/>
        <w:sdtContent>
          <w:r w:rsidR="00B46218" w:rsidRPr="00EF229D">
            <w:rPr>
              <w:rFonts w:cs="Arial"/>
              <w:sz w:val="20"/>
              <w:szCs w:val="20"/>
            </w:rPr>
            <w:fldChar w:fldCharType="begin"/>
          </w:r>
          <w:r w:rsidR="00B46218" w:rsidRPr="00EF229D">
            <w:rPr>
              <w:rFonts w:cs="Arial"/>
              <w:sz w:val="20"/>
              <w:szCs w:val="20"/>
            </w:rPr>
            <w:instrText xml:space="preserve"> CITATION Bry16 \l 16393 </w:instrText>
          </w:r>
          <w:r w:rsidR="00B46218" w:rsidRPr="00EF229D">
            <w:rPr>
              <w:rFonts w:cs="Arial"/>
              <w:sz w:val="20"/>
              <w:szCs w:val="20"/>
            </w:rPr>
            <w:fldChar w:fldCharType="separate"/>
          </w:r>
          <w:r w:rsidR="00B46218" w:rsidRPr="00EF229D">
            <w:rPr>
              <w:rFonts w:cs="Arial"/>
              <w:sz w:val="20"/>
              <w:szCs w:val="20"/>
            </w:rPr>
            <w:t xml:space="preserve"> (Bryman, 2016)</w:t>
          </w:r>
          <w:r w:rsidR="00B46218" w:rsidRPr="00EF229D">
            <w:rPr>
              <w:rFonts w:cs="Arial"/>
              <w:sz w:val="20"/>
              <w:szCs w:val="20"/>
            </w:rPr>
            <w:fldChar w:fldCharType="end"/>
          </w:r>
        </w:sdtContent>
      </w:sdt>
    </w:p>
    <w:p w14:paraId="7551AFAF" w14:textId="372F1A99" w:rsidR="00B64026" w:rsidRPr="006E4FAB" w:rsidRDefault="0070094A" w:rsidP="00827846">
      <w:pPr>
        <w:pStyle w:val="Heading1"/>
        <w:rPr>
          <w:rFonts w:cs="Arial"/>
          <w:b/>
          <w:bCs/>
          <w:color w:val="000000" w:themeColor="text1"/>
          <w:sz w:val="28"/>
          <w:szCs w:val="28"/>
        </w:rPr>
      </w:pPr>
      <w:bookmarkStart w:id="13" w:name="_Toc217223910"/>
      <w:bookmarkStart w:id="14" w:name="_Toc217225395"/>
      <w:bookmarkStart w:id="15" w:name="_Toc217226065"/>
      <w:r>
        <w:rPr>
          <w:rFonts w:cs="Arial"/>
          <w:b/>
          <w:bCs/>
          <w:color w:val="000000" w:themeColor="text1"/>
          <w:sz w:val="28"/>
          <w:szCs w:val="28"/>
        </w:rPr>
        <w:t xml:space="preserve">Chapter </w:t>
      </w:r>
      <w:r w:rsidR="00B64026" w:rsidRPr="006E4FAB">
        <w:rPr>
          <w:rFonts w:cs="Arial"/>
          <w:b/>
          <w:bCs/>
          <w:color w:val="000000" w:themeColor="text1"/>
          <w:sz w:val="28"/>
          <w:szCs w:val="28"/>
        </w:rPr>
        <w:t>6</w:t>
      </w:r>
      <w:r>
        <w:rPr>
          <w:rFonts w:cs="Arial"/>
          <w:b/>
          <w:bCs/>
          <w:color w:val="000000" w:themeColor="text1"/>
          <w:sz w:val="28"/>
          <w:szCs w:val="28"/>
        </w:rPr>
        <w:t>:</w:t>
      </w:r>
      <w:r w:rsidR="00B64026" w:rsidRPr="006E4FAB">
        <w:rPr>
          <w:rFonts w:cs="Arial"/>
          <w:b/>
          <w:bCs/>
          <w:color w:val="000000" w:themeColor="text1"/>
          <w:sz w:val="28"/>
          <w:szCs w:val="28"/>
        </w:rPr>
        <w:t xml:space="preserve"> Conclusion</w:t>
      </w:r>
      <w:bookmarkEnd w:id="13"/>
      <w:bookmarkEnd w:id="14"/>
      <w:bookmarkEnd w:id="15"/>
    </w:p>
    <w:p w14:paraId="16933730" w14:textId="1E257130" w:rsidR="00B56CCB" w:rsidRDefault="00B56CCB" w:rsidP="00B56CCB">
      <w:pPr>
        <w:rPr>
          <w:rFonts w:cs="Arial"/>
          <w:sz w:val="20"/>
          <w:szCs w:val="20"/>
        </w:rPr>
      </w:pPr>
      <w:r w:rsidRPr="00B56CCB">
        <w:rPr>
          <w:rFonts w:cs="Arial"/>
          <w:sz w:val="20"/>
          <w:szCs w:val="20"/>
        </w:rPr>
        <w:t>This dissertation analysed the impact that responsible gambling (RG) programs have on customer loyalty in the United Kingdom gambling industry using Entain plc as a case study. It fills a recognized gap in the current academic literature by examining RG as a source of harm reduction as well as a strategic precondition of trust and long-term customer relationships to a highly regulated environment.</w:t>
      </w:r>
    </w:p>
    <w:p w14:paraId="6273A1C9" w14:textId="130F2571" w:rsidR="00B56CCB" w:rsidRPr="00B56CCB" w:rsidRDefault="00B56CCB" w:rsidP="00B56CCB">
      <w:pPr>
        <w:rPr>
          <w:rFonts w:cs="Arial"/>
          <w:sz w:val="20"/>
          <w:szCs w:val="20"/>
        </w:rPr>
      </w:pPr>
      <w:r w:rsidRPr="00B56CCB">
        <w:rPr>
          <w:rFonts w:cs="Arial"/>
          <w:sz w:val="20"/>
          <w:szCs w:val="20"/>
        </w:rPr>
        <w:t>In theory, the proposed study will make contributions to the existing body of knowledge on responsible gambling and relationship marketing by empirically establishing trust as a central mediating variable between RG initiatives and customer loyalty. Scholarship has mainly focused on discrete behavioural outcomes in the past including reduction of expenditures or frequency of gambling. On the other hand, the present study places RG in a larger context of trust based and stakeholder-oriented frameworks.</w:t>
      </w:r>
    </w:p>
    <w:p w14:paraId="256E1D04" w14:textId="77777777" w:rsidR="00B56CCB" w:rsidRPr="00B56CCB" w:rsidRDefault="00B56CCB" w:rsidP="00B56CCB">
      <w:pPr>
        <w:rPr>
          <w:rFonts w:cs="Arial"/>
          <w:sz w:val="20"/>
          <w:szCs w:val="20"/>
        </w:rPr>
      </w:pPr>
      <w:r w:rsidRPr="00B56CCB">
        <w:rPr>
          <w:rFonts w:cs="Arial"/>
          <w:sz w:val="20"/>
          <w:szCs w:val="20"/>
        </w:rPr>
        <w:t>In a practical sense, the results provide practical advice to casino operators. To begin with, RG initiatives have to be part of the core business strategy and not regarded as compliance requirements. Other programmes, including personalised feedback mechanisms, risk-based interventions, and affordability checks are more effective as supportive programmes. Second, operators should put the investment into staff training to provide the reliability of the delivery of RG interactions in the digital and retail channel with empathy. Third, openness in communication, such as the explanation of the logic of interventions and customer data usage, can significantly affect the development of trust and reduce suspicions of unfair limitation. Together, these practices would help operators to balance between customer protection and commercial sustainability.</w:t>
      </w:r>
    </w:p>
    <w:p w14:paraId="3E3E4E30" w14:textId="77777777" w:rsidR="00B56CCB" w:rsidRPr="00B56CCB" w:rsidRDefault="00B56CCB" w:rsidP="00B56CCB">
      <w:pPr>
        <w:rPr>
          <w:rFonts w:cs="Arial"/>
          <w:sz w:val="20"/>
          <w:szCs w:val="20"/>
        </w:rPr>
      </w:pPr>
      <w:r w:rsidRPr="00B56CCB">
        <w:rPr>
          <w:rFonts w:cs="Arial"/>
          <w:sz w:val="20"/>
          <w:szCs w:val="20"/>
        </w:rPr>
        <w:t>The research also gives pertinent policy implications to policy makers and regulators. The indications are that regulatory systems ought to be inclined towards risk based, proportionate RG strategies and not blanket controls. The policymakers could benefit by supporting the standards that emphasise early intervention, behavioural understanding, and evidence-based instruments, allowing operators to exercise flexibility in its implementation. The promotion of cooperation between the regulatory bodies, the treatment providers, and the industry stakeholders can also strengthen the trust in regulatory frameworks and increase the RG efficacy.</w:t>
      </w:r>
    </w:p>
    <w:p w14:paraId="7B7A12D9" w14:textId="77777777" w:rsidR="00B56CCB" w:rsidRPr="00B56CCB" w:rsidRDefault="00B56CCB" w:rsidP="00B56CCB">
      <w:pPr>
        <w:rPr>
          <w:rFonts w:cs="Arial"/>
          <w:sz w:val="20"/>
          <w:szCs w:val="20"/>
        </w:rPr>
      </w:pPr>
      <w:r w:rsidRPr="00B56CCB">
        <w:rPr>
          <w:rFonts w:cs="Arial"/>
          <w:sz w:val="20"/>
          <w:szCs w:val="20"/>
        </w:rPr>
        <w:t>In the social perspective, the study highlights the macro-level advantages of effective RG strategies. RG initiatives reduce the individual well-being of individuals and social costs related to problem gambling by reducing gambling-related damage and encouraging less harmful gambling practices. As long as the customers believe that the operators are responsible, more confidence in the gambling industry and the regulatory apparatus is enhanced, thus sustaining the legitimacy of the population and social sustainability.</w:t>
      </w:r>
    </w:p>
    <w:p w14:paraId="74E81C08" w14:textId="2E969AC2" w:rsidR="00B56CCB" w:rsidRDefault="00B56CCB" w:rsidP="00B56CCB">
      <w:pPr>
        <w:rPr>
          <w:rFonts w:cs="Arial"/>
          <w:sz w:val="20"/>
          <w:szCs w:val="20"/>
        </w:rPr>
      </w:pPr>
      <w:r w:rsidRPr="00B56CCB">
        <w:rPr>
          <w:rFonts w:cs="Arial"/>
          <w:sz w:val="20"/>
          <w:szCs w:val="20"/>
        </w:rPr>
        <w:lastRenderedPageBreak/>
        <w:t xml:space="preserve">The current study is limited by its use of secondary data and consideration of a single organisation though it has its merits. The insights may be further extended in future studies by using primary data of gamblers, making comparative study of various jurisdictions or studying the results of </w:t>
      </w:r>
      <w:r w:rsidR="00F8443F" w:rsidRPr="00B56CCB">
        <w:rPr>
          <w:rFonts w:cs="Arial"/>
          <w:sz w:val="20"/>
          <w:szCs w:val="20"/>
        </w:rPr>
        <w:t>long-term</w:t>
      </w:r>
      <w:r w:rsidRPr="00B56CCB">
        <w:rPr>
          <w:rFonts w:cs="Arial"/>
          <w:sz w:val="20"/>
          <w:szCs w:val="20"/>
        </w:rPr>
        <w:t xml:space="preserve"> behaviour and attitudes.</w:t>
      </w:r>
    </w:p>
    <w:p w14:paraId="38C068BD" w14:textId="72CB1B6D" w:rsidR="000C179C" w:rsidRPr="00C6082A" w:rsidRDefault="00B56CCB" w:rsidP="00B56CCB">
      <w:pPr>
        <w:rPr>
          <w:rFonts w:cs="Arial"/>
          <w:sz w:val="20"/>
          <w:szCs w:val="20"/>
        </w:rPr>
      </w:pPr>
      <w:r w:rsidRPr="00B56CCB">
        <w:rPr>
          <w:rFonts w:cs="Arial"/>
          <w:sz w:val="20"/>
          <w:szCs w:val="20"/>
        </w:rPr>
        <w:t>Overall, this dissertation proves the fact that responsible gambling programs, implemented in an authentic and strategic manner, can be valuable in theory, practice, and society. Therefore, RG needs not only to be viewed as an obligatory restriction but also as a core of trust-based and sustainable gambling activities.</w:t>
      </w:r>
    </w:p>
    <w:p w14:paraId="35CDE9C7" w14:textId="607A9E7E" w:rsidR="00E77CDA" w:rsidRPr="006E4795" w:rsidRDefault="00E77CDA" w:rsidP="009D0444">
      <w:pPr>
        <w:rPr>
          <w:rFonts w:cs="Arial"/>
          <w:sz w:val="20"/>
          <w:szCs w:val="20"/>
        </w:rPr>
      </w:pPr>
    </w:p>
    <w:sdt>
      <w:sdtPr>
        <w:id w:val="1016739999"/>
        <w:docPartObj>
          <w:docPartGallery w:val="Bibliographies"/>
          <w:docPartUnique/>
        </w:docPartObj>
      </w:sdtPr>
      <w:sdtEndPr>
        <w:rPr>
          <w:rFonts w:asciiTheme="minorHAnsi" w:eastAsiaTheme="minorHAnsi" w:hAnsiTheme="minorHAnsi" w:cstheme="minorBidi"/>
          <w:color w:val="auto"/>
          <w:sz w:val="22"/>
          <w:szCs w:val="22"/>
        </w:rPr>
      </w:sdtEndPr>
      <w:sdtContent>
        <w:p w14:paraId="72D03AA2" w14:textId="34EA5F0E" w:rsidR="005960FD" w:rsidRPr="005960FD" w:rsidRDefault="005960FD">
          <w:pPr>
            <w:pStyle w:val="Heading1"/>
            <w:rPr>
              <w:b/>
              <w:bCs/>
              <w:color w:val="000000" w:themeColor="text1"/>
              <w:sz w:val="32"/>
              <w:szCs w:val="32"/>
            </w:rPr>
          </w:pPr>
          <w:r w:rsidRPr="005960FD">
            <w:rPr>
              <w:b/>
              <w:bCs/>
              <w:color w:val="000000" w:themeColor="text1"/>
              <w:sz w:val="32"/>
              <w:szCs w:val="32"/>
            </w:rPr>
            <w:t>References</w:t>
          </w:r>
        </w:p>
        <w:sdt>
          <w:sdtPr>
            <w:id w:val="-573587230"/>
            <w:bibliography/>
          </w:sdtPr>
          <w:sdtEndPr>
            <w:rPr>
              <w:rFonts w:eastAsiaTheme="minorHAnsi"/>
              <w:kern w:val="2"/>
              <w:lang w:val="en-IN"/>
              <w14:ligatures w14:val="standardContextual"/>
            </w:rPr>
          </w:sdtEndPr>
          <w:sdtContent>
            <w:p w14:paraId="7F54A6A8" w14:textId="77777777" w:rsidR="005960FD" w:rsidRDefault="005960FD" w:rsidP="005960FD">
              <w:pPr>
                <w:pStyle w:val="Bibliography"/>
                <w:rPr>
                  <w:noProof/>
                  <w:sz w:val="24"/>
                  <w:szCs w:val="24"/>
                </w:rPr>
              </w:pPr>
              <w:r>
                <w:fldChar w:fldCharType="begin"/>
              </w:r>
              <w:r>
                <w:instrText xml:space="preserve"> BIBLIOGRAPHY </w:instrText>
              </w:r>
              <w:r>
                <w:fldChar w:fldCharType="separate"/>
              </w:r>
              <w:r>
                <w:rPr>
                  <w:noProof/>
                </w:rPr>
                <w:t xml:space="preserve">Ahmad, R., 2023. Social exchange theory: A systematic review and future research directions. </w:t>
              </w:r>
              <w:r>
                <w:rPr>
                  <w:i/>
                  <w:iCs/>
                  <w:noProof/>
                </w:rPr>
                <w:t xml:space="preserve">Frontiers in Psychology, </w:t>
              </w:r>
              <w:r>
                <w:rPr>
                  <w:noProof/>
                </w:rPr>
                <w:t>Volume 13, p. 1015921.</w:t>
              </w:r>
            </w:p>
            <w:p w14:paraId="6D8A70F7" w14:textId="77777777" w:rsidR="005960FD" w:rsidRDefault="005960FD" w:rsidP="005960FD">
              <w:pPr>
                <w:pStyle w:val="Bibliography"/>
                <w:rPr>
                  <w:noProof/>
                </w:rPr>
              </w:pPr>
              <w:r>
                <w:rPr>
                  <w:noProof/>
                </w:rPr>
                <w:t xml:space="preserve">Alkassim, R. S. M. S. A. E. I., 2016. Comparison of convenience sampling and purposive sampling. </w:t>
              </w:r>
              <w:r>
                <w:rPr>
                  <w:i/>
                  <w:iCs/>
                  <w:noProof/>
                </w:rPr>
                <w:t xml:space="preserve">American Journal of Theoretical and Applied Statistics, </w:t>
              </w:r>
              <w:r>
                <w:rPr>
                  <w:noProof/>
                </w:rPr>
                <w:t>5(1), p. 1–4.</w:t>
              </w:r>
            </w:p>
            <w:p w14:paraId="731CB055" w14:textId="77777777" w:rsidR="005960FD" w:rsidRDefault="005960FD" w:rsidP="005960FD">
              <w:pPr>
                <w:pStyle w:val="Bibliography"/>
                <w:rPr>
                  <w:noProof/>
                </w:rPr>
              </w:pPr>
              <w:r>
                <w:rPr>
                  <w:noProof/>
                </w:rPr>
                <w:t xml:space="preserve">Anon., 01 Feb 2023. </w:t>
              </w:r>
              <w:r>
                <w:rPr>
                  <w:i/>
                  <w:iCs/>
                  <w:noProof/>
                </w:rPr>
                <w:t xml:space="preserve">Entain. </w:t>
              </w:r>
              <w:r>
                <w:rPr>
                  <w:noProof/>
                </w:rPr>
                <w:t xml:space="preserve">[Online] </w:t>
              </w:r>
              <w:r>
                <w:rPr>
                  <w:noProof/>
                </w:rPr>
                <w:br/>
                <w:t xml:space="preserve">Available at: </w:t>
              </w:r>
              <w:r>
                <w:rPr>
                  <w:noProof/>
                  <w:u w:val="single"/>
                </w:rPr>
                <w:t>https://www.entaingroup.com/news-insights/insights/2023/protecting-players-the-entain-way/</w:t>
              </w:r>
              <w:r>
                <w:rPr>
                  <w:noProof/>
                </w:rPr>
                <w:br/>
                <w:t>[Accessed 21st Thursday August 2025].</w:t>
              </w:r>
            </w:p>
            <w:p w14:paraId="2EA5AFC8" w14:textId="77777777" w:rsidR="005960FD" w:rsidRDefault="005960FD" w:rsidP="005960FD">
              <w:pPr>
                <w:pStyle w:val="Bibliography"/>
                <w:rPr>
                  <w:noProof/>
                </w:rPr>
              </w:pPr>
              <w:r>
                <w:rPr>
                  <w:noProof/>
                </w:rPr>
                <w:t xml:space="preserve">Anon., 2022. </w:t>
              </w:r>
              <w:r>
                <w:rPr>
                  <w:i/>
                  <w:iCs/>
                  <w:noProof/>
                </w:rPr>
                <w:t xml:space="preserve">EGBA European Gaming &amp; Betting Association. </w:t>
              </w:r>
              <w:r>
                <w:rPr>
                  <w:noProof/>
                </w:rPr>
                <w:t xml:space="preserve">[Online] </w:t>
              </w:r>
              <w:r>
                <w:rPr>
                  <w:noProof/>
                </w:rPr>
                <w:br/>
                <w:t xml:space="preserve">Available at: </w:t>
              </w:r>
              <w:r>
                <w:rPr>
                  <w:noProof/>
                  <w:u w:val="single"/>
                </w:rPr>
                <w:t>https://www.egba.eu/news-post/entain-advanced-responsibility-care-arc/</w:t>
              </w:r>
              <w:r>
                <w:rPr>
                  <w:noProof/>
                </w:rPr>
                <w:br/>
                <w:t>[Accessed 15th Friday August 2025].</w:t>
              </w:r>
            </w:p>
            <w:p w14:paraId="25554BB9" w14:textId="77777777" w:rsidR="005960FD" w:rsidRDefault="005960FD" w:rsidP="005960FD">
              <w:pPr>
                <w:pStyle w:val="Bibliography"/>
                <w:rPr>
                  <w:noProof/>
                </w:rPr>
              </w:pPr>
              <w:r>
                <w:rPr>
                  <w:noProof/>
                </w:rPr>
                <w:t xml:space="preserve">Anon., 2023. </w:t>
              </w:r>
              <w:r>
                <w:rPr>
                  <w:i/>
                  <w:iCs/>
                  <w:noProof/>
                </w:rPr>
                <w:t xml:space="preserve">Entain. </w:t>
              </w:r>
              <w:r>
                <w:rPr>
                  <w:noProof/>
                </w:rPr>
                <w:t xml:space="preserve">[Online] </w:t>
              </w:r>
              <w:r>
                <w:rPr>
                  <w:noProof/>
                </w:rPr>
                <w:br/>
                <w:t xml:space="preserve">Available at: </w:t>
              </w:r>
              <w:r>
                <w:rPr>
                  <w:noProof/>
                  <w:u w:val="single"/>
                </w:rPr>
                <w:t>https://www.entaingroup.com/news-insights/insights/2023/protecting-players-the-entain-way/</w:t>
              </w:r>
              <w:r>
                <w:rPr>
                  <w:noProof/>
                </w:rPr>
                <w:br/>
                <w:t>[Accessed wednesday 20th August August 2025].</w:t>
              </w:r>
            </w:p>
            <w:p w14:paraId="5446B74C" w14:textId="77777777" w:rsidR="005960FD" w:rsidRDefault="005960FD" w:rsidP="005960FD">
              <w:pPr>
                <w:pStyle w:val="Bibliography"/>
                <w:rPr>
                  <w:noProof/>
                </w:rPr>
              </w:pPr>
              <w:r>
                <w:rPr>
                  <w:noProof/>
                </w:rPr>
                <w:t xml:space="preserve">Anon., 2025. </w:t>
              </w:r>
              <w:r>
                <w:rPr>
                  <w:i/>
                  <w:iCs/>
                  <w:noProof/>
                </w:rPr>
                <w:t xml:space="preserve">SBC NEWS. </w:t>
              </w:r>
              <w:r>
                <w:rPr>
                  <w:noProof/>
                </w:rPr>
                <w:t xml:space="preserve">[Online] </w:t>
              </w:r>
              <w:r>
                <w:rPr>
                  <w:noProof/>
                </w:rPr>
                <w:br/>
                <w:t xml:space="preserve">Available at: </w:t>
              </w:r>
              <w:r>
                <w:rPr>
                  <w:noProof/>
                  <w:u w:val="single"/>
                </w:rPr>
                <w:t>https://sbcnews.co.uk/europe/uk/2025/05/01/gamstop-sucess-uk/</w:t>
              </w:r>
              <w:r>
                <w:rPr>
                  <w:noProof/>
                </w:rPr>
                <w:br/>
                <w:t>[Accessed 20th Wednesday August 2025].</w:t>
              </w:r>
            </w:p>
            <w:p w14:paraId="37F2B634" w14:textId="77777777" w:rsidR="005960FD" w:rsidRDefault="005960FD" w:rsidP="005960FD">
              <w:pPr>
                <w:pStyle w:val="Bibliography"/>
                <w:rPr>
                  <w:noProof/>
                </w:rPr>
              </w:pPr>
              <w:r>
                <w:rPr>
                  <w:noProof/>
                </w:rPr>
                <w:t>Anon., n.d. [Online].</w:t>
              </w:r>
            </w:p>
            <w:p w14:paraId="7544A953" w14:textId="77777777" w:rsidR="005960FD" w:rsidRDefault="005960FD" w:rsidP="005960FD">
              <w:pPr>
                <w:pStyle w:val="Bibliography"/>
                <w:rPr>
                  <w:noProof/>
                </w:rPr>
              </w:pPr>
              <w:r>
                <w:rPr>
                  <w:noProof/>
                </w:rPr>
                <w:t xml:space="preserve">Association, E. G. &amp;. B., 2022. </w:t>
              </w:r>
              <w:r>
                <w:rPr>
                  <w:i/>
                  <w:iCs/>
                  <w:noProof/>
                </w:rPr>
                <w:t xml:space="preserve">Entain: Advanced Responsibility &amp; Care (ARC). </w:t>
              </w:r>
              <w:r>
                <w:rPr>
                  <w:noProof/>
                </w:rPr>
                <w:t xml:space="preserve">[Online] </w:t>
              </w:r>
              <w:r>
                <w:rPr>
                  <w:noProof/>
                </w:rPr>
                <w:br/>
                <w:t xml:space="preserve">Available at: </w:t>
              </w:r>
              <w:r>
                <w:rPr>
                  <w:noProof/>
                  <w:u w:val="single"/>
                </w:rPr>
                <w:t>https://www.egba.eu/news-post/entain-advanced-responsibility-care-arc/?</w:t>
              </w:r>
              <w:r>
                <w:rPr>
                  <w:noProof/>
                </w:rPr>
                <w:br/>
                <w:t>[Accessed 15th Novemebr 2025].</w:t>
              </w:r>
            </w:p>
            <w:p w14:paraId="6620DD72" w14:textId="77777777" w:rsidR="005960FD" w:rsidRDefault="005960FD" w:rsidP="005960FD">
              <w:pPr>
                <w:pStyle w:val="Bibliography"/>
                <w:rPr>
                  <w:noProof/>
                </w:rPr>
              </w:pPr>
              <w:r>
                <w:rPr>
                  <w:noProof/>
                </w:rPr>
                <w:t xml:space="preserve">Auer, M. G. M. D., 2015. The use of personalized behavioral feedback for online gamblers: An empirical study. </w:t>
              </w:r>
              <w:r>
                <w:rPr>
                  <w:i/>
                  <w:iCs/>
                  <w:noProof/>
                </w:rPr>
                <w:t xml:space="preserve">Frontiers in Psychology, </w:t>
              </w:r>
              <w:r>
                <w:rPr>
                  <w:noProof/>
                </w:rPr>
                <w:t>Volume 6, p. 1406.</w:t>
              </w:r>
            </w:p>
            <w:p w14:paraId="15DC47D7" w14:textId="77777777" w:rsidR="005960FD" w:rsidRDefault="005960FD" w:rsidP="005960FD">
              <w:pPr>
                <w:pStyle w:val="Bibliography"/>
                <w:rPr>
                  <w:noProof/>
                </w:rPr>
              </w:pPr>
              <w:r>
                <w:rPr>
                  <w:noProof/>
                </w:rPr>
                <w:t xml:space="preserve">Auer, M. G. M. D., 2016. Self-reported losses versus actual losses in online gambling: An empirical study. </w:t>
              </w:r>
              <w:r>
                <w:rPr>
                  <w:i/>
                  <w:iCs/>
                  <w:noProof/>
                </w:rPr>
                <w:t xml:space="preserve">Journal of Gambling Studies, </w:t>
              </w:r>
              <w:r>
                <w:rPr>
                  <w:noProof/>
                </w:rPr>
                <w:t>32(3), p. 795–806.</w:t>
              </w:r>
            </w:p>
            <w:p w14:paraId="3EBCCC63" w14:textId="77777777" w:rsidR="005960FD" w:rsidRDefault="005960FD" w:rsidP="005960FD">
              <w:pPr>
                <w:pStyle w:val="Bibliography"/>
                <w:rPr>
                  <w:noProof/>
                </w:rPr>
              </w:pPr>
              <w:r>
                <w:rPr>
                  <w:noProof/>
                </w:rPr>
                <w:lastRenderedPageBreak/>
                <w:t xml:space="preserve">Auer, M. M. G. M. D., 2016. Personalized behavioral feedback for online gamblers: A real-world empirical study. </w:t>
              </w:r>
              <w:r>
                <w:rPr>
                  <w:i/>
                  <w:iCs/>
                  <w:noProof/>
                </w:rPr>
                <w:t xml:space="preserve">Frontiers in Psychology, </w:t>
              </w:r>
              <w:r>
                <w:rPr>
                  <w:noProof/>
                </w:rPr>
                <w:t>Volume 7, p. 1875.</w:t>
              </w:r>
            </w:p>
            <w:p w14:paraId="6BF9BE2A" w14:textId="77777777" w:rsidR="005960FD" w:rsidRDefault="005960FD" w:rsidP="005960FD">
              <w:pPr>
                <w:pStyle w:val="Bibliography"/>
                <w:rPr>
                  <w:noProof/>
                </w:rPr>
              </w:pPr>
              <w:r>
                <w:rPr>
                  <w:noProof/>
                </w:rPr>
                <w:t xml:space="preserve">Binde, P., 2014. </w:t>
              </w:r>
              <w:r>
                <w:rPr>
                  <w:i/>
                  <w:iCs/>
                  <w:noProof/>
                </w:rPr>
                <w:t xml:space="preserve">Gambling advertising: A critical research review, </w:t>
              </w:r>
              <w:r>
                <w:rPr>
                  <w:noProof/>
                </w:rPr>
                <w:t>London: Responsible Gambling Trust.</w:t>
              </w:r>
            </w:p>
            <w:p w14:paraId="6701470B" w14:textId="77777777" w:rsidR="005960FD" w:rsidRDefault="005960FD" w:rsidP="005960FD">
              <w:pPr>
                <w:pStyle w:val="Bibliography"/>
                <w:rPr>
                  <w:noProof/>
                </w:rPr>
              </w:pPr>
              <w:r>
                <w:rPr>
                  <w:noProof/>
                </w:rPr>
                <w:t xml:space="preserve">Blaszczynski, A. L. R. S. H., 2011. A science-based framework for responsible gambling. </w:t>
              </w:r>
              <w:r>
                <w:rPr>
                  <w:i/>
                  <w:iCs/>
                  <w:noProof/>
                </w:rPr>
                <w:t xml:space="preserve">Journal of Gambling Studies, </w:t>
              </w:r>
              <w:r>
                <w:rPr>
                  <w:noProof/>
                </w:rPr>
                <w:t>27(2), p. 217–230.</w:t>
              </w:r>
            </w:p>
            <w:p w14:paraId="370F5F84" w14:textId="77777777" w:rsidR="005960FD" w:rsidRDefault="005960FD" w:rsidP="005960FD">
              <w:pPr>
                <w:pStyle w:val="Bibliography"/>
                <w:rPr>
                  <w:noProof/>
                </w:rPr>
              </w:pPr>
              <w:r>
                <w:rPr>
                  <w:noProof/>
                </w:rPr>
                <w:t xml:space="preserve">Bowen, G. A., 2009. Document analysis as a qualitative research method. </w:t>
              </w:r>
              <w:r>
                <w:rPr>
                  <w:i/>
                  <w:iCs/>
                  <w:noProof/>
                </w:rPr>
                <w:t xml:space="preserve">Qualitative Research Journal, </w:t>
              </w:r>
              <w:r>
                <w:rPr>
                  <w:noProof/>
                </w:rPr>
                <w:t>9(2), p. 27–40.</w:t>
              </w:r>
            </w:p>
            <w:p w14:paraId="63D021B8" w14:textId="77777777" w:rsidR="005960FD" w:rsidRDefault="005960FD" w:rsidP="005960FD">
              <w:pPr>
                <w:pStyle w:val="Bibliography"/>
                <w:rPr>
                  <w:noProof/>
                </w:rPr>
              </w:pPr>
              <w:r>
                <w:rPr>
                  <w:noProof/>
                </w:rPr>
                <w:t xml:space="preserve">Browne, M. R. A. H. N., 2019. Risk factors and behavioural indicators of problem gambling. </w:t>
              </w:r>
              <w:r>
                <w:rPr>
                  <w:i/>
                  <w:iCs/>
                  <w:noProof/>
                </w:rPr>
                <w:t xml:space="preserve">Journal of Behavioral Addictions, </w:t>
              </w:r>
              <w:r>
                <w:rPr>
                  <w:noProof/>
                </w:rPr>
                <w:t>8(2), p. 1–15.</w:t>
              </w:r>
            </w:p>
            <w:p w14:paraId="42AA76B8" w14:textId="77777777" w:rsidR="005960FD" w:rsidRDefault="005960FD" w:rsidP="005960FD">
              <w:pPr>
                <w:pStyle w:val="Bibliography"/>
                <w:rPr>
                  <w:noProof/>
                </w:rPr>
              </w:pPr>
              <w:r>
                <w:rPr>
                  <w:noProof/>
                </w:rPr>
                <w:t xml:space="preserve">Bryman, A., 2016. </w:t>
              </w:r>
              <w:r>
                <w:rPr>
                  <w:i/>
                  <w:iCs/>
                  <w:noProof/>
                </w:rPr>
                <w:t xml:space="preserve">Social research methods. </w:t>
              </w:r>
              <w:r>
                <w:rPr>
                  <w:noProof/>
                </w:rPr>
                <w:t>5 ed. Oxford: Oxford University Press.</w:t>
              </w:r>
            </w:p>
            <w:p w14:paraId="209959BF" w14:textId="77777777" w:rsidR="005960FD" w:rsidRDefault="005960FD" w:rsidP="005960FD">
              <w:pPr>
                <w:pStyle w:val="Bibliography"/>
                <w:rPr>
                  <w:noProof/>
                </w:rPr>
              </w:pPr>
              <w:r>
                <w:rPr>
                  <w:noProof/>
                </w:rPr>
                <w:t xml:space="preserve">Creswell, J. W. P. C. N., 2018. </w:t>
              </w:r>
              <w:r>
                <w:rPr>
                  <w:i/>
                  <w:iCs/>
                  <w:noProof/>
                </w:rPr>
                <w:t xml:space="preserve">Qualitative inquiry and research design: Choosing among five approaches. </w:t>
              </w:r>
              <w:r>
                <w:rPr>
                  <w:noProof/>
                </w:rPr>
                <w:t>Thousand Oaks, CA: SAGE.</w:t>
              </w:r>
            </w:p>
            <w:p w14:paraId="3614B341" w14:textId="77777777" w:rsidR="005960FD" w:rsidRDefault="005960FD" w:rsidP="005960FD">
              <w:pPr>
                <w:pStyle w:val="Bibliography"/>
                <w:rPr>
                  <w:noProof/>
                </w:rPr>
              </w:pPr>
              <w:r>
                <w:rPr>
                  <w:noProof/>
                </w:rPr>
                <w:t xml:space="preserve">Cropanzano, R. A. E. D. S. H. A., 2017. Social exchange theory: A critical review with theoretical remedies. </w:t>
              </w:r>
              <w:r>
                <w:rPr>
                  <w:i/>
                  <w:iCs/>
                  <w:noProof/>
                </w:rPr>
                <w:t xml:space="preserve">Academy of Management Annals, </w:t>
              </w:r>
              <w:r>
                <w:rPr>
                  <w:noProof/>
                </w:rPr>
                <w:t>11(1), p. 479–516.</w:t>
              </w:r>
            </w:p>
            <w:p w14:paraId="532D874C" w14:textId="77777777" w:rsidR="005960FD" w:rsidRDefault="005960FD" w:rsidP="005960FD">
              <w:pPr>
                <w:pStyle w:val="Bibliography"/>
                <w:rPr>
                  <w:noProof/>
                </w:rPr>
              </w:pPr>
              <w:r>
                <w:rPr>
                  <w:noProof/>
                </w:rPr>
                <w:t xml:space="preserve">Dick, A. B. K., 1994. Customer loyalty: Toward an integrated conceptual framework. </w:t>
              </w:r>
              <w:r>
                <w:rPr>
                  <w:i/>
                  <w:iCs/>
                  <w:noProof/>
                </w:rPr>
                <w:t xml:space="preserve">Journal of the Academy of Marketing Science, </w:t>
              </w:r>
              <w:r>
                <w:rPr>
                  <w:noProof/>
                </w:rPr>
                <w:t>22(2), p. 99–113.</w:t>
              </w:r>
            </w:p>
            <w:p w14:paraId="14AC61C7" w14:textId="77777777" w:rsidR="005960FD" w:rsidRDefault="005960FD" w:rsidP="005960FD">
              <w:pPr>
                <w:pStyle w:val="Bibliography"/>
                <w:rPr>
                  <w:noProof/>
                </w:rPr>
              </w:pPr>
              <w:r>
                <w:rPr>
                  <w:noProof/>
                </w:rPr>
                <w:t xml:space="preserve">Entain plc, 2021. </w:t>
              </w:r>
              <w:r>
                <w:rPr>
                  <w:i/>
                  <w:iCs/>
                  <w:noProof/>
                </w:rPr>
                <w:t xml:space="preserve">Changing for the Bettor: Sustainability Strategy, </w:t>
              </w:r>
              <w:r>
                <w:rPr>
                  <w:noProof/>
                </w:rPr>
                <w:t>London: Entain plc.</w:t>
              </w:r>
            </w:p>
            <w:p w14:paraId="342FC9BD" w14:textId="77777777" w:rsidR="005960FD" w:rsidRDefault="005960FD" w:rsidP="005960FD">
              <w:pPr>
                <w:pStyle w:val="Bibliography"/>
                <w:rPr>
                  <w:noProof/>
                </w:rPr>
              </w:pPr>
              <w:r>
                <w:rPr>
                  <w:noProof/>
                </w:rPr>
                <w:t xml:space="preserve">Entain plc, 2021. </w:t>
              </w:r>
              <w:r>
                <w:rPr>
                  <w:i/>
                  <w:iCs/>
                  <w:noProof/>
                </w:rPr>
                <w:t xml:space="preserve">Protecting players with ARC™, </w:t>
              </w:r>
              <w:r>
                <w:rPr>
                  <w:noProof/>
                </w:rPr>
                <w:t>London: Entain plc.</w:t>
              </w:r>
            </w:p>
            <w:p w14:paraId="285B2536" w14:textId="77777777" w:rsidR="005960FD" w:rsidRDefault="005960FD" w:rsidP="005960FD">
              <w:pPr>
                <w:pStyle w:val="Bibliography"/>
                <w:rPr>
                  <w:noProof/>
                </w:rPr>
              </w:pPr>
              <w:r>
                <w:rPr>
                  <w:noProof/>
                </w:rPr>
                <w:t xml:space="preserve">ENTAIN PLC, 2021. </w:t>
              </w:r>
              <w:r>
                <w:rPr>
                  <w:i/>
                  <w:iCs/>
                  <w:noProof/>
                </w:rPr>
                <w:t xml:space="preserve">Protecting players with ARC™. </w:t>
              </w:r>
              <w:r>
                <w:rPr>
                  <w:noProof/>
                </w:rPr>
                <w:t xml:space="preserve">[Online] </w:t>
              </w:r>
              <w:r>
                <w:rPr>
                  <w:noProof/>
                </w:rPr>
                <w:br/>
                <w:t xml:space="preserve">Available at: </w:t>
              </w:r>
              <w:r>
                <w:rPr>
                  <w:noProof/>
                  <w:u w:val="single"/>
                </w:rPr>
                <w:t>https://www.entaingroup.com/news-insights/insights/2021/protecting-players-with-arc/</w:t>
              </w:r>
              <w:r>
                <w:rPr>
                  <w:noProof/>
                </w:rPr>
                <w:br/>
                <w:t>[Accessed tuesday,2nd december 2025].</w:t>
              </w:r>
            </w:p>
            <w:p w14:paraId="4BAF6262" w14:textId="77777777" w:rsidR="005960FD" w:rsidRDefault="005960FD" w:rsidP="005960FD">
              <w:pPr>
                <w:pStyle w:val="Bibliography"/>
                <w:rPr>
                  <w:noProof/>
                </w:rPr>
              </w:pPr>
              <w:r>
                <w:rPr>
                  <w:noProof/>
                </w:rPr>
                <w:t xml:space="preserve">Entain Plc, 2022. </w:t>
              </w:r>
              <w:r>
                <w:rPr>
                  <w:i/>
                  <w:iCs/>
                  <w:noProof/>
                </w:rPr>
                <w:t xml:space="preserve">Entain (Entain awarded Advanced Safer Gambling Standard). </w:t>
              </w:r>
              <w:r>
                <w:rPr>
                  <w:noProof/>
                </w:rPr>
                <w:t xml:space="preserve">[Online] </w:t>
              </w:r>
              <w:r>
                <w:rPr>
                  <w:noProof/>
                </w:rPr>
                <w:br/>
                <w:t xml:space="preserve">Available at: </w:t>
              </w:r>
              <w:r>
                <w:rPr>
                  <w:noProof/>
                  <w:u w:val="single"/>
                </w:rPr>
                <w:t>https://www.entaingroup.com/news-insights/latest-news/2022/entain-awarded-advanced-safer-gambling-standard-as-it-leads-the-industry-in-player-protection/?</w:t>
              </w:r>
              <w:r>
                <w:rPr>
                  <w:noProof/>
                </w:rPr>
                <w:br/>
                <w:t>[Accessed 15th, saturday novemebr 2025].</w:t>
              </w:r>
            </w:p>
            <w:p w14:paraId="225E144F" w14:textId="77777777" w:rsidR="005960FD" w:rsidRDefault="005960FD" w:rsidP="005960FD">
              <w:pPr>
                <w:pStyle w:val="Bibliography"/>
                <w:rPr>
                  <w:noProof/>
                </w:rPr>
              </w:pPr>
              <w:r>
                <w:rPr>
                  <w:noProof/>
                </w:rPr>
                <w:t xml:space="preserve">Entain plc, 2023. </w:t>
              </w:r>
              <w:r>
                <w:rPr>
                  <w:i/>
                  <w:iCs/>
                  <w:noProof/>
                </w:rPr>
                <w:t xml:space="preserve">Annual Report and Accounts 2023, </w:t>
              </w:r>
              <w:r>
                <w:rPr>
                  <w:noProof/>
                </w:rPr>
                <w:t>London: Entain plc.</w:t>
              </w:r>
            </w:p>
            <w:p w14:paraId="0E3DD1DA" w14:textId="77777777" w:rsidR="005960FD" w:rsidRDefault="005960FD" w:rsidP="005960FD">
              <w:pPr>
                <w:pStyle w:val="Bibliography"/>
                <w:rPr>
                  <w:noProof/>
                </w:rPr>
              </w:pPr>
              <w:r>
                <w:rPr>
                  <w:noProof/>
                </w:rPr>
                <w:t xml:space="preserve">ENTAIN plc, 2023. </w:t>
              </w:r>
              <w:r>
                <w:rPr>
                  <w:i/>
                  <w:iCs/>
                  <w:noProof/>
                </w:rPr>
                <w:t xml:space="preserve">Annual report and accounts 2023, </w:t>
              </w:r>
              <w:r>
                <w:rPr>
                  <w:noProof/>
                </w:rPr>
                <w:t>London, United Kingdom: Entain plc.</w:t>
              </w:r>
            </w:p>
            <w:p w14:paraId="74A83FAE" w14:textId="77777777" w:rsidR="005960FD" w:rsidRDefault="005960FD" w:rsidP="005960FD">
              <w:pPr>
                <w:pStyle w:val="Bibliography"/>
                <w:rPr>
                  <w:noProof/>
                </w:rPr>
              </w:pPr>
              <w:r>
                <w:rPr>
                  <w:noProof/>
                </w:rPr>
                <w:t xml:space="preserve">Entain plc, 2023. </w:t>
              </w:r>
              <w:r>
                <w:rPr>
                  <w:i/>
                  <w:iCs/>
                  <w:noProof/>
                </w:rPr>
                <w:t xml:space="preserve">Annual Report and Sustainability (ESG) Report 2023, </w:t>
              </w:r>
              <w:r>
                <w:rPr>
                  <w:noProof/>
                </w:rPr>
                <w:t>London: Entain plc.</w:t>
              </w:r>
            </w:p>
            <w:p w14:paraId="759FEBD8" w14:textId="77777777" w:rsidR="005960FD" w:rsidRDefault="005960FD" w:rsidP="005960FD">
              <w:pPr>
                <w:pStyle w:val="Bibliography"/>
                <w:rPr>
                  <w:noProof/>
                </w:rPr>
              </w:pPr>
              <w:r>
                <w:rPr>
                  <w:noProof/>
                </w:rPr>
                <w:t xml:space="preserve">Entain plc, 2023. </w:t>
              </w:r>
              <w:r>
                <w:rPr>
                  <w:i/>
                  <w:iCs/>
                  <w:noProof/>
                </w:rPr>
                <w:t xml:space="preserve">Entain Sustainability &amp; ESG. </w:t>
              </w:r>
              <w:r>
                <w:rPr>
                  <w:noProof/>
                </w:rPr>
                <w:t xml:space="preserve">[Online] </w:t>
              </w:r>
              <w:r>
                <w:rPr>
                  <w:noProof/>
                </w:rPr>
                <w:br/>
                <w:t xml:space="preserve">Available at: </w:t>
              </w:r>
              <w:r>
                <w:rPr>
                  <w:noProof/>
                  <w:u w:val="single"/>
                </w:rPr>
                <w:t>https://www.entaingroup.com/sustainability-esg/safer-betting-and-gaming/</w:t>
              </w:r>
              <w:r>
                <w:rPr>
                  <w:noProof/>
                </w:rPr>
                <w:br/>
                <w:t>[Accessed Friday 7th November 2025].</w:t>
              </w:r>
            </w:p>
            <w:p w14:paraId="1327C491" w14:textId="77777777" w:rsidR="005960FD" w:rsidRDefault="005960FD" w:rsidP="005960FD">
              <w:pPr>
                <w:pStyle w:val="Bibliography"/>
                <w:rPr>
                  <w:noProof/>
                </w:rPr>
              </w:pPr>
              <w:r>
                <w:rPr>
                  <w:noProof/>
                </w:rPr>
                <w:t xml:space="preserve">Entain plc, 2023. </w:t>
              </w:r>
              <w:r>
                <w:rPr>
                  <w:i/>
                  <w:iCs/>
                  <w:noProof/>
                </w:rPr>
                <w:t xml:space="preserve">Protecting players the Entain way, </w:t>
              </w:r>
              <w:r>
                <w:rPr>
                  <w:noProof/>
                </w:rPr>
                <w:t>London: Entain plc.</w:t>
              </w:r>
            </w:p>
            <w:p w14:paraId="77ACB555" w14:textId="77777777" w:rsidR="005960FD" w:rsidRDefault="005960FD" w:rsidP="005960FD">
              <w:pPr>
                <w:pStyle w:val="Bibliography"/>
                <w:rPr>
                  <w:noProof/>
                </w:rPr>
              </w:pPr>
              <w:r>
                <w:rPr>
                  <w:noProof/>
                </w:rPr>
                <w:lastRenderedPageBreak/>
                <w:t xml:space="preserve">Entain plc, 2023. </w:t>
              </w:r>
              <w:r>
                <w:rPr>
                  <w:i/>
                  <w:iCs/>
                  <w:noProof/>
                </w:rPr>
                <w:t xml:space="preserve">Protecting players the Entain way, </w:t>
              </w:r>
              <w:r>
                <w:rPr>
                  <w:noProof/>
                </w:rPr>
                <w:t>London: Entain plc.</w:t>
              </w:r>
            </w:p>
            <w:p w14:paraId="37B562BC" w14:textId="77777777" w:rsidR="005960FD" w:rsidRDefault="005960FD" w:rsidP="005960FD">
              <w:pPr>
                <w:pStyle w:val="Bibliography"/>
                <w:rPr>
                  <w:noProof/>
                </w:rPr>
              </w:pPr>
              <w:r>
                <w:rPr>
                  <w:noProof/>
                </w:rPr>
                <w:t xml:space="preserve">Entain plc, 2024. </w:t>
              </w:r>
              <w:r>
                <w:rPr>
                  <w:i/>
                  <w:iCs/>
                  <w:noProof/>
                </w:rPr>
                <w:t xml:space="preserve">Entain publishes 2023–24 ESG report, </w:t>
              </w:r>
              <w:r>
                <w:rPr>
                  <w:noProof/>
                </w:rPr>
                <w:t>London: Entain plc.</w:t>
              </w:r>
            </w:p>
            <w:p w14:paraId="44998CA8" w14:textId="77777777" w:rsidR="005960FD" w:rsidRDefault="005960FD" w:rsidP="005960FD">
              <w:pPr>
                <w:pStyle w:val="Bibliography"/>
                <w:rPr>
                  <w:noProof/>
                </w:rPr>
              </w:pPr>
              <w:r>
                <w:rPr>
                  <w:noProof/>
                </w:rPr>
                <w:t xml:space="preserve">Entain..plc, n.d. </w:t>
              </w:r>
              <w:r>
                <w:rPr>
                  <w:i/>
                  <w:iCs/>
                  <w:noProof/>
                </w:rPr>
                <w:t xml:space="preserve">Safer betting and gaming. </w:t>
              </w:r>
              <w:r>
                <w:rPr>
                  <w:noProof/>
                </w:rPr>
                <w:t xml:space="preserve">[Online] </w:t>
              </w:r>
              <w:r>
                <w:rPr>
                  <w:noProof/>
                </w:rPr>
                <w:br/>
                <w:t xml:space="preserve">Available at: </w:t>
              </w:r>
              <w:r>
                <w:rPr>
                  <w:noProof/>
                  <w:u w:val="single"/>
                </w:rPr>
                <w:t>https://www.entaingroup.com/sustainability-esg/safer-betting-and-gaming/</w:t>
              </w:r>
              <w:r>
                <w:rPr>
                  <w:noProof/>
                </w:rPr>
                <w:br/>
                <w:t>[Accessed 15th November 2025].</w:t>
              </w:r>
            </w:p>
            <w:p w14:paraId="51B5D203" w14:textId="77777777" w:rsidR="005960FD" w:rsidRDefault="005960FD" w:rsidP="005960FD">
              <w:pPr>
                <w:pStyle w:val="Bibliography"/>
                <w:rPr>
                  <w:noProof/>
                </w:rPr>
              </w:pPr>
              <w:r>
                <w:rPr>
                  <w:noProof/>
                </w:rPr>
                <w:t xml:space="preserve">ENTAIN, n.d. </w:t>
              </w:r>
              <w:r>
                <w:rPr>
                  <w:i/>
                  <w:iCs/>
                  <w:noProof/>
                </w:rPr>
                <w:t xml:space="preserve">ENTAIN(Safer betting and gaming). </w:t>
              </w:r>
              <w:r>
                <w:rPr>
                  <w:noProof/>
                </w:rPr>
                <w:t xml:space="preserve">[Online] </w:t>
              </w:r>
              <w:r>
                <w:rPr>
                  <w:noProof/>
                </w:rPr>
                <w:br/>
                <w:t xml:space="preserve">Available at: </w:t>
              </w:r>
              <w:r>
                <w:rPr>
                  <w:noProof/>
                  <w:u w:val="single"/>
                </w:rPr>
                <w:t>https://www.entaingroup.com/sustainability-esg/safer-betting-and-gaming/</w:t>
              </w:r>
              <w:r>
                <w:rPr>
                  <w:noProof/>
                </w:rPr>
                <w:br/>
                <w:t>[Accessed saturday november 2025].</w:t>
              </w:r>
            </w:p>
            <w:p w14:paraId="474693C8" w14:textId="77777777" w:rsidR="005960FD" w:rsidRDefault="005960FD" w:rsidP="005960FD">
              <w:pPr>
                <w:pStyle w:val="Bibliography"/>
                <w:rPr>
                  <w:noProof/>
                </w:rPr>
              </w:pPr>
              <w:r>
                <w:rPr>
                  <w:noProof/>
                </w:rPr>
                <w:t xml:space="preserve">Felicity K. Lorains, S. C. &amp;. S. A. T., 2011. Prevalence of comorbid disorders in problem gambling. </w:t>
              </w:r>
              <w:r>
                <w:rPr>
                  <w:i/>
                  <w:iCs/>
                  <w:noProof/>
                </w:rPr>
                <w:t xml:space="preserve">Journal of Gambling Studies, </w:t>
              </w:r>
              <w:r>
                <w:rPr>
                  <w:noProof/>
                </w:rPr>
                <w:t>27(2), p. 189–206.</w:t>
              </w:r>
            </w:p>
            <w:p w14:paraId="79A03F90" w14:textId="77777777" w:rsidR="005960FD" w:rsidRDefault="005960FD" w:rsidP="005960FD">
              <w:pPr>
                <w:pStyle w:val="Bibliography"/>
                <w:rPr>
                  <w:noProof/>
                </w:rPr>
              </w:pPr>
              <w:r>
                <w:rPr>
                  <w:noProof/>
                </w:rPr>
                <w:t xml:space="preserve">Freeman, R., 2010. </w:t>
              </w:r>
              <w:r>
                <w:rPr>
                  <w:i/>
                  <w:iCs/>
                  <w:noProof/>
                </w:rPr>
                <w:t xml:space="preserve">Strategic Management: A Stakeholder Approach. </w:t>
              </w:r>
              <w:r>
                <w:rPr>
                  <w:noProof/>
                </w:rPr>
                <w:t>Cambridge: Cambridge University Press.</w:t>
              </w:r>
            </w:p>
            <w:p w14:paraId="13B36456" w14:textId="77777777" w:rsidR="005960FD" w:rsidRDefault="005960FD" w:rsidP="005960FD">
              <w:pPr>
                <w:pStyle w:val="Bibliography"/>
                <w:rPr>
                  <w:noProof/>
                </w:rPr>
              </w:pPr>
              <w:r>
                <w:rPr>
                  <w:noProof/>
                </w:rPr>
                <w:t xml:space="preserve">Freeman, R. E., 1984. </w:t>
              </w:r>
              <w:r>
                <w:rPr>
                  <w:i/>
                  <w:iCs/>
                  <w:noProof/>
                </w:rPr>
                <w:t xml:space="preserve">Strategic management: A stakeholder approach. </w:t>
              </w:r>
              <w:r>
                <w:rPr>
                  <w:noProof/>
                </w:rPr>
                <w:t>Boston: Pitman.</w:t>
              </w:r>
            </w:p>
            <w:p w14:paraId="641CF5CE" w14:textId="77777777" w:rsidR="005960FD" w:rsidRDefault="005960FD" w:rsidP="005960FD">
              <w:pPr>
                <w:pStyle w:val="Bibliography"/>
                <w:rPr>
                  <w:noProof/>
                </w:rPr>
              </w:pPr>
              <w:r>
                <w:rPr>
                  <w:noProof/>
                </w:rPr>
                <w:t xml:space="preserve">Freeman, R. E., 2010. </w:t>
              </w:r>
              <w:r>
                <w:rPr>
                  <w:i/>
                  <w:iCs/>
                  <w:noProof/>
                </w:rPr>
                <w:t xml:space="preserve">Strategic management: A stakeholder approach.. </w:t>
              </w:r>
              <w:r>
                <w:rPr>
                  <w:noProof/>
                </w:rPr>
                <w:t>cambridge, UK: Cambridge university.</w:t>
              </w:r>
            </w:p>
            <w:p w14:paraId="460ED360" w14:textId="77777777" w:rsidR="005960FD" w:rsidRDefault="005960FD" w:rsidP="005960FD">
              <w:pPr>
                <w:pStyle w:val="Bibliography"/>
                <w:rPr>
                  <w:noProof/>
                </w:rPr>
              </w:pPr>
              <w:r>
                <w:rPr>
                  <w:noProof/>
                </w:rPr>
                <w:t xml:space="preserve">Gainsbury, S., 2018. Consumer attitudes towards responsible gambling tools. </w:t>
              </w:r>
              <w:r>
                <w:rPr>
                  <w:i/>
                  <w:iCs/>
                  <w:noProof/>
                </w:rPr>
                <w:t xml:space="preserve">International Gambling Studies, </w:t>
              </w:r>
              <w:r>
                <w:rPr>
                  <w:noProof/>
                </w:rPr>
                <w:t>18(3), p. 404–421.</w:t>
              </w:r>
            </w:p>
            <w:p w14:paraId="41CFE729" w14:textId="77777777" w:rsidR="005960FD" w:rsidRDefault="005960FD" w:rsidP="005960FD">
              <w:pPr>
                <w:pStyle w:val="Bibliography"/>
                <w:rPr>
                  <w:noProof/>
                </w:rPr>
              </w:pPr>
              <w:r>
                <w:rPr>
                  <w:noProof/>
                </w:rPr>
                <w:t xml:space="preserve">Gainsbury, S. M. D. J. L. A., 2020. Use of consumer protection tools in online gambling: Evidence from players. </w:t>
              </w:r>
              <w:r>
                <w:rPr>
                  <w:i/>
                  <w:iCs/>
                  <w:noProof/>
                </w:rPr>
                <w:t xml:space="preserve">International Gambling Studies, </w:t>
              </w:r>
              <w:r>
                <w:rPr>
                  <w:noProof/>
                </w:rPr>
                <w:t>20(2), p. 1–20.</w:t>
              </w:r>
            </w:p>
            <w:p w14:paraId="5FE3EF34" w14:textId="77777777" w:rsidR="005960FD" w:rsidRDefault="005960FD" w:rsidP="005960FD">
              <w:pPr>
                <w:pStyle w:val="Bibliography"/>
                <w:rPr>
                  <w:noProof/>
                </w:rPr>
              </w:pPr>
              <w:r>
                <w:rPr>
                  <w:noProof/>
                </w:rPr>
                <w:t xml:space="preserve">GamCare, 2019. </w:t>
              </w:r>
              <w:r>
                <w:rPr>
                  <w:i/>
                  <w:iCs/>
                  <w:noProof/>
                </w:rPr>
                <w:t xml:space="preserve">Safer gambling standard consultation for industry and wider public, </w:t>
              </w:r>
              <w:r>
                <w:rPr>
                  <w:noProof/>
                </w:rPr>
                <w:t>London: GamCare.</w:t>
              </w:r>
            </w:p>
            <w:p w14:paraId="465C7987" w14:textId="77777777" w:rsidR="005960FD" w:rsidRDefault="005960FD" w:rsidP="005960FD">
              <w:pPr>
                <w:pStyle w:val="Bibliography"/>
                <w:rPr>
                  <w:noProof/>
                </w:rPr>
              </w:pPr>
              <w:r>
                <w:rPr>
                  <w:noProof/>
                </w:rPr>
                <w:t xml:space="preserve">GamCare, 2022. </w:t>
              </w:r>
              <w:r>
                <w:rPr>
                  <w:i/>
                  <w:iCs/>
                  <w:noProof/>
                </w:rPr>
                <w:t xml:space="preserve">GamCare. </w:t>
              </w:r>
              <w:r>
                <w:rPr>
                  <w:noProof/>
                </w:rPr>
                <w:t xml:space="preserve">[Online] </w:t>
              </w:r>
              <w:r>
                <w:rPr>
                  <w:noProof/>
                </w:rPr>
                <w:br/>
                <w:t xml:space="preserve">Available at: </w:t>
              </w:r>
              <w:r>
                <w:rPr>
                  <w:noProof/>
                  <w:u w:val="single"/>
                </w:rPr>
                <w:t>https://www.gamcare.org.uk/news-and-blog/news/gamcares-response-to-the-entain-regulation-settlement/</w:t>
              </w:r>
              <w:r>
                <w:rPr>
                  <w:noProof/>
                </w:rPr>
                <w:br/>
                <w:t>[Accessed Tuesday december 2025].</w:t>
              </w:r>
            </w:p>
            <w:p w14:paraId="64AF0F80" w14:textId="77777777" w:rsidR="005960FD" w:rsidRDefault="005960FD" w:rsidP="005960FD">
              <w:pPr>
                <w:pStyle w:val="Bibliography"/>
                <w:rPr>
                  <w:noProof/>
                </w:rPr>
              </w:pPr>
              <w:r>
                <w:rPr>
                  <w:noProof/>
                </w:rPr>
                <w:t xml:space="preserve">Gamcare, 2022. </w:t>
              </w:r>
              <w:r>
                <w:rPr>
                  <w:i/>
                  <w:iCs/>
                  <w:noProof/>
                </w:rPr>
                <w:t xml:space="preserve">GamCare’s response to the Entain regulation settlement. </w:t>
              </w:r>
              <w:r>
                <w:rPr>
                  <w:noProof/>
                </w:rPr>
                <w:t xml:space="preserve">[Online] </w:t>
              </w:r>
              <w:r>
                <w:rPr>
                  <w:noProof/>
                </w:rPr>
                <w:br/>
                <w:t xml:space="preserve">Available at: </w:t>
              </w:r>
              <w:r>
                <w:rPr>
                  <w:noProof/>
                  <w:u w:val="single"/>
                </w:rPr>
                <w:t>https://www.gamcare.org.uk/news-and-blog/news/gamcares-response-to-the-entain-regulation-settlement/</w:t>
              </w:r>
              <w:r>
                <w:rPr>
                  <w:noProof/>
                </w:rPr>
                <w:br/>
                <w:t>[Accessed 15th saturday november 2025].</w:t>
              </w:r>
            </w:p>
            <w:p w14:paraId="2AF28B13" w14:textId="77777777" w:rsidR="005960FD" w:rsidRDefault="005960FD" w:rsidP="005960FD">
              <w:pPr>
                <w:pStyle w:val="Bibliography"/>
                <w:rPr>
                  <w:noProof/>
                </w:rPr>
              </w:pPr>
              <w:r>
                <w:rPr>
                  <w:noProof/>
                </w:rPr>
                <w:t xml:space="preserve">Hancock, L. S. G., 2017. Critiquing the Reno Model I-IV International Influence on Regulators and Governments (2004–2015)— the Distorted Reality of “Responsible Gambling”. </w:t>
              </w:r>
              <w:r>
                <w:rPr>
                  <w:i/>
                  <w:iCs/>
                  <w:noProof/>
                </w:rPr>
                <w:t xml:space="preserve">International Journal of Mental Health and Addiction, </w:t>
              </w:r>
              <w:r>
                <w:rPr>
                  <w:noProof/>
                </w:rPr>
                <w:t>pp. 1151-1176.</w:t>
              </w:r>
            </w:p>
            <w:p w14:paraId="35CE2F1F" w14:textId="77777777" w:rsidR="005960FD" w:rsidRDefault="005960FD" w:rsidP="005960FD">
              <w:pPr>
                <w:pStyle w:val="Bibliography"/>
                <w:rPr>
                  <w:noProof/>
                </w:rPr>
              </w:pPr>
              <w:r>
                <w:rPr>
                  <w:noProof/>
                </w:rPr>
                <w:t xml:space="preserve">Hing, N. N. E. A. M. T. G. S. M., 2021. Frontline staff perceptions of responsible gambling practices. </w:t>
              </w:r>
              <w:r>
                <w:rPr>
                  <w:i/>
                  <w:iCs/>
                  <w:noProof/>
                </w:rPr>
                <w:t xml:space="preserve">Journal of Business Ethics, </w:t>
              </w:r>
              <w:r>
                <w:rPr>
                  <w:noProof/>
                </w:rPr>
                <w:t>168(1), p. 1–15.</w:t>
              </w:r>
            </w:p>
            <w:p w14:paraId="41F27C39" w14:textId="77777777" w:rsidR="005960FD" w:rsidRDefault="005960FD" w:rsidP="005960FD">
              <w:pPr>
                <w:pStyle w:val="Bibliography"/>
                <w:rPr>
                  <w:noProof/>
                </w:rPr>
              </w:pPr>
              <w:r>
                <w:rPr>
                  <w:noProof/>
                </w:rPr>
                <w:lastRenderedPageBreak/>
                <w:t xml:space="preserve">Hing, N. N. E. R. A. M. T. G. S. M., 2021. Frontline staff perceptions of responsible gambling practices. </w:t>
              </w:r>
              <w:r>
                <w:rPr>
                  <w:i/>
                  <w:iCs/>
                  <w:noProof/>
                </w:rPr>
                <w:t xml:space="preserve">Journal of Business Ethics, </w:t>
              </w:r>
              <w:r>
                <w:rPr>
                  <w:noProof/>
                </w:rPr>
                <w:t>168(1), p. 1–15.</w:t>
              </w:r>
            </w:p>
            <w:p w14:paraId="0E9466E2" w14:textId="77777777" w:rsidR="005960FD" w:rsidRDefault="005960FD" w:rsidP="005960FD">
              <w:pPr>
                <w:pStyle w:val="Bibliography"/>
                <w:rPr>
                  <w:noProof/>
                </w:rPr>
              </w:pPr>
              <w:r>
                <w:rPr>
                  <w:noProof/>
                </w:rPr>
                <w:t xml:space="preserve">Hing, N. R. A. L. E. V. P., 2019. Does the uptake of responsible gambling tools predict gambling harm?. </w:t>
              </w:r>
              <w:r>
                <w:rPr>
                  <w:i/>
                  <w:iCs/>
                  <w:noProof/>
                </w:rPr>
                <w:t xml:space="preserve">Journal of Gambling Studies, </w:t>
              </w:r>
              <w:r>
                <w:rPr>
                  <w:noProof/>
                </w:rPr>
                <w:t>35(2).</w:t>
              </w:r>
            </w:p>
            <w:p w14:paraId="6E3BAD36" w14:textId="77777777" w:rsidR="005960FD" w:rsidRDefault="005960FD" w:rsidP="005960FD">
              <w:pPr>
                <w:pStyle w:val="Bibliography"/>
                <w:rPr>
                  <w:noProof/>
                </w:rPr>
              </w:pPr>
              <w:r>
                <w:rPr>
                  <w:noProof/>
                </w:rPr>
                <w:t xml:space="preserve">Hing, N., Russell, A., Tolchard, B. &amp; Nower, L., 2019. A comparative study of responsible gambling beliefs and behaviours. </w:t>
              </w:r>
              <w:r>
                <w:rPr>
                  <w:i/>
                  <w:iCs/>
                  <w:noProof/>
                </w:rPr>
                <w:t>Journal of Gambling Studies.</w:t>
              </w:r>
            </w:p>
            <w:p w14:paraId="0270EAE7" w14:textId="77777777" w:rsidR="005960FD" w:rsidRDefault="005960FD" w:rsidP="005960FD">
              <w:pPr>
                <w:pStyle w:val="Bibliography"/>
                <w:rPr>
                  <w:noProof/>
                </w:rPr>
              </w:pPr>
              <w:r>
                <w:rPr>
                  <w:noProof/>
                </w:rPr>
                <w:t xml:space="preserve">Icek Ajzen, 1991. The theory of planned behavior. </w:t>
              </w:r>
              <w:r>
                <w:rPr>
                  <w:i/>
                  <w:iCs/>
                  <w:noProof/>
                </w:rPr>
                <w:t xml:space="preserve">Organizational Behavior and Human Decision Processes, </w:t>
              </w:r>
              <w:r>
                <w:rPr>
                  <w:noProof/>
                </w:rPr>
                <w:t>50(2), pp. 179-211.</w:t>
              </w:r>
            </w:p>
            <w:p w14:paraId="40F0642E" w14:textId="77777777" w:rsidR="005960FD" w:rsidRDefault="005960FD" w:rsidP="005960FD">
              <w:pPr>
                <w:pStyle w:val="Bibliography"/>
                <w:rPr>
                  <w:noProof/>
                </w:rPr>
              </w:pPr>
              <w:r>
                <w:rPr>
                  <w:noProof/>
                </w:rPr>
                <w:t xml:space="preserve">iGaming Business, 2024. </w:t>
              </w:r>
              <w:r>
                <w:rPr>
                  <w:i/>
                  <w:iCs/>
                  <w:noProof/>
                </w:rPr>
                <w:t xml:space="preserve">Entain highlights ARC player protection outcomes, </w:t>
              </w:r>
              <w:r>
                <w:rPr>
                  <w:noProof/>
                </w:rPr>
                <w:t>London: iGaming Business.</w:t>
              </w:r>
            </w:p>
            <w:p w14:paraId="613FFE65" w14:textId="77777777" w:rsidR="005960FD" w:rsidRDefault="005960FD" w:rsidP="005960FD">
              <w:pPr>
                <w:pStyle w:val="Bibliography"/>
                <w:rPr>
                  <w:noProof/>
                </w:rPr>
              </w:pPr>
              <w:r>
                <w:rPr>
                  <w:noProof/>
                </w:rPr>
                <w:t xml:space="preserve">Israel, M. H. I., 2006. </w:t>
              </w:r>
              <w:r>
                <w:rPr>
                  <w:i/>
                  <w:iCs/>
                  <w:noProof/>
                </w:rPr>
                <w:t xml:space="preserve">Research ethics for social scientists. </w:t>
              </w:r>
              <w:r>
                <w:rPr>
                  <w:noProof/>
                </w:rPr>
                <w:t>1 ed. London: SAGE.</w:t>
              </w:r>
            </w:p>
            <w:p w14:paraId="6F0F56AF" w14:textId="77777777" w:rsidR="005960FD" w:rsidRDefault="005960FD" w:rsidP="005960FD">
              <w:pPr>
                <w:pStyle w:val="Bibliography"/>
                <w:rPr>
                  <w:noProof/>
                </w:rPr>
              </w:pPr>
              <w:r>
                <w:rPr>
                  <w:noProof/>
                </w:rPr>
                <w:t xml:space="preserve">Johnston, M. P., 2017. Secondary data analysis: A method of which the time has come. </w:t>
              </w:r>
              <w:r>
                <w:rPr>
                  <w:i/>
                  <w:iCs/>
                  <w:noProof/>
                </w:rPr>
                <w:t xml:space="preserve">Qualitative and Quantitative Methods in Libraries, </w:t>
              </w:r>
              <w:r>
                <w:rPr>
                  <w:noProof/>
                </w:rPr>
                <w:t>3(3), p. 619–626.</w:t>
              </w:r>
            </w:p>
            <w:p w14:paraId="3A7D6A4A" w14:textId="77777777" w:rsidR="005960FD" w:rsidRDefault="005960FD" w:rsidP="005960FD">
              <w:pPr>
                <w:pStyle w:val="Bibliography"/>
                <w:rPr>
                  <w:noProof/>
                </w:rPr>
              </w:pPr>
              <w:r>
                <w:rPr>
                  <w:noProof/>
                </w:rPr>
                <w:t xml:space="preserve">Keith Phalp, R. W. E. A.-C. R. B.-E. S. T. S. H. J. M. E. B. K., 2021. </w:t>
              </w:r>
              <w:r>
                <w:rPr>
                  <w:i/>
                  <w:iCs/>
                  <w:noProof/>
                </w:rPr>
                <w:t xml:space="preserve">Transparency in Responsible Gambling: systematic review, </w:t>
              </w:r>
              <w:r>
                <w:rPr>
                  <w:noProof/>
                </w:rPr>
                <w:t>Bournemouth , united kingdom: BU.</w:t>
              </w:r>
            </w:p>
            <w:p w14:paraId="78637651" w14:textId="77777777" w:rsidR="005960FD" w:rsidRDefault="005960FD" w:rsidP="005960FD">
              <w:pPr>
                <w:pStyle w:val="Bibliography"/>
                <w:rPr>
                  <w:noProof/>
                </w:rPr>
              </w:pPr>
              <w:r>
                <w:rPr>
                  <w:noProof/>
                </w:rPr>
                <w:t xml:space="preserve">Ladouceur, R. L. R. S. H. J., 2017. Responsible gambling: A synthesis of the empirical evidence. </w:t>
              </w:r>
              <w:r>
                <w:rPr>
                  <w:i/>
                  <w:iCs/>
                  <w:noProof/>
                </w:rPr>
                <w:t xml:space="preserve">Addiction Research &amp; Theory, </w:t>
              </w:r>
              <w:r>
                <w:rPr>
                  <w:noProof/>
                </w:rPr>
                <w:t>25(3), p. 225–235.</w:t>
              </w:r>
            </w:p>
            <w:p w14:paraId="1ABEEEAD" w14:textId="77777777" w:rsidR="005960FD" w:rsidRDefault="005960FD" w:rsidP="005960FD">
              <w:pPr>
                <w:pStyle w:val="Bibliography"/>
                <w:rPr>
                  <w:noProof/>
                </w:rPr>
              </w:pPr>
              <w:r>
                <w:rPr>
                  <w:noProof/>
                </w:rPr>
                <w:t xml:space="preserve">Macedo, N., 2024. </w:t>
              </w:r>
              <w:r>
                <w:rPr>
                  <w:i/>
                  <w:iCs/>
                  <w:noProof/>
                </w:rPr>
                <w:t xml:space="preserve">Entain player protection tool, </w:t>
              </w:r>
              <w:r>
                <w:rPr>
                  <w:noProof/>
                </w:rPr>
                <w:t>London: iGB.</w:t>
              </w:r>
            </w:p>
            <w:p w14:paraId="29D71008" w14:textId="77777777" w:rsidR="005960FD" w:rsidRDefault="005960FD" w:rsidP="005960FD">
              <w:pPr>
                <w:pStyle w:val="Bibliography"/>
                <w:rPr>
                  <w:noProof/>
                </w:rPr>
              </w:pPr>
              <w:r>
                <w:rPr>
                  <w:noProof/>
                </w:rPr>
                <w:t xml:space="preserve">Michael M Auer, M. D. G., 2016. Personalized Behavioral Feedback for Online Gamblers: A Real World Empirical Study. </w:t>
              </w:r>
              <w:r>
                <w:rPr>
                  <w:i/>
                  <w:iCs/>
                  <w:noProof/>
                </w:rPr>
                <w:t>Frontiers in psychology.</w:t>
              </w:r>
            </w:p>
            <w:p w14:paraId="3A8ECAB0" w14:textId="77777777" w:rsidR="005960FD" w:rsidRDefault="005960FD" w:rsidP="005960FD">
              <w:pPr>
                <w:pStyle w:val="Bibliography"/>
                <w:rPr>
                  <w:noProof/>
                </w:rPr>
              </w:pPr>
              <w:r>
                <w:rPr>
                  <w:noProof/>
                </w:rPr>
                <w:t xml:space="preserve">Morgan, R. &amp; Hunt, S., 1994. The commitment-trust theory of relationship marketing. </w:t>
              </w:r>
              <w:r>
                <w:rPr>
                  <w:i/>
                  <w:iCs/>
                  <w:noProof/>
                </w:rPr>
                <w:t xml:space="preserve">Journal of Marketing, </w:t>
              </w:r>
              <w:r>
                <w:rPr>
                  <w:noProof/>
                </w:rPr>
                <w:t>58(3), p. 20–38.</w:t>
              </w:r>
            </w:p>
            <w:p w14:paraId="13029C3B" w14:textId="77777777" w:rsidR="005960FD" w:rsidRDefault="005960FD" w:rsidP="005960FD">
              <w:pPr>
                <w:pStyle w:val="Bibliography"/>
                <w:rPr>
                  <w:noProof/>
                </w:rPr>
              </w:pPr>
              <w:r>
                <w:rPr>
                  <w:noProof/>
                </w:rPr>
                <w:t xml:space="preserve">Morgan, R. M. H. S. D., 1994. The commitment–trust theory of relationship marketing. </w:t>
              </w:r>
              <w:r>
                <w:rPr>
                  <w:i/>
                  <w:iCs/>
                  <w:noProof/>
                </w:rPr>
                <w:t xml:space="preserve">Journal of Marketing, </w:t>
              </w:r>
              <w:r>
                <w:rPr>
                  <w:noProof/>
                </w:rPr>
                <w:t>58(3), pp. 20-38.</w:t>
              </w:r>
            </w:p>
            <w:p w14:paraId="66303230" w14:textId="77777777" w:rsidR="005960FD" w:rsidRDefault="005960FD" w:rsidP="005960FD">
              <w:pPr>
                <w:pStyle w:val="Bibliography"/>
                <w:rPr>
                  <w:noProof/>
                </w:rPr>
              </w:pPr>
              <w:r>
                <w:rPr>
                  <w:noProof/>
                </w:rPr>
                <w:t xml:space="preserve">Newall, P. W. S. T. A. W. L. C., 2022. Safer gambling tools and consumer trust. </w:t>
              </w:r>
              <w:r>
                <w:rPr>
                  <w:i/>
                  <w:iCs/>
                  <w:noProof/>
                </w:rPr>
                <w:t xml:space="preserve">Behavioral Public Policy, </w:t>
              </w:r>
              <w:r>
                <w:rPr>
                  <w:noProof/>
                </w:rPr>
                <w:t>6(3), p. 1–18.</w:t>
              </w:r>
            </w:p>
            <w:p w14:paraId="62024276" w14:textId="77777777" w:rsidR="005960FD" w:rsidRDefault="005960FD" w:rsidP="005960FD">
              <w:pPr>
                <w:pStyle w:val="Bibliography"/>
                <w:rPr>
                  <w:noProof/>
                </w:rPr>
              </w:pPr>
              <w:r>
                <w:rPr>
                  <w:noProof/>
                </w:rPr>
                <w:t xml:space="preserve">PLC, E., 2022. </w:t>
              </w:r>
              <w:r>
                <w:rPr>
                  <w:i/>
                  <w:iCs/>
                  <w:noProof/>
                </w:rPr>
                <w:t xml:space="preserve">Entain awarded Advanced Safer Gambling Standard. </w:t>
              </w:r>
              <w:r>
                <w:rPr>
                  <w:noProof/>
                </w:rPr>
                <w:t xml:space="preserve">[Online] </w:t>
              </w:r>
              <w:r>
                <w:rPr>
                  <w:noProof/>
                </w:rPr>
                <w:br/>
                <w:t xml:space="preserve">Available at: </w:t>
              </w:r>
              <w:r>
                <w:rPr>
                  <w:noProof/>
                  <w:u w:val="single"/>
                </w:rPr>
                <w:t>https://www.entaingroup.com/news-insights/latest-news/2022/entain-awarded-advanced-safer-gambling-standard-as-it-leads-the-industry-in-player-protection/</w:t>
              </w:r>
              <w:r>
                <w:rPr>
                  <w:noProof/>
                </w:rPr>
                <w:br/>
                <w:t>[Accessed 2 December 2025].</w:t>
              </w:r>
            </w:p>
            <w:p w14:paraId="0BBC9FB5" w14:textId="77777777" w:rsidR="005960FD" w:rsidRDefault="005960FD" w:rsidP="005960FD">
              <w:pPr>
                <w:pStyle w:val="Bibliography"/>
                <w:rPr>
                  <w:noProof/>
                </w:rPr>
              </w:pPr>
              <w:r>
                <w:rPr>
                  <w:noProof/>
                </w:rPr>
                <w:t xml:space="preserve">Racing Post, 2022. </w:t>
              </w:r>
              <w:r>
                <w:rPr>
                  <w:i/>
                  <w:iCs/>
                  <w:noProof/>
                </w:rPr>
                <w:t xml:space="preserve">Ladbrokes Coral owner Entain fined record £17 million over regulatory failures, </w:t>
              </w:r>
              <w:r>
                <w:rPr>
                  <w:noProof/>
                </w:rPr>
                <w:t>London: Racing Post.</w:t>
              </w:r>
            </w:p>
            <w:p w14:paraId="5E479960" w14:textId="77777777" w:rsidR="005960FD" w:rsidRDefault="005960FD" w:rsidP="005960FD">
              <w:pPr>
                <w:pStyle w:val="Bibliography"/>
                <w:rPr>
                  <w:noProof/>
                </w:rPr>
              </w:pPr>
              <w:r>
                <w:rPr>
                  <w:noProof/>
                </w:rPr>
                <w:t xml:space="preserve">Robert Ladouceur, P. S. A. B. &amp;. H. J. S., 2016. Responsible gambling: a synthesis. </w:t>
              </w:r>
              <w:r>
                <w:rPr>
                  <w:i/>
                  <w:iCs/>
                  <w:noProof/>
                </w:rPr>
                <w:t>Addiction Research &amp; Theory.</w:t>
              </w:r>
            </w:p>
            <w:p w14:paraId="7BD3E1AC" w14:textId="77777777" w:rsidR="005960FD" w:rsidRDefault="005960FD" w:rsidP="005960FD">
              <w:pPr>
                <w:pStyle w:val="Bibliography"/>
                <w:rPr>
                  <w:noProof/>
                </w:rPr>
              </w:pPr>
              <w:r>
                <w:rPr>
                  <w:noProof/>
                </w:rPr>
                <w:lastRenderedPageBreak/>
                <w:t xml:space="preserve">Robert M. Morgan, S. D. H., 1994 july. The Commitment-Trust Theory of Relationship Marketing. </w:t>
              </w:r>
              <w:r>
                <w:rPr>
                  <w:i/>
                  <w:iCs/>
                  <w:noProof/>
                </w:rPr>
                <w:t xml:space="preserve">Journal of Marketing, </w:t>
              </w:r>
              <w:r>
                <w:rPr>
                  <w:noProof/>
                </w:rPr>
                <w:t>Volume 58, pp. 20-38.</w:t>
              </w:r>
            </w:p>
            <w:p w14:paraId="0A856F9C" w14:textId="77777777" w:rsidR="005960FD" w:rsidRDefault="005960FD" w:rsidP="005960FD">
              <w:pPr>
                <w:pStyle w:val="Bibliography"/>
                <w:rPr>
                  <w:noProof/>
                </w:rPr>
              </w:pPr>
              <w:r>
                <w:rPr>
                  <w:noProof/>
                </w:rPr>
                <w:t xml:space="preserve">Russell, A. L. E. N. V. P., 2019. Does the uptake of responsible gambling tools predict gambling harm?. </w:t>
              </w:r>
              <w:r>
                <w:rPr>
                  <w:i/>
                  <w:iCs/>
                  <w:noProof/>
                </w:rPr>
                <w:t xml:space="preserve">Journal of Gambling Studies, </w:t>
              </w:r>
              <w:r>
                <w:rPr>
                  <w:noProof/>
                </w:rPr>
                <w:t>35(2).</w:t>
              </w:r>
            </w:p>
            <w:p w14:paraId="3C176B58" w14:textId="77777777" w:rsidR="005960FD" w:rsidRDefault="005960FD" w:rsidP="005960FD">
              <w:pPr>
                <w:pStyle w:val="Bibliography"/>
                <w:rPr>
                  <w:noProof/>
                </w:rPr>
              </w:pPr>
              <w:r>
                <w:rPr>
                  <w:noProof/>
                </w:rPr>
                <w:t xml:space="preserve">Russell, A. M. T. V. P. M. H. N., 2020. Behavioural responses to gambling harm minimisation strategies. </w:t>
              </w:r>
              <w:r>
                <w:rPr>
                  <w:i/>
                  <w:iCs/>
                  <w:noProof/>
                </w:rPr>
                <w:t xml:space="preserve">Addictive Behaviors, </w:t>
              </w:r>
              <w:r>
                <w:rPr>
                  <w:noProof/>
                </w:rPr>
                <w:t>Volume 102, p. 106–118.</w:t>
              </w:r>
            </w:p>
            <w:p w14:paraId="697DE73B" w14:textId="77777777" w:rsidR="005960FD" w:rsidRDefault="005960FD" w:rsidP="005960FD">
              <w:pPr>
                <w:pStyle w:val="Bibliography"/>
                <w:rPr>
                  <w:noProof/>
                </w:rPr>
              </w:pPr>
              <w:r>
                <w:rPr>
                  <w:noProof/>
                </w:rPr>
                <w:t xml:space="preserve">Saunders, M. N. K., Lewis, P. &amp; Thornhill, A., 2023. </w:t>
              </w:r>
              <w:r>
                <w:rPr>
                  <w:i/>
                  <w:iCs/>
                  <w:noProof/>
                </w:rPr>
                <w:t xml:space="preserve">Research Methods for Business Students. </w:t>
              </w:r>
              <w:r>
                <w:rPr>
                  <w:noProof/>
                </w:rPr>
                <w:t>9 ed. Harlow / London / New York: Pearson Higher Education.</w:t>
              </w:r>
            </w:p>
            <w:p w14:paraId="1E1CC197" w14:textId="77777777" w:rsidR="005960FD" w:rsidRDefault="005960FD" w:rsidP="005960FD">
              <w:pPr>
                <w:pStyle w:val="Bibliography"/>
                <w:rPr>
                  <w:noProof/>
                </w:rPr>
              </w:pPr>
              <w:r>
                <w:rPr>
                  <w:noProof/>
                </w:rPr>
                <w:t xml:space="preserve">Shelby Hunt, D. M. R. M., 1994. The commitment–trust theory of relationship marketing. </w:t>
              </w:r>
              <w:r>
                <w:rPr>
                  <w:i/>
                  <w:iCs/>
                  <w:noProof/>
                </w:rPr>
                <w:t xml:space="preserve">Journal of Marketing, </w:t>
              </w:r>
              <w:r>
                <w:rPr>
                  <w:noProof/>
                </w:rPr>
                <w:t>58(3), p. 20–38.</w:t>
              </w:r>
            </w:p>
            <w:p w14:paraId="503B7AB2" w14:textId="77777777" w:rsidR="005960FD" w:rsidRDefault="005960FD" w:rsidP="005960FD">
              <w:pPr>
                <w:pStyle w:val="Bibliography"/>
                <w:rPr>
                  <w:noProof/>
                </w:rPr>
              </w:pPr>
              <w:r>
                <w:rPr>
                  <w:noProof/>
                </w:rPr>
                <w:t xml:space="preserve">Tetrevova, l., 2023. </w:t>
              </w:r>
              <w:r>
                <w:rPr>
                  <w:i/>
                  <w:iCs/>
                  <w:noProof/>
                </w:rPr>
                <w:t xml:space="preserve">A systematic review on corporate social responsibility in the gaming industry, </w:t>
              </w:r>
              <w:r>
                <w:rPr>
                  <w:noProof/>
                </w:rPr>
                <w:t>https://www.greo.ca/Modules/EvidenceCentre/files/Tetrevova%20%282023%29_Corporate%20social%20responsibility%20in%20the%20gambling%20industry_final.pdf?: Greo.</w:t>
              </w:r>
            </w:p>
            <w:p w14:paraId="14DEEB63" w14:textId="77777777" w:rsidR="005960FD" w:rsidRDefault="005960FD" w:rsidP="005960FD">
              <w:pPr>
                <w:pStyle w:val="Bibliography"/>
                <w:rPr>
                  <w:noProof/>
                </w:rPr>
              </w:pPr>
              <w:r>
                <w:rPr>
                  <w:noProof/>
                </w:rPr>
                <w:t xml:space="preserve">Tetrevova, L., 2023. Corporate social responsibility in the gambling industry: A systematic review and conceptual framework. </w:t>
              </w:r>
              <w:r>
                <w:rPr>
                  <w:i/>
                  <w:iCs/>
                  <w:noProof/>
                </w:rPr>
                <w:t xml:space="preserve">International Gambling Studies, </w:t>
              </w:r>
              <w:r>
                <w:rPr>
                  <w:noProof/>
                </w:rPr>
                <w:t>Volume 23(Issue 3), pp. Pages 518-538.</w:t>
              </w:r>
            </w:p>
            <w:p w14:paraId="46F8FDF2" w14:textId="77777777" w:rsidR="005960FD" w:rsidRDefault="005960FD" w:rsidP="005960FD">
              <w:pPr>
                <w:pStyle w:val="Bibliography"/>
                <w:rPr>
                  <w:noProof/>
                </w:rPr>
              </w:pPr>
              <w:r>
                <w:rPr>
                  <w:noProof/>
                </w:rPr>
                <w:t xml:space="preserve">Thomas, A. P. H. B. A. R. M., 2021. Responsible gambling communication and customer trust. </w:t>
              </w:r>
              <w:r>
                <w:rPr>
                  <w:i/>
                  <w:iCs/>
                  <w:noProof/>
                </w:rPr>
                <w:t xml:space="preserve">Journal of Consumer Policy, </w:t>
              </w:r>
              <w:r>
                <w:rPr>
                  <w:noProof/>
                </w:rPr>
                <w:t>44(2), p. 1–21.</w:t>
              </w:r>
            </w:p>
            <w:p w14:paraId="5933039B" w14:textId="77777777" w:rsidR="005960FD" w:rsidRDefault="005960FD" w:rsidP="005960FD">
              <w:pPr>
                <w:pStyle w:val="Bibliography"/>
                <w:rPr>
                  <w:noProof/>
                </w:rPr>
              </w:pPr>
              <w:r>
                <w:rPr>
                  <w:noProof/>
                </w:rPr>
                <w:t xml:space="preserve">Thornhill, A. L. P. S. M., 2019. </w:t>
              </w:r>
              <w:r>
                <w:rPr>
                  <w:i/>
                  <w:iCs/>
                  <w:noProof/>
                </w:rPr>
                <w:t xml:space="preserve">Research methods for business students. </w:t>
              </w:r>
              <w:r>
                <w:rPr>
                  <w:noProof/>
                </w:rPr>
                <w:t>8 ed. Harlow: Pearson Education.</w:t>
              </w:r>
            </w:p>
            <w:p w14:paraId="151E3138" w14:textId="77777777" w:rsidR="005960FD" w:rsidRDefault="005960FD" w:rsidP="005960FD">
              <w:pPr>
                <w:pStyle w:val="Bibliography"/>
                <w:rPr>
                  <w:noProof/>
                </w:rPr>
              </w:pPr>
              <w:r>
                <w:rPr>
                  <w:noProof/>
                </w:rPr>
                <w:t xml:space="preserve">UK Gambling Commission, 2023. </w:t>
              </w:r>
              <w:r>
                <w:rPr>
                  <w:i/>
                  <w:iCs/>
                  <w:noProof/>
                </w:rPr>
                <w:t xml:space="preserve">Licence conditions and codes of practice, </w:t>
              </w:r>
              <w:r>
                <w:rPr>
                  <w:noProof/>
                </w:rPr>
                <w:t>Birmingham: UK Gambling Commission.</w:t>
              </w:r>
            </w:p>
            <w:p w14:paraId="4252F800" w14:textId="77777777" w:rsidR="005960FD" w:rsidRDefault="005960FD" w:rsidP="005960FD">
              <w:pPr>
                <w:pStyle w:val="Bibliography"/>
                <w:rPr>
                  <w:noProof/>
                </w:rPr>
              </w:pPr>
              <w:r>
                <w:rPr>
                  <w:noProof/>
                </w:rPr>
                <w:t xml:space="preserve">UK Gambling Commission, 2025. </w:t>
              </w:r>
              <w:r>
                <w:rPr>
                  <w:i/>
                  <w:iCs/>
                  <w:noProof/>
                </w:rPr>
                <w:t xml:space="preserve">UK Gambling Commission, </w:t>
              </w:r>
              <w:r>
                <w:rPr>
                  <w:noProof/>
                </w:rPr>
                <w:t>UK Gambling Commission: UK Gambling Commission.</w:t>
              </w:r>
            </w:p>
            <w:p w14:paraId="0400FCDC" w14:textId="77777777" w:rsidR="005960FD" w:rsidRDefault="005960FD" w:rsidP="005960FD">
              <w:pPr>
                <w:pStyle w:val="Bibliography"/>
                <w:rPr>
                  <w:noProof/>
                </w:rPr>
              </w:pPr>
              <w:r>
                <w:rPr>
                  <w:noProof/>
                </w:rPr>
                <w:t xml:space="preserve">Vargo, S. L. L. R. F., 2008. Service-dominant logic: Continuing the evolution. </w:t>
              </w:r>
              <w:r>
                <w:rPr>
                  <w:i/>
                  <w:iCs/>
                  <w:noProof/>
                </w:rPr>
                <w:t xml:space="preserve">Journal of the Academy of Marketing Science, </w:t>
              </w:r>
              <w:r>
                <w:rPr>
                  <w:noProof/>
                </w:rPr>
                <w:t>36(1), p. 1–10.</w:t>
              </w:r>
            </w:p>
            <w:p w14:paraId="34F123C4" w14:textId="77777777" w:rsidR="005960FD" w:rsidRDefault="005960FD" w:rsidP="005960FD">
              <w:pPr>
                <w:pStyle w:val="Bibliography"/>
                <w:rPr>
                  <w:noProof/>
                </w:rPr>
              </w:pPr>
              <w:r>
                <w:rPr>
                  <w:noProof/>
                </w:rPr>
                <w:t xml:space="preserve">Virginia Braun, V. C., 2006. Using thematic analysis in psychology. </w:t>
              </w:r>
              <w:r>
                <w:rPr>
                  <w:i/>
                  <w:iCs/>
                  <w:noProof/>
                </w:rPr>
                <w:t xml:space="preserve">Qualitative Research in Psychology, </w:t>
              </w:r>
              <w:r>
                <w:rPr>
                  <w:noProof/>
                </w:rPr>
                <w:t>p. 77–101.</w:t>
              </w:r>
            </w:p>
            <w:p w14:paraId="21F5F79D" w14:textId="77777777" w:rsidR="005960FD" w:rsidRDefault="005960FD" w:rsidP="005960FD">
              <w:pPr>
                <w:pStyle w:val="Bibliography"/>
                <w:rPr>
                  <w:noProof/>
                </w:rPr>
              </w:pPr>
              <w:r>
                <w:rPr>
                  <w:noProof/>
                </w:rPr>
                <w:t xml:space="preserve">Wang, R., Bush-Evans, R., Arden-Close, E., Thomas, S., Hodge, S., McAlaney, J., Bolat, E. and Phalp, K. T., 2021. , 2021. </w:t>
              </w:r>
              <w:r>
                <w:rPr>
                  <w:i/>
                  <w:iCs/>
                  <w:noProof/>
                </w:rPr>
                <w:t xml:space="preserve">Transparency in Responsible Gambling: A Systematic Review, </w:t>
              </w:r>
              <w:r>
                <w:rPr>
                  <w:noProof/>
                </w:rPr>
                <w:t>Poole, England: Bournemouth university.</w:t>
              </w:r>
            </w:p>
            <w:p w14:paraId="7428FA9A" w14:textId="77777777" w:rsidR="005960FD" w:rsidRDefault="005960FD" w:rsidP="005960FD">
              <w:pPr>
                <w:pStyle w:val="Bibliography"/>
                <w:rPr>
                  <w:noProof/>
                </w:rPr>
              </w:pPr>
              <w:r>
                <w:rPr>
                  <w:noProof/>
                </w:rPr>
                <w:t xml:space="preserve">Wang, R. et al., 2021. </w:t>
              </w:r>
              <w:r>
                <w:rPr>
                  <w:i/>
                  <w:iCs/>
                  <w:noProof/>
                </w:rPr>
                <w:t xml:space="preserve">Transparency in Responsible Gambling: A Systematic Review, </w:t>
              </w:r>
              <w:r>
                <w:rPr>
                  <w:noProof/>
                </w:rPr>
                <w:t>Bournemouth, UK: BU.</w:t>
              </w:r>
            </w:p>
            <w:p w14:paraId="6322EB77" w14:textId="77777777" w:rsidR="005960FD" w:rsidRDefault="005960FD" w:rsidP="005960FD">
              <w:pPr>
                <w:pStyle w:val="Bibliography"/>
                <w:rPr>
                  <w:noProof/>
                </w:rPr>
              </w:pPr>
              <w:r>
                <w:rPr>
                  <w:noProof/>
                </w:rPr>
                <w:lastRenderedPageBreak/>
                <w:t xml:space="preserve">Wardle, H. /. D. L. /. M. V. /. R. G. /. L. C. /. S. M. /. T. L. /. B. B. /. B. C. /. F. M. /. K. V. /. P. V. /. Q. J. /. R. J. /. R. A. /. S. M. /. S. J. /. S. K. /. U. D., 2024. The Lancet Public Health Commission on gambling. </w:t>
              </w:r>
              <w:r>
                <w:rPr>
                  <w:i/>
                  <w:iCs/>
                  <w:noProof/>
                </w:rPr>
                <w:t xml:space="preserve">The Lancet Public Health, </w:t>
              </w:r>
              <w:r>
                <w:rPr>
                  <w:noProof/>
                </w:rPr>
                <w:t>9(11), p. e950–e994.</w:t>
              </w:r>
            </w:p>
            <w:p w14:paraId="4DB02872" w14:textId="77777777" w:rsidR="005960FD" w:rsidRDefault="005960FD" w:rsidP="005960FD">
              <w:pPr>
                <w:pStyle w:val="Bibliography"/>
                <w:rPr>
                  <w:noProof/>
                </w:rPr>
              </w:pPr>
              <w:r>
                <w:rPr>
                  <w:noProof/>
                </w:rPr>
                <w:t xml:space="preserve">Wardle, H., 2020. Gambling harm and public health. </w:t>
              </w:r>
              <w:r>
                <w:rPr>
                  <w:i/>
                  <w:iCs/>
                  <w:noProof/>
                </w:rPr>
                <w:t xml:space="preserve">BMJ, </w:t>
              </w:r>
              <w:r>
                <w:rPr>
                  <w:noProof/>
                </w:rPr>
                <w:t>Volume 370, p. m3464.</w:t>
              </w:r>
            </w:p>
            <w:p w14:paraId="7A0C6CAF" w14:textId="77777777" w:rsidR="005960FD" w:rsidRDefault="005960FD" w:rsidP="005960FD">
              <w:pPr>
                <w:pStyle w:val="Bibliography"/>
                <w:rPr>
                  <w:noProof/>
                </w:rPr>
              </w:pPr>
              <w:r>
                <w:rPr>
                  <w:noProof/>
                </w:rPr>
                <w:t xml:space="preserve">Wardle, H., 2020. Regulatory responses to gambling-related harm. </w:t>
              </w:r>
              <w:r>
                <w:rPr>
                  <w:i/>
                  <w:iCs/>
                  <w:noProof/>
                </w:rPr>
                <w:t xml:space="preserve">Addiction, </w:t>
              </w:r>
              <w:r>
                <w:rPr>
                  <w:noProof/>
                </w:rPr>
                <w:t>115(11), p. 2031–2033.</w:t>
              </w:r>
            </w:p>
            <w:p w14:paraId="49B27C85" w14:textId="77777777" w:rsidR="005960FD" w:rsidRDefault="005960FD" w:rsidP="005960FD">
              <w:pPr>
                <w:pStyle w:val="Bibliography"/>
                <w:rPr>
                  <w:noProof/>
                </w:rPr>
              </w:pPr>
              <w:r>
                <w:rPr>
                  <w:noProof/>
                </w:rPr>
                <w:t xml:space="preserve">Wardle, H., 2020. The role of responsible gambling in protecting consumers. </w:t>
              </w:r>
              <w:r>
                <w:rPr>
                  <w:i/>
                  <w:iCs/>
                  <w:noProof/>
                </w:rPr>
                <w:t>The Lancet Public Health.</w:t>
              </w:r>
            </w:p>
            <w:p w14:paraId="5F5FD966" w14:textId="77777777" w:rsidR="005960FD" w:rsidRDefault="005960FD" w:rsidP="005960FD">
              <w:pPr>
                <w:pStyle w:val="Bibliography"/>
                <w:rPr>
                  <w:noProof/>
                </w:rPr>
              </w:pPr>
              <w:r>
                <w:rPr>
                  <w:noProof/>
                </w:rPr>
                <w:t xml:space="preserve">Yin, R. K., 2018. </w:t>
              </w:r>
              <w:r>
                <w:rPr>
                  <w:i/>
                  <w:iCs/>
                  <w:noProof/>
                </w:rPr>
                <w:t xml:space="preserve">Case study research and applications: Design and methods. </w:t>
              </w:r>
              <w:r>
                <w:rPr>
                  <w:noProof/>
                </w:rPr>
                <w:t>6 ed. Thousand Oaks, CA: SAGE.</w:t>
              </w:r>
            </w:p>
            <w:p w14:paraId="39665E60" w14:textId="34A18EA7" w:rsidR="005960FD" w:rsidRDefault="005960FD" w:rsidP="005960FD">
              <w:r>
                <w:rPr>
                  <w:b/>
                  <w:bCs/>
                  <w:noProof/>
                </w:rPr>
                <w:fldChar w:fldCharType="end"/>
              </w:r>
            </w:p>
          </w:sdtContent>
        </w:sdt>
      </w:sdtContent>
    </w:sdt>
    <w:p w14:paraId="149A48AB" w14:textId="48C1181D" w:rsidR="00253EDE" w:rsidRDefault="00253EDE" w:rsidP="006020B7">
      <w:pPr>
        <w:pStyle w:val="Heading1"/>
      </w:pPr>
    </w:p>
    <w:p w14:paraId="78DC5628" w14:textId="77777777" w:rsidR="001C4036" w:rsidRPr="001C4036" w:rsidRDefault="001C4036" w:rsidP="005102F7">
      <w:pPr>
        <w:tabs>
          <w:tab w:val="num" w:pos="720"/>
        </w:tabs>
        <w:rPr>
          <w:rFonts w:cs="Arial"/>
          <w:b/>
          <w:bCs/>
          <w:sz w:val="24"/>
          <w:szCs w:val="24"/>
        </w:rPr>
      </w:pPr>
    </w:p>
    <w:p w14:paraId="3822D045" w14:textId="77777777" w:rsidR="001C4036" w:rsidRDefault="001C4036" w:rsidP="005102F7">
      <w:pPr>
        <w:tabs>
          <w:tab w:val="num" w:pos="720"/>
        </w:tabs>
        <w:rPr>
          <w:rFonts w:ascii="Arial" w:hAnsi="Arial" w:cs="Arial"/>
          <w:sz w:val="24"/>
          <w:szCs w:val="24"/>
        </w:rPr>
      </w:pPr>
    </w:p>
    <w:p w14:paraId="5BE9CCEB" w14:textId="77777777" w:rsidR="00E96218" w:rsidRDefault="00E96218" w:rsidP="005102F7">
      <w:pPr>
        <w:tabs>
          <w:tab w:val="num" w:pos="720"/>
        </w:tabs>
        <w:rPr>
          <w:rFonts w:ascii="Arial" w:hAnsi="Arial" w:cs="Arial"/>
          <w:sz w:val="24"/>
          <w:szCs w:val="24"/>
        </w:rPr>
      </w:pPr>
    </w:p>
    <w:p w14:paraId="1A88A7E9" w14:textId="77777777" w:rsidR="00E96218" w:rsidRDefault="00E96218" w:rsidP="005102F7">
      <w:pPr>
        <w:tabs>
          <w:tab w:val="num" w:pos="720"/>
        </w:tabs>
        <w:rPr>
          <w:rFonts w:ascii="Arial" w:hAnsi="Arial" w:cs="Arial"/>
          <w:sz w:val="24"/>
          <w:szCs w:val="24"/>
        </w:rPr>
      </w:pPr>
    </w:p>
    <w:p w14:paraId="5ED53705" w14:textId="77777777" w:rsidR="00E96218" w:rsidRDefault="00E96218" w:rsidP="005102F7">
      <w:pPr>
        <w:tabs>
          <w:tab w:val="num" w:pos="720"/>
        </w:tabs>
        <w:rPr>
          <w:rFonts w:ascii="Arial" w:hAnsi="Arial" w:cs="Arial"/>
          <w:sz w:val="24"/>
          <w:szCs w:val="24"/>
        </w:rPr>
      </w:pPr>
    </w:p>
    <w:sectPr w:rsidR="00E96218" w:rsidSect="006B3D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610DE" w14:textId="77777777" w:rsidR="00362884" w:rsidRDefault="00362884" w:rsidP="0097083A">
      <w:pPr>
        <w:spacing w:after="0" w:line="240" w:lineRule="auto"/>
      </w:pPr>
      <w:r>
        <w:separator/>
      </w:r>
    </w:p>
  </w:endnote>
  <w:endnote w:type="continuationSeparator" w:id="0">
    <w:p w14:paraId="30981CF3" w14:textId="77777777" w:rsidR="00362884" w:rsidRDefault="00362884" w:rsidP="00970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6010056"/>
      <w:docPartObj>
        <w:docPartGallery w:val="Page Numbers (Bottom of Page)"/>
        <w:docPartUnique/>
      </w:docPartObj>
    </w:sdtPr>
    <w:sdtEndPr>
      <w:rPr>
        <w:noProof/>
      </w:rPr>
    </w:sdtEndPr>
    <w:sdtContent>
      <w:p w14:paraId="6F39DD72" w14:textId="65983F88" w:rsidR="009E3C55" w:rsidRDefault="009E3C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424CA6" w14:textId="77777777" w:rsidR="009E3C55" w:rsidRDefault="009E3C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EAAB2" w14:textId="77777777" w:rsidR="00362884" w:rsidRDefault="00362884" w:rsidP="0097083A">
      <w:pPr>
        <w:spacing w:after="0" w:line="240" w:lineRule="auto"/>
      </w:pPr>
      <w:r>
        <w:separator/>
      </w:r>
    </w:p>
  </w:footnote>
  <w:footnote w:type="continuationSeparator" w:id="0">
    <w:p w14:paraId="1CEE1FD0" w14:textId="77777777" w:rsidR="00362884" w:rsidRDefault="00362884" w:rsidP="00970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96AC3"/>
    <w:multiLevelType w:val="multilevel"/>
    <w:tmpl w:val="19460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F40C90"/>
    <w:multiLevelType w:val="multilevel"/>
    <w:tmpl w:val="65EA3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F703BC"/>
    <w:multiLevelType w:val="hybridMultilevel"/>
    <w:tmpl w:val="E16EBED6"/>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6F553D"/>
    <w:multiLevelType w:val="hybridMultilevel"/>
    <w:tmpl w:val="0CC67BAC"/>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C119E3"/>
    <w:multiLevelType w:val="hybridMultilevel"/>
    <w:tmpl w:val="AAC4915A"/>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916626"/>
    <w:multiLevelType w:val="multilevel"/>
    <w:tmpl w:val="F3580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5B5C12"/>
    <w:multiLevelType w:val="hybridMultilevel"/>
    <w:tmpl w:val="D250FF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6AC4CF0"/>
    <w:multiLevelType w:val="multilevel"/>
    <w:tmpl w:val="AEF80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CC5468"/>
    <w:multiLevelType w:val="multilevel"/>
    <w:tmpl w:val="B888E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60566F"/>
    <w:multiLevelType w:val="multilevel"/>
    <w:tmpl w:val="772E9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7C4431"/>
    <w:multiLevelType w:val="multilevel"/>
    <w:tmpl w:val="83945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7123DA"/>
    <w:multiLevelType w:val="multilevel"/>
    <w:tmpl w:val="31BC4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756A25"/>
    <w:multiLevelType w:val="multilevel"/>
    <w:tmpl w:val="AC0A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970637"/>
    <w:multiLevelType w:val="multilevel"/>
    <w:tmpl w:val="3EFA4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876439"/>
    <w:multiLevelType w:val="multilevel"/>
    <w:tmpl w:val="6DDC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30C391E"/>
    <w:multiLevelType w:val="multilevel"/>
    <w:tmpl w:val="D93E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5B53F4"/>
    <w:multiLevelType w:val="multilevel"/>
    <w:tmpl w:val="F078C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4C53C6"/>
    <w:multiLevelType w:val="hybridMultilevel"/>
    <w:tmpl w:val="11E836F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CBD32A4"/>
    <w:multiLevelType w:val="multilevel"/>
    <w:tmpl w:val="FFC85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8765F8"/>
    <w:multiLevelType w:val="multilevel"/>
    <w:tmpl w:val="57908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DB85267"/>
    <w:multiLevelType w:val="hybridMultilevel"/>
    <w:tmpl w:val="05084B8E"/>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02898425">
    <w:abstractNumId w:val="6"/>
  </w:num>
  <w:num w:numId="2" w16cid:durableId="563613594">
    <w:abstractNumId w:val="14"/>
  </w:num>
  <w:num w:numId="3" w16cid:durableId="1256206883">
    <w:abstractNumId w:val="15"/>
  </w:num>
  <w:num w:numId="4" w16cid:durableId="137110296">
    <w:abstractNumId w:val="19"/>
  </w:num>
  <w:num w:numId="5" w16cid:durableId="37244253">
    <w:abstractNumId w:val="12"/>
  </w:num>
  <w:num w:numId="6" w16cid:durableId="679701178">
    <w:abstractNumId w:val="10"/>
  </w:num>
  <w:num w:numId="7" w16cid:durableId="867835586">
    <w:abstractNumId w:val="7"/>
  </w:num>
  <w:num w:numId="8" w16cid:durableId="544217196">
    <w:abstractNumId w:val="13"/>
  </w:num>
  <w:num w:numId="9" w16cid:durableId="129137360">
    <w:abstractNumId w:val="1"/>
  </w:num>
  <w:num w:numId="10" w16cid:durableId="1359234226">
    <w:abstractNumId w:val="16"/>
  </w:num>
  <w:num w:numId="11" w16cid:durableId="429589983">
    <w:abstractNumId w:val="11"/>
  </w:num>
  <w:num w:numId="12" w16cid:durableId="734548027">
    <w:abstractNumId w:val="0"/>
  </w:num>
  <w:num w:numId="13" w16cid:durableId="1848252620">
    <w:abstractNumId w:val="18"/>
  </w:num>
  <w:num w:numId="14" w16cid:durableId="577329576">
    <w:abstractNumId w:val="8"/>
  </w:num>
  <w:num w:numId="15" w16cid:durableId="208811576">
    <w:abstractNumId w:val="5"/>
  </w:num>
  <w:num w:numId="16" w16cid:durableId="613639091">
    <w:abstractNumId w:val="9"/>
  </w:num>
  <w:num w:numId="17" w16cid:durableId="727412479">
    <w:abstractNumId w:val="17"/>
  </w:num>
  <w:num w:numId="18" w16cid:durableId="1773822692">
    <w:abstractNumId w:val="2"/>
  </w:num>
  <w:num w:numId="19" w16cid:durableId="699167794">
    <w:abstractNumId w:val="20"/>
  </w:num>
  <w:num w:numId="20" w16cid:durableId="1938444380">
    <w:abstractNumId w:val="4"/>
  </w:num>
  <w:num w:numId="21" w16cid:durableId="7797652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98E"/>
    <w:rsid w:val="0000299A"/>
    <w:rsid w:val="00002B3F"/>
    <w:rsid w:val="00006518"/>
    <w:rsid w:val="000102B5"/>
    <w:rsid w:val="0001057C"/>
    <w:rsid w:val="00012E19"/>
    <w:rsid w:val="00014029"/>
    <w:rsid w:val="00014DCE"/>
    <w:rsid w:val="00016525"/>
    <w:rsid w:val="00023012"/>
    <w:rsid w:val="00024324"/>
    <w:rsid w:val="00025230"/>
    <w:rsid w:val="00026FAC"/>
    <w:rsid w:val="00027101"/>
    <w:rsid w:val="00027A53"/>
    <w:rsid w:val="0003197E"/>
    <w:rsid w:val="00031F13"/>
    <w:rsid w:val="000348E2"/>
    <w:rsid w:val="000355FE"/>
    <w:rsid w:val="00042346"/>
    <w:rsid w:val="000473EB"/>
    <w:rsid w:val="000531B9"/>
    <w:rsid w:val="000535E3"/>
    <w:rsid w:val="0005463F"/>
    <w:rsid w:val="0005476E"/>
    <w:rsid w:val="0005480F"/>
    <w:rsid w:val="00054E1B"/>
    <w:rsid w:val="00056397"/>
    <w:rsid w:val="00056670"/>
    <w:rsid w:val="00056841"/>
    <w:rsid w:val="00056F63"/>
    <w:rsid w:val="00061B4A"/>
    <w:rsid w:val="00061F03"/>
    <w:rsid w:val="00061F9F"/>
    <w:rsid w:val="000651C0"/>
    <w:rsid w:val="000706E2"/>
    <w:rsid w:val="00070A9E"/>
    <w:rsid w:val="00071278"/>
    <w:rsid w:val="00071604"/>
    <w:rsid w:val="00071EFC"/>
    <w:rsid w:val="000756B8"/>
    <w:rsid w:val="0008173A"/>
    <w:rsid w:val="000845B5"/>
    <w:rsid w:val="000850A4"/>
    <w:rsid w:val="000902B7"/>
    <w:rsid w:val="000904E6"/>
    <w:rsid w:val="00092220"/>
    <w:rsid w:val="00093933"/>
    <w:rsid w:val="00093D8A"/>
    <w:rsid w:val="0009488A"/>
    <w:rsid w:val="00096D21"/>
    <w:rsid w:val="0009762D"/>
    <w:rsid w:val="00097CC7"/>
    <w:rsid w:val="000A3063"/>
    <w:rsid w:val="000A4266"/>
    <w:rsid w:val="000A632B"/>
    <w:rsid w:val="000A6A24"/>
    <w:rsid w:val="000B4444"/>
    <w:rsid w:val="000B479F"/>
    <w:rsid w:val="000B7D5C"/>
    <w:rsid w:val="000B7D63"/>
    <w:rsid w:val="000C0CB5"/>
    <w:rsid w:val="000C179C"/>
    <w:rsid w:val="000C18AF"/>
    <w:rsid w:val="000C2D12"/>
    <w:rsid w:val="000C33AD"/>
    <w:rsid w:val="000C3454"/>
    <w:rsid w:val="000C74C7"/>
    <w:rsid w:val="000D2729"/>
    <w:rsid w:val="000D2A5D"/>
    <w:rsid w:val="000D3238"/>
    <w:rsid w:val="000D3413"/>
    <w:rsid w:val="000D37FA"/>
    <w:rsid w:val="000D38CE"/>
    <w:rsid w:val="000D405B"/>
    <w:rsid w:val="000D56CD"/>
    <w:rsid w:val="000D6690"/>
    <w:rsid w:val="000D7052"/>
    <w:rsid w:val="000D7661"/>
    <w:rsid w:val="000E1321"/>
    <w:rsid w:val="000E3B57"/>
    <w:rsid w:val="000E404D"/>
    <w:rsid w:val="000E5EBF"/>
    <w:rsid w:val="000F2687"/>
    <w:rsid w:val="000F4BDD"/>
    <w:rsid w:val="000F5536"/>
    <w:rsid w:val="000F6330"/>
    <w:rsid w:val="000F71C1"/>
    <w:rsid w:val="00100DAC"/>
    <w:rsid w:val="00101783"/>
    <w:rsid w:val="00101855"/>
    <w:rsid w:val="00102ADC"/>
    <w:rsid w:val="0010523B"/>
    <w:rsid w:val="00107F8F"/>
    <w:rsid w:val="00111D3D"/>
    <w:rsid w:val="00112FC7"/>
    <w:rsid w:val="00113E5C"/>
    <w:rsid w:val="00113E81"/>
    <w:rsid w:val="00120DED"/>
    <w:rsid w:val="001212CC"/>
    <w:rsid w:val="001214BC"/>
    <w:rsid w:val="00121EF1"/>
    <w:rsid w:val="00122CAC"/>
    <w:rsid w:val="00124C53"/>
    <w:rsid w:val="00125750"/>
    <w:rsid w:val="0013436F"/>
    <w:rsid w:val="00136DD0"/>
    <w:rsid w:val="0014043D"/>
    <w:rsid w:val="00141CBC"/>
    <w:rsid w:val="00146AE1"/>
    <w:rsid w:val="00146FA9"/>
    <w:rsid w:val="00150E9D"/>
    <w:rsid w:val="0015128A"/>
    <w:rsid w:val="001565A0"/>
    <w:rsid w:val="001566C3"/>
    <w:rsid w:val="00156716"/>
    <w:rsid w:val="00156E72"/>
    <w:rsid w:val="001608E1"/>
    <w:rsid w:val="001644F9"/>
    <w:rsid w:val="001745C3"/>
    <w:rsid w:val="00175C32"/>
    <w:rsid w:val="0017674F"/>
    <w:rsid w:val="00182304"/>
    <w:rsid w:val="001841E4"/>
    <w:rsid w:val="00185091"/>
    <w:rsid w:val="00185304"/>
    <w:rsid w:val="0019105B"/>
    <w:rsid w:val="001A094E"/>
    <w:rsid w:val="001A0FCE"/>
    <w:rsid w:val="001A6029"/>
    <w:rsid w:val="001B04E4"/>
    <w:rsid w:val="001B1525"/>
    <w:rsid w:val="001B578A"/>
    <w:rsid w:val="001B6282"/>
    <w:rsid w:val="001B69C0"/>
    <w:rsid w:val="001B784B"/>
    <w:rsid w:val="001B794D"/>
    <w:rsid w:val="001C0D7F"/>
    <w:rsid w:val="001C1B42"/>
    <w:rsid w:val="001C3378"/>
    <w:rsid w:val="001C4036"/>
    <w:rsid w:val="001C5512"/>
    <w:rsid w:val="001C667F"/>
    <w:rsid w:val="001D0D3E"/>
    <w:rsid w:val="001D0E16"/>
    <w:rsid w:val="001D59EE"/>
    <w:rsid w:val="001D76EB"/>
    <w:rsid w:val="001E1FDC"/>
    <w:rsid w:val="001E2867"/>
    <w:rsid w:val="001E34ED"/>
    <w:rsid w:val="001E6137"/>
    <w:rsid w:val="001E63D6"/>
    <w:rsid w:val="001F19C1"/>
    <w:rsid w:val="001F25BA"/>
    <w:rsid w:val="001F799D"/>
    <w:rsid w:val="002034CA"/>
    <w:rsid w:val="00203641"/>
    <w:rsid w:val="00206D05"/>
    <w:rsid w:val="00207C07"/>
    <w:rsid w:val="00210CFB"/>
    <w:rsid w:val="0021292D"/>
    <w:rsid w:val="00212F90"/>
    <w:rsid w:val="00213160"/>
    <w:rsid w:val="00216EF0"/>
    <w:rsid w:val="00216F51"/>
    <w:rsid w:val="0022663D"/>
    <w:rsid w:val="002266FB"/>
    <w:rsid w:val="002306C2"/>
    <w:rsid w:val="0023235D"/>
    <w:rsid w:val="002326BB"/>
    <w:rsid w:val="002326E8"/>
    <w:rsid w:val="002341D0"/>
    <w:rsid w:val="002407DC"/>
    <w:rsid w:val="002410A9"/>
    <w:rsid w:val="00243AFF"/>
    <w:rsid w:val="00247B0D"/>
    <w:rsid w:val="002521A0"/>
    <w:rsid w:val="00252884"/>
    <w:rsid w:val="00253BEF"/>
    <w:rsid w:val="00253EDE"/>
    <w:rsid w:val="00257264"/>
    <w:rsid w:val="00262AAA"/>
    <w:rsid w:val="002648B5"/>
    <w:rsid w:val="002649B0"/>
    <w:rsid w:val="00264DE6"/>
    <w:rsid w:val="00266049"/>
    <w:rsid w:val="00266604"/>
    <w:rsid w:val="00271124"/>
    <w:rsid w:val="00274714"/>
    <w:rsid w:val="00275C03"/>
    <w:rsid w:val="00276E81"/>
    <w:rsid w:val="002835E2"/>
    <w:rsid w:val="0028412B"/>
    <w:rsid w:val="00284A3F"/>
    <w:rsid w:val="00286A10"/>
    <w:rsid w:val="00290036"/>
    <w:rsid w:val="0029144B"/>
    <w:rsid w:val="002916E1"/>
    <w:rsid w:val="00294A21"/>
    <w:rsid w:val="00295981"/>
    <w:rsid w:val="00296648"/>
    <w:rsid w:val="002A2A95"/>
    <w:rsid w:val="002B0879"/>
    <w:rsid w:val="002B21FF"/>
    <w:rsid w:val="002B2EE0"/>
    <w:rsid w:val="002B4D00"/>
    <w:rsid w:val="002B5DB6"/>
    <w:rsid w:val="002B7065"/>
    <w:rsid w:val="002B72C3"/>
    <w:rsid w:val="002C1D9A"/>
    <w:rsid w:val="002C4C25"/>
    <w:rsid w:val="002C5662"/>
    <w:rsid w:val="002C76BC"/>
    <w:rsid w:val="002C77DF"/>
    <w:rsid w:val="002D0492"/>
    <w:rsid w:val="002D20DD"/>
    <w:rsid w:val="002D3038"/>
    <w:rsid w:val="002D38DE"/>
    <w:rsid w:val="002D45B4"/>
    <w:rsid w:val="002D4A3F"/>
    <w:rsid w:val="002D7C3B"/>
    <w:rsid w:val="002E05B1"/>
    <w:rsid w:val="002E1B17"/>
    <w:rsid w:val="002E60ED"/>
    <w:rsid w:val="002F6277"/>
    <w:rsid w:val="002F798D"/>
    <w:rsid w:val="0030217C"/>
    <w:rsid w:val="00304013"/>
    <w:rsid w:val="00307FBD"/>
    <w:rsid w:val="0031229E"/>
    <w:rsid w:val="00312CA1"/>
    <w:rsid w:val="00316AF4"/>
    <w:rsid w:val="00320ECE"/>
    <w:rsid w:val="0032127C"/>
    <w:rsid w:val="00322A62"/>
    <w:rsid w:val="00323249"/>
    <w:rsid w:val="00326460"/>
    <w:rsid w:val="00326A06"/>
    <w:rsid w:val="0032755E"/>
    <w:rsid w:val="003343B6"/>
    <w:rsid w:val="00340084"/>
    <w:rsid w:val="00344C94"/>
    <w:rsid w:val="00345742"/>
    <w:rsid w:val="00350D8B"/>
    <w:rsid w:val="00350EEA"/>
    <w:rsid w:val="003513D3"/>
    <w:rsid w:val="00353A0F"/>
    <w:rsid w:val="003560BF"/>
    <w:rsid w:val="00357D89"/>
    <w:rsid w:val="003604F9"/>
    <w:rsid w:val="00362884"/>
    <w:rsid w:val="00367138"/>
    <w:rsid w:val="0037258F"/>
    <w:rsid w:val="00373B9D"/>
    <w:rsid w:val="00374C03"/>
    <w:rsid w:val="00384984"/>
    <w:rsid w:val="00386B63"/>
    <w:rsid w:val="00386D4B"/>
    <w:rsid w:val="003928D7"/>
    <w:rsid w:val="00392E9A"/>
    <w:rsid w:val="003A1EDB"/>
    <w:rsid w:val="003A22D8"/>
    <w:rsid w:val="003A299A"/>
    <w:rsid w:val="003A6884"/>
    <w:rsid w:val="003A6DF2"/>
    <w:rsid w:val="003A7F0B"/>
    <w:rsid w:val="003B10DE"/>
    <w:rsid w:val="003B15A5"/>
    <w:rsid w:val="003B2546"/>
    <w:rsid w:val="003B5845"/>
    <w:rsid w:val="003B739D"/>
    <w:rsid w:val="003D0B4B"/>
    <w:rsid w:val="003D1F6F"/>
    <w:rsid w:val="003D2329"/>
    <w:rsid w:val="003D545B"/>
    <w:rsid w:val="003D7EE7"/>
    <w:rsid w:val="003E1D01"/>
    <w:rsid w:val="003E2062"/>
    <w:rsid w:val="003E3930"/>
    <w:rsid w:val="003E6524"/>
    <w:rsid w:val="003E65D7"/>
    <w:rsid w:val="003E7F79"/>
    <w:rsid w:val="003F1228"/>
    <w:rsid w:val="003F2D01"/>
    <w:rsid w:val="003F6A7B"/>
    <w:rsid w:val="003F7D79"/>
    <w:rsid w:val="004010A7"/>
    <w:rsid w:val="0040268A"/>
    <w:rsid w:val="00404C73"/>
    <w:rsid w:val="00404C8A"/>
    <w:rsid w:val="004054E8"/>
    <w:rsid w:val="00406C12"/>
    <w:rsid w:val="00413718"/>
    <w:rsid w:val="00414F8F"/>
    <w:rsid w:val="00416E44"/>
    <w:rsid w:val="004175C6"/>
    <w:rsid w:val="00421DF1"/>
    <w:rsid w:val="004260ED"/>
    <w:rsid w:val="004262EC"/>
    <w:rsid w:val="00427F3B"/>
    <w:rsid w:val="00431A57"/>
    <w:rsid w:val="0043241C"/>
    <w:rsid w:val="0043295B"/>
    <w:rsid w:val="0043424F"/>
    <w:rsid w:val="00434B64"/>
    <w:rsid w:val="004443DC"/>
    <w:rsid w:val="00444B32"/>
    <w:rsid w:val="00446828"/>
    <w:rsid w:val="00450102"/>
    <w:rsid w:val="0045380F"/>
    <w:rsid w:val="00454CAF"/>
    <w:rsid w:val="004553B8"/>
    <w:rsid w:val="00455D53"/>
    <w:rsid w:val="00460E8F"/>
    <w:rsid w:val="00461A26"/>
    <w:rsid w:val="00465167"/>
    <w:rsid w:val="00466570"/>
    <w:rsid w:val="00470230"/>
    <w:rsid w:val="00470E24"/>
    <w:rsid w:val="0047187D"/>
    <w:rsid w:val="0047247E"/>
    <w:rsid w:val="00472E2A"/>
    <w:rsid w:val="004776E6"/>
    <w:rsid w:val="00477E92"/>
    <w:rsid w:val="00477FBA"/>
    <w:rsid w:val="00486271"/>
    <w:rsid w:val="00493241"/>
    <w:rsid w:val="00494605"/>
    <w:rsid w:val="00495A94"/>
    <w:rsid w:val="004977B3"/>
    <w:rsid w:val="004A2449"/>
    <w:rsid w:val="004A50E8"/>
    <w:rsid w:val="004A76C7"/>
    <w:rsid w:val="004B615D"/>
    <w:rsid w:val="004C446C"/>
    <w:rsid w:val="004C6099"/>
    <w:rsid w:val="004C6104"/>
    <w:rsid w:val="004D283E"/>
    <w:rsid w:val="004D2DEE"/>
    <w:rsid w:val="004D529F"/>
    <w:rsid w:val="004D5ABE"/>
    <w:rsid w:val="004E0407"/>
    <w:rsid w:val="004E0B9B"/>
    <w:rsid w:val="004E0C9E"/>
    <w:rsid w:val="004E23BF"/>
    <w:rsid w:val="004E257D"/>
    <w:rsid w:val="004E34D0"/>
    <w:rsid w:val="004E6271"/>
    <w:rsid w:val="004F1195"/>
    <w:rsid w:val="004F2026"/>
    <w:rsid w:val="004F3115"/>
    <w:rsid w:val="004F4389"/>
    <w:rsid w:val="004F5CAD"/>
    <w:rsid w:val="00501423"/>
    <w:rsid w:val="00501E93"/>
    <w:rsid w:val="00503E09"/>
    <w:rsid w:val="00503F3B"/>
    <w:rsid w:val="00507747"/>
    <w:rsid w:val="005102F7"/>
    <w:rsid w:val="005112DE"/>
    <w:rsid w:val="005118E1"/>
    <w:rsid w:val="005119EE"/>
    <w:rsid w:val="0051675D"/>
    <w:rsid w:val="00516FF6"/>
    <w:rsid w:val="0052005A"/>
    <w:rsid w:val="00522369"/>
    <w:rsid w:val="00523E0F"/>
    <w:rsid w:val="00526F4B"/>
    <w:rsid w:val="00531CF3"/>
    <w:rsid w:val="00531DC6"/>
    <w:rsid w:val="0053372F"/>
    <w:rsid w:val="00537681"/>
    <w:rsid w:val="0054112B"/>
    <w:rsid w:val="005418F4"/>
    <w:rsid w:val="00542088"/>
    <w:rsid w:val="00551C3D"/>
    <w:rsid w:val="00551CBA"/>
    <w:rsid w:val="005559AA"/>
    <w:rsid w:val="0056143F"/>
    <w:rsid w:val="00562ADF"/>
    <w:rsid w:val="00562B3A"/>
    <w:rsid w:val="0056353B"/>
    <w:rsid w:val="00564246"/>
    <w:rsid w:val="0056490B"/>
    <w:rsid w:val="00565E1E"/>
    <w:rsid w:val="0057533C"/>
    <w:rsid w:val="005778F8"/>
    <w:rsid w:val="00580BC5"/>
    <w:rsid w:val="005854C9"/>
    <w:rsid w:val="00587CD0"/>
    <w:rsid w:val="00594D43"/>
    <w:rsid w:val="005960FD"/>
    <w:rsid w:val="005B03BA"/>
    <w:rsid w:val="005B0B7E"/>
    <w:rsid w:val="005B16DE"/>
    <w:rsid w:val="005B2D6E"/>
    <w:rsid w:val="005B3B3C"/>
    <w:rsid w:val="005B4B2F"/>
    <w:rsid w:val="005B566D"/>
    <w:rsid w:val="005B7231"/>
    <w:rsid w:val="005C1796"/>
    <w:rsid w:val="005C258B"/>
    <w:rsid w:val="005C6B2B"/>
    <w:rsid w:val="005D23B1"/>
    <w:rsid w:val="005D34B6"/>
    <w:rsid w:val="005D4D27"/>
    <w:rsid w:val="005D5DEE"/>
    <w:rsid w:val="005D6FF2"/>
    <w:rsid w:val="005E7477"/>
    <w:rsid w:val="005F1520"/>
    <w:rsid w:val="005F24C8"/>
    <w:rsid w:val="005F4DCB"/>
    <w:rsid w:val="005F666E"/>
    <w:rsid w:val="005F71BA"/>
    <w:rsid w:val="005F770B"/>
    <w:rsid w:val="00600440"/>
    <w:rsid w:val="00600A38"/>
    <w:rsid w:val="00601B5C"/>
    <w:rsid w:val="006020B7"/>
    <w:rsid w:val="0060383D"/>
    <w:rsid w:val="00605EBB"/>
    <w:rsid w:val="006070F4"/>
    <w:rsid w:val="00610B20"/>
    <w:rsid w:val="006112E9"/>
    <w:rsid w:val="00625616"/>
    <w:rsid w:val="00633E1B"/>
    <w:rsid w:val="00633FA0"/>
    <w:rsid w:val="00635A6D"/>
    <w:rsid w:val="00641117"/>
    <w:rsid w:val="006422F2"/>
    <w:rsid w:val="00645231"/>
    <w:rsid w:val="0065064C"/>
    <w:rsid w:val="00654280"/>
    <w:rsid w:val="00654818"/>
    <w:rsid w:val="0065503E"/>
    <w:rsid w:val="006606B3"/>
    <w:rsid w:val="006610AB"/>
    <w:rsid w:val="0066179B"/>
    <w:rsid w:val="00662E8C"/>
    <w:rsid w:val="00663310"/>
    <w:rsid w:val="006637BE"/>
    <w:rsid w:val="00667118"/>
    <w:rsid w:val="006716E2"/>
    <w:rsid w:val="00672820"/>
    <w:rsid w:val="006756C9"/>
    <w:rsid w:val="00680589"/>
    <w:rsid w:val="00681D54"/>
    <w:rsid w:val="006830BB"/>
    <w:rsid w:val="00683841"/>
    <w:rsid w:val="006838B2"/>
    <w:rsid w:val="0068403F"/>
    <w:rsid w:val="00686B66"/>
    <w:rsid w:val="00686F44"/>
    <w:rsid w:val="0068712F"/>
    <w:rsid w:val="00690539"/>
    <w:rsid w:val="00691524"/>
    <w:rsid w:val="00697861"/>
    <w:rsid w:val="00697B18"/>
    <w:rsid w:val="006A16AA"/>
    <w:rsid w:val="006A1D2F"/>
    <w:rsid w:val="006A33CB"/>
    <w:rsid w:val="006A3CD8"/>
    <w:rsid w:val="006A3E0C"/>
    <w:rsid w:val="006A4C3B"/>
    <w:rsid w:val="006A6FCA"/>
    <w:rsid w:val="006B2B96"/>
    <w:rsid w:val="006B3119"/>
    <w:rsid w:val="006B398E"/>
    <w:rsid w:val="006B3D1F"/>
    <w:rsid w:val="006B62E9"/>
    <w:rsid w:val="006C0AF4"/>
    <w:rsid w:val="006C1E97"/>
    <w:rsid w:val="006C378F"/>
    <w:rsid w:val="006C5431"/>
    <w:rsid w:val="006C630F"/>
    <w:rsid w:val="006D140E"/>
    <w:rsid w:val="006D671F"/>
    <w:rsid w:val="006D7429"/>
    <w:rsid w:val="006D7FDF"/>
    <w:rsid w:val="006E0740"/>
    <w:rsid w:val="006E105E"/>
    <w:rsid w:val="006E4795"/>
    <w:rsid w:val="006E4EA0"/>
    <w:rsid w:val="006E4FAB"/>
    <w:rsid w:val="006F2A66"/>
    <w:rsid w:val="007001EC"/>
    <w:rsid w:val="0070094A"/>
    <w:rsid w:val="0070170D"/>
    <w:rsid w:val="007061FF"/>
    <w:rsid w:val="00707591"/>
    <w:rsid w:val="00710B4C"/>
    <w:rsid w:val="00712490"/>
    <w:rsid w:val="007159EE"/>
    <w:rsid w:val="00715CF5"/>
    <w:rsid w:val="00716270"/>
    <w:rsid w:val="00717D88"/>
    <w:rsid w:val="00721B54"/>
    <w:rsid w:val="00722E75"/>
    <w:rsid w:val="00726E36"/>
    <w:rsid w:val="00727FCB"/>
    <w:rsid w:val="0073324A"/>
    <w:rsid w:val="00735491"/>
    <w:rsid w:val="00736487"/>
    <w:rsid w:val="00736C0C"/>
    <w:rsid w:val="007402F7"/>
    <w:rsid w:val="007461DA"/>
    <w:rsid w:val="00750C21"/>
    <w:rsid w:val="00750E02"/>
    <w:rsid w:val="00751EBF"/>
    <w:rsid w:val="00752DDD"/>
    <w:rsid w:val="00752EC3"/>
    <w:rsid w:val="0076094C"/>
    <w:rsid w:val="00773B57"/>
    <w:rsid w:val="00773BC5"/>
    <w:rsid w:val="0077646E"/>
    <w:rsid w:val="00780380"/>
    <w:rsid w:val="00781004"/>
    <w:rsid w:val="00782BCE"/>
    <w:rsid w:val="00783205"/>
    <w:rsid w:val="007864CB"/>
    <w:rsid w:val="00796C09"/>
    <w:rsid w:val="007A2A87"/>
    <w:rsid w:val="007A44E1"/>
    <w:rsid w:val="007A57FB"/>
    <w:rsid w:val="007A6921"/>
    <w:rsid w:val="007A6E12"/>
    <w:rsid w:val="007A7EA2"/>
    <w:rsid w:val="007B23B0"/>
    <w:rsid w:val="007B2802"/>
    <w:rsid w:val="007B5E7F"/>
    <w:rsid w:val="007C145C"/>
    <w:rsid w:val="007D0BBA"/>
    <w:rsid w:val="007D1343"/>
    <w:rsid w:val="007D2DAA"/>
    <w:rsid w:val="007D489A"/>
    <w:rsid w:val="007D4DAF"/>
    <w:rsid w:val="007D5C06"/>
    <w:rsid w:val="007D6B62"/>
    <w:rsid w:val="007E317F"/>
    <w:rsid w:val="007E5831"/>
    <w:rsid w:val="007F381A"/>
    <w:rsid w:val="007F5CF1"/>
    <w:rsid w:val="007F6F26"/>
    <w:rsid w:val="008027EB"/>
    <w:rsid w:val="00804D68"/>
    <w:rsid w:val="00806E55"/>
    <w:rsid w:val="0081148A"/>
    <w:rsid w:val="00811904"/>
    <w:rsid w:val="00814B3E"/>
    <w:rsid w:val="008153D4"/>
    <w:rsid w:val="008204BA"/>
    <w:rsid w:val="0082261D"/>
    <w:rsid w:val="00823E55"/>
    <w:rsid w:val="00827846"/>
    <w:rsid w:val="008302D7"/>
    <w:rsid w:val="00830CC0"/>
    <w:rsid w:val="00833243"/>
    <w:rsid w:val="00833678"/>
    <w:rsid w:val="008358A5"/>
    <w:rsid w:val="00835B98"/>
    <w:rsid w:val="00835CFE"/>
    <w:rsid w:val="00842AD4"/>
    <w:rsid w:val="00842C90"/>
    <w:rsid w:val="00843FE3"/>
    <w:rsid w:val="0084432A"/>
    <w:rsid w:val="00844D59"/>
    <w:rsid w:val="00844F2D"/>
    <w:rsid w:val="00850A78"/>
    <w:rsid w:val="00850B42"/>
    <w:rsid w:val="00853785"/>
    <w:rsid w:val="00857857"/>
    <w:rsid w:val="00862CD0"/>
    <w:rsid w:val="00862FCD"/>
    <w:rsid w:val="00863F10"/>
    <w:rsid w:val="0086503A"/>
    <w:rsid w:val="0087065E"/>
    <w:rsid w:val="00870B53"/>
    <w:rsid w:val="00871C4F"/>
    <w:rsid w:val="008740E6"/>
    <w:rsid w:val="0087485B"/>
    <w:rsid w:val="00876F96"/>
    <w:rsid w:val="00881217"/>
    <w:rsid w:val="00882D25"/>
    <w:rsid w:val="0088389C"/>
    <w:rsid w:val="008842BB"/>
    <w:rsid w:val="0089387E"/>
    <w:rsid w:val="00896391"/>
    <w:rsid w:val="00896C62"/>
    <w:rsid w:val="00897911"/>
    <w:rsid w:val="00897E3F"/>
    <w:rsid w:val="008A0084"/>
    <w:rsid w:val="008A1212"/>
    <w:rsid w:val="008A2CDA"/>
    <w:rsid w:val="008A5E4C"/>
    <w:rsid w:val="008A7CFC"/>
    <w:rsid w:val="008B276A"/>
    <w:rsid w:val="008B35BB"/>
    <w:rsid w:val="008B37ED"/>
    <w:rsid w:val="008B5629"/>
    <w:rsid w:val="008C01A5"/>
    <w:rsid w:val="008C10C5"/>
    <w:rsid w:val="008C474E"/>
    <w:rsid w:val="008D1645"/>
    <w:rsid w:val="008D4E80"/>
    <w:rsid w:val="008D4F1E"/>
    <w:rsid w:val="008D5ACD"/>
    <w:rsid w:val="008D6646"/>
    <w:rsid w:val="008D6D9F"/>
    <w:rsid w:val="008D7420"/>
    <w:rsid w:val="008D78D8"/>
    <w:rsid w:val="008E1F2C"/>
    <w:rsid w:val="008E6DFA"/>
    <w:rsid w:val="008E7BF3"/>
    <w:rsid w:val="008F0005"/>
    <w:rsid w:val="008F001B"/>
    <w:rsid w:val="008F67B9"/>
    <w:rsid w:val="009140D7"/>
    <w:rsid w:val="00914107"/>
    <w:rsid w:val="009163FD"/>
    <w:rsid w:val="00917694"/>
    <w:rsid w:val="0092185B"/>
    <w:rsid w:val="00921DE4"/>
    <w:rsid w:val="00922BA0"/>
    <w:rsid w:val="009253FD"/>
    <w:rsid w:val="00925C57"/>
    <w:rsid w:val="009336D6"/>
    <w:rsid w:val="00940128"/>
    <w:rsid w:val="009414DB"/>
    <w:rsid w:val="009444EB"/>
    <w:rsid w:val="0094621E"/>
    <w:rsid w:val="009477A6"/>
    <w:rsid w:val="009506D9"/>
    <w:rsid w:val="009512A8"/>
    <w:rsid w:val="00951AFB"/>
    <w:rsid w:val="00952E07"/>
    <w:rsid w:val="009548D7"/>
    <w:rsid w:val="00955ABF"/>
    <w:rsid w:val="00956506"/>
    <w:rsid w:val="00956765"/>
    <w:rsid w:val="00956F0E"/>
    <w:rsid w:val="00960EE2"/>
    <w:rsid w:val="0096125A"/>
    <w:rsid w:val="00962374"/>
    <w:rsid w:val="009641BE"/>
    <w:rsid w:val="00967515"/>
    <w:rsid w:val="0097054C"/>
    <w:rsid w:val="0097083A"/>
    <w:rsid w:val="00971340"/>
    <w:rsid w:val="00971BC7"/>
    <w:rsid w:val="00971F90"/>
    <w:rsid w:val="00972B06"/>
    <w:rsid w:val="00972B5D"/>
    <w:rsid w:val="009755EB"/>
    <w:rsid w:val="00976A0F"/>
    <w:rsid w:val="00981E2E"/>
    <w:rsid w:val="00982B8E"/>
    <w:rsid w:val="00985136"/>
    <w:rsid w:val="0098584C"/>
    <w:rsid w:val="00985D4D"/>
    <w:rsid w:val="00987EB7"/>
    <w:rsid w:val="00990E85"/>
    <w:rsid w:val="00994170"/>
    <w:rsid w:val="009A0771"/>
    <w:rsid w:val="009A0892"/>
    <w:rsid w:val="009A15D9"/>
    <w:rsid w:val="009A339C"/>
    <w:rsid w:val="009A67D7"/>
    <w:rsid w:val="009B0AEC"/>
    <w:rsid w:val="009C648C"/>
    <w:rsid w:val="009D0444"/>
    <w:rsid w:val="009D23B7"/>
    <w:rsid w:val="009D6F61"/>
    <w:rsid w:val="009D6F6F"/>
    <w:rsid w:val="009D7352"/>
    <w:rsid w:val="009D7557"/>
    <w:rsid w:val="009E0E3D"/>
    <w:rsid w:val="009E1971"/>
    <w:rsid w:val="009E275E"/>
    <w:rsid w:val="009E3C55"/>
    <w:rsid w:val="009E45A7"/>
    <w:rsid w:val="009E4A2C"/>
    <w:rsid w:val="009F08B9"/>
    <w:rsid w:val="009F0AA5"/>
    <w:rsid w:val="009F1666"/>
    <w:rsid w:val="009F219C"/>
    <w:rsid w:val="009F3854"/>
    <w:rsid w:val="009F5CBD"/>
    <w:rsid w:val="009F63F9"/>
    <w:rsid w:val="00A04067"/>
    <w:rsid w:val="00A10191"/>
    <w:rsid w:val="00A10F41"/>
    <w:rsid w:val="00A112F8"/>
    <w:rsid w:val="00A1543E"/>
    <w:rsid w:val="00A20444"/>
    <w:rsid w:val="00A21DCD"/>
    <w:rsid w:val="00A23187"/>
    <w:rsid w:val="00A2340A"/>
    <w:rsid w:val="00A252F5"/>
    <w:rsid w:val="00A26423"/>
    <w:rsid w:val="00A2751C"/>
    <w:rsid w:val="00A27B37"/>
    <w:rsid w:val="00A301BA"/>
    <w:rsid w:val="00A316F4"/>
    <w:rsid w:val="00A349C5"/>
    <w:rsid w:val="00A353A7"/>
    <w:rsid w:val="00A360CE"/>
    <w:rsid w:val="00A3695B"/>
    <w:rsid w:val="00A37C93"/>
    <w:rsid w:val="00A419B7"/>
    <w:rsid w:val="00A41D39"/>
    <w:rsid w:val="00A4350A"/>
    <w:rsid w:val="00A43646"/>
    <w:rsid w:val="00A43F37"/>
    <w:rsid w:val="00A501AD"/>
    <w:rsid w:val="00A511C4"/>
    <w:rsid w:val="00A5279A"/>
    <w:rsid w:val="00A5297A"/>
    <w:rsid w:val="00A56C4D"/>
    <w:rsid w:val="00A57B24"/>
    <w:rsid w:val="00A60574"/>
    <w:rsid w:val="00A6563A"/>
    <w:rsid w:val="00A6684D"/>
    <w:rsid w:val="00A71252"/>
    <w:rsid w:val="00A7208D"/>
    <w:rsid w:val="00A76076"/>
    <w:rsid w:val="00A8024F"/>
    <w:rsid w:val="00A80D5C"/>
    <w:rsid w:val="00A83021"/>
    <w:rsid w:val="00A835BA"/>
    <w:rsid w:val="00A84035"/>
    <w:rsid w:val="00A91210"/>
    <w:rsid w:val="00AB0664"/>
    <w:rsid w:val="00AB5BEB"/>
    <w:rsid w:val="00AB6284"/>
    <w:rsid w:val="00AB788B"/>
    <w:rsid w:val="00AC3768"/>
    <w:rsid w:val="00AC48AE"/>
    <w:rsid w:val="00AC65A6"/>
    <w:rsid w:val="00AC6EF3"/>
    <w:rsid w:val="00AD3EE2"/>
    <w:rsid w:val="00AD4DFF"/>
    <w:rsid w:val="00AD796D"/>
    <w:rsid w:val="00AE4BDC"/>
    <w:rsid w:val="00AE7C2A"/>
    <w:rsid w:val="00AE7EEF"/>
    <w:rsid w:val="00AF1366"/>
    <w:rsid w:val="00AF2779"/>
    <w:rsid w:val="00AF2DBE"/>
    <w:rsid w:val="00AF32E4"/>
    <w:rsid w:val="00AF5708"/>
    <w:rsid w:val="00AF7394"/>
    <w:rsid w:val="00AF760F"/>
    <w:rsid w:val="00AF7B0E"/>
    <w:rsid w:val="00B02820"/>
    <w:rsid w:val="00B03502"/>
    <w:rsid w:val="00B0382A"/>
    <w:rsid w:val="00B04953"/>
    <w:rsid w:val="00B04FA2"/>
    <w:rsid w:val="00B05323"/>
    <w:rsid w:val="00B0693D"/>
    <w:rsid w:val="00B12F09"/>
    <w:rsid w:val="00B15671"/>
    <w:rsid w:val="00B1706F"/>
    <w:rsid w:val="00B210AD"/>
    <w:rsid w:val="00B2143C"/>
    <w:rsid w:val="00B226C7"/>
    <w:rsid w:val="00B23D71"/>
    <w:rsid w:val="00B24191"/>
    <w:rsid w:val="00B249CA"/>
    <w:rsid w:val="00B26E07"/>
    <w:rsid w:val="00B35C2E"/>
    <w:rsid w:val="00B4231D"/>
    <w:rsid w:val="00B45316"/>
    <w:rsid w:val="00B45EB1"/>
    <w:rsid w:val="00B46218"/>
    <w:rsid w:val="00B46411"/>
    <w:rsid w:val="00B50829"/>
    <w:rsid w:val="00B50E50"/>
    <w:rsid w:val="00B51730"/>
    <w:rsid w:val="00B53CFA"/>
    <w:rsid w:val="00B54E57"/>
    <w:rsid w:val="00B56CCB"/>
    <w:rsid w:val="00B64026"/>
    <w:rsid w:val="00B65902"/>
    <w:rsid w:val="00B67847"/>
    <w:rsid w:val="00B72016"/>
    <w:rsid w:val="00B72A34"/>
    <w:rsid w:val="00B75F77"/>
    <w:rsid w:val="00B77775"/>
    <w:rsid w:val="00B779E0"/>
    <w:rsid w:val="00B80305"/>
    <w:rsid w:val="00B81DA0"/>
    <w:rsid w:val="00B84C96"/>
    <w:rsid w:val="00B90399"/>
    <w:rsid w:val="00B960BC"/>
    <w:rsid w:val="00B96DB3"/>
    <w:rsid w:val="00B97442"/>
    <w:rsid w:val="00BA05C5"/>
    <w:rsid w:val="00BA116E"/>
    <w:rsid w:val="00BA548C"/>
    <w:rsid w:val="00BA73CA"/>
    <w:rsid w:val="00BB30FF"/>
    <w:rsid w:val="00BB4210"/>
    <w:rsid w:val="00BB447E"/>
    <w:rsid w:val="00BB4C2A"/>
    <w:rsid w:val="00BB67FB"/>
    <w:rsid w:val="00BC1E7E"/>
    <w:rsid w:val="00BC36D8"/>
    <w:rsid w:val="00BC3841"/>
    <w:rsid w:val="00BC45DB"/>
    <w:rsid w:val="00BC6B12"/>
    <w:rsid w:val="00BD066F"/>
    <w:rsid w:val="00BD12D4"/>
    <w:rsid w:val="00BD14F0"/>
    <w:rsid w:val="00BD269F"/>
    <w:rsid w:val="00BD7C87"/>
    <w:rsid w:val="00BE14EF"/>
    <w:rsid w:val="00BE3D2D"/>
    <w:rsid w:val="00BE4F7C"/>
    <w:rsid w:val="00BE555D"/>
    <w:rsid w:val="00BE5A2C"/>
    <w:rsid w:val="00BE5ACB"/>
    <w:rsid w:val="00BE64A3"/>
    <w:rsid w:val="00BE7126"/>
    <w:rsid w:val="00BE7834"/>
    <w:rsid w:val="00BF30F8"/>
    <w:rsid w:val="00BF351F"/>
    <w:rsid w:val="00BF4C5A"/>
    <w:rsid w:val="00BF7055"/>
    <w:rsid w:val="00BF721E"/>
    <w:rsid w:val="00C00AB3"/>
    <w:rsid w:val="00C00E8D"/>
    <w:rsid w:val="00C02AB5"/>
    <w:rsid w:val="00C059E2"/>
    <w:rsid w:val="00C05D2D"/>
    <w:rsid w:val="00C10FB8"/>
    <w:rsid w:val="00C10FD7"/>
    <w:rsid w:val="00C122C4"/>
    <w:rsid w:val="00C12B33"/>
    <w:rsid w:val="00C13B5E"/>
    <w:rsid w:val="00C13F3F"/>
    <w:rsid w:val="00C1567A"/>
    <w:rsid w:val="00C1591A"/>
    <w:rsid w:val="00C23256"/>
    <w:rsid w:val="00C25232"/>
    <w:rsid w:val="00C26491"/>
    <w:rsid w:val="00C26B5B"/>
    <w:rsid w:val="00C31834"/>
    <w:rsid w:val="00C321E9"/>
    <w:rsid w:val="00C3586F"/>
    <w:rsid w:val="00C35E2D"/>
    <w:rsid w:val="00C41AEB"/>
    <w:rsid w:val="00C42D7A"/>
    <w:rsid w:val="00C44580"/>
    <w:rsid w:val="00C454B0"/>
    <w:rsid w:val="00C46AB0"/>
    <w:rsid w:val="00C47424"/>
    <w:rsid w:val="00C52D62"/>
    <w:rsid w:val="00C53893"/>
    <w:rsid w:val="00C53D8C"/>
    <w:rsid w:val="00C575B7"/>
    <w:rsid w:val="00C576F9"/>
    <w:rsid w:val="00C57CB8"/>
    <w:rsid w:val="00C57D39"/>
    <w:rsid w:val="00C6082A"/>
    <w:rsid w:val="00C6176E"/>
    <w:rsid w:val="00C65C53"/>
    <w:rsid w:val="00C732C5"/>
    <w:rsid w:val="00C76D4B"/>
    <w:rsid w:val="00C8206B"/>
    <w:rsid w:val="00C8571A"/>
    <w:rsid w:val="00C859DE"/>
    <w:rsid w:val="00C86E37"/>
    <w:rsid w:val="00C87DC1"/>
    <w:rsid w:val="00C90945"/>
    <w:rsid w:val="00C91C28"/>
    <w:rsid w:val="00C9214A"/>
    <w:rsid w:val="00C92A6B"/>
    <w:rsid w:val="00C92B4B"/>
    <w:rsid w:val="00C95610"/>
    <w:rsid w:val="00C97F3F"/>
    <w:rsid w:val="00CA10D3"/>
    <w:rsid w:val="00CA11F3"/>
    <w:rsid w:val="00CA4391"/>
    <w:rsid w:val="00CA69E8"/>
    <w:rsid w:val="00CB0CD8"/>
    <w:rsid w:val="00CB4770"/>
    <w:rsid w:val="00CB53C4"/>
    <w:rsid w:val="00CC0990"/>
    <w:rsid w:val="00CC18C5"/>
    <w:rsid w:val="00CC2409"/>
    <w:rsid w:val="00CC2AA4"/>
    <w:rsid w:val="00CC3281"/>
    <w:rsid w:val="00CC3BAA"/>
    <w:rsid w:val="00CC3F0E"/>
    <w:rsid w:val="00CC3FC6"/>
    <w:rsid w:val="00CC47C2"/>
    <w:rsid w:val="00CC7467"/>
    <w:rsid w:val="00CC7F0A"/>
    <w:rsid w:val="00CD034D"/>
    <w:rsid w:val="00CD166C"/>
    <w:rsid w:val="00CD17D2"/>
    <w:rsid w:val="00CD5C27"/>
    <w:rsid w:val="00CD6EEF"/>
    <w:rsid w:val="00CE4A01"/>
    <w:rsid w:val="00CE4BA5"/>
    <w:rsid w:val="00CE52CF"/>
    <w:rsid w:val="00CE5612"/>
    <w:rsid w:val="00CE6D2F"/>
    <w:rsid w:val="00CE76F6"/>
    <w:rsid w:val="00CF0D01"/>
    <w:rsid w:val="00CF1A20"/>
    <w:rsid w:val="00CF39F0"/>
    <w:rsid w:val="00CF5505"/>
    <w:rsid w:val="00CF7D90"/>
    <w:rsid w:val="00D04C00"/>
    <w:rsid w:val="00D05BCF"/>
    <w:rsid w:val="00D07A70"/>
    <w:rsid w:val="00D10A29"/>
    <w:rsid w:val="00D1173B"/>
    <w:rsid w:val="00D14A4D"/>
    <w:rsid w:val="00D17719"/>
    <w:rsid w:val="00D17C0D"/>
    <w:rsid w:val="00D22007"/>
    <w:rsid w:val="00D312A9"/>
    <w:rsid w:val="00D31F5D"/>
    <w:rsid w:val="00D33FBC"/>
    <w:rsid w:val="00D35977"/>
    <w:rsid w:val="00D374E5"/>
    <w:rsid w:val="00D40B66"/>
    <w:rsid w:val="00D44540"/>
    <w:rsid w:val="00D44600"/>
    <w:rsid w:val="00D44A12"/>
    <w:rsid w:val="00D456B2"/>
    <w:rsid w:val="00D4598B"/>
    <w:rsid w:val="00D4665B"/>
    <w:rsid w:val="00D56829"/>
    <w:rsid w:val="00D60D8D"/>
    <w:rsid w:val="00D61A9C"/>
    <w:rsid w:val="00D62B0D"/>
    <w:rsid w:val="00D63199"/>
    <w:rsid w:val="00D64DAB"/>
    <w:rsid w:val="00D64F54"/>
    <w:rsid w:val="00D651AC"/>
    <w:rsid w:val="00D72155"/>
    <w:rsid w:val="00D732D2"/>
    <w:rsid w:val="00D74497"/>
    <w:rsid w:val="00D807FD"/>
    <w:rsid w:val="00D81F83"/>
    <w:rsid w:val="00D82681"/>
    <w:rsid w:val="00D82D95"/>
    <w:rsid w:val="00D82E49"/>
    <w:rsid w:val="00D83156"/>
    <w:rsid w:val="00D8538E"/>
    <w:rsid w:val="00D85E12"/>
    <w:rsid w:val="00D86061"/>
    <w:rsid w:val="00D91CB9"/>
    <w:rsid w:val="00D92D5C"/>
    <w:rsid w:val="00D936D5"/>
    <w:rsid w:val="00DA729E"/>
    <w:rsid w:val="00DB1BD7"/>
    <w:rsid w:val="00DB6E81"/>
    <w:rsid w:val="00DB7F4F"/>
    <w:rsid w:val="00DC3096"/>
    <w:rsid w:val="00DC5137"/>
    <w:rsid w:val="00DD1C44"/>
    <w:rsid w:val="00DD24D7"/>
    <w:rsid w:val="00DD3736"/>
    <w:rsid w:val="00DD4282"/>
    <w:rsid w:val="00DE05A6"/>
    <w:rsid w:val="00DE25DF"/>
    <w:rsid w:val="00DE4605"/>
    <w:rsid w:val="00DE4DBA"/>
    <w:rsid w:val="00DE6A21"/>
    <w:rsid w:val="00DF2DF7"/>
    <w:rsid w:val="00DF37D8"/>
    <w:rsid w:val="00DF3C8F"/>
    <w:rsid w:val="00DF4697"/>
    <w:rsid w:val="00DF5F08"/>
    <w:rsid w:val="00E023BC"/>
    <w:rsid w:val="00E0390A"/>
    <w:rsid w:val="00E056E6"/>
    <w:rsid w:val="00E057D7"/>
    <w:rsid w:val="00E0652C"/>
    <w:rsid w:val="00E11807"/>
    <w:rsid w:val="00E1187E"/>
    <w:rsid w:val="00E1362F"/>
    <w:rsid w:val="00E13ED9"/>
    <w:rsid w:val="00E14B78"/>
    <w:rsid w:val="00E1504E"/>
    <w:rsid w:val="00E24C0D"/>
    <w:rsid w:val="00E24F37"/>
    <w:rsid w:val="00E30401"/>
    <w:rsid w:val="00E30BE1"/>
    <w:rsid w:val="00E31751"/>
    <w:rsid w:val="00E33516"/>
    <w:rsid w:val="00E3572A"/>
    <w:rsid w:val="00E362BA"/>
    <w:rsid w:val="00E44A98"/>
    <w:rsid w:val="00E45F80"/>
    <w:rsid w:val="00E47388"/>
    <w:rsid w:val="00E4791A"/>
    <w:rsid w:val="00E52223"/>
    <w:rsid w:val="00E56BBE"/>
    <w:rsid w:val="00E57437"/>
    <w:rsid w:val="00E576F3"/>
    <w:rsid w:val="00E6301C"/>
    <w:rsid w:val="00E643D0"/>
    <w:rsid w:val="00E66CD5"/>
    <w:rsid w:val="00E73EFE"/>
    <w:rsid w:val="00E767AA"/>
    <w:rsid w:val="00E77CDA"/>
    <w:rsid w:val="00E82C97"/>
    <w:rsid w:val="00E8339B"/>
    <w:rsid w:val="00E839B9"/>
    <w:rsid w:val="00E842A4"/>
    <w:rsid w:val="00E87F67"/>
    <w:rsid w:val="00E904C3"/>
    <w:rsid w:val="00E95DBF"/>
    <w:rsid w:val="00E96218"/>
    <w:rsid w:val="00EB22CE"/>
    <w:rsid w:val="00EB3983"/>
    <w:rsid w:val="00EC5D23"/>
    <w:rsid w:val="00EC6075"/>
    <w:rsid w:val="00ED0D6B"/>
    <w:rsid w:val="00ED3892"/>
    <w:rsid w:val="00ED41A9"/>
    <w:rsid w:val="00ED6C6D"/>
    <w:rsid w:val="00EE21C1"/>
    <w:rsid w:val="00EE2759"/>
    <w:rsid w:val="00EE2BF0"/>
    <w:rsid w:val="00EE3493"/>
    <w:rsid w:val="00EE3E28"/>
    <w:rsid w:val="00EE4293"/>
    <w:rsid w:val="00EE77C3"/>
    <w:rsid w:val="00EE7F16"/>
    <w:rsid w:val="00EF229D"/>
    <w:rsid w:val="00EF2DC8"/>
    <w:rsid w:val="00EF51EB"/>
    <w:rsid w:val="00EF705A"/>
    <w:rsid w:val="00F01F45"/>
    <w:rsid w:val="00F02931"/>
    <w:rsid w:val="00F02BF1"/>
    <w:rsid w:val="00F04D77"/>
    <w:rsid w:val="00F05C44"/>
    <w:rsid w:val="00F1234C"/>
    <w:rsid w:val="00F1365C"/>
    <w:rsid w:val="00F14C19"/>
    <w:rsid w:val="00F16745"/>
    <w:rsid w:val="00F16C05"/>
    <w:rsid w:val="00F17550"/>
    <w:rsid w:val="00F233AF"/>
    <w:rsid w:val="00F24DE1"/>
    <w:rsid w:val="00F27414"/>
    <w:rsid w:val="00F32375"/>
    <w:rsid w:val="00F35D7E"/>
    <w:rsid w:val="00F4260B"/>
    <w:rsid w:val="00F42A4E"/>
    <w:rsid w:val="00F42C1F"/>
    <w:rsid w:val="00F44BC0"/>
    <w:rsid w:val="00F50E06"/>
    <w:rsid w:val="00F50EA3"/>
    <w:rsid w:val="00F54A8F"/>
    <w:rsid w:val="00F54DA7"/>
    <w:rsid w:val="00F54FE2"/>
    <w:rsid w:val="00F6070B"/>
    <w:rsid w:val="00F61964"/>
    <w:rsid w:val="00F66255"/>
    <w:rsid w:val="00F671AE"/>
    <w:rsid w:val="00F7258C"/>
    <w:rsid w:val="00F727F7"/>
    <w:rsid w:val="00F77CF6"/>
    <w:rsid w:val="00F8443F"/>
    <w:rsid w:val="00F8702B"/>
    <w:rsid w:val="00F91358"/>
    <w:rsid w:val="00F9473B"/>
    <w:rsid w:val="00F94F9F"/>
    <w:rsid w:val="00FA1448"/>
    <w:rsid w:val="00FA2436"/>
    <w:rsid w:val="00FA4F8A"/>
    <w:rsid w:val="00FA5BD0"/>
    <w:rsid w:val="00FB234A"/>
    <w:rsid w:val="00FB2F47"/>
    <w:rsid w:val="00FB35A7"/>
    <w:rsid w:val="00FB48BF"/>
    <w:rsid w:val="00FB584D"/>
    <w:rsid w:val="00FC1C0B"/>
    <w:rsid w:val="00FC34A8"/>
    <w:rsid w:val="00FC3BE9"/>
    <w:rsid w:val="00FC3CC2"/>
    <w:rsid w:val="00FC63EB"/>
    <w:rsid w:val="00FD2BF7"/>
    <w:rsid w:val="00FD41F3"/>
    <w:rsid w:val="00FD7720"/>
    <w:rsid w:val="00FE03B7"/>
    <w:rsid w:val="00FE1BFA"/>
    <w:rsid w:val="00FE1DDE"/>
    <w:rsid w:val="00FE251D"/>
    <w:rsid w:val="00FE518F"/>
    <w:rsid w:val="00FE5EB0"/>
    <w:rsid w:val="00FE7F97"/>
    <w:rsid w:val="00FF13E6"/>
    <w:rsid w:val="00FF22AA"/>
    <w:rsid w:val="00FF5289"/>
    <w:rsid w:val="00FF6E93"/>
    <w:rsid w:val="00FF76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D88AA"/>
  <w15:chartTrackingRefBased/>
  <w15:docId w15:val="{AEAF365C-FFE6-48FD-9BEE-7DD5CD363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9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39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39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9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39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39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98E"/>
    <w:rPr>
      <w:rFonts w:eastAsiaTheme="majorEastAsia" w:cstheme="majorBidi"/>
      <w:color w:val="272727" w:themeColor="text1" w:themeTint="D8"/>
    </w:rPr>
  </w:style>
  <w:style w:type="paragraph" w:styleId="Title">
    <w:name w:val="Title"/>
    <w:basedOn w:val="Normal"/>
    <w:next w:val="Normal"/>
    <w:link w:val="TitleChar"/>
    <w:uiPriority w:val="10"/>
    <w:qFormat/>
    <w:rsid w:val="006B3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98E"/>
    <w:pPr>
      <w:spacing w:before="160"/>
      <w:jc w:val="center"/>
    </w:pPr>
    <w:rPr>
      <w:i/>
      <w:iCs/>
      <w:color w:val="404040" w:themeColor="text1" w:themeTint="BF"/>
    </w:rPr>
  </w:style>
  <w:style w:type="character" w:customStyle="1" w:styleId="QuoteChar">
    <w:name w:val="Quote Char"/>
    <w:basedOn w:val="DefaultParagraphFont"/>
    <w:link w:val="Quote"/>
    <w:uiPriority w:val="29"/>
    <w:rsid w:val="006B398E"/>
    <w:rPr>
      <w:i/>
      <w:iCs/>
      <w:color w:val="404040" w:themeColor="text1" w:themeTint="BF"/>
    </w:rPr>
  </w:style>
  <w:style w:type="paragraph" w:styleId="ListParagraph">
    <w:name w:val="List Paragraph"/>
    <w:basedOn w:val="Normal"/>
    <w:uiPriority w:val="34"/>
    <w:qFormat/>
    <w:rsid w:val="006B398E"/>
    <w:pPr>
      <w:ind w:left="720"/>
      <w:contextualSpacing/>
    </w:pPr>
  </w:style>
  <w:style w:type="character" w:styleId="IntenseEmphasis">
    <w:name w:val="Intense Emphasis"/>
    <w:basedOn w:val="DefaultParagraphFont"/>
    <w:uiPriority w:val="21"/>
    <w:qFormat/>
    <w:rsid w:val="006B398E"/>
    <w:rPr>
      <w:i/>
      <w:iCs/>
      <w:color w:val="0F4761" w:themeColor="accent1" w:themeShade="BF"/>
    </w:rPr>
  </w:style>
  <w:style w:type="paragraph" w:styleId="IntenseQuote">
    <w:name w:val="Intense Quote"/>
    <w:basedOn w:val="Normal"/>
    <w:next w:val="Normal"/>
    <w:link w:val="IntenseQuoteChar"/>
    <w:uiPriority w:val="30"/>
    <w:qFormat/>
    <w:rsid w:val="006B3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98E"/>
    <w:rPr>
      <w:i/>
      <w:iCs/>
      <w:color w:val="0F4761" w:themeColor="accent1" w:themeShade="BF"/>
    </w:rPr>
  </w:style>
  <w:style w:type="character" w:styleId="IntenseReference">
    <w:name w:val="Intense Reference"/>
    <w:basedOn w:val="DefaultParagraphFont"/>
    <w:uiPriority w:val="32"/>
    <w:qFormat/>
    <w:rsid w:val="006B398E"/>
    <w:rPr>
      <w:b/>
      <w:bCs/>
      <w:smallCaps/>
      <w:color w:val="0F4761" w:themeColor="accent1" w:themeShade="BF"/>
      <w:spacing w:val="5"/>
    </w:rPr>
  </w:style>
  <w:style w:type="paragraph" w:styleId="Bibliography">
    <w:name w:val="Bibliography"/>
    <w:basedOn w:val="Normal"/>
    <w:next w:val="Normal"/>
    <w:uiPriority w:val="37"/>
    <w:unhideWhenUsed/>
    <w:rsid w:val="00AD4DFF"/>
    <w:pPr>
      <w:spacing w:after="200" w:line="276" w:lineRule="auto"/>
    </w:pPr>
    <w:rPr>
      <w:rFonts w:eastAsiaTheme="minorEastAsia"/>
      <w:kern w:val="0"/>
      <w:lang w:val="en-US"/>
      <w14:ligatures w14:val="none"/>
    </w:rPr>
  </w:style>
  <w:style w:type="paragraph" w:styleId="NoSpacing">
    <w:name w:val="No Spacing"/>
    <w:uiPriority w:val="1"/>
    <w:qFormat/>
    <w:rsid w:val="0087065E"/>
    <w:pPr>
      <w:spacing w:after="0" w:line="240" w:lineRule="auto"/>
    </w:pPr>
  </w:style>
  <w:style w:type="character" w:styleId="Hyperlink">
    <w:name w:val="Hyperlink"/>
    <w:basedOn w:val="DefaultParagraphFont"/>
    <w:uiPriority w:val="99"/>
    <w:unhideWhenUsed/>
    <w:rsid w:val="00EC6075"/>
    <w:rPr>
      <w:color w:val="467886" w:themeColor="hyperlink"/>
      <w:u w:val="single"/>
    </w:rPr>
  </w:style>
  <w:style w:type="character" w:styleId="UnresolvedMention">
    <w:name w:val="Unresolved Mention"/>
    <w:basedOn w:val="DefaultParagraphFont"/>
    <w:uiPriority w:val="99"/>
    <w:semiHidden/>
    <w:unhideWhenUsed/>
    <w:rsid w:val="00EC6075"/>
    <w:rPr>
      <w:color w:val="605E5C"/>
      <w:shd w:val="clear" w:color="auto" w:fill="E1DFDD"/>
    </w:rPr>
  </w:style>
  <w:style w:type="character" w:styleId="FollowedHyperlink">
    <w:name w:val="FollowedHyperlink"/>
    <w:basedOn w:val="DefaultParagraphFont"/>
    <w:uiPriority w:val="99"/>
    <w:semiHidden/>
    <w:unhideWhenUsed/>
    <w:rsid w:val="00AE7C2A"/>
    <w:rPr>
      <w:color w:val="96607D" w:themeColor="followedHyperlink"/>
      <w:u w:val="single"/>
    </w:rPr>
  </w:style>
  <w:style w:type="character" w:styleId="Strong">
    <w:name w:val="Strong"/>
    <w:basedOn w:val="DefaultParagraphFont"/>
    <w:uiPriority w:val="22"/>
    <w:qFormat/>
    <w:rsid w:val="00914107"/>
    <w:rPr>
      <w:b/>
      <w:bCs/>
    </w:rPr>
  </w:style>
  <w:style w:type="paragraph" w:styleId="NormalWeb">
    <w:name w:val="Normal (Web)"/>
    <w:basedOn w:val="Normal"/>
    <w:uiPriority w:val="99"/>
    <w:semiHidden/>
    <w:unhideWhenUsed/>
    <w:rsid w:val="0091410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914107"/>
    <w:rPr>
      <w:i/>
      <w:iCs/>
    </w:rPr>
  </w:style>
  <w:style w:type="paragraph" w:styleId="Revision">
    <w:name w:val="Revision"/>
    <w:hidden/>
    <w:uiPriority w:val="99"/>
    <w:semiHidden/>
    <w:rsid w:val="00B2143C"/>
    <w:pPr>
      <w:spacing w:after="0" w:line="240" w:lineRule="auto"/>
    </w:pPr>
  </w:style>
  <w:style w:type="paragraph" w:styleId="Header">
    <w:name w:val="header"/>
    <w:basedOn w:val="Normal"/>
    <w:link w:val="HeaderChar"/>
    <w:uiPriority w:val="99"/>
    <w:unhideWhenUsed/>
    <w:rsid w:val="00970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83A"/>
  </w:style>
  <w:style w:type="paragraph" w:styleId="Footer">
    <w:name w:val="footer"/>
    <w:basedOn w:val="Normal"/>
    <w:link w:val="FooterChar"/>
    <w:uiPriority w:val="99"/>
    <w:unhideWhenUsed/>
    <w:rsid w:val="00970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83A"/>
  </w:style>
  <w:style w:type="paragraph" w:styleId="TOCHeading">
    <w:name w:val="TOC Heading"/>
    <w:basedOn w:val="Heading1"/>
    <w:next w:val="Normal"/>
    <w:uiPriority w:val="39"/>
    <w:unhideWhenUsed/>
    <w:qFormat/>
    <w:rsid w:val="00E0652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065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4713">
      <w:bodyDiv w:val="1"/>
      <w:marLeft w:val="0"/>
      <w:marRight w:val="0"/>
      <w:marTop w:val="0"/>
      <w:marBottom w:val="0"/>
      <w:divBdr>
        <w:top w:val="none" w:sz="0" w:space="0" w:color="auto"/>
        <w:left w:val="none" w:sz="0" w:space="0" w:color="auto"/>
        <w:bottom w:val="none" w:sz="0" w:space="0" w:color="auto"/>
        <w:right w:val="none" w:sz="0" w:space="0" w:color="auto"/>
      </w:divBdr>
    </w:div>
    <w:div w:id="19279117">
      <w:bodyDiv w:val="1"/>
      <w:marLeft w:val="0"/>
      <w:marRight w:val="0"/>
      <w:marTop w:val="0"/>
      <w:marBottom w:val="0"/>
      <w:divBdr>
        <w:top w:val="none" w:sz="0" w:space="0" w:color="auto"/>
        <w:left w:val="none" w:sz="0" w:space="0" w:color="auto"/>
        <w:bottom w:val="none" w:sz="0" w:space="0" w:color="auto"/>
        <w:right w:val="none" w:sz="0" w:space="0" w:color="auto"/>
      </w:divBdr>
    </w:div>
    <w:div w:id="34503693">
      <w:bodyDiv w:val="1"/>
      <w:marLeft w:val="0"/>
      <w:marRight w:val="0"/>
      <w:marTop w:val="0"/>
      <w:marBottom w:val="0"/>
      <w:divBdr>
        <w:top w:val="none" w:sz="0" w:space="0" w:color="auto"/>
        <w:left w:val="none" w:sz="0" w:space="0" w:color="auto"/>
        <w:bottom w:val="none" w:sz="0" w:space="0" w:color="auto"/>
        <w:right w:val="none" w:sz="0" w:space="0" w:color="auto"/>
      </w:divBdr>
    </w:div>
    <w:div w:id="51583820">
      <w:bodyDiv w:val="1"/>
      <w:marLeft w:val="0"/>
      <w:marRight w:val="0"/>
      <w:marTop w:val="0"/>
      <w:marBottom w:val="0"/>
      <w:divBdr>
        <w:top w:val="none" w:sz="0" w:space="0" w:color="auto"/>
        <w:left w:val="none" w:sz="0" w:space="0" w:color="auto"/>
        <w:bottom w:val="none" w:sz="0" w:space="0" w:color="auto"/>
        <w:right w:val="none" w:sz="0" w:space="0" w:color="auto"/>
      </w:divBdr>
    </w:div>
    <w:div w:id="52704429">
      <w:bodyDiv w:val="1"/>
      <w:marLeft w:val="0"/>
      <w:marRight w:val="0"/>
      <w:marTop w:val="0"/>
      <w:marBottom w:val="0"/>
      <w:divBdr>
        <w:top w:val="none" w:sz="0" w:space="0" w:color="auto"/>
        <w:left w:val="none" w:sz="0" w:space="0" w:color="auto"/>
        <w:bottom w:val="none" w:sz="0" w:space="0" w:color="auto"/>
        <w:right w:val="none" w:sz="0" w:space="0" w:color="auto"/>
      </w:divBdr>
    </w:div>
    <w:div w:id="76900805">
      <w:bodyDiv w:val="1"/>
      <w:marLeft w:val="0"/>
      <w:marRight w:val="0"/>
      <w:marTop w:val="0"/>
      <w:marBottom w:val="0"/>
      <w:divBdr>
        <w:top w:val="none" w:sz="0" w:space="0" w:color="auto"/>
        <w:left w:val="none" w:sz="0" w:space="0" w:color="auto"/>
        <w:bottom w:val="none" w:sz="0" w:space="0" w:color="auto"/>
        <w:right w:val="none" w:sz="0" w:space="0" w:color="auto"/>
      </w:divBdr>
    </w:div>
    <w:div w:id="86194826">
      <w:bodyDiv w:val="1"/>
      <w:marLeft w:val="0"/>
      <w:marRight w:val="0"/>
      <w:marTop w:val="0"/>
      <w:marBottom w:val="0"/>
      <w:divBdr>
        <w:top w:val="none" w:sz="0" w:space="0" w:color="auto"/>
        <w:left w:val="none" w:sz="0" w:space="0" w:color="auto"/>
        <w:bottom w:val="none" w:sz="0" w:space="0" w:color="auto"/>
        <w:right w:val="none" w:sz="0" w:space="0" w:color="auto"/>
      </w:divBdr>
    </w:div>
    <w:div w:id="86930335">
      <w:bodyDiv w:val="1"/>
      <w:marLeft w:val="0"/>
      <w:marRight w:val="0"/>
      <w:marTop w:val="0"/>
      <w:marBottom w:val="0"/>
      <w:divBdr>
        <w:top w:val="none" w:sz="0" w:space="0" w:color="auto"/>
        <w:left w:val="none" w:sz="0" w:space="0" w:color="auto"/>
        <w:bottom w:val="none" w:sz="0" w:space="0" w:color="auto"/>
        <w:right w:val="none" w:sz="0" w:space="0" w:color="auto"/>
      </w:divBdr>
    </w:div>
    <w:div w:id="87164049">
      <w:bodyDiv w:val="1"/>
      <w:marLeft w:val="0"/>
      <w:marRight w:val="0"/>
      <w:marTop w:val="0"/>
      <w:marBottom w:val="0"/>
      <w:divBdr>
        <w:top w:val="none" w:sz="0" w:space="0" w:color="auto"/>
        <w:left w:val="none" w:sz="0" w:space="0" w:color="auto"/>
        <w:bottom w:val="none" w:sz="0" w:space="0" w:color="auto"/>
        <w:right w:val="none" w:sz="0" w:space="0" w:color="auto"/>
      </w:divBdr>
    </w:div>
    <w:div w:id="101384401">
      <w:bodyDiv w:val="1"/>
      <w:marLeft w:val="0"/>
      <w:marRight w:val="0"/>
      <w:marTop w:val="0"/>
      <w:marBottom w:val="0"/>
      <w:divBdr>
        <w:top w:val="none" w:sz="0" w:space="0" w:color="auto"/>
        <w:left w:val="none" w:sz="0" w:space="0" w:color="auto"/>
        <w:bottom w:val="none" w:sz="0" w:space="0" w:color="auto"/>
        <w:right w:val="none" w:sz="0" w:space="0" w:color="auto"/>
      </w:divBdr>
    </w:div>
    <w:div w:id="106699047">
      <w:bodyDiv w:val="1"/>
      <w:marLeft w:val="0"/>
      <w:marRight w:val="0"/>
      <w:marTop w:val="0"/>
      <w:marBottom w:val="0"/>
      <w:divBdr>
        <w:top w:val="none" w:sz="0" w:space="0" w:color="auto"/>
        <w:left w:val="none" w:sz="0" w:space="0" w:color="auto"/>
        <w:bottom w:val="none" w:sz="0" w:space="0" w:color="auto"/>
        <w:right w:val="none" w:sz="0" w:space="0" w:color="auto"/>
      </w:divBdr>
    </w:div>
    <w:div w:id="106825572">
      <w:bodyDiv w:val="1"/>
      <w:marLeft w:val="0"/>
      <w:marRight w:val="0"/>
      <w:marTop w:val="0"/>
      <w:marBottom w:val="0"/>
      <w:divBdr>
        <w:top w:val="none" w:sz="0" w:space="0" w:color="auto"/>
        <w:left w:val="none" w:sz="0" w:space="0" w:color="auto"/>
        <w:bottom w:val="none" w:sz="0" w:space="0" w:color="auto"/>
        <w:right w:val="none" w:sz="0" w:space="0" w:color="auto"/>
      </w:divBdr>
    </w:div>
    <w:div w:id="108092594">
      <w:bodyDiv w:val="1"/>
      <w:marLeft w:val="0"/>
      <w:marRight w:val="0"/>
      <w:marTop w:val="0"/>
      <w:marBottom w:val="0"/>
      <w:divBdr>
        <w:top w:val="none" w:sz="0" w:space="0" w:color="auto"/>
        <w:left w:val="none" w:sz="0" w:space="0" w:color="auto"/>
        <w:bottom w:val="none" w:sz="0" w:space="0" w:color="auto"/>
        <w:right w:val="none" w:sz="0" w:space="0" w:color="auto"/>
      </w:divBdr>
    </w:div>
    <w:div w:id="125008682">
      <w:bodyDiv w:val="1"/>
      <w:marLeft w:val="0"/>
      <w:marRight w:val="0"/>
      <w:marTop w:val="0"/>
      <w:marBottom w:val="0"/>
      <w:divBdr>
        <w:top w:val="none" w:sz="0" w:space="0" w:color="auto"/>
        <w:left w:val="none" w:sz="0" w:space="0" w:color="auto"/>
        <w:bottom w:val="none" w:sz="0" w:space="0" w:color="auto"/>
        <w:right w:val="none" w:sz="0" w:space="0" w:color="auto"/>
      </w:divBdr>
    </w:div>
    <w:div w:id="136606618">
      <w:bodyDiv w:val="1"/>
      <w:marLeft w:val="0"/>
      <w:marRight w:val="0"/>
      <w:marTop w:val="0"/>
      <w:marBottom w:val="0"/>
      <w:divBdr>
        <w:top w:val="none" w:sz="0" w:space="0" w:color="auto"/>
        <w:left w:val="none" w:sz="0" w:space="0" w:color="auto"/>
        <w:bottom w:val="none" w:sz="0" w:space="0" w:color="auto"/>
        <w:right w:val="none" w:sz="0" w:space="0" w:color="auto"/>
      </w:divBdr>
    </w:div>
    <w:div w:id="141511266">
      <w:bodyDiv w:val="1"/>
      <w:marLeft w:val="0"/>
      <w:marRight w:val="0"/>
      <w:marTop w:val="0"/>
      <w:marBottom w:val="0"/>
      <w:divBdr>
        <w:top w:val="none" w:sz="0" w:space="0" w:color="auto"/>
        <w:left w:val="none" w:sz="0" w:space="0" w:color="auto"/>
        <w:bottom w:val="none" w:sz="0" w:space="0" w:color="auto"/>
        <w:right w:val="none" w:sz="0" w:space="0" w:color="auto"/>
      </w:divBdr>
    </w:div>
    <w:div w:id="155464245">
      <w:bodyDiv w:val="1"/>
      <w:marLeft w:val="0"/>
      <w:marRight w:val="0"/>
      <w:marTop w:val="0"/>
      <w:marBottom w:val="0"/>
      <w:divBdr>
        <w:top w:val="none" w:sz="0" w:space="0" w:color="auto"/>
        <w:left w:val="none" w:sz="0" w:space="0" w:color="auto"/>
        <w:bottom w:val="none" w:sz="0" w:space="0" w:color="auto"/>
        <w:right w:val="none" w:sz="0" w:space="0" w:color="auto"/>
      </w:divBdr>
    </w:div>
    <w:div w:id="162598509">
      <w:bodyDiv w:val="1"/>
      <w:marLeft w:val="0"/>
      <w:marRight w:val="0"/>
      <w:marTop w:val="0"/>
      <w:marBottom w:val="0"/>
      <w:divBdr>
        <w:top w:val="none" w:sz="0" w:space="0" w:color="auto"/>
        <w:left w:val="none" w:sz="0" w:space="0" w:color="auto"/>
        <w:bottom w:val="none" w:sz="0" w:space="0" w:color="auto"/>
        <w:right w:val="none" w:sz="0" w:space="0" w:color="auto"/>
      </w:divBdr>
    </w:div>
    <w:div w:id="168645936">
      <w:bodyDiv w:val="1"/>
      <w:marLeft w:val="0"/>
      <w:marRight w:val="0"/>
      <w:marTop w:val="0"/>
      <w:marBottom w:val="0"/>
      <w:divBdr>
        <w:top w:val="none" w:sz="0" w:space="0" w:color="auto"/>
        <w:left w:val="none" w:sz="0" w:space="0" w:color="auto"/>
        <w:bottom w:val="none" w:sz="0" w:space="0" w:color="auto"/>
        <w:right w:val="none" w:sz="0" w:space="0" w:color="auto"/>
      </w:divBdr>
    </w:div>
    <w:div w:id="188227932">
      <w:bodyDiv w:val="1"/>
      <w:marLeft w:val="0"/>
      <w:marRight w:val="0"/>
      <w:marTop w:val="0"/>
      <w:marBottom w:val="0"/>
      <w:divBdr>
        <w:top w:val="none" w:sz="0" w:space="0" w:color="auto"/>
        <w:left w:val="none" w:sz="0" w:space="0" w:color="auto"/>
        <w:bottom w:val="none" w:sz="0" w:space="0" w:color="auto"/>
        <w:right w:val="none" w:sz="0" w:space="0" w:color="auto"/>
      </w:divBdr>
    </w:div>
    <w:div w:id="191647917">
      <w:bodyDiv w:val="1"/>
      <w:marLeft w:val="0"/>
      <w:marRight w:val="0"/>
      <w:marTop w:val="0"/>
      <w:marBottom w:val="0"/>
      <w:divBdr>
        <w:top w:val="none" w:sz="0" w:space="0" w:color="auto"/>
        <w:left w:val="none" w:sz="0" w:space="0" w:color="auto"/>
        <w:bottom w:val="none" w:sz="0" w:space="0" w:color="auto"/>
        <w:right w:val="none" w:sz="0" w:space="0" w:color="auto"/>
      </w:divBdr>
    </w:div>
    <w:div w:id="203248708">
      <w:bodyDiv w:val="1"/>
      <w:marLeft w:val="0"/>
      <w:marRight w:val="0"/>
      <w:marTop w:val="0"/>
      <w:marBottom w:val="0"/>
      <w:divBdr>
        <w:top w:val="none" w:sz="0" w:space="0" w:color="auto"/>
        <w:left w:val="none" w:sz="0" w:space="0" w:color="auto"/>
        <w:bottom w:val="none" w:sz="0" w:space="0" w:color="auto"/>
        <w:right w:val="none" w:sz="0" w:space="0" w:color="auto"/>
      </w:divBdr>
    </w:div>
    <w:div w:id="204756327">
      <w:bodyDiv w:val="1"/>
      <w:marLeft w:val="0"/>
      <w:marRight w:val="0"/>
      <w:marTop w:val="0"/>
      <w:marBottom w:val="0"/>
      <w:divBdr>
        <w:top w:val="none" w:sz="0" w:space="0" w:color="auto"/>
        <w:left w:val="none" w:sz="0" w:space="0" w:color="auto"/>
        <w:bottom w:val="none" w:sz="0" w:space="0" w:color="auto"/>
        <w:right w:val="none" w:sz="0" w:space="0" w:color="auto"/>
      </w:divBdr>
    </w:div>
    <w:div w:id="224419574">
      <w:bodyDiv w:val="1"/>
      <w:marLeft w:val="0"/>
      <w:marRight w:val="0"/>
      <w:marTop w:val="0"/>
      <w:marBottom w:val="0"/>
      <w:divBdr>
        <w:top w:val="none" w:sz="0" w:space="0" w:color="auto"/>
        <w:left w:val="none" w:sz="0" w:space="0" w:color="auto"/>
        <w:bottom w:val="none" w:sz="0" w:space="0" w:color="auto"/>
        <w:right w:val="none" w:sz="0" w:space="0" w:color="auto"/>
      </w:divBdr>
    </w:div>
    <w:div w:id="247006519">
      <w:bodyDiv w:val="1"/>
      <w:marLeft w:val="0"/>
      <w:marRight w:val="0"/>
      <w:marTop w:val="0"/>
      <w:marBottom w:val="0"/>
      <w:divBdr>
        <w:top w:val="none" w:sz="0" w:space="0" w:color="auto"/>
        <w:left w:val="none" w:sz="0" w:space="0" w:color="auto"/>
        <w:bottom w:val="none" w:sz="0" w:space="0" w:color="auto"/>
        <w:right w:val="none" w:sz="0" w:space="0" w:color="auto"/>
      </w:divBdr>
    </w:div>
    <w:div w:id="249433527">
      <w:bodyDiv w:val="1"/>
      <w:marLeft w:val="0"/>
      <w:marRight w:val="0"/>
      <w:marTop w:val="0"/>
      <w:marBottom w:val="0"/>
      <w:divBdr>
        <w:top w:val="none" w:sz="0" w:space="0" w:color="auto"/>
        <w:left w:val="none" w:sz="0" w:space="0" w:color="auto"/>
        <w:bottom w:val="none" w:sz="0" w:space="0" w:color="auto"/>
        <w:right w:val="none" w:sz="0" w:space="0" w:color="auto"/>
      </w:divBdr>
    </w:div>
    <w:div w:id="250507069">
      <w:bodyDiv w:val="1"/>
      <w:marLeft w:val="0"/>
      <w:marRight w:val="0"/>
      <w:marTop w:val="0"/>
      <w:marBottom w:val="0"/>
      <w:divBdr>
        <w:top w:val="none" w:sz="0" w:space="0" w:color="auto"/>
        <w:left w:val="none" w:sz="0" w:space="0" w:color="auto"/>
        <w:bottom w:val="none" w:sz="0" w:space="0" w:color="auto"/>
        <w:right w:val="none" w:sz="0" w:space="0" w:color="auto"/>
      </w:divBdr>
    </w:div>
    <w:div w:id="251478504">
      <w:bodyDiv w:val="1"/>
      <w:marLeft w:val="0"/>
      <w:marRight w:val="0"/>
      <w:marTop w:val="0"/>
      <w:marBottom w:val="0"/>
      <w:divBdr>
        <w:top w:val="none" w:sz="0" w:space="0" w:color="auto"/>
        <w:left w:val="none" w:sz="0" w:space="0" w:color="auto"/>
        <w:bottom w:val="none" w:sz="0" w:space="0" w:color="auto"/>
        <w:right w:val="none" w:sz="0" w:space="0" w:color="auto"/>
      </w:divBdr>
    </w:div>
    <w:div w:id="272981446">
      <w:bodyDiv w:val="1"/>
      <w:marLeft w:val="0"/>
      <w:marRight w:val="0"/>
      <w:marTop w:val="0"/>
      <w:marBottom w:val="0"/>
      <w:divBdr>
        <w:top w:val="none" w:sz="0" w:space="0" w:color="auto"/>
        <w:left w:val="none" w:sz="0" w:space="0" w:color="auto"/>
        <w:bottom w:val="none" w:sz="0" w:space="0" w:color="auto"/>
        <w:right w:val="none" w:sz="0" w:space="0" w:color="auto"/>
      </w:divBdr>
    </w:div>
    <w:div w:id="276110010">
      <w:bodyDiv w:val="1"/>
      <w:marLeft w:val="0"/>
      <w:marRight w:val="0"/>
      <w:marTop w:val="0"/>
      <w:marBottom w:val="0"/>
      <w:divBdr>
        <w:top w:val="none" w:sz="0" w:space="0" w:color="auto"/>
        <w:left w:val="none" w:sz="0" w:space="0" w:color="auto"/>
        <w:bottom w:val="none" w:sz="0" w:space="0" w:color="auto"/>
        <w:right w:val="none" w:sz="0" w:space="0" w:color="auto"/>
      </w:divBdr>
    </w:div>
    <w:div w:id="284654955">
      <w:bodyDiv w:val="1"/>
      <w:marLeft w:val="0"/>
      <w:marRight w:val="0"/>
      <w:marTop w:val="0"/>
      <w:marBottom w:val="0"/>
      <w:divBdr>
        <w:top w:val="none" w:sz="0" w:space="0" w:color="auto"/>
        <w:left w:val="none" w:sz="0" w:space="0" w:color="auto"/>
        <w:bottom w:val="none" w:sz="0" w:space="0" w:color="auto"/>
        <w:right w:val="none" w:sz="0" w:space="0" w:color="auto"/>
      </w:divBdr>
    </w:div>
    <w:div w:id="287517617">
      <w:bodyDiv w:val="1"/>
      <w:marLeft w:val="0"/>
      <w:marRight w:val="0"/>
      <w:marTop w:val="0"/>
      <w:marBottom w:val="0"/>
      <w:divBdr>
        <w:top w:val="none" w:sz="0" w:space="0" w:color="auto"/>
        <w:left w:val="none" w:sz="0" w:space="0" w:color="auto"/>
        <w:bottom w:val="none" w:sz="0" w:space="0" w:color="auto"/>
        <w:right w:val="none" w:sz="0" w:space="0" w:color="auto"/>
      </w:divBdr>
    </w:div>
    <w:div w:id="288708275">
      <w:bodyDiv w:val="1"/>
      <w:marLeft w:val="0"/>
      <w:marRight w:val="0"/>
      <w:marTop w:val="0"/>
      <w:marBottom w:val="0"/>
      <w:divBdr>
        <w:top w:val="none" w:sz="0" w:space="0" w:color="auto"/>
        <w:left w:val="none" w:sz="0" w:space="0" w:color="auto"/>
        <w:bottom w:val="none" w:sz="0" w:space="0" w:color="auto"/>
        <w:right w:val="none" w:sz="0" w:space="0" w:color="auto"/>
      </w:divBdr>
    </w:div>
    <w:div w:id="294335461">
      <w:bodyDiv w:val="1"/>
      <w:marLeft w:val="0"/>
      <w:marRight w:val="0"/>
      <w:marTop w:val="0"/>
      <w:marBottom w:val="0"/>
      <w:divBdr>
        <w:top w:val="none" w:sz="0" w:space="0" w:color="auto"/>
        <w:left w:val="none" w:sz="0" w:space="0" w:color="auto"/>
        <w:bottom w:val="none" w:sz="0" w:space="0" w:color="auto"/>
        <w:right w:val="none" w:sz="0" w:space="0" w:color="auto"/>
      </w:divBdr>
    </w:div>
    <w:div w:id="296760918">
      <w:bodyDiv w:val="1"/>
      <w:marLeft w:val="0"/>
      <w:marRight w:val="0"/>
      <w:marTop w:val="0"/>
      <w:marBottom w:val="0"/>
      <w:divBdr>
        <w:top w:val="none" w:sz="0" w:space="0" w:color="auto"/>
        <w:left w:val="none" w:sz="0" w:space="0" w:color="auto"/>
        <w:bottom w:val="none" w:sz="0" w:space="0" w:color="auto"/>
        <w:right w:val="none" w:sz="0" w:space="0" w:color="auto"/>
      </w:divBdr>
    </w:div>
    <w:div w:id="300573603">
      <w:bodyDiv w:val="1"/>
      <w:marLeft w:val="0"/>
      <w:marRight w:val="0"/>
      <w:marTop w:val="0"/>
      <w:marBottom w:val="0"/>
      <w:divBdr>
        <w:top w:val="none" w:sz="0" w:space="0" w:color="auto"/>
        <w:left w:val="none" w:sz="0" w:space="0" w:color="auto"/>
        <w:bottom w:val="none" w:sz="0" w:space="0" w:color="auto"/>
        <w:right w:val="none" w:sz="0" w:space="0" w:color="auto"/>
      </w:divBdr>
    </w:div>
    <w:div w:id="308633958">
      <w:bodyDiv w:val="1"/>
      <w:marLeft w:val="0"/>
      <w:marRight w:val="0"/>
      <w:marTop w:val="0"/>
      <w:marBottom w:val="0"/>
      <w:divBdr>
        <w:top w:val="none" w:sz="0" w:space="0" w:color="auto"/>
        <w:left w:val="none" w:sz="0" w:space="0" w:color="auto"/>
        <w:bottom w:val="none" w:sz="0" w:space="0" w:color="auto"/>
        <w:right w:val="none" w:sz="0" w:space="0" w:color="auto"/>
      </w:divBdr>
    </w:div>
    <w:div w:id="312872990">
      <w:bodyDiv w:val="1"/>
      <w:marLeft w:val="0"/>
      <w:marRight w:val="0"/>
      <w:marTop w:val="0"/>
      <w:marBottom w:val="0"/>
      <w:divBdr>
        <w:top w:val="none" w:sz="0" w:space="0" w:color="auto"/>
        <w:left w:val="none" w:sz="0" w:space="0" w:color="auto"/>
        <w:bottom w:val="none" w:sz="0" w:space="0" w:color="auto"/>
        <w:right w:val="none" w:sz="0" w:space="0" w:color="auto"/>
      </w:divBdr>
    </w:div>
    <w:div w:id="315842264">
      <w:bodyDiv w:val="1"/>
      <w:marLeft w:val="0"/>
      <w:marRight w:val="0"/>
      <w:marTop w:val="0"/>
      <w:marBottom w:val="0"/>
      <w:divBdr>
        <w:top w:val="none" w:sz="0" w:space="0" w:color="auto"/>
        <w:left w:val="none" w:sz="0" w:space="0" w:color="auto"/>
        <w:bottom w:val="none" w:sz="0" w:space="0" w:color="auto"/>
        <w:right w:val="none" w:sz="0" w:space="0" w:color="auto"/>
      </w:divBdr>
    </w:div>
    <w:div w:id="316544326">
      <w:bodyDiv w:val="1"/>
      <w:marLeft w:val="0"/>
      <w:marRight w:val="0"/>
      <w:marTop w:val="0"/>
      <w:marBottom w:val="0"/>
      <w:divBdr>
        <w:top w:val="none" w:sz="0" w:space="0" w:color="auto"/>
        <w:left w:val="none" w:sz="0" w:space="0" w:color="auto"/>
        <w:bottom w:val="none" w:sz="0" w:space="0" w:color="auto"/>
        <w:right w:val="none" w:sz="0" w:space="0" w:color="auto"/>
      </w:divBdr>
    </w:div>
    <w:div w:id="331681465">
      <w:bodyDiv w:val="1"/>
      <w:marLeft w:val="0"/>
      <w:marRight w:val="0"/>
      <w:marTop w:val="0"/>
      <w:marBottom w:val="0"/>
      <w:divBdr>
        <w:top w:val="none" w:sz="0" w:space="0" w:color="auto"/>
        <w:left w:val="none" w:sz="0" w:space="0" w:color="auto"/>
        <w:bottom w:val="none" w:sz="0" w:space="0" w:color="auto"/>
        <w:right w:val="none" w:sz="0" w:space="0" w:color="auto"/>
      </w:divBdr>
    </w:div>
    <w:div w:id="334846483">
      <w:bodyDiv w:val="1"/>
      <w:marLeft w:val="0"/>
      <w:marRight w:val="0"/>
      <w:marTop w:val="0"/>
      <w:marBottom w:val="0"/>
      <w:divBdr>
        <w:top w:val="none" w:sz="0" w:space="0" w:color="auto"/>
        <w:left w:val="none" w:sz="0" w:space="0" w:color="auto"/>
        <w:bottom w:val="none" w:sz="0" w:space="0" w:color="auto"/>
        <w:right w:val="none" w:sz="0" w:space="0" w:color="auto"/>
      </w:divBdr>
    </w:div>
    <w:div w:id="346907332">
      <w:bodyDiv w:val="1"/>
      <w:marLeft w:val="0"/>
      <w:marRight w:val="0"/>
      <w:marTop w:val="0"/>
      <w:marBottom w:val="0"/>
      <w:divBdr>
        <w:top w:val="none" w:sz="0" w:space="0" w:color="auto"/>
        <w:left w:val="none" w:sz="0" w:space="0" w:color="auto"/>
        <w:bottom w:val="none" w:sz="0" w:space="0" w:color="auto"/>
        <w:right w:val="none" w:sz="0" w:space="0" w:color="auto"/>
      </w:divBdr>
    </w:div>
    <w:div w:id="346952258">
      <w:bodyDiv w:val="1"/>
      <w:marLeft w:val="0"/>
      <w:marRight w:val="0"/>
      <w:marTop w:val="0"/>
      <w:marBottom w:val="0"/>
      <w:divBdr>
        <w:top w:val="none" w:sz="0" w:space="0" w:color="auto"/>
        <w:left w:val="none" w:sz="0" w:space="0" w:color="auto"/>
        <w:bottom w:val="none" w:sz="0" w:space="0" w:color="auto"/>
        <w:right w:val="none" w:sz="0" w:space="0" w:color="auto"/>
      </w:divBdr>
    </w:div>
    <w:div w:id="351612331">
      <w:bodyDiv w:val="1"/>
      <w:marLeft w:val="0"/>
      <w:marRight w:val="0"/>
      <w:marTop w:val="0"/>
      <w:marBottom w:val="0"/>
      <w:divBdr>
        <w:top w:val="none" w:sz="0" w:space="0" w:color="auto"/>
        <w:left w:val="none" w:sz="0" w:space="0" w:color="auto"/>
        <w:bottom w:val="none" w:sz="0" w:space="0" w:color="auto"/>
        <w:right w:val="none" w:sz="0" w:space="0" w:color="auto"/>
      </w:divBdr>
    </w:div>
    <w:div w:id="361710329">
      <w:bodyDiv w:val="1"/>
      <w:marLeft w:val="0"/>
      <w:marRight w:val="0"/>
      <w:marTop w:val="0"/>
      <w:marBottom w:val="0"/>
      <w:divBdr>
        <w:top w:val="none" w:sz="0" w:space="0" w:color="auto"/>
        <w:left w:val="none" w:sz="0" w:space="0" w:color="auto"/>
        <w:bottom w:val="none" w:sz="0" w:space="0" w:color="auto"/>
        <w:right w:val="none" w:sz="0" w:space="0" w:color="auto"/>
      </w:divBdr>
    </w:div>
    <w:div w:id="380247344">
      <w:bodyDiv w:val="1"/>
      <w:marLeft w:val="0"/>
      <w:marRight w:val="0"/>
      <w:marTop w:val="0"/>
      <w:marBottom w:val="0"/>
      <w:divBdr>
        <w:top w:val="none" w:sz="0" w:space="0" w:color="auto"/>
        <w:left w:val="none" w:sz="0" w:space="0" w:color="auto"/>
        <w:bottom w:val="none" w:sz="0" w:space="0" w:color="auto"/>
        <w:right w:val="none" w:sz="0" w:space="0" w:color="auto"/>
      </w:divBdr>
    </w:div>
    <w:div w:id="383063256">
      <w:bodyDiv w:val="1"/>
      <w:marLeft w:val="0"/>
      <w:marRight w:val="0"/>
      <w:marTop w:val="0"/>
      <w:marBottom w:val="0"/>
      <w:divBdr>
        <w:top w:val="none" w:sz="0" w:space="0" w:color="auto"/>
        <w:left w:val="none" w:sz="0" w:space="0" w:color="auto"/>
        <w:bottom w:val="none" w:sz="0" w:space="0" w:color="auto"/>
        <w:right w:val="none" w:sz="0" w:space="0" w:color="auto"/>
      </w:divBdr>
    </w:div>
    <w:div w:id="383064568">
      <w:bodyDiv w:val="1"/>
      <w:marLeft w:val="0"/>
      <w:marRight w:val="0"/>
      <w:marTop w:val="0"/>
      <w:marBottom w:val="0"/>
      <w:divBdr>
        <w:top w:val="none" w:sz="0" w:space="0" w:color="auto"/>
        <w:left w:val="none" w:sz="0" w:space="0" w:color="auto"/>
        <w:bottom w:val="none" w:sz="0" w:space="0" w:color="auto"/>
        <w:right w:val="none" w:sz="0" w:space="0" w:color="auto"/>
      </w:divBdr>
    </w:div>
    <w:div w:id="411314415">
      <w:bodyDiv w:val="1"/>
      <w:marLeft w:val="0"/>
      <w:marRight w:val="0"/>
      <w:marTop w:val="0"/>
      <w:marBottom w:val="0"/>
      <w:divBdr>
        <w:top w:val="none" w:sz="0" w:space="0" w:color="auto"/>
        <w:left w:val="none" w:sz="0" w:space="0" w:color="auto"/>
        <w:bottom w:val="none" w:sz="0" w:space="0" w:color="auto"/>
        <w:right w:val="none" w:sz="0" w:space="0" w:color="auto"/>
      </w:divBdr>
    </w:div>
    <w:div w:id="420682994">
      <w:bodyDiv w:val="1"/>
      <w:marLeft w:val="0"/>
      <w:marRight w:val="0"/>
      <w:marTop w:val="0"/>
      <w:marBottom w:val="0"/>
      <w:divBdr>
        <w:top w:val="none" w:sz="0" w:space="0" w:color="auto"/>
        <w:left w:val="none" w:sz="0" w:space="0" w:color="auto"/>
        <w:bottom w:val="none" w:sz="0" w:space="0" w:color="auto"/>
        <w:right w:val="none" w:sz="0" w:space="0" w:color="auto"/>
      </w:divBdr>
    </w:div>
    <w:div w:id="431823912">
      <w:bodyDiv w:val="1"/>
      <w:marLeft w:val="0"/>
      <w:marRight w:val="0"/>
      <w:marTop w:val="0"/>
      <w:marBottom w:val="0"/>
      <w:divBdr>
        <w:top w:val="none" w:sz="0" w:space="0" w:color="auto"/>
        <w:left w:val="none" w:sz="0" w:space="0" w:color="auto"/>
        <w:bottom w:val="none" w:sz="0" w:space="0" w:color="auto"/>
        <w:right w:val="none" w:sz="0" w:space="0" w:color="auto"/>
      </w:divBdr>
    </w:div>
    <w:div w:id="434205842">
      <w:bodyDiv w:val="1"/>
      <w:marLeft w:val="0"/>
      <w:marRight w:val="0"/>
      <w:marTop w:val="0"/>
      <w:marBottom w:val="0"/>
      <w:divBdr>
        <w:top w:val="none" w:sz="0" w:space="0" w:color="auto"/>
        <w:left w:val="none" w:sz="0" w:space="0" w:color="auto"/>
        <w:bottom w:val="none" w:sz="0" w:space="0" w:color="auto"/>
        <w:right w:val="none" w:sz="0" w:space="0" w:color="auto"/>
      </w:divBdr>
    </w:div>
    <w:div w:id="467552783">
      <w:bodyDiv w:val="1"/>
      <w:marLeft w:val="0"/>
      <w:marRight w:val="0"/>
      <w:marTop w:val="0"/>
      <w:marBottom w:val="0"/>
      <w:divBdr>
        <w:top w:val="none" w:sz="0" w:space="0" w:color="auto"/>
        <w:left w:val="none" w:sz="0" w:space="0" w:color="auto"/>
        <w:bottom w:val="none" w:sz="0" w:space="0" w:color="auto"/>
        <w:right w:val="none" w:sz="0" w:space="0" w:color="auto"/>
      </w:divBdr>
    </w:div>
    <w:div w:id="478498850">
      <w:bodyDiv w:val="1"/>
      <w:marLeft w:val="0"/>
      <w:marRight w:val="0"/>
      <w:marTop w:val="0"/>
      <w:marBottom w:val="0"/>
      <w:divBdr>
        <w:top w:val="none" w:sz="0" w:space="0" w:color="auto"/>
        <w:left w:val="none" w:sz="0" w:space="0" w:color="auto"/>
        <w:bottom w:val="none" w:sz="0" w:space="0" w:color="auto"/>
        <w:right w:val="none" w:sz="0" w:space="0" w:color="auto"/>
      </w:divBdr>
    </w:div>
    <w:div w:id="485706168">
      <w:bodyDiv w:val="1"/>
      <w:marLeft w:val="0"/>
      <w:marRight w:val="0"/>
      <w:marTop w:val="0"/>
      <w:marBottom w:val="0"/>
      <w:divBdr>
        <w:top w:val="none" w:sz="0" w:space="0" w:color="auto"/>
        <w:left w:val="none" w:sz="0" w:space="0" w:color="auto"/>
        <w:bottom w:val="none" w:sz="0" w:space="0" w:color="auto"/>
        <w:right w:val="none" w:sz="0" w:space="0" w:color="auto"/>
      </w:divBdr>
    </w:div>
    <w:div w:id="491609272">
      <w:bodyDiv w:val="1"/>
      <w:marLeft w:val="0"/>
      <w:marRight w:val="0"/>
      <w:marTop w:val="0"/>
      <w:marBottom w:val="0"/>
      <w:divBdr>
        <w:top w:val="none" w:sz="0" w:space="0" w:color="auto"/>
        <w:left w:val="none" w:sz="0" w:space="0" w:color="auto"/>
        <w:bottom w:val="none" w:sz="0" w:space="0" w:color="auto"/>
        <w:right w:val="none" w:sz="0" w:space="0" w:color="auto"/>
      </w:divBdr>
    </w:div>
    <w:div w:id="503982217">
      <w:bodyDiv w:val="1"/>
      <w:marLeft w:val="0"/>
      <w:marRight w:val="0"/>
      <w:marTop w:val="0"/>
      <w:marBottom w:val="0"/>
      <w:divBdr>
        <w:top w:val="none" w:sz="0" w:space="0" w:color="auto"/>
        <w:left w:val="none" w:sz="0" w:space="0" w:color="auto"/>
        <w:bottom w:val="none" w:sz="0" w:space="0" w:color="auto"/>
        <w:right w:val="none" w:sz="0" w:space="0" w:color="auto"/>
      </w:divBdr>
    </w:div>
    <w:div w:id="507450600">
      <w:bodyDiv w:val="1"/>
      <w:marLeft w:val="0"/>
      <w:marRight w:val="0"/>
      <w:marTop w:val="0"/>
      <w:marBottom w:val="0"/>
      <w:divBdr>
        <w:top w:val="none" w:sz="0" w:space="0" w:color="auto"/>
        <w:left w:val="none" w:sz="0" w:space="0" w:color="auto"/>
        <w:bottom w:val="none" w:sz="0" w:space="0" w:color="auto"/>
        <w:right w:val="none" w:sz="0" w:space="0" w:color="auto"/>
      </w:divBdr>
    </w:div>
    <w:div w:id="512114620">
      <w:bodyDiv w:val="1"/>
      <w:marLeft w:val="0"/>
      <w:marRight w:val="0"/>
      <w:marTop w:val="0"/>
      <w:marBottom w:val="0"/>
      <w:divBdr>
        <w:top w:val="none" w:sz="0" w:space="0" w:color="auto"/>
        <w:left w:val="none" w:sz="0" w:space="0" w:color="auto"/>
        <w:bottom w:val="none" w:sz="0" w:space="0" w:color="auto"/>
        <w:right w:val="none" w:sz="0" w:space="0" w:color="auto"/>
      </w:divBdr>
    </w:div>
    <w:div w:id="532232627">
      <w:bodyDiv w:val="1"/>
      <w:marLeft w:val="0"/>
      <w:marRight w:val="0"/>
      <w:marTop w:val="0"/>
      <w:marBottom w:val="0"/>
      <w:divBdr>
        <w:top w:val="none" w:sz="0" w:space="0" w:color="auto"/>
        <w:left w:val="none" w:sz="0" w:space="0" w:color="auto"/>
        <w:bottom w:val="none" w:sz="0" w:space="0" w:color="auto"/>
        <w:right w:val="none" w:sz="0" w:space="0" w:color="auto"/>
      </w:divBdr>
    </w:div>
    <w:div w:id="537931361">
      <w:bodyDiv w:val="1"/>
      <w:marLeft w:val="0"/>
      <w:marRight w:val="0"/>
      <w:marTop w:val="0"/>
      <w:marBottom w:val="0"/>
      <w:divBdr>
        <w:top w:val="none" w:sz="0" w:space="0" w:color="auto"/>
        <w:left w:val="none" w:sz="0" w:space="0" w:color="auto"/>
        <w:bottom w:val="none" w:sz="0" w:space="0" w:color="auto"/>
        <w:right w:val="none" w:sz="0" w:space="0" w:color="auto"/>
      </w:divBdr>
    </w:div>
    <w:div w:id="539319589">
      <w:bodyDiv w:val="1"/>
      <w:marLeft w:val="0"/>
      <w:marRight w:val="0"/>
      <w:marTop w:val="0"/>
      <w:marBottom w:val="0"/>
      <w:divBdr>
        <w:top w:val="none" w:sz="0" w:space="0" w:color="auto"/>
        <w:left w:val="none" w:sz="0" w:space="0" w:color="auto"/>
        <w:bottom w:val="none" w:sz="0" w:space="0" w:color="auto"/>
        <w:right w:val="none" w:sz="0" w:space="0" w:color="auto"/>
      </w:divBdr>
    </w:div>
    <w:div w:id="541138915">
      <w:bodyDiv w:val="1"/>
      <w:marLeft w:val="0"/>
      <w:marRight w:val="0"/>
      <w:marTop w:val="0"/>
      <w:marBottom w:val="0"/>
      <w:divBdr>
        <w:top w:val="none" w:sz="0" w:space="0" w:color="auto"/>
        <w:left w:val="none" w:sz="0" w:space="0" w:color="auto"/>
        <w:bottom w:val="none" w:sz="0" w:space="0" w:color="auto"/>
        <w:right w:val="none" w:sz="0" w:space="0" w:color="auto"/>
      </w:divBdr>
    </w:div>
    <w:div w:id="545534279">
      <w:bodyDiv w:val="1"/>
      <w:marLeft w:val="0"/>
      <w:marRight w:val="0"/>
      <w:marTop w:val="0"/>
      <w:marBottom w:val="0"/>
      <w:divBdr>
        <w:top w:val="none" w:sz="0" w:space="0" w:color="auto"/>
        <w:left w:val="none" w:sz="0" w:space="0" w:color="auto"/>
        <w:bottom w:val="none" w:sz="0" w:space="0" w:color="auto"/>
        <w:right w:val="none" w:sz="0" w:space="0" w:color="auto"/>
      </w:divBdr>
    </w:div>
    <w:div w:id="563489454">
      <w:bodyDiv w:val="1"/>
      <w:marLeft w:val="0"/>
      <w:marRight w:val="0"/>
      <w:marTop w:val="0"/>
      <w:marBottom w:val="0"/>
      <w:divBdr>
        <w:top w:val="none" w:sz="0" w:space="0" w:color="auto"/>
        <w:left w:val="none" w:sz="0" w:space="0" w:color="auto"/>
        <w:bottom w:val="none" w:sz="0" w:space="0" w:color="auto"/>
        <w:right w:val="none" w:sz="0" w:space="0" w:color="auto"/>
      </w:divBdr>
    </w:div>
    <w:div w:id="564218152">
      <w:bodyDiv w:val="1"/>
      <w:marLeft w:val="0"/>
      <w:marRight w:val="0"/>
      <w:marTop w:val="0"/>
      <w:marBottom w:val="0"/>
      <w:divBdr>
        <w:top w:val="none" w:sz="0" w:space="0" w:color="auto"/>
        <w:left w:val="none" w:sz="0" w:space="0" w:color="auto"/>
        <w:bottom w:val="none" w:sz="0" w:space="0" w:color="auto"/>
        <w:right w:val="none" w:sz="0" w:space="0" w:color="auto"/>
      </w:divBdr>
    </w:div>
    <w:div w:id="564951689">
      <w:bodyDiv w:val="1"/>
      <w:marLeft w:val="0"/>
      <w:marRight w:val="0"/>
      <w:marTop w:val="0"/>
      <w:marBottom w:val="0"/>
      <w:divBdr>
        <w:top w:val="none" w:sz="0" w:space="0" w:color="auto"/>
        <w:left w:val="none" w:sz="0" w:space="0" w:color="auto"/>
        <w:bottom w:val="none" w:sz="0" w:space="0" w:color="auto"/>
        <w:right w:val="none" w:sz="0" w:space="0" w:color="auto"/>
      </w:divBdr>
    </w:div>
    <w:div w:id="573661163">
      <w:bodyDiv w:val="1"/>
      <w:marLeft w:val="0"/>
      <w:marRight w:val="0"/>
      <w:marTop w:val="0"/>
      <w:marBottom w:val="0"/>
      <w:divBdr>
        <w:top w:val="none" w:sz="0" w:space="0" w:color="auto"/>
        <w:left w:val="none" w:sz="0" w:space="0" w:color="auto"/>
        <w:bottom w:val="none" w:sz="0" w:space="0" w:color="auto"/>
        <w:right w:val="none" w:sz="0" w:space="0" w:color="auto"/>
      </w:divBdr>
    </w:div>
    <w:div w:id="574630438">
      <w:bodyDiv w:val="1"/>
      <w:marLeft w:val="0"/>
      <w:marRight w:val="0"/>
      <w:marTop w:val="0"/>
      <w:marBottom w:val="0"/>
      <w:divBdr>
        <w:top w:val="none" w:sz="0" w:space="0" w:color="auto"/>
        <w:left w:val="none" w:sz="0" w:space="0" w:color="auto"/>
        <w:bottom w:val="none" w:sz="0" w:space="0" w:color="auto"/>
        <w:right w:val="none" w:sz="0" w:space="0" w:color="auto"/>
      </w:divBdr>
    </w:div>
    <w:div w:id="574900731">
      <w:bodyDiv w:val="1"/>
      <w:marLeft w:val="0"/>
      <w:marRight w:val="0"/>
      <w:marTop w:val="0"/>
      <w:marBottom w:val="0"/>
      <w:divBdr>
        <w:top w:val="none" w:sz="0" w:space="0" w:color="auto"/>
        <w:left w:val="none" w:sz="0" w:space="0" w:color="auto"/>
        <w:bottom w:val="none" w:sz="0" w:space="0" w:color="auto"/>
        <w:right w:val="none" w:sz="0" w:space="0" w:color="auto"/>
      </w:divBdr>
    </w:div>
    <w:div w:id="601642611">
      <w:bodyDiv w:val="1"/>
      <w:marLeft w:val="0"/>
      <w:marRight w:val="0"/>
      <w:marTop w:val="0"/>
      <w:marBottom w:val="0"/>
      <w:divBdr>
        <w:top w:val="none" w:sz="0" w:space="0" w:color="auto"/>
        <w:left w:val="none" w:sz="0" w:space="0" w:color="auto"/>
        <w:bottom w:val="none" w:sz="0" w:space="0" w:color="auto"/>
        <w:right w:val="none" w:sz="0" w:space="0" w:color="auto"/>
      </w:divBdr>
    </w:div>
    <w:div w:id="601644436">
      <w:bodyDiv w:val="1"/>
      <w:marLeft w:val="0"/>
      <w:marRight w:val="0"/>
      <w:marTop w:val="0"/>
      <w:marBottom w:val="0"/>
      <w:divBdr>
        <w:top w:val="none" w:sz="0" w:space="0" w:color="auto"/>
        <w:left w:val="none" w:sz="0" w:space="0" w:color="auto"/>
        <w:bottom w:val="none" w:sz="0" w:space="0" w:color="auto"/>
        <w:right w:val="none" w:sz="0" w:space="0" w:color="auto"/>
      </w:divBdr>
    </w:div>
    <w:div w:id="605426568">
      <w:bodyDiv w:val="1"/>
      <w:marLeft w:val="0"/>
      <w:marRight w:val="0"/>
      <w:marTop w:val="0"/>
      <w:marBottom w:val="0"/>
      <w:divBdr>
        <w:top w:val="none" w:sz="0" w:space="0" w:color="auto"/>
        <w:left w:val="none" w:sz="0" w:space="0" w:color="auto"/>
        <w:bottom w:val="none" w:sz="0" w:space="0" w:color="auto"/>
        <w:right w:val="none" w:sz="0" w:space="0" w:color="auto"/>
      </w:divBdr>
    </w:div>
    <w:div w:id="628050563">
      <w:bodyDiv w:val="1"/>
      <w:marLeft w:val="0"/>
      <w:marRight w:val="0"/>
      <w:marTop w:val="0"/>
      <w:marBottom w:val="0"/>
      <w:divBdr>
        <w:top w:val="none" w:sz="0" w:space="0" w:color="auto"/>
        <w:left w:val="none" w:sz="0" w:space="0" w:color="auto"/>
        <w:bottom w:val="none" w:sz="0" w:space="0" w:color="auto"/>
        <w:right w:val="none" w:sz="0" w:space="0" w:color="auto"/>
      </w:divBdr>
    </w:div>
    <w:div w:id="639573687">
      <w:bodyDiv w:val="1"/>
      <w:marLeft w:val="0"/>
      <w:marRight w:val="0"/>
      <w:marTop w:val="0"/>
      <w:marBottom w:val="0"/>
      <w:divBdr>
        <w:top w:val="none" w:sz="0" w:space="0" w:color="auto"/>
        <w:left w:val="none" w:sz="0" w:space="0" w:color="auto"/>
        <w:bottom w:val="none" w:sz="0" w:space="0" w:color="auto"/>
        <w:right w:val="none" w:sz="0" w:space="0" w:color="auto"/>
      </w:divBdr>
    </w:div>
    <w:div w:id="669336620">
      <w:bodyDiv w:val="1"/>
      <w:marLeft w:val="0"/>
      <w:marRight w:val="0"/>
      <w:marTop w:val="0"/>
      <w:marBottom w:val="0"/>
      <w:divBdr>
        <w:top w:val="none" w:sz="0" w:space="0" w:color="auto"/>
        <w:left w:val="none" w:sz="0" w:space="0" w:color="auto"/>
        <w:bottom w:val="none" w:sz="0" w:space="0" w:color="auto"/>
        <w:right w:val="none" w:sz="0" w:space="0" w:color="auto"/>
      </w:divBdr>
    </w:div>
    <w:div w:id="686056446">
      <w:bodyDiv w:val="1"/>
      <w:marLeft w:val="0"/>
      <w:marRight w:val="0"/>
      <w:marTop w:val="0"/>
      <w:marBottom w:val="0"/>
      <w:divBdr>
        <w:top w:val="none" w:sz="0" w:space="0" w:color="auto"/>
        <w:left w:val="none" w:sz="0" w:space="0" w:color="auto"/>
        <w:bottom w:val="none" w:sz="0" w:space="0" w:color="auto"/>
        <w:right w:val="none" w:sz="0" w:space="0" w:color="auto"/>
      </w:divBdr>
    </w:div>
    <w:div w:id="694843204">
      <w:bodyDiv w:val="1"/>
      <w:marLeft w:val="0"/>
      <w:marRight w:val="0"/>
      <w:marTop w:val="0"/>
      <w:marBottom w:val="0"/>
      <w:divBdr>
        <w:top w:val="none" w:sz="0" w:space="0" w:color="auto"/>
        <w:left w:val="none" w:sz="0" w:space="0" w:color="auto"/>
        <w:bottom w:val="none" w:sz="0" w:space="0" w:color="auto"/>
        <w:right w:val="none" w:sz="0" w:space="0" w:color="auto"/>
      </w:divBdr>
    </w:div>
    <w:div w:id="721058694">
      <w:bodyDiv w:val="1"/>
      <w:marLeft w:val="0"/>
      <w:marRight w:val="0"/>
      <w:marTop w:val="0"/>
      <w:marBottom w:val="0"/>
      <w:divBdr>
        <w:top w:val="none" w:sz="0" w:space="0" w:color="auto"/>
        <w:left w:val="none" w:sz="0" w:space="0" w:color="auto"/>
        <w:bottom w:val="none" w:sz="0" w:space="0" w:color="auto"/>
        <w:right w:val="none" w:sz="0" w:space="0" w:color="auto"/>
      </w:divBdr>
    </w:div>
    <w:div w:id="732973899">
      <w:bodyDiv w:val="1"/>
      <w:marLeft w:val="0"/>
      <w:marRight w:val="0"/>
      <w:marTop w:val="0"/>
      <w:marBottom w:val="0"/>
      <w:divBdr>
        <w:top w:val="none" w:sz="0" w:space="0" w:color="auto"/>
        <w:left w:val="none" w:sz="0" w:space="0" w:color="auto"/>
        <w:bottom w:val="none" w:sz="0" w:space="0" w:color="auto"/>
        <w:right w:val="none" w:sz="0" w:space="0" w:color="auto"/>
      </w:divBdr>
    </w:div>
    <w:div w:id="746809433">
      <w:bodyDiv w:val="1"/>
      <w:marLeft w:val="0"/>
      <w:marRight w:val="0"/>
      <w:marTop w:val="0"/>
      <w:marBottom w:val="0"/>
      <w:divBdr>
        <w:top w:val="none" w:sz="0" w:space="0" w:color="auto"/>
        <w:left w:val="none" w:sz="0" w:space="0" w:color="auto"/>
        <w:bottom w:val="none" w:sz="0" w:space="0" w:color="auto"/>
        <w:right w:val="none" w:sz="0" w:space="0" w:color="auto"/>
      </w:divBdr>
    </w:div>
    <w:div w:id="752582192">
      <w:bodyDiv w:val="1"/>
      <w:marLeft w:val="0"/>
      <w:marRight w:val="0"/>
      <w:marTop w:val="0"/>
      <w:marBottom w:val="0"/>
      <w:divBdr>
        <w:top w:val="none" w:sz="0" w:space="0" w:color="auto"/>
        <w:left w:val="none" w:sz="0" w:space="0" w:color="auto"/>
        <w:bottom w:val="none" w:sz="0" w:space="0" w:color="auto"/>
        <w:right w:val="none" w:sz="0" w:space="0" w:color="auto"/>
      </w:divBdr>
    </w:div>
    <w:div w:id="765423090">
      <w:bodyDiv w:val="1"/>
      <w:marLeft w:val="0"/>
      <w:marRight w:val="0"/>
      <w:marTop w:val="0"/>
      <w:marBottom w:val="0"/>
      <w:divBdr>
        <w:top w:val="none" w:sz="0" w:space="0" w:color="auto"/>
        <w:left w:val="none" w:sz="0" w:space="0" w:color="auto"/>
        <w:bottom w:val="none" w:sz="0" w:space="0" w:color="auto"/>
        <w:right w:val="none" w:sz="0" w:space="0" w:color="auto"/>
      </w:divBdr>
    </w:div>
    <w:div w:id="774640851">
      <w:bodyDiv w:val="1"/>
      <w:marLeft w:val="0"/>
      <w:marRight w:val="0"/>
      <w:marTop w:val="0"/>
      <w:marBottom w:val="0"/>
      <w:divBdr>
        <w:top w:val="none" w:sz="0" w:space="0" w:color="auto"/>
        <w:left w:val="none" w:sz="0" w:space="0" w:color="auto"/>
        <w:bottom w:val="none" w:sz="0" w:space="0" w:color="auto"/>
        <w:right w:val="none" w:sz="0" w:space="0" w:color="auto"/>
      </w:divBdr>
    </w:div>
    <w:div w:id="785392194">
      <w:bodyDiv w:val="1"/>
      <w:marLeft w:val="0"/>
      <w:marRight w:val="0"/>
      <w:marTop w:val="0"/>
      <w:marBottom w:val="0"/>
      <w:divBdr>
        <w:top w:val="none" w:sz="0" w:space="0" w:color="auto"/>
        <w:left w:val="none" w:sz="0" w:space="0" w:color="auto"/>
        <w:bottom w:val="none" w:sz="0" w:space="0" w:color="auto"/>
        <w:right w:val="none" w:sz="0" w:space="0" w:color="auto"/>
      </w:divBdr>
    </w:div>
    <w:div w:id="789862673">
      <w:bodyDiv w:val="1"/>
      <w:marLeft w:val="0"/>
      <w:marRight w:val="0"/>
      <w:marTop w:val="0"/>
      <w:marBottom w:val="0"/>
      <w:divBdr>
        <w:top w:val="none" w:sz="0" w:space="0" w:color="auto"/>
        <w:left w:val="none" w:sz="0" w:space="0" w:color="auto"/>
        <w:bottom w:val="none" w:sz="0" w:space="0" w:color="auto"/>
        <w:right w:val="none" w:sz="0" w:space="0" w:color="auto"/>
      </w:divBdr>
    </w:div>
    <w:div w:id="793058858">
      <w:bodyDiv w:val="1"/>
      <w:marLeft w:val="0"/>
      <w:marRight w:val="0"/>
      <w:marTop w:val="0"/>
      <w:marBottom w:val="0"/>
      <w:divBdr>
        <w:top w:val="none" w:sz="0" w:space="0" w:color="auto"/>
        <w:left w:val="none" w:sz="0" w:space="0" w:color="auto"/>
        <w:bottom w:val="none" w:sz="0" w:space="0" w:color="auto"/>
        <w:right w:val="none" w:sz="0" w:space="0" w:color="auto"/>
      </w:divBdr>
    </w:div>
    <w:div w:id="801461098">
      <w:bodyDiv w:val="1"/>
      <w:marLeft w:val="0"/>
      <w:marRight w:val="0"/>
      <w:marTop w:val="0"/>
      <w:marBottom w:val="0"/>
      <w:divBdr>
        <w:top w:val="none" w:sz="0" w:space="0" w:color="auto"/>
        <w:left w:val="none" w:sz="0" w:space="0" w:color="auto"/>
        <w:bottom w:val="none" w:sz="0" w:space="0" w:color="auto"/>
        <w:right w:val="none" w:sz="0" w:space="0" w:color="auto"/>
      </w:divBdr>
    </w:div>
    <w:div w:id="804084512">
      <w:bodyDiv w:val="1"/>
      <w:marLeft w:val="0"/>
      <w:marRight w:val="0"/>
      <w:marTop w:val="0"/>
      <w:marBottom w:val="0"/>
      <w:divBdr>
        <w:top w:val="none" w:sz="0" w:space="0" w:color="auto"/>
        <w:left w:val="none" w:sz="0" w:space="0" w:color="auto"/>
        <w:bottom w:val="none" w:sz="0" w:space="0" w:color="auto"/>
        <w:right w:val="none" w:sz="0" w:space="0" w:color="auto"/>
      </w:divBdr>
    </w:div>
    <w:div w:id="809054864">
      <w:bodyDiv w:val="1"/>
      <w:marLeft w:val="0"/>
      <w:marRight w:val="0"/>
      <w:marTop w:val="0"/>
      <w:marBottom w:val="0"/>
      <w:divBdr>
        <w:top w:val="none" w:sz="0" w:space="0" w:color="auto"/>
        <w:left w:val="none" w:sz="0" w:space="0" w:color="auto"/>
        <w:bottom w:val="none" w:sz="0" w:space="0" w:color="auto"/>
        <w:right w:val="none" w:sz="0" w:space="0" w:color="auto"/>
      </w:divBdr>
    </w:div>
    <w:div w:id="815419720">
      <w:bodyDiv w:val="1"/>
      <w:marLeft w:val="0"/>
      <w:marRight w:val="0"/>
      <w:marTop w:val="0"/>
      <w:marBottom w:val="0"/>
      <w:divBdr>
        <w:top w:val="none" w:sz="0" w:space="0" w:color="auto"/>
        <w:left w:val="none" w:sz="0" w:space="0" w:color="auto"/>
        <w:bottom w:val="none" w:sz="0" w:space="0" w:color="auto"/>
        <w:right w:val="none" w:sz="0" w:space="0" w:color="auto"/>
      </w:divBdr>
    </w:div>
    <w:div w:id="822743172">
      <w:bodyDiv w:val="1"/>
      <w:marLeft w:val="0"/>
      <w:marRight w:val="0"/>
      <w:marTop w:val="0"/>
      <w:marBottom w:val="0"/>
      <w:divBdr>
        <w:top w:val="none" w:sz="0" w:space="0" w:color="auto"/>
        <w:left w:val="none" w:sz="0" w:space="0" w:color="auto"/>
        <w:bottom w:val="none" w:sz="0" w:space="0" w:color="auto"/>
        <w:right w:val="none" w:sz="0" w:space="0" w:color="auto"/>
      </w:divBdr>
    </w:div>
    <w:div w:id="827985845">
      <w:bodyDiv w:val="1"/>
      <w:marLeft w:val="0"/>
      <w:marRight w:val="0"/>
      <w:marTop w:val="0"/>
      <w:marBottom w:val="0"/>
      <w:divBdr>
        <w:top w:val="none" w:sz="0" w:space="0" w:color="auto"/>
        <w:left w:val="none" w:sz="0" w:space="0" w:color="auto"/>
        <w:bottom w:val="none" w:sz="0" w:space="0" w:color="auto"/>
        <w:right w:val="none" w:sz="0" w:space="0" w:color="auto"/>
      </w:divBdr>
    </w:div>
    <w:div w:id="833374746">
      <w:bodyDiv w:val="1"/>
      <w:marLeft w:val="0"/>
      <w:marRight w:val="0"/>
      <w:marTop w:val="0"/>
      <w:marBottom w:val="0"/>
      <w:divBdr>
        <w:top w:val="none" w:sz="0" w:space="0" w:color="auto"/>
        <w:left w:val="none" w:sz="0" w:space="0" w:color="auto"/>
        <w:bottom w:val="none" w:sz="0" w:space="0" w:color="auto"/>
        <w:right w:val="none" w:sz="0" w:space="0" w:color="auto"/>
      </w:divBdr>
    </w:div>
    <w:div w:id="835463026">
      <w:bodyDiv w:val="1"/>
      <w:marLeft w:val="0"/>
      <w:marRight w:val="0"/>
      <w:marTop w:val="0"/>
      <w:marBottom w:val="0"/>
      <w:divBdr>
        <w:top w:val="none" w:sz="0" w:space="0" w:color="auto"/>
        <w:left w:val="none" w:sz="0" w:space="0" w:color="auto"/>
        <w:bottom w:val="none" w:sz="0" w:space="0" w:color="auto"/>
        <w:right w:val="none" w:sz="0" w:space="0" w:color="auto"/>
      </w:divBdr>
    </w:div>
    <w:div w:id="840895936">
      <w:bodyDiv w:val="1"/>
      <w:marLeft w:val="0"/>
      <w:marRight w:val="0"/>
      <w:marTop w:val="0"/>
      <w:marBottom w:val="0"/>
      <w:divBdr>
        <w:top w:val="none" w:sz="0" w:space="0" w:color="auto"/>
        <w:left w:val="none" w:sz="0" w:space="0" w:color="auto"/>
        <w:bottom w:val="none" w:sz="0" w:space="0" w:color="auto"/>
        <w:right w:val="none" w:sz="0" w:space="0" w:color="auto"/>
      </w:divBdr>
    </w:div>
    <w:div w:id="841286231">
      <w:bodyDiv w:val="1"/>
      <w:marLeft w:val="0"/>
      <w:marRight w:val="0"/>
      <w:marTop w:val="0"/>
      <w:marBottom w:val="0"/>
      <w:divBdr>
        <w:top w:val="none" w:sz="0" w:space="0" w:color="auto"/>
        <w:left w:val="none" w:sz="0" w:space="0" w:color="auto"/>
        <w:bottom w:val="none" w:sz="0" w:space="0" w:color="auto"/>
        <w:right w:val="none" w:sz="0" w:space="0" w:color="auto"/>
      </w:divBdr>
    </w:div>
    <w:div w:id="846410701">
      <w:bodyDiv w:val="1"/>
      <w:marLeft w:val="0"/>
      <w:marRight w:val="0"/>
      <w:marTop w:val="0"/>
      <w:marBottom w:val="0"/>
      <w:divBdr>
        <w:top w:val="none" w:sz="0" w:space="0" w:color="auto"/>
        <w:left w:val="none" w:sz="0" w:space="0" w:color="auto"/>
        <w:bottom w:val="none" w:sz="0" w:space="0" w:color="auto"/>
        <w:right w:val="none" w:sz="0" w:space="0" w:color="auto"/>
      </w:divBdr>
    </w:div>
    <w:div w:id="847065738">
      <w:bodyDiv w:val="1"/>
      <w:marLeft w:val="0"/>
      <w:marRight w:val="0"/>
      <w:marTop w:val="0"/>
      <w:marBottom w:val="0"/>
      <w:divBdr>
        <w:top w:val="none" w:sz="0" w:space="0" w:color="auto"/>
        <w:left w:val="none" w:sz="0" w:space="0" w:color="auto"/>
        <w:bottom w:val="none" w:sz="0" w:space="0" w:color="auto"/>
        <w:right w:val="none" w:sz="0" w:space="0" w:color="auto"/>
      </w:divBdr>
    </w:div>
    <w:div w:id="850919853">
      <w:bodyDiv w:val="1"/>
      <w:marLeft w:val="0"/>
      <w:marRight w:val="0"/>
      <w:marTop w:val="0"/>
      <w:marBottom w:val="0"/>
      <w:divBdr>
        <w:top w:val="none" w:sz="0" w:space="0" w:color="auto"/>
        <w:left w:val="none" w:sz="0" w:space="0" w:color="auto"/>
        <w:bottom w:val="none" w:sz="0" w:space="0" w:color="auto"/>
        <w:right w:val="none" w:sz="0" w:space="0" w:color="auto"/>
      </w:divBdr>
    </w:div>
    <w:div w:id="857426850">
      <w:bodyDiv w:val="1"/>
      <w:marLeft w:val="0"/>
      <w:marRight w:val="0"/>
      <w:marTop w:val="0"/>
      <w:marBottom w:val="0"/>
      <w:divBdr>
        <w:top w:val="none" w:sz="0" w:space="0" w:color="auto"/>
        <w:left w:val="none" w:sz="0" w:space="0" w:color="auto"/>
        <w:bottom w:val="none" w:sz="0" w:space="0" w:color="auto"/>
        <w:right w:val="none" w:sz="0" w:space="0" w:color="auto"/>
      </w:divBdr>
    </w:div>
    <w:div w:id="863444470">
      <w:bodyDiv w:val="1"/>
      <w:marLeft w:val="0"/>
      <w:marRight w:val="0"/>
      <w:marTop w:val="0"/>
      <w:marBottom w:val="0"/>
      <w:divBdr>
        <w:top w:val="none" w:sz="0" w:space="0" w:color="auto"/>
        <w:left w:val="none" w:sz="0" w:space="0" w:color="auto"/>
        <w:bottom w:val="none" w:sz="0" w:space="0" w:color="auto"/>
        <w:right w:val="none" w:sz="0" w:space="0" w:color="auto"/>
      </w:divBdr>
    </w:div>
    <w:div w:id="905070192">
      <w:bodyDiv w:val="1"/>
      <w:marLeft w:val="0"/>
      <w:marRight w:val="0"/>
      <w:marTop w:val="0"/>
      <w:marBottom w:val="0"/>
      <w:divBdr>
        <w:top w:val="none" w:sz="0" w:space="0" w:color="auto"/>
        <w:left w:val="none" w:sz="0" w:space="0" w:color="auto"/>
        <w:bottom w:val="none" w:sz="0" w:space="0" w:color="auto"/>
        <w:right w:val="none" w:sz="0" w:space="0" w:color="auto"/>
      </w:divBdr>
    </w:div>
    <w:div w:id="907031329">
      <w:bodyDiv w:val="1"/>
      <w:marLeft w:val="0"/>
      <w:marRight w:val="0"/>
      <w:marTop w:val="0"/>
      <w:marBottom w:val="0"/>
      <w:divBdr>
        <w:top w:val="none" w:sz="0" w:space="0" w:color="auto"/>
        <w:left w:val="none" w:sz="0" w:space="0" w:color="auto"/>
        <w:bottom w:val="none" w:sz="0" w:space="0" w:color="auto"/>
        <w:right w:val="none" w:sz="0" w:space="0" w:color="auto"/>
      </w:divBdr>
    </w:div>
    <w:div w:id="910164621">
      <w:bodyDiv w:val="1"/>
      <w:marLeft w:val="0"/>
      <w:marRight w:val="0"/>
      <w:marTop w:val="0"/>
      <w:marBottom w:val="0"/>
      <w:divBdr>
        <w:top w:val="none" w:sz="0" w:space="0" w:color="auto"/>
        <w:left w:val="none" w:sz="0" w:space="0" w:color="auto"/>
        <w:bottom w:val="none" w:sz="0" w:space="0" w:color="auto"/>
        <w:right w:val="none" w:sz="0" w:space="0" w:color="auto"/>
      </w:divBdr>
    </w:div>
    <w:div w:id="928195123">
      <w:bodyDiv w:val="1"/>
      <w:marLeft w:val="0"/>
      <w:marRight w:val="0"/>
      <w:marTop w:val="0"/>
      <w:marBottom w:val="0"/>
      <w:divBdr>
        <w:top w:val="none" w:sz="0" w:space="0" w:color="auto"/>
        <w:left w:val="none" w:sz="0" w:space="0" w:color="auto"/>
        <w:bottom w:val="none" w:sz="0" w:space="0" w:color="auto"/>
        <w:right w:val="none" w:sz="0" w:space="0" w:color="auto"/>
      </w:divBdr>
    </w:div>
    <w:div w:id="930548011">
      <w:bodyDiv w:val="1"/>
      <w:marLeft w:val="0"/>
      <w:marRight w:val="0"/>
      <w:marTop w:val="0"/>
      <w:marBottom w:val="0"/>
      <w:divBdr>
        <w:top w:val="none" w:sz="0" w:space="0" w:color="auto"/>
        <w:left w:val="none" w:sz="0" w:space="0" w:color="auto"/>
        <w:bottom w:val="none" w:sz="0" w:space="0" w:color="auto"/>
        <w:right w:val="none" w:sz="0" w:space="0" w:color="auto"/>
      </w:divBdr>
    </w:div>
    <w:div w:id="936913141">
      <w:bodyDiv w:val="1"/>
      <w:marLeft w:val="0"/>
      <w:marRight w:val="0"/>
      <w:marTop w:val="0"/>
      <w:marBottom w:val="0"/>
      <w:divBdr>
        <w:top w:val="none" w:sz="0" w:space="0" w:color="auto"/>
        <w:left w:val="none" w:sz="0" w:space="0" w:color="auto"/>
        <w:bottom w:val="none" w:sz="0" w:space="0" w:color="auto"/>
        <w:right w:val="none" w:sz="0" w:space="0" w:color="auto"/>
      </w:divBdr>
    </w:div>
    <w:div w:id="937906623">
      <w:bodyDiv w:val="1"/>
      <w:marLeft w:val="0"/>
      <w:marRight w:val="0"/>
      <w:marTop w:val="0"/>
      <w:marBottom w:val="0"/>
      <w:divBdr>
        <w:top w:val="none" w:sz="0" w:space="0" w:color="auto"/>
        <w:left w:val="none" w:sz="0" w:space="0" w:color="auto"/>
        <w:bottom w:val="none" w:sz="0" w:space="0" w:color="auto"/>
        <w:right w:val="none" w:sz="0" w:space="0" w:color="auto"/>
      </w:divBdr>
    </w:div>
    <w:div w:id="940336350">
      <w:bodyDiv w:val="1"/>
      <w:marLeft w:val="0"/>
      <w:marRight w:val="0"/>
      <w:marTop w:val="0"/>
      <w:marBottom w:val="0"/>
      <w:divBdr>
        <w:top w:val="none" w:sz="0" w:space="0" w:color="auto"/>
        <w:left w:val="none" w:sz="0" w:space="0" w:color="auto"/>
        <w:bottom w:val="none" w:sz="0" w:space="0" w:color="auto"/>
        <w:right w:val="none" w:sz="0" w:space="0" w:color="auto"/>
      </w:divBdr>
    </w:div>
    <w:div w:id="941033174">
      <w:bodyDiv w:val="1"/>
      <w:marLeft w:val="0"/>
      <w:marRight w:val="0"/>
      <w:marTop w:val="0"/>
      <w:marBottom w:val="0"/>
      <w:divBdr>
        <w:top w:val="none" w:sz="0" w:space="0" w:color="auto"/>
        <w:left w:val="none" w:sz="0" w:space="0" w:color="auto"/>
        <w:bottom w:val="none" w:sz="0" w:space="0" w:color="auto"/>
        <w:right w:val="none" w:sz="0" w:space="0" w:color="auto"/>
      </w:divBdr>
    </w:div>
    <w:div w:id="948581514">
      <w:bodyDiv w:val="1"/>
      <w:marLeft w:val="0"/>
      <w:marRight w:val="0"/>
      <w:marTop w:val="0"/>
      <w:marBottom w:val="0"/>
      <w:divBdr>
        <w:top w:val="none" w:sz="0" w:space="0" w:color="auto"/>
        <w:left w:val="none" w:sz="0" w:space="0" w:color="auto"/>
        <w:bottom w:val="none" w:sz="0" w:space="0" w:color="auto"/>
        <w:right w:val="none" w:sz="0" w:space="0" w:color="auto"/>
      </w:divBdr>
    </w:div>
    <w:div w:id="953515052">
      <w:bodyDiv w:val="1"/>
      <w:marLeft w:val="0"/>
      <w:marRight w:val="0"/>
      <w:marTop w:val="0"/>
      <w:marBottom w:val="0"/>
      <w:divBdr>
        <w:top w:val="none" w:sz="0" w:space="0" w:color="auto"/>
        <w:left w:val="none" w:sz="0" w:space="0" w:color="auto"/>
        <w:bottom w:val="none" w:sz="0" w:space="0" w:color="auto"/>
        <w:right w:val="none" w:sz="0" w:space="0" w:color="auto"/>
      </w:divBdr>
    </w:div>
    <w:div w:id="960918937">
      <w:bodyDiv w:val="1"/>
      <w:marLeft w:val="0"/>
      <w:marRight w:val="0"/>
      <w:marTop w:val="0"/>
      <w:marBottom w:val="0"/>
      <w:divBdr>
        <w:top w:val="none" w:sz="0" w:space="0" w:color="auto"/>
        <w:left w:val="none" w:sz="0" w:space="0" w:color="auto"/>
        <w:bottom w:val="none" w:sz="0" w:space="0" w:color="auto"/>
        <w:right w:val="none" w:sz="0" w:space="0" w:color="auto"/>
      </w:divBdr>
    </w:div>
    <w:div w:id="965280464">
      <w:bodyDiv w:val="1"/>
      <w:marLeft w:val="0"/>
      <w:marRight w:val="0"/>
      <w:marTop w:val="0"/>
      <w:marBottom w:val="0"/>
      <w:divBdr>
        <w:top w:val="none" w:sz="0" w:space="0" w:color="auto"/>
        <w:left w:val="none" w:sz="0" w:space="0" w:color="auto"/>
        <w:bottom w:val="none" w:sz="0" w:space="0" w:color="auto"/>
        <w:right w:val="none" w:sz="0" w:space="0" w:color="auto"/>
      </w:divBdr>
    </w:div>
    <w:div w:id="969553511">
      <w:bodyDiv w:val="1"/>
      <w:marLeft w:val="0"/>
      <w:marRight w:val="0"/>
      <w:marTop w:val="0"/>
      <w:marBottom w:val="0"/>
      <w:divBdr>
        <w:top w:val="none" w:sz="0" w:space="0" w:color="auto"/>
        <w:left w:val="none" w:sz="0" w:space="0" w:color="auto"/>
        <w:bottom w:val="none" w:sz="0" w:space="0" w:color="auto"/>
        <w:right w:val="none" w:sz="0" w:space="0" w:color="auto"/>
      </w:divBdr>
    </w:div>
    <w:div w:id="1000738768">
      <w:bodyDiv w:val="1"/>
      <w:marLeft w:val="0"/>
      <w:marRight w:val="0"/>
      <w:marTop w:val="0"/>
      <w:marBottom w:val="0"/>
      <w:divBdr>
        <w:top w:val="none" w:sz="0" w:space="0" w:color="auto"/>
        <w:left w:val="none" w:sz="0" w:space="0" w:color="auto"/>
        <w:bottom w:val="none" w:sz="0" w:space="0" w:color="auto"/>
        <w:right w:val="none" w:sz="0" w:space="0" w:color="auto"/>
      </w:divBdr>
    </w:div>
    <w:div w:id="1012101993">
      <w:bodyDiv w:val="1"/>
      <w:marLeft w:val="0"/>
      <w:marRight w:val="0"/>
      <w:marTop w:val="0"/>
      <w:marBottom w:val="0"/>
      <w:divBdr>
        <w:top w:val="none" w:sz="0" w:space="0" w:color="auto"/>
        <w:left w:val="none" w:sz="0" w:space="0" w:color="auto"/>
        <w:bottom w:val="none" w:sz="0" w:space="0" w:color="auto"/>
        <w:right w:val="none" w:sz="0" w:space="0" w:color="auto"/>
      </w:divBdr>
    </w:div>
    <w:div w:id="1013802808">
      <w:bodyDiv w:val="1"/>
      <w:marLeft w:val="0"/>
      <w:marRight w:val="0"/>
      <w:marTop w:val="0"/>
      <w:marBottom w:val="0"/>
      <w:divBdr>
        <w:top w:val="none" w:sz="0" w:space="0" w:color="auto"/>
        <w:left w:val="none" w:sz="0" w:space="0" w:color="auto"/>
        <w:bottom w:val="none" w:sz="0" w:space="0" w:color="auto"/>
        <w:right w:val="none" w:sz="0" w:space="0" w:color="auto"/>
      </w:divBdr>
    </w:div>
    <w:div w:id="1020468340">
      <w:bodyDiv w:val="1"/>
      <w:marLeft w:val="0"/>
      <w:marRight w:val="0"/>
      <w:marTop w:val="0"/>
      <w:marBottom w:val="0"/>
      <w:divBdr>
        <w:top w:val="none" w:sz="0" w:space="0" w:color="auto"/>
        <w:left w:val="none" w:sz="0" w:space="0" w:color="auto"/>
        <w:bottom w:val="none" w:sz="0" w:space="0" w:color="auto"/>
        <w:right w:val="none" w:sz="0" w:space="0" w:color="auto"/>
      </w:divBdr>
    </w:div>
    <w:div w:id="1025599078">
      <w:bodyDiv w:val="1"/>
      <w:marLeft w:val="0"/>
      <w:marRight w:val="0"/>
      <w:marTop w:val="0"/>
      <w:marBottom w:val="0"/>
      <w:divBdr>
        <w:top w:val="none" w:sz="0" w:space="0" w:color="auto"/>
        <w:left w:val="none" w:sz="0" w:space="0" w:color="auto"/>
        <w:bottom w:val="none" w:sz="0" w:space="0" w:color="auto"/>
        <w:right w:val="none" w:sz="0" w:space="0" w:color="auto"/>
      </w:divBdr>
    </w:div>
    <w:div w:id="1035885507">
      <w:bodyDiv w:val="1"/>
      <w:marLeft w:val="0"/>
      <w:marRight w:val="0"/>
      <w:marTop w:val="0"/>
      <w:marBottom w:val="0"/>
      <w:divBdr>
        <w:top w:val="none" w:sz="0" w:space="0" w:color="auto"/>
        <w:left w:val="none" w:sz="0" w:space="0" w:color="auto"/>
        <w:bottom w:val="none" w:sz="0" w:space="0" w:color="auto"/>
        <w:right w:val="none" w:sz="0" w:space="0" w:color="auto"/>
      </w:divBdr>
    </w:div>
    <w:div w:id="1044256651">
      <w:bodyDiv w:val="1"/>
      <w:marLeft w:val="0"/>
      <w:marRight w:val="0"/>
      <w:marTop w:val="0"/>
      <w:marBottom w:val="0"/>
      <w:divBdr>
        <w:top w:val="none" w:sz="0" w:space="0" w:color="auto"/>
        <w:left w:val="none" w:sz="0" w:space="0" w:color="auto"/>
        <w:bottom w:val="none" w:sz="0" w:space="0" w:color="auto"/>
        <w:right w:val="none" w:sz="0" w:space="0" w:color="auto"/>
      </w:divBdr>
    </w:div>
    <w:div w:id="1052001373">
      <w:bodyDiv w:val="1"/>
      <w:marLeft w:val="0"/>
      <w:marRight w:val="0"/>
      <w:marTop w:val="0"/>
      <w:marBottom w:val="0"/>
      <w:divBdr>
        <w:top w:val="none" w:sz="0" w:space="0" w:color="auto"/>
        <w:left w:val="none" w:sz="0" w:space="0" w:color="auto"/>
        <w:bottom w:val="none" w:sz="0" w:space="0" w:color="auto"/>
        <w:right w:val="none" w:sz="0" w:space="0" w:color="auto"/>
      </w:divBdr>
    </w:div>
    <w:div w:id="1063066907">
      <w:bodyDiv w:val="1"/>
      <w:marLeft w:val="0"/>
      <w:marRight w:val="0"/>
      <w:marTop w:val="0"/>
      <w:marBottom w:val="0"/>
      <w:divBdr>
        <w:top w:val="none" w:sz="0" w:space="0" w:color="auto"/>
        <w:left w:val="none" w:sz="0" w:space="0" w:color="auto"/>
        <w:bottom w:val="none" w:sz="0" w:space="0" w:color="auto"/>
        <w:right w:val="none" w:sz="0" w:space="0" w:color="auto"/>
      </w:divBdr>
    </w:div>
    <w:div w:id="1071924552">
      <w:bodyDiv w:val="1"/>
      <w:marLeft w:val="0"/>
      <w:marRight w:val="0"/>
      <w:marTop w:val="0"/>
      <w:marBottom w:val="0"/>
      <w:divBdr>
        <w:top w:val="none" w:sz="0" w:space="0" w:color="auto"/>
        <w:left w:val="none" w:sz="0" w:space="0" w:color="auto"/>
        <w:bottom w:val="none" w:sz="0" w:space="0" w:color="auto"/>
        <w:right w:val="none" w:sz="0" w:space="0" w:color="auto"/>
      </w:divBdr>
    </w:div>
    <w:div w:id="1086802842">
      <w:bodyDiv w:val="1"/>
      <w:marLeft w:val="0"/>
      <w:marRight w:val="0"/>
      <w:marTop w:val="0"/>
      <w:marBottom w:val="0"/>
      <w:divBdr>
        <w:top w:val="none" w:sz="0" w:space="0" w:color="auto"/>
        <w:left w:val="none" w:sz="0" w:space="0" w:color="auto"/>
        <w:bottom w:val="none" w:sz="0" w:space="0" w:color="auto"/>
        <w:right w:val="none" w:sz="0" w:space="0" w:color="auto"/>
      </w:divBdr>
    </w:div>
    <w:div w:id="1108084413">
      <w:bodyDiv w:val="1"/>
      <w:marLeft w:val="0"/>
      <w:marRight w:val="0"/>
      <w:marTop w:val="0"/>
      <w:marBottom w:val="0"/>
      <w:divBdr>
        <w:top w:val="none" w:sz="0" w:space="0" w:color="auto"/>
        <w:left w:val="none" w:sz="0" w:space="0" w:color="auto"/>
        <w:bottom w:val="none" w:sz="0" w:space="0" w:color="auto"/>
        <w:right w:val="none" w:sz="0" w:space="0" w:color="auto"/>
      </w:divBdr>
    </w:div>
    <w:div w:id="1112162430">
      <w:bodyDiv w:val="1"/>
      <w:marLeft w:val="0"/>
      <w:marRight w:val="0"/>
      <w:marTop w:val="0"/>
      <w:marBottom w:val="0"/>
      <w:divBdr>
        <w:top w:val="none" w:sz="0" w:space="0" w:color="auto"/>
        <w:left w:val="none" w:sz="0" w:space="0" w:color="auto"/>
        <w:bottom w:val="none" w:sz="0" w:space="0" w:color="auto"/>
        <w:right w:val="none" w:sz="0" w:space="0" w:color="auto"/>
      </w:divBdr>
    </w:div>
    <w:div w:id="1112631481">
      <w:bodyDiv w:val="1"/>
      <w:marLeft w:val="0"/>
      <w:marRight w:val="0"/>
      <w:marTop w:val="0"/>
      <w:marBottom w:val="0"/>
      <w:divBdr>
        <w:top w:val="none" w:sz="0" w:space="0" w:color="auto"/>
        <w:left w:val="none" w:sz="0" w:space="0" w:color="auto"/>
        <w:bottom w:val="none" w:sz="0" w:space="0" w:color="auto"/>
        <w:right w:val="none" w:sz="0" w:space="0" w:color="auto"/>
      </w:divBdr>
    </w:div>
    <w:div w:id="1115369299">
      <w:bodyDiv w:val="1"/>
      <w:marLeft w:val="0"/>
      <w:marRight w:val="0"/>
      <w:marTop w:val="0"/>
      <w:marBottom w:val="0"/>
      <w:divBdr>
        <w:top w:val="none" w:sz="0" w:space="0" w:color="auto"/>
        <w:left w:val="none" w:sz="0" w:space="0" w:color="auto"/>
        <w:bottom w:val="none" w:sz="0" w:space="0" w:color="auto"/>
        <w:right w:val="none" w:sz="0" w:space="0" w:color="auto"/>
      </w:divBdr>
    </w:div>
    <w:div w:id="1119563980">
      <w:bodyDiv w:val="1"/>
      <w:marLeft w:val="0"/>
      <w:marRight w:val="0"/>
      <w:marTop w:val="0"/>
      <w:marBottom w:val="0"/>
      <w:divBdr>
        <w:top w:val="none" w:sz="0" w:space="0" w:color="auto"/>
        <w:left w:val="none" w:sz="0" w:space="0" w:color="auto"/>
        <w:bottom w:val="none" w:sz="0" w:space="0" w:color="auto"/>
        <w:right w:val="none" w:sz="0" w:space="0" w:color="auto"/>
      </w:divBdr>
    </w:div>
    <w:div w:id="1121459681">
      <w:bodyDiv w:val="1"/>
      <w:marLeft w:val="0"/>
      <w:marRight w:val="0"/>
      <w:marTop w:val="0"/>
      <w:marBottom w:val="0"/>
      <w:divBdr>
        <w:top w:val="none" w:sz="0" w:space="0" w:color="auto"/>
        <w:left w:val="none" w:sz="0" w:space="0" w:color="auto"/>
        <w:bottom w:val="none" w:sz="0" w:space="0" w:color="auto"/>
        <w:right w:val="none" w:sz="0" w:space="0" w:color="auto"/>
      </w:divBdr>
    </w:div>
    <w:div w:id="1123768656">
      <w:bodyDiv w:val="1"/>
      <w:marLeft w:val="0"/>
      <w:marRight w:val="0"/>
      <w:marTop w:val="0"/>
      <w:marBottom w:val="0"/>
      <w:divBdr>
        <w:top w:val="none" w:sz="0" w:space="0" w:color="auto"/>
        <w:left w:val="none" w:sz="0" w:space="0" w:color="auto"/>
        <w:bottom w:val="none" w:sz="0" w:space="0" w:color="auto"/>
        <w:right w:val="none" w:sz="0" w:space="0" w:color="auto"/>
      </w:divBdr>
    </w:div>
    <w:div w:id="1144855235">
      <w:bodyDiv w:val="1"/>
      <w:marLeft w:val="0"/>
      <w:marRight w:val="0"/>
      <w:marTop w:val="0"/>
      <w:marBottom w:val="0"/>
      <w:divBdr>
        <w:top w:val="none" w:sz="0" w:space="0" w:color="auto"/>
        <w:left w:val="none" w:sz="0" w:space="0" w:color="auto"/>
        <w:bottom w:val="none" w:sz="0" w:space="0" w:color="auto"/>
        <w:right w:val="none" w:sz="0" w:space="0" w:color="auto"/>
      </w:divBdr>
    </w:div>
    <w:div w:id="1161043762">
      <w:bodyDiv w:val="1"/>
      <w:marLeft w:val="0"/>
      <w:marRight w:val="0"/>
      <w:marTop w:val="0"/>
      <w:marBottom w:val="0"/>
      <w:divBdr>
        <w:top w:val="none" w:sz="0" w:space="0" w:color="auto"/>
        <w:left w:val="none" w:sz="0" w:space="0" w:color="auto"/>
        <w:bottom w:val="none" w:sz="0" w:space="0" w:color="auto"/>
        <w:right w:val="none" w:sz="0" w:space="0" w:color="auto"/>
      </w:divBdr>
    </w:div>
    <w:div w:id="1169716242">
      <w:bodyDiv w:val="1"/>
      <w:marLeft w:val="0"/>
      <w:marRight w:val="0"/>
      <w:marTop w:val="0"/>
      <w:marBottom w:val="0"/>
      <w:divBdr>
        <w:top w:val="none" w:sz="0" w:space="0" w:color="auto"/>
        <w:left w:val="none" w:sz="0" w:space="0" w:color="auto"/>
        <w:bottom w:val="none" w:sz="0" w:space="0" w:color="auto"/>
        <w:right w:val="none" w:sz="0" w:space="0" w:color="auto"/>
      </w:divBdr>
    </w:div>
    <w:div w:id="1170221734">
      <w:bodyDiv w:val="1"/>
      <w:marLeft w:val="0"/>
      <w:marRight w:val="0"/>
      <w:marTop w:val="0"/>
      <w:marBottom w:val="0"/>
      <w:divBdr>
        <w:top w:val="none" w:sz="0" w:space="0" w:color="auto"/>
        <w:left w:val="none" w:sz="0" w:space="0" w:color="auto"/>
        <w:bottom w:val="none" w:sz="0" w:space="0" w:color="auto"/>
        <w:right w:val="none" w:sz="0" w:space="0" w:color="auto"/>
      </w:divBdr>
    </w:div>
    <w:div w:id="1171599533">
      <w:bodyDiv w:val="1"/>
      <w:marLeft w:val="0"/>
      <w:marRight w:val="0"/>
      <w:marTop w:val="0"/>
      <w:marBottom w:val="0"/>
      <w:divBdr>
        <w:top w:val="none" w:sz="0" w:space="0" w:color="auto"/>
        <w:left w:val="none" w:sz="0" w:space="0" w:color="auto"/>
        <w:bottom w:val="none" w:sz="0" w:space="0" w:color="auto"/>
        <w:right w:val="none" w:sz="0" w:space="0" w:color="auto"/>
      </w:divBdr>
    </w:div>
    <w:div w:id="1178959758">
      <w:bodyDiv w:val="1"/>
      <w:marLeft w:val="0"/>
      <w:marRight w:val="0"/>
      <w:marTop w:val="0"/>
      <w:marBottom w:val="0"/>
      <w:divBdr>
        <w:top w:val="none" w:sz="0" w:space="0" w:color="auto"/>
        <w:left w:val="none" w:sz="0" w:space="0" w:color="auto"/>
        <w:bottom w:val="none" w:sz="0" w:space="0" w:color="auto"/>
        <w:right w:val="none" w:sz="0" w:space="0" w:color="auto"/>
      </w:divBdr>
    </w:div>
    <w:div w:id="1181974189">
      <w:bodyDiv w:val="1"/>
      <w:marLeft w:val="0"/>
      <w:marRight w:val="0"/>
      <w:marTop w:val="0"/>
      <w:marBottom w:val="0"/>
      <w:divBdr>
        <w:top w:val="none" w:sz="0" w:space="0" w:color="auto"/>
        <w:left w:val="none" w:sz="0" w:space="0" w:color="auto"/>
        <w:bottom w:val="none" w:sz="0" w:space="0" w:color="auto"/>
        <w:right w:val="none" w:sz="0" w:space="0" w:color="auto"/>
      </w:divBdr>
    </w:div>
    <w:div w:id="1193228979">
      <w:bodyDiv w:val="1"/>
      <w:marLeft w:val="0"/>
      <w:marRight w:val="0"/>
      <w:marTop w:val="0"/>
      <w:marBottom w:val="0"/>
      <w:divBdr>
        <w:top w:val="none" w:sz="0" w:space="0" w:color="auto"/>
        <w:left w:val="none" w:sz="0" w:space="0" w:color="auto"/>
        <w:bottom w:val="none" w:sz="0" w:space="0" w:color="auto"/>
        <w:right w:val="none" w:sz="0" w:space="0" w:color="auto"/>
      </w:divBdr>
    </w:div>
    <w:div w:id="1194923693">
      <w:bodyDiv w:val="1"/>
      <w:marLeft w:val="0"/>
      <w:marRight w:val="0"/>
      <w:marTop w:val="0"/>
      <w:marBottom w:val="0"/>
      <w:divBdr>
        <w:top w:val="none" w:sz="0" w:space="0" w:color="auto"/>
        <w:left w:val="none" w:sz="0" w:space="0" w:color="auto"/>
        <w:bottom w:val="none" w:sz="0" w:space="0" w:color="auto"/>
        <w:right w:val="none" w:sz="0" w:space="0" w:color="auto"/>
      </w:divBdr>
    </w:div>
    <w:div w:id="1197431387">
      <w:bodyDiv w:val="1"/>
      <w:marLeft w:val="0"/>
      <w:marRight w:val="0"/>
      <w:marTop w:val="0"/>
      <w:marBottom w:val="0"/>
      <w:divBdr>
        <w:top w:val="none" w:sz="0" w:space="0" w:color="auto"/>
        <w:left w:val="none" w:sz="0" w:space="0" w:color="auto"/>
        <w:bottom w:val="none" w:sz="0" w:space="0" w:color="auto"/>
        <w:right w:val="none" w:sz="0" w:space="0" w:color="auto"/>
      </w:divBdr>
    </w:div>
    <w:div w:id="1198154829">
      <w:bodyDiv w:val="1"/>
      <w:marLeft w:val="0"/>
      <w:marRight w:val="0"/>
      <w:marTop w:val="0"/>
      <w:marBottom w:val="0"/>
      <w:divBdr>
        <w:top w:val="none" w:sz="0" w:space="0" w:color="auto"/>
        <w:left w:val="none" w:sz="0" w:space="0" w:color="auto"/>
        <w:bottom w:val="none" w:sz="0" w:space="0" w:color="auto"/>
        <w:right w:val="none" w:sz="0" w:space="0" w:color="auto"/>
      </w:divBdr>
    </w:div>
    <w:div w:id="1236940420">
      <w:bodyDiv w:val="1"/>
      <w:marLeft w:val="0"/>
      <w:marRight w:val="0"/>
      <w:marTop w:val="0"/>
      <w:marBottom w:val="0"/>
      <w:divBdr>
        <w:top w:val="none" w:sz="0" w:space="0" w:color="auto"/>
        <w:left w:val="none" w:sz="0" w:space="0" w:color="auto"/>
        <w:bottom w:val="none" w:sz="0" w:space="0" w:color="auto"/>
        <w:right w:val="none" w:sz="0" w:space="0" w:color="auto"/>
      </w:divBdr>
    </w:div>
    <w:div w:id="1239943805">
      <w:bodyDiv w:val="1"/>
      <w:marLeft w:val="0"/>
      <w:marRight w:val="0"/>
      <w:marTop w:val="0"/>
      <w:marBottom w:val="0"/>
      <w:divBdr>
        <w:top w:val="none" w:sz="0" w:space="0" w:color="auto"/>
        <w:left w:val="none" w:sz="0" w:space="0" w:color="auto"/>
        <w:bottom w:val="none" w:sz="0" w:space="0" w:color="auto"/>
        <w:right w:val="none" w:sz="0" w:space="0" w:color="auto"/>
      </w:divBdr>
    </w:div>
    <w:div w:id="1241407968">
      <w:bodyDiv w:val="1"/>
      <w:marLeft w:val="0"/>
      <w:marRight w:val="0"/>
      <w:marTop w:val="0"/>
      <w:marBottom w:val="0"/>
      <w:divBdr>
        <w:top w:val="none" w:sz="0" w:space="0" w:color="auto"/>
        <w:left w:val="none" w:sz="0" w:space="0" w:color="auto"/>
        <w:bottom w:val="none" w:sz="0" w:space="0" w:color="auto"/>
        <w:right w:val="none" w:sz="0" w:space="0" w:color="auto"/>
      </w:divBdr>
    </w:div>
    <w:div w:id="1247227847">
      <w:bodyDiv w:val="1"/>
      <w:marLeft w:val="0"/>
      <w:marRight w:val="0"/>
      <w:marTop w:val="0"/>
      <w:marBottom w:val="0"/>
      <w:divBdr>
        <w:top w:val="none" w:sz="0" w:space="0" w:color="auto"/>
        <w:left w:val="none" w:sz="0" w:space="0" w:color="auto"/>
        <w:bottom w:val="none" w:sz="0" w:space="0" w:color="auto"/>
        <w:right w:val="none" w:sz="0" w:space="0" w:color="auto"/>
      </w:divBdr>
    </w:div>
    <w:div w:id="1247879162">
      <w:bodyDiv w:val="1"/>
      <w:marLeft w:val="0"/>
      <w:marRight w:val="0"/>
      <w:marTop w:val="0"/>
      <w:marBottom w:val="0"/>
      <w:divBdr>
        <w:top w:val="none" w:sz="0" w:space="0" w:color="auto"/>
        <w:left w:val="none" w:sz="0" w:space="0" w:color="auto"/>
        <w:bottom w:val="none" w:sz="0" w:space="0" w:color="auto"/>
        <w:right w:val="none" w:sz="0" w:space="0" w:color="auto"/>
      </w:divBdr>
    </w:div>
    <w:div w:id="1252203072">
      <w:bodyDiv w:val="1"/>
      <w:marLeft w:val="0"/>
      <w:marRight w:val="0"/>
      <w:marTop w:val="0"/>
      <w:marBottom w:val="0"/>
      <w:divBdr>
        <w:top w:val="none" w:sz="0" w:space="0" w:color="auto"/>
        <w:left w:val="none" w:sz="0" w:space="0" w:color="auto"/>
        <w:bottom w:val="none" w:sz="0" w:space="0" w:color="auto"/>
        <w:right w:val="none" w:sz="0" w:space="0" w:color="auto"/>
      </w:divBdr>
    </w:div>
    <w:div w:id="1273632373">
      <w:bodyDiv w:val="1"/>
      <w:marLeft w:val="0"/>
      <w:marRight w:val="0"/>
      <w:marTop w:val="0"/>
      <w:marBottom w:val="0"/>
      <w:divBdr>
        <w:top w:val="none" w:sz="0" w:space="0" w:color="auto"/>
        <w:left w:val="none" w:sz="0" w:space="0" w:color="auto"/>
        <w:bottom w:val="none" w:sz="0" w:space="0" w:color="auto"/>
        <w:right w:val="none" w:sz="0" w:space="0" w:color="auto"/>
      </w:divBdr>
    </w:div>
    <w:div w:id="1275673356">
      <w:bodyDiv w:val="1"/>
      <w:marLeft w:val="0"/>
      <w:marRight w:val="0"/>
      <w:marTop w:val="0"/>
      <w:marBottom w:val="0"/>
      <w:divBdr>
        <w:top w:val="none" w:sz="0" w:space="0" w:color="auto"/>
        <w:left w:val="none" w:sz="0" w:space="0" w:color="auto"/>
        <w:bottom w:val="none" w:sz="0" w:space="0" w:color="auto"/>
        <w:right w:val="none" w:sz="0" w:space="0" w:color="auto"/>
      </w:divBdr>
    </w:div>
    <w:div w:id="1277565481">
      <w:bodyDiv w:val="1"/>
      <w:marLeft w:val="0"/>
      <w:marRight w:val="0"/>
      <w:marTop w:val="0"/>
      <w:marBottom w:val="0"/>
      <w:divBdr>
        <w:top w:val="none" w:sz="0" w:space="0" w:color="auto"/>
        <w:left w:val="none" w:sz="0" w:space="0" w:color="auto"/>
        <w:bottom w:val="none" w:sz="0" w:space="0" w:color="auto"/>
        <w:right w:val="none" w:sz="0" w:space="0" w:color="auto"/>
      </w:divBdr>
    </w:div>
    <w:div w:id="1313633139">
      <w:bodyDiv w:val="1"/>
      <w:marLeft w:val="0"/>
      <w:marRight w:val="0"/>
      <w:marTop w:val="0"/>
      <w:marBottom w:val="0"/>
      <w:divBdr>
        <w:top w:val="none" w:sz="0" w:space="0" w:color="auto"/>
        <w:left w:val="none" w:sz="0" w:space="0" w:color="auto"/>
        <w:bottom w:val="none" w:sz="0" w:space="0" w:color="auto"/>
        <w:right w:val="none" w:sz="0" w:space="0" w:color="auto"/>
      </w:divBdr>
    </w:div>
    <w:div w:id="1324120324">
      <w:bodyDiv w:val="1"/>
      <w:marLeft w:val="0"/>
      <w:marRight w:val="0"/>
      <w:marTop w:val="0"/>
      <w:marBottom w:val="0"/>
      <w:divBdr>
        <w:top w:val="none" w:sz="0" w:space="0" w:color="auto"/>
        <w:left w:val="none" w:sz="0" w:space="0" w:color="auto"/>
        <w:bottom w:val="none" w:sz="0" w:space="0" w:color="auto"/>
        <w:right w:val="none" w:sz="0" w:space="0" w:color="auto"/>
      </w:divBdr>
    </w:div>
    <w:div w:id="1325084381">
      <w:bodyDiv w:val="1"/>
      <w:marLeft w:val="0"/>
      <w:marRight w:val="0"/>
      <w:marTop w:val="0"/>
      <w:marBottom w:val="0"/>
      <w:divBdr>
        <w:top w:val="none" w:sz="0" w:space="0" w:color="auto"/>
        <w:left w:val="none" w:sz="0" w:space="0" w:color="auto"/>
        <w:bottom w:val="none" w:sz="0" w:space="0" w:color="auto"/>
        <w:right w:val="none" w:sz="0" w:space="0" w:color="auto"/>
      </w:divBdr>
    </w:div>
    <w:div w:id="1338919323">
      <w:bodyDiv w:val="1"/>
      <w:marLeft w:val="0"/>
      <w:marRight w:val="0"/>
      <w:marTop w:val="0"/>
      <w:marBottom w:val="0"/>
      <w:divBdr>
        <w:top w:val="none" w:sz="0" w:space="0" w:color="auto"/>
        <w:left w:val="none" w:sz="0" w:space="0" w:color="auto"/>
        <w:bottom w:val="none" w:sz="0" w:space="0" w:color="auto"/>
        <w:right w:val="none" w:sz="0" w:space="0" w:color="auto"/>
      </w:divBdr>
    </w:div>
    <w:div w:id="1345129228">
      <w:bodyDiv w:val="1"/>
      <w:marLeft w:val="0"/>
      <w:marRight w:val="0"/>
      <w:marTop w:val="0"/>
      <w:marBottom w:val="0"/>
      <w:divBdr>
        <w:top w:val="none" w:sz="0" w:space="0" w:color="auto"/>
        <w:left w:val="none" w:sz="0" w:space="0" w:color="auto"/>
        <w:bottom w:val="none" w:sz="0" w:space="0" w:color="auto"/>
        <w:right w:val="none" w:sz="0" w:space="0" w:color="auto"/>
      </w:divBdr>
    </w:div>
    <w:div w:id="1365902520">
      <w:bodyDiv w:val="1"/>
      <w:marLeft w:val="0"/>
      <w:marRight w:val="0"/>
      <w:marTop w:val="0"/>
      <w:marBottom w:val="0"/>
      <w:divBdr>
        <w:top w:val="none" w:sz="0" w:space="0" w:color="auto"/>
        <w:left w:val="none" w:sz="0" w:space="0" w:color="auto"/>
        <w:bottom w:val="none" w:sz="0" w:space="0" w:color="auto"/>
        <w:right w:val="none" w:sz="0" w:space="0" w:color="auto"/>
      </w:divBdr>
    </w:div>
    <w:div w:id="1373385068">
      <w:bodyDiv w:val="1"/>
      <w:marLeft w:val="0"/>
      <w:marRight w:val="0"/>
      <w:marTop w:val="0"/>
      <w:marBottom w:val="0"/>
      <w:divBdr>
        <w:top w:val="none" w:sz="0" w:space="0" w:color="auto"/>
        <w:left w:val="none" w:sz="0" w:space="0" w:color="auto"/>
        <w:bottom w:val="none" w:sz="0" w:space="0" w:color="auto"/>
        <w:right w:val="none" w:sz="0" w:space="0" w:color="auto"/>
      </w:divBdr>
    </w:div>
    <w:div w:id="1377975177">
      <w:bodyDiv w:val="1"/>
      <w:marLeft w:val="0"/>
      <w:marRight w:val="0"/>
      <w:marTop w:val="0"/>
      <w:marBottom w:val="0"/>
      <w:divBdr>
        <w:top w:val="none" w:sz="0" w:space="0" w:color="auto"/>
        <w:left w:val="none" w:sz="0" w:space="0" w:color="auto"/>
        <w:bottom w:val="none" w:sz="0" w:space="0" w:color="auto"/>
        <w:right w:val="none" w:sz="0" w:space="0" w:color="auto"/>
      </w:divBdr>
    </w:div>
    <w:div w:id="1379470818">
      <w:bodyDiv w:val="1"/>
      <w:marLeft w:val="0"/>
      <w:marRight w:val="0"/>
      <w:marTop w:val="0"/>
      <w:marBottom w:val="0"/>
      <w:divBdr>
        <w:top w:val="none" w:sz="0" w:space="0" w:color="auto"/>
        <w:left w:val="none" w:sz="0" w:space="0" w:color="auto"/>
        <w:bottom w:val="none" w:sz="0" w:space="0" w:color="auto"/>
        <w:right w:val="none" w:sz="0" w:space="0" w:color="auto"/>
      </w:divBdr>
    </w:div>
    <w:div w:id="1389376851">
      <w:bodyDiv w:val="1"/>
      <w:marLeft w:val="0"/>
      <w:marRight w:val="0"/>
      <w:marTop w:val="0"/>
      <w:marBottom w:val="0"/>
      <w:divBdr>
        <w:top w:val="none" w:sz="0" w:space="0" w:color="auto"/>
        <w:left w:val="none" w:sz="0" w:space="0" w:color="auto"/>
        <w:bottom w:val="none" w:sz="0" w:space="0" w:color="auto"/>
        <w:right w:val="none" w:sz="0" w:space="0" w:color="auto"/>
      </w:divBdr>
    </w:div>
    <w:div w:id="1395817999">
      <w:bodyDiv w:val="1"/>
      <w:marLeft w:val="0"/>
      <w:marRight w:val="0"/>
      <w:marTop w:val="0"/>
      <w:marBottom w:val="0"/>
      <w:divBdr>
        <w:top w:val="none" w:sz="0" w:space="0" w:color="auto"/>
        <w:left w:val="none" w:sz="0" w:space="0" w:color="auto"/>
        <w:bottom w:val="none" w:sz="0" w:space="0" w:color="auto"/>
        <w:right w:val="none" w:sz="0" w:space="0" w:color="auto"/>
      </w:divBdr>
    </w:div>
    <w:div w:id="1400981080">
      <w:bodyDiv w:val="1"/>
      <w:marLeft w:val="0"/>
      <w:marRight w:val="0"/>
      <w:marTop w:val="0"/>
      <w:marBottom w:val="0"/>
      <w:divBdr>
        <w:top w:val="none" w:sz="0" w:space="0" w:color="auto"/>
        <w:left w:val="none" w:sz="0" w:space="0" w:color="auto"/>
        <w:bottom w:val="none" w:sz="0" w:space="0" w:color="auto"/>
        <w:right w:val="none" w:sz="0" w:space="0" w:color="auto"/>
      </w:divBdr>
    </w:div>
    <w:div w:id="1414279301">
      <w:bodyDiv w:val="1"/>
      <w:marLeft w:val="0"/>
      <w:marRight w:val="0"/>
      <w:marTop w:val="0"/>
      <w:marBottom w:val="0"/>
      <w:divBdr>
        <w:top w:val="none" w:sz="0" w:space="0" w:color="auto"/>
        <w:left w:val="none" w:sz="0" w:space="0" w:color="auto"/>
        <w:bottom w:val="none" w:sz="0" w:space="0" w:color="auto"/>
        <w:right w:val="none" w:sz="0" w:space="0" w:color="auto"/>
      </w:divBdr>
    </w:div>
    <w:div w:id="1419983440">
      <w:bodyDiv w:val="1"/>
      <w:marLeft w:val="0"/>
      <w:marRight w:val="0"/>
      <w:marTop w:val="0"/>
      <w:marBottom w:val="0"/>
      <w:divBdr>
        <w:top w:val="none" w:sz="0" w:space="0" w:color="auto"/>
        <w:left w:val="none" w:sz="0" w:space="0" w:color="auto"/>
        <w:bottom w:val="none" w:sz="0" w:space="0" w:color="auto"/>
        <w:right w:val="none" w:sz="0" w:space="0" w:color="auto"/>
      </w:divBdr>
    </w:div>
    <w:div w:id="1422873001">
      <w:bodyDiv w:val="1"/>
      <w:marLeft w:val="0"/>
      <w:marRight w:val="0"/>
      <w:marTop w:val="0"/>
      <w:marBottom w:val="0"/>
      <w:divBdr>
        <w:top w:val="none" w:sz="0" w:space="0" w:color="auto"/>
        <w:left w:val="none" w:sz="0" w:space="0" w:color="auto"/>
        <w:bottom w:val="none" w:sz="0" w:space="0" w:color="auto"/>
        <w:right w:val="none" w:sz="0" w:space="0" w:color="auto"/>
      </w:divBdr>
    </w:div>
    <w:div w:id="1429930195">
      <w:bodyDiv w:val="1"/>
      <w:marLeft w:val="0"/>
      <w:marRight w:val="0"/>
      <w:marTop w:val="0"/>
      <w:marBottom w:val="0"/>
      <w:divBdr>
        <w:top w:val="none" w:sz="0" w:space="0" w:color="auto"/>
        <w:left w:val="none" w:sz="0" w:space="0" w:color="auto"/>
        <w:bottom w:val="none" w:sz="0" w:space="0" w:color="auto"/>
        <w:right w:val="none" w:sz="0" w:space="0" w:color="auto"/>
      </w:divBdr>
    </w:div>
    <w:div w:id="1434398908">
      <w:bodyDiv w:val="1"/>
      <w:marLeft w:val="0"/>
      <w:marRight w:val="0"/>
      <w:marTop w:val="0"/>
      <w:marBottom w:val="0"/>
      <w:divBdr>
        <w:top w:val="none" w:sz="0" w:space="0" w:color="auto"/>
        <w:left w:val="none" w:sz="0" w:space="0" w:color="auto"/>
        <w:bottom w:val="none" w:sz="0" w:space="0" w:color="auto"/>
        <w:right w:val="none" w:sz="0" w:space="0" w:color="auto"/>
      </w:divBdr>
    </w:div>
    <w:div w:id="1467776180">
      <w:bodyDiv w:val="1"/>
      <w:marLeft w:val="0"/>
      <w:marRight w:val="0"/>
      <w:marTop w:val="0"/>
      <w:marBottom w:val="0"/>
      <w:divBdr>
        <w:top w:val="none" w:sz="0" w:space="0" w:color="auto"/>
        <w:left w:val="none" w:sz="0" w:space="0" w:color="auto"/>
        <w:bottom w:val="none" w:sz="0" w:space="0" w:color="auto"/>
        <w:right w:val="none" w:sz="0" w:space="0" w:color="auto"/>
      </w:divBdr>
    </w:div>
    <w:div w:id="1472088550">
      <w:bodyDiv w:val="1"/>
      <w:marLeft w:val="0"/>
      <w:marRight w:val="0"/>
      <w:marTop w:val="0"/>
      <w:marBottom w:val="0"/>
      <w:divBdr>
        <w:top w:val="none" w:sz="0" w:space="0" w:color="auto"/>
        <w:left w:val="none" w:sz="0" w:space="0" w:color="auto"/>
        <w:bottom w:val="none" w:sz="0" w:space="0" w:color="auto"/>
        <w:right w:val="none" w:sz="0" w:space="0" w:color="auto"/>
      </w:divBdr>
    </w:div>
    <w:div w:id="1486238850">
      <w:bodyDiv w:val="1"/>
      <w:marLeft w:val="0"/>
      <w:marRight w:val="0"/>
      <w:marTop w:val="0"/>
      <w:marBottom w:val="0"/>
      <w:divBdr>
        <w:top w:val="none" w:sz="0" w:space="0" w:color="auto"/>
        <w:left w:val="none" w:sz="0" w:space="0" w:color="auto"/>
        <w:bottom w:val="none" w:sz="0" w:space="0" w:color="auto"/>
        <w:right w:val="none" w:sz="0" w:space="0" w:color="auto"/>
      </w:divBdr>
    </w:div>
    <w:div w:id="1487621802">
      <w:bodyDiv w:val="1"/>
      <w:marLeft w:val="0"/>
      <w:marRight w:val="0"/>
      <w:marTop w:val="0"/>
      <w:marBottom w:val="0"/>
      <w:divBdr>
        <w:top w:val="none" w:sz="0" w:space="0" w:color="auto"/>
        <w:left w:val="none" w:sz="0" w:space="0" w:color="auto"/>
        <w:bottom w:val="none" w:sz="0" w:space="0" w:color="auto"/>
        <w:right w:val="none" w:sz="0" w:space="0" w:color="auto"/>
      </w:divBdr>
    </w:div>
    <w:div w:id="1493335036">
      <w:bodyDiv w:val="1"/>
      <w:marLeft w:val="0"/>
      <w:marRight w:val="0"/>
      <w:marTop w:val="0"/>
      <w:marBottom w:val="0"/>
      <w:divBdr>
        <w:top w:val="none" w:sz="0" w:space="0" w:color="auto"/>
        <w:left w:val="none" w:sz="0" w:space="0" w:color="auto"/>
        <w:bottom w:val="none" w:sz="0" w:space="0" w:color="auto"/>
        <w:right w:val="none" w:sz="0" w:space="0" w:color="auto"/>
      </w:divBdr>
    </w:div>
    <w:div w:id="1523663257">
      <w:bodyDiv w:val="1"/>
      <w:marLeft w:val="0"/>
      <w:marRight w:val="0"/>
      <w:marTop w:val="0"/>
      <w:marBottom w:val="0"/>
      <w:divBdr>
        <w:top w:val="none" w:sz="0" w:space="0" w:color="auto"/>
        <w:left w:val="none" w:sz="0" w:space="0" w:color="auto"/>
        <w:bottom w:val="none" w:sz="0" w:space="0" w:color="auto"/>
        <w:right w:val="none" w:sz="0" w:space="0" w:color="auto"/>
      </w:divBdr>
    </w:div>
    <w:div w:id="1525248877">
      <w:bodyDiv w:val="1"/>
      <w:marLeft w:val="0"/>
      <w:marRight w:val="0"/>
      <w:marTop w:val="0"/>
      <w:marBottom w:val="0"/>
      <w:divBdr>
        <w:top w:val="none" w:sz="0" w:space="0" w:color="auto"/>
        <w:left w:val="none" w:sz="0" w:space="0" w:color="auto"/>
        <w:bottom w:val="none" w:sz="0" w:space="0" w:color="auto"/>
        <w:right w:val="none" w:sz="0" w:space="0" w:color="auto"/>
      </w:divBdr>
    </w:div>
    <w:div w:id="1550923657">
      <w:bodyDiv w:val="1"/>
      <w:marLeft w:val="0"/>
      <w:marRight w:val="0"/>
      <w:marTop w:val="0"/>
      <w:marBottom w:val="0"/>
      <w:divBdr>
        <w:top w:val="none" w:sz="0" w:space="0" w:color="auto"/>
        <w:left w:val="none" w:sz="0" w:space="0" w:color="auto"/>
        <w:bottom w:val="none" w:sz="0" w:space="0" w:color="auto"/>
        <w:right w:val="none" w:sz="0" w:space="0" w:color="auto"/>
      </w:divBdr>
    </w:div>
    <w:div w:id="1552963679">
      <w:bodyDiv w:val="1"/>
      <w:marLeft w:val="0"/>
      <w:marRight w:val="0"/>
      <w:marTop w:val="0"/>
      <w:marBottom w:val="0"/>
      <w:divBdr>
        <w:top w:val="none" w:sz="0" w:space="0" w:color="auto"/>
        <w:left w:val="none" w:sz="0" w:space="0" w:color="auto"/>
        <w:bottom w:val="none" w:sz="0" w:space="0" w:color="auto"/>
        <w:right w:val="none" w:sz="0" w:space="0" w:color="auto"/>
      </w:divBdr>
    </w:div>
    <w:div w:id="1566988351">
      <w:bodyDiv w:val="1"/>
      <w:marLeft w:val="0"/>
      <w:marRight w:val="0"/>
      <w:marTop w:val="0"/>
      <w:marBottom w:val="0"/>
      <w:divBdr>
        <w:top w:val="none" w:sz="0" w:space="0" w:color="auto"/>
        <w:left w:val="none" w:sz="0" w:space="0" w:color="auto"/>
        <w:bottom w:val="none" w:sz="0" w:space="0" w:color="auto"/>
        <w:right w:val="none" w:sz="0" w:space="0" w:color="auto"/>
      </w:divBdr>
    </w:div>
    <w:div w:id="1569269864">
      <w:bodyDiv w:val="1"/>
      <w:marLeft w:val="0"/>
      <w:marRight w:val="0"/>
      <w:marTop w:val="0"/>
      <w:marBottom w:val="0"/>
      <w:divBdr>
        <w:top w:val="none" w:sz="0" w:space="0" w:color="auto"/>
        <w:left w:val="none" w:sz="0" w:space="0" w:color="auto"/>
        <w:bottom w:val="none" w:sz="0" w:space="0" w:color="auto"/>
        <w:right w:val="none" w:sz="0" w:space="0" w:color="auto"/>
      </w:divBdr>
    </w:div>
    <w:div w:id="1580166655">
      <w:bodyDiv w:val="1"/>
      <w:marLeft w:val="0"/>
      <w:marRight w:val="0"/>
      <w:marTop w:val="0"/>
      <w:marBottom w:val="0"/>
      <w:divBdr>
        <w:top w:val="none" w:sz="0" w:space="0" w:color="auto"/>
        <w:left w:val="none" w:sz="0" w:space="0" w:color="auto"/>
        <w:bottom w:val="none" w:sz="0" w:space="0" w:color="auto"/>
        <w:right w:val="none" w:sz="0" w:space="0" w:color="auto"/>
      </w:divBdr>
    </w:div>
    <w:div w:id="1581939082">
      <w:bodyDiv w:val="1"/>
      <w:marLeft w:val="0"/>
      <w:marRight w:val="0"/>
      <w:marTop w:val="0"/>
      <w:marBottom w:val="0"/>
      <w:divBdr>
        <w:top w:val="none" w:sz="0" w:space="0" w:color="auto"/>
        <w:left w:val="none" w:sz="0" w:space="0" w:color="auto"/>
        <w:bottom w:val="none" w:sz="0" w:space="0" w:color="auto"/>
        <w:right w:val="none" w:sz="0" w:space="0" w:color="auto"/>
      </w:divBdr>
    </w:div>
    <w:div w:id="1587958442">
      <w:bodyDiv w:val="1"/>
      <w:marLeft w:val="0"/>
      <w:marRight w:val="0"/>
      <w:marTop w:val="0"/>
      <w:marBottom w:val="0"/>
      <w:divBdr>
        <w:top w:val="none" w:sz="0" w:space="0" w:color="auto"/>
        <w:left w:val="none" w:sz="0" w:space="0" w:color="auto"/>
        <w:bottom w:val="none" w:sz="0" w:space="0" w:color="auto"/>
        <w:right w:val="none" w:sz="0" w:space="0" w:color="auto"/>
      </w:divBdr>
    </w:div>
    <w:div w:id="1590891936">
      <w:bodyDiv w:val="1"/>
      <w:marLeft w:val="0"/>
      <w:marRight w:val="0"/>
      <w:marTop w:val="0"/>
      <w:marBottom w:val="0"/>
      <w:divBdr>
        <w:top w:val="none" w:sz="0" w:space="0" w:color="auto"/>
        <w:left w:val="none" w:sz="0" w:space="0" w:color="auto"/>
        <w:bottom w:val="none" w:sz="0" w:space="0" w:color="auto"/>
        <w:right w:val="none" w:sz="0" w:space="0" w:color="auto"/>
      </w:divBdr>
    </w:div>
    <w:div w:id="1615867945">
      <w:bodyDiv w:val="1"/>
      <w:marLeft w:val="0"/>
      <w:marRight w:val="0"/>
      <w:marTop w:val="0"/>
      <w:marBottom w:val="0"/>
      <w:divBdr>
        <w:top w:val="none" w:sz="0" w:space="0" w:color="auto"/>
        <w:left w:val="none" w:sz="0" w:space="0" w:color="auto"/>
        <w:bottom w:val="none" w:sz="0" w:space="0" w:color="auto"/>
        <w:right w:val="none" w:sz="0" w:space="0" w:color="auto"/>
      </w:divBdr>
    </w:div>
    <w:div w:id="1626158873">
      <w:bodyDiv w:val="1"/>
      <w:marLeft w:val="0"/>
      <w:marRight w:val="0"/>
      <w:marTop w:val="0"/>
      <w:marBottom w:val="0"/>
      <w:divBdr>
        <w:top w:val="none" w:sz="0" w:space="0" w:color="auto"/>
        <w:left w:val="none" w:sz="0" w:space="0" w:color="auto"/>
        <w:bottom w:val="none" w:sz="0" w:space="0" w:color="auto"/>
        <w:right w:val="none" w:sz="0" w:space="0" w:color="auto"/>
      </w:divBdr>
    </w:div>
    <w:div w:id="1630431435">
      <w:bodyDiv w:val="1"/>
      <w:marLeft w:val="0"/>
      <w:marRight w:val="0"/>
      <w:marTop w:val="0"/>
      <w:marBottom w:val="0"/>
      <w:divBdr>
        <w:top w:val="none" w:sz="0" w:space="0" w:color="auto"/>
        <w:left w:val="none" w:sz="0" w:space="0" w:color="auto"/>
        <w:bottom w:val="none" w:sz="0" w:space="0" w:color="auto"/>
        <w:right w:val="none" w:sz="0" w:space="0" w:color="auto"/>
      </w:divBdr>
    </w:div>
    <w:div w:id="1633707944">
      <w:bodyDiv w:val="1"/>
      <w:marLeft w:val="0"/>
      <w:marRight w:val="0"/>
      <w:marTop w:val="0"/>
      <w:marBottom w:val="0"/>
      <w:divBdr>
        <w:top w:val="none" w:sz="0" w:space="0" w:color="auto"/>
        <w:left w:val="none" w:sz="0" w:space="0" w:color="auto"/>
        <w:bottom w:val="none" w:sz="0" w:space="0" w:color="auto"/>
        <w:right w:val="none" w:sz="0" w:space="0" w:color="auto"/>
      </w:divBdr>
    </w:div>
    <w:div w:id="1654092674">
      <w:bodyDiv w:val="1"/>
      <w:marLeft w:val="0"/>
      <w:marRight w:val="0"/>
      <w:marTop w:val="0"/>
      <w:marBottom w:val="0"/>
      <w:divBdr>
        <w:top w:val="none" w:sz="0" w:space="0" w:color="auto"/>
        <w:left w:val="none" w:sz="0" w:space="0" w:color="auto"/>
        <w:bottom w:val="none" w:sz="0" w:space="0" w:color="auto"/>
        <w:right w:val="none" w:sz="0" w:space="0" w:color="auto"/>
      </w:divBdr>
    </w:div>
    <w:div w:id="1654720141">
      <w:bodyDiv w:val="1"/>
      <w:marLeft w:val="0"/>
      <w:marRight w:val="0"/>
      <w:marTop w:val="0"/>
      <w:marBottom w:val="0"/>
      <w:divBdr>
        <w:top w:val="none" w:sz="0" w:space="0" w:color="auto"/>
        <w:left w:val="none" w:sz="0" w:space="0" w:color="auto"/>
        <w:bottom w:val="none" w:sz="0" w:space="0" w:color="auto"/>
        <w:right w:val="none" w:sz="0" w:space="0" w:color="auto"/>
      </w:divBdr>
    </w:div>
    <w:div w:id="1673875785">
      <w:bodyDiv w:val="1"/>
      <w:marLeft w:val="0"/>
      <w:marRight w:val="0"/>
      <w:marTop w:val="0"/>
      <w:marBottom w:val="0"/>
      <w:divBdr>
        <w:top w:val="none" w:sz="0" w:space="0" w:color="auto"/>
        <w:left w:val="none" w:sz="0" w:space="0" w:color="auto"/>
        <w:bottom w:val="none" w:sz="0" w:space="0" w:color="auto"/>
        <w:right w:val="none" w:sz="0" w:space="0" w:color="auto"/>
      </w:divBdr>
    </w:div>
    <w:div w:id="1700738812">
      <w:bodyDiv w:val="1"/>
      <w:marLeft w:val="0"/>
      <w:marRight w:val="0"/>
      <w:marTop w:val="0"/>
      <w:marBottom w:val="0"/>
      <w:divBdr>
        <w:top w:val="none" w:sz="0" w:space="0" w:color="auto"/>
        <w:left w:val="none" w:sz="0" w:space="0" w:color="auto"/>
        <w:bottom w:val="none" w:sz="0" w:space="0" w:color="auto"/>
        <w:right w:val="none" w:sz="0" w:space="0" w:color="auto"/>
      </w:divBdr>
    </w:div>
    <w:div w:id="1701972856">
      <w:bodyDiv w:val="1"/>
      <w:marLeft w:val="0"/>
      <w:marRight w:val="0"/>
      <w:marTop w:val="0"/>
      <w:marBottom w:val="0"/>
      <w:divBdr>
        <w:top w:val="none" w:sz="0" w:space="0" w:color="auto"/>
        <w:left w:val="none" w:sz="0" w:space="0" w:color="auto"/>
        <w:bottom w:val="none" w:sz="0" w:space="0" w:color="auto"/>
        <w:right w:val="none" w:sz="0" w:space="0" w:color="auto"/>
      </w:divBdr>
    </w:div>
    <w:div w:id="1705207281">
      <w:bodyDiv w:val="1"/>
      <w:marLeft w:val="0"/>
      <w:marRight w:val="0"/>
      <w:marTop w:val="0"/>
      <w:marBottom w:val="0"/>
      <w:divBdr>
        <w:top w:val="none" w:sz="0" w:space="0" w:color="auto"/>
        <w:left w:val="none" w:sz="0" w:space="0" w:color="auto"/>
        <w:bottom w:val="none" w:sz="0" w:space="0" w:color="auto"/>
        <w:right w:val="none" w:sz="0" w:space="0" w:color="auto"/>
      </w:divBdr>
    </w:div>
    <w:div w:id="1710179787">
      <w:bodyDiv w:val="1"/>
      <w:marLeft w:val="0"/>
      <w:marRight w:val="0"/>
      <w:marTop w:val="0"/>
      <w:marBottom w:val="0"/>
      <w:divBdr>
        <w:top w:val="none" w:sz="0" w:space="0" w:color="auto"/>
        <w:left w:val="none" w:sz="0" w:space="0" w:color="auto"/>
        <w:bottom w:val="none" w:sz="0" w:space="0" w:color="auto"/>
        <w:right w:val="none" w:sz="0" w:space="0" w:color="auto"/>
      </w:divBdr>
    </w:div>
    <w:div w:id="1711297877">
      <w:bodyDiv w:val="1"/>
      <w:marLeft w:val="0"/>
      <w:marRight w:val="0"/>
      <w:marTop w:val="0"/>
      <w:marBottom w:val="0"/>
      <w:divBdr>
        <w:top w:val="none" w:sz="0" w:space="0" w:color="auto"/>
        <w:left w:val="none" w:sz="0" w:space="0" w:color="auto"/>
        <w:bottom w:val="none" w:sz="0" w:space="0" w:color="auto"/>
        <w:right w:val="none" w:sz="0" w:space="0" w:color="auto"/>
      </w:divBdr>
    </w:div>
    <w:div w:id="1716348445">
      <w:bodyDiv w:val="1"/>
      <w:marLeft w:val="0"/>
      <w:marRight w:val="0"/>
      <w:marTop w:val="0"/>
      <w:marBottom w:val="0"/>
      <w:divBdr>
        <w:top w:val="none" w:sz="0" w:space="0" w:color="auto"/>
        <w:left w:val="none" w:sz="0" w:space="0" w:color="auto"/>
        <w:bottom w:val="none" w:sz="0" w:space="0" w:color="auto"/>
        <w:right w:val="none" w:sz="0" w:space="0" w:color="auto"/>
      </w:divBdr>
    </w:div>
    <w:div w:id="1725056959">
      <w:bodyDiv w:val="1"/>
      <w:marLeft w:val="0"/>
      <w:marRight w:val="0"/>
      <w:marTop w:val="0"/>
      <w:marBottom w:val="0"/>
      <w:divBdr>
        <w:top w:val="none" w:sz="0" w:space="0" w:color="auto"/>
        <w:left w:val="none" w:sz="0" w:space="0" w:color="auto"/>
        <w:bottom w:val="none" w:sz="0" w:space="0" w:color="auto"/>
        <w:right w:val="none" w:sz="0" w:space="0" w:color="auto"/>
      </w:divBdr>
    </w:div>
    <w:div w:id="1725250142">
      <w:bodyDiv w:val="1"/>
      <w:marLeft w:val="0"/>
      <w:marRight w:val="0"/>
      <w:marTop w:val="0"/>
      <w:marBottom w:val="0"/>
      <w:divBdr>
        <w:top w:val="none" w:sz="0" w:space="0" w:color="auto"/>
        <w:left w:val="none" w:sz="0" w:space="0" w:color="auto"/>
        <w:bottom w:val="none" w:sz="0" w:space="0" w:color="auto"/>
        <w:right w:val="none" w:sz="0" w:space="0" w:color="auto"/>
      </w:divBdr>
    </w:div>
    <w:div w:id="1728214876">
      <w:bodyDiv w:val="1"/>
      <w:marLeft w:val="0"/>
      <w:marRight w:val="0"/>
      <w:marTop w:val="0"/>
      <w:marBottom w:val="0"/>
      <w:divBdr>
        <w:top w:val="none" w:sz="0" w:space="0" w:color="auto"/>
        <w:left w:val="none" w:sz="0" w:space="0" w:color="auto"/>
        <w:bottom w:val="none" w:sz="0" w:space="0" w:color="auto"/>
        <w:right w:val="none" w:sz="0" w:space="0" w:color="auto"/>
      </w:divBdr>
    </w:div>
    <w:div w:id="1730490640">
      <w:bodyDiv w:val="1"/>
      <w:marLeft w:val="0"/>
      <w:marRight w:val="0"/>
      <w:marTop w:val="0"/>
      <w:marBottom w:val="0"/>
      <w:divBdr>
        <w:top w:val="none" w:sz="0" w:space="0" w:color="auto"/>
        <w:left w:val="none" w:sz="0" w:space="0" w:color="auto"/>
        <w:bottom w:val="none" w:sz="0" w:space="0" w:color="auto"/>
        <w:right w:val="none" w:sz="0" w:space="0" w:color="auto"/>
      </w:divBdr>
    </w:div>
    <w:div w:id="1731075754">
      <w:bodyDiv w:val="1"/>
      <w:marLeft w:val="0"/>
      <w:marRight w:val="0"/>
      <w:marTop w:val="0"/>
      <w:marBottom w:val="0"/>
      <w:divBdr>
        <w:top w:val="none" w:sz="0" w:space="0" w:color="auto"/>
        <w:left w:val="none" w:sz="0" w:space="0" w:color="auto"/>
        <w:bottom w:val="none" w:sz="0" w:space="0" w:color="auto"/>
        <w:right w:val="none" w:sz="0" w:space="0" w:color="auto"/>
      </w:divBdr>
    </w:div>
    <w:div w:id="1734347998">
      <w:bodyDiv w:val="1"/>
      <w:marLeft w:val="0"/>
      <w:marRight w:val="0"/>
      <w:marTop w:val="0"/>
      <w:marBottom w:val="0"/>
      <w:divBdr>
        <w:top w:val="none" w:sz="0" w:space="0" w:color="auto"/>
        <w:left w:val="none" w:sz="0" w:space="0" w:color="auto"/>
        <w:bottom w:val="none" w:sz="0" w:space="0" w:color="auto"/>
        <w:right w:val="none" w:sz="0" w:space="0" w:color="auto"/>
      </w:divBdr>
    </w:div>
    <w:div w:id="1745910809">
      <w:bodyDiv w:val="1"/>
      <w:marLeft w:val="0"/>
      <w:marRight w:val="0"/>
      <w:marTop w:val="0"/>
      <w:marBottom w:val="0"/>
      <w:divBdr>
        <w:top w:val="none" w:sz="0" w:space="0" w:color="auto"/>
        <w:left w:val="none" w:sz="0" w:space="0" w:color="auto"/>
        <w:bottom w:val="none" w:sz="0" w:space="0" w:color="auto"/>
        <w:right w:val="none" w:sz="0" w:space="0" w:color="auto"/>
      </w:divBdr>
    </w:div>
    <w:div w:id="1752577942">
      <w:bodyDiv w:val="1"/>
      <w:marLeft w:val="0"/>
      <w:marRight w:val="0"/>
      <w:marTop w:val="0"/>
      <w:marBottom w:val="0"/>
      <w:divBdr>
        <w:top w:val="none" w:sz="0" w:space="0" w:color="auto"/>
        <w:left w:val="none" w:sz="0" w:space="0" w:color="auto"/>
        <w:bottom w:val="none" w:sz="0" w:space="0" w:color="auto"/>
        <w:right w:val="none" w:sz="0" w:space="0" w:color="auto"/>
      </w:divBdr>
    </w:div>
    <w:div w:id="1763717880">
      <w:bodyDiv w:val="1"/>
      <w:marLeft w:val="0"/>
      <w:marRight w:val="0"/>
      <w:marTop w:val="0"/>
      <w:marBottom w:val="0"/>
      <w:divBdr>
        <w:top w:val="none" w:sz="0" w:space="0" w:color="auto"/>
        <w:left w:val="none" w:sz="0" w:space="0" w:color="auto"/>
        <w:bottom w:val="none" w:sz="0" w:space="0" w:color="auto"/>
        <w:right w:val="none" w:sz="0" w:space="0" w:color="auto"/>
      </w:divBdr>
    </w:div>
    <w:div w:id="1769617035">
      <w:bodyDiv w:val="1"/>
      <w:marLeft w:val="0"/>
      <w:marRight w:val="0"/>
      <w:marTop w:val="0"/>
      <w:marBottom w:val="0"/>
      <w:divBdr>
        <w:top w:val="none" w:sz="0" w:space="0" w:color="auto"/>
        <w:left w:val="none" w:sz="0" w:space="0" w:color="auto"/>
        <w:bottom w:val="none" w:sz="0" w:space="0" w:color="auto"/>
        <w:right w:val="none" w:sz="0" w:space="0" w:color="auto"/>
      </w:divBdr>
    </w:div>
    <w:div w:id="1777209342">
      <w:bodyDiv w:val="1"/>
      <w:marLeft w:val="0"/>
      <w:marRight w:val="0"/>
      <w:marTop w:val="0"/>
      <w:marBottom w:val="0"/>
      <w:divBdr>
        <w:top w:val="none" w:sz="0" w:space="0" w:color="auto"/>
        <w:left w:val="none" w:sz="0" w:space="0" w:color="auto"/>
        <w:bottom w:val="none" w:sz="0" w:space="0" w:color="auto"/>
        <w:right w:val="none" w:sz="0" w:space="0" w:color="auto"/>
      </w:divBdr>
    </w:div>
    <w:div w:id="1790197025">
      <w:bodyDiv w:val="1"/>
      <w:marLeft w:val="0"/>
      <w:marRight w:val="0"/>
      <w:marTop w:val="0"/>
      <w:marBottom w:val="0"/>
      <w:divBdr>
        <w:top w:val="none" w:sz="0" w:space="0" w:color="auto"/>
        <w:left w:val="none" w:sz="0" w:space="0" w:color="auto"/>
        <w:bottom w:val="none" w:sz="0" w:space="0" w:color="auto"/>
        <w:right w:val="none" w:sz="0" w:space="0" w:color="auto"/>
      </w:divBdr>
    </w:div>
    <w:div w:id="1805585957">
      <w:bodyDiv w:val="1"/>
      <w:marLeft w:val="0"/>
      <w:marRight w:val="0"/>
      <w:marTop w:val="0"/>
      <w:marBottom w:val="0"/>
      <w:divBdr>
        <w:top w:val="none" w:sz="0" w:space="0" w:color="auto"/>
        <w:left w:val="none" w:sz="0" w:space="0" w:color="auto"/>
        <w:bottom w:val="none" w:sz="0" w:space="0" w:color="auto"/>
        <w:right w:val="none" w:sz="0" w:space="0" w:color="auto"/>
      </w:divBdr>
    </w:div>
    <w:div w:id="1807383239">
      <w:bodyDiv w:val="1"/>
      <w:marLeft w:val="0"/>
      <w:marRight w:val="0"/>
      <w:marTop w:val="0"/>
      <w:marBottom w:val="0"/>
      <w:divBdr>
        <w:top w:val="none" w:sz="0" w:space="0" w:color="auto"/>
        <w:left w:val="none" w:sz="0" w:space="0" w:color="auto"/>
        <w:bottom w:val="none" w:sz="0" w:space="0" w:color="auto"/>
        <w:right w:val="none" w:sz="0" w:space="0" w:color="auto"/>
      </w:divBdr>
    </w:div>
    <w:div w:id="1812752763">
      <w:bodyDiv w:val="1"/>
      <w:marLeft w:val="0"/>
      <w:marRight w:val="0"/>
      <w:marTop w:val="0"/>
      <w:marBottom w:val="0"/>
      <w:divBdr>
        <w:top w:val="none" w:sz="0" w:space="0" w:color="auto"/>
        <w:left w:val="none" w:sz="0" w:space="0" w:color="auto"/>
        <w:bottom w:val="none" w:sz="0" w:space="0" w:color="auto"/>
        <w:right w:val="none" w:sz="0" w:space="0" w:color="auto"/>
      </w:divBdr>
    </w:div>
    <w:div w:id="1839736491">
      <w:bodyDiv w:val="1"/>
      <w:marLeft w:val="0"/>
      <w:marRight w:val="0"/>
      <w:marTop w:val="0"/>
      <w:marBottom w:val="0"/>
      <w:divBdr>
        <w:top w:val="none" w:sz="0" w:space="0" w:color="auto"/>
        <w:left w:val="none" w:sz="0" w:space="0" w:color="auto"/>
        <w:bottom w:val="none" w:sz="0" w:space="0" w:color="auto"/>
        <w:right w:val="none" w:sz="0" w:space="0" w:color="auto"/>
      </w:divBdr>
    </w:div>
    <w:div w:id="1843004150">
      <w:bodyDiv w:val="1"/>
      <w:marLeft w:val="0"/>
      <w:marRight w:val="0"/>
      <w:marTop w:val="0"/>
      <w:marBottom w:val="0"/>
      <w:divBdr>
        <w:top w:val="none" w:sz="0" w:space="0" w:color="auto"/>
        <w:left w:val="none" w:sz="0" w:space="0" w:color="auto"/>
        <w:bottom w:val="none" w:sz="0" w:space="0" w:color="auto"/>
        <w:right w:val="none" w:sz="0" w:space="0" w:color="auto"/>
      </w:divBdr>
    </w:div>
    <w:div w:id="1848708253">
      <w:bodyDiv w:val="1"/>
      <w:marLeft w:val="0"/>
      <w:marRight w:val="0"/>
      <w:marTop w:val="0"/>
      <w:marBottom w:val="0"/>
      <w:divBdr>
        <w:top w:val="none" w:sz="0" w:space="0" w:color="auto"/>
        <w:left w:val="none" w:sz="0" w:space="0" w:color="auto"/>
        <w:bottom w:val="none" w:sz="0" w:space="0" w:color="auto"/>
        <w:right w:val="none" w:sz="0" w:space="0" w:color="auto"/>
      </w:divBdr>
    </w:div>
    <w:div w:id="1850751107">
      <w:bodyDiv w:val="1"/>
      <w:marLeft w:val="0"/>
      <w:marRight w:val="0"/>
      <w:marTop w:val="0"/>
      <w:marBottom w:val="0"/>
      <w:divBdr>
        <w:top w:val="none" w:sz="0" w:space="0" w:color="auto"/>
        <w:left w:val="none" w:sz="0" w:space="0" w:color="auto"/>
        <w:bottom w:val="none" w:sz="0" w:space="0" w:color="auto"/>
        <w:right w:val="none" w:sz="0" w:space="0" w:color="auto"/>
      </w:divBdr>
    </w:div>
    <w:div w:id="1873615259">
      <w:bodyDiv w:val="1"/>
      <w:marLeft w:val="0"/>
      <w:marRight w:val="0"/>
      <w:marTop w:val="0"/>
      <w:marBottom w:val="0"/>
      <w:divBdr>
        <w:top w:val="none" w:sz="0" w:space="0" w:color="auto"/>
        <w:left w:val="none" w:sz="0" w:space="0" w:color="auto"/>
        <w:bottom w:val="none" w:sz="0" w:space="0" w:color="auto"/>
        <w:right w:val="none" w:sz="0" w:space="0" w:color="auto"/>
      </w:divBdr>
    </w:div>
    <w:div w:id="1886598256">
      <w:bodyDiv w:val="1"/>
      <w:marLeft w:val="0"/>
      <w:marRight w:val="0"/>
      <w:marTop w:val="0"/>
      <w:marBottom w:val="0"/>
      <w:divBdr>
        <w:top w:val="none" w:sz="0" w:space="0" w:color="auto"/>
        <w:left w:val="none" w:sz="0" w:space="0" w:color="auto"/>
        <w:bottom w:val="none" w:sz="0" w:space="0" w:color="auto"/>
        <w:right w:val="none" w:sz="0" w:space="0" w:color="auto"/>
      </w:divBdr>
    </w:div>
    <w:div w:id="1889605254">
      <w:bodyDiv w:val="1"/>
      <w:marLeft w:val="0"/>
      <w:marRight w:val="0"/>
      <w:marTop w:val="0"/>
      <w:marBottom w:val="0"/>
      <w:divBdr>
        <w:top w:val="none" w:sz="0" w:space="0" w:color="auto"/>
        <w:left w:val="none" w:sz="0" w:space="0" w:color="auto"/>
        <w:bottom w:val="none" w:sz="0" w:space="0" w:color="auto"/>
        <w:right w:val="none" w:sz="0" w:space="0" w:color="auto"/>
      </w:divBdr>
    </w:div>
    <w:div w:id="1904755795">
      <w:bodyDiv w:val="1"/>
      <w:marLeft w:val="0"/>
      <w:marRight w:val="0"/>
      <w:marTop w:val="0"/>
      <w:marBottom w:val="0"/>
      <w:divBdr>
        <w:top w:val="none" w:sz="0" w:space="0" w:color="auto"/>
        <w:left w:val="none" w:sz="0" w:space="0" w:color="auto"/>
        <w:bottom w:val="none" w:sz="0" w:space="0" w:color="auto"/>
        <w:right w:val="none" w:sz="0" w:space="0" w:color="auto"/>
      </w:divBdr>
    </w:div>
    <w:div w:id="1916621066">
      <w:bodyDiv w:val="1"/>
      <w:marLeft w:val="0"/>
      <w:marRight w:val="0"/>
      <w:marTop w:val="0"/>
      <w:marBottom w:val="0"/>
      <w:divBdr>
        <w:top w:val="none" w:sz="0" w:space="0" w:color="auto"/>
        <w:left w:val="none" w:sz="0" w:space="0" w:color="auto"/>
        <w:bottom w:val="none" w:sz="0" w:space="0" w:color="auto"/>
        <w:right w:val="none" w:sz="0" w:space="0" w:color="auto"/>
      </w:divBdr>
    </w:div>
    <w:div w:id="1922910351">
      <w:bodyDiv w:val="1"/>
      <w:marLeft w:val="0"/>
      <w:marRight w:val="0"/>
      <w:marTop w:val="0"/>
      <w:marBottom w:val="0"/>
      <w:divBdr>
        <w:top w:val="none" w:sz="0" w:space="0" w:color="auto"/>
        <w:left w:val="none" w:sz="0" w:space="0" w:color="auto"/>
        <w:bottom w:val="none" w:sz="0" w:space="0" w:color="auto"/>
        <w:right w:val="none" w:sz="0" w:space="0" w:color="auto"/>
      </w:divBdr>
    </w:div>
    <w:div w:id="1923375282">
      <w:bodyDiv w:val="1"/>
      <w:marLeft w:val="0"/>
      <w:marRight w:val="0"/>
      <w:marTop w:val="0"/>
      <w:marBottom w:val="0"/>
      <w:divBdr>
        <w:top w:val="none" w:sz="0" w:space="0" w:color="auto"/>
        <w:left w:val="none" w:sz="0" w:space="0" w:color="auto"/>
        <w:bottom w:val="none" w:sz="0" w:space="0" w:color="auto"/>
        <w:right w:val="none" w:sz="0" w:space="0" w:color="auto"/>
      </w:divBdr>
    </w:div>
    <w:div w:id="1928803020">
      <w:bodyDiv w:val="1"/>
      <w:marLeft w:val="0"/>
      <w:marRight w:val="0"/>
      <w:marTop w:val="0"/>
      <w:marBottom w:val="0"/>
      <w:divBdr>
        <w:top w:val="none" w:sz="0" w:space="0" w:color="auto"/>
        <w:left w:val="none" w:sz="0" w:space="0" w:color="auto"/>
        <w:bottom w:val="none" w:sz="0" w:space="0" w:color="auto"/>
        <w:right w:val="none" w:sz="0" w:space="0" w:color="auto"/>
      </w:divBdr>
    </w:div>
    <w:div w:id="1934821278">
      <w:bodyDiv w:val="1"/>
      <w:marLeft w:val="0"/>
      <w:marRight w:val="0"/>
      <w:marTop w:val="0"/>
      <w:marBottom w:val="0"/>
      <w:divBdr>
        <w:top w:val="none" w:sz="0" w:space="0" w:color="auto"/>
        <w:left w:val="none" w:sz="0" w:space="0" w:color="auto"/>
        <w:bottom w:val="none" w:sz="0" w:space="0" w:color="auto"/>
        <w:right w:val="none" w:sz="0" w:space="0" w:color="auto"/>
      </w:divBdr>
    </w:div>
    <w:div w:id="1937901867">
      <w:bodyDiv w:val="1"/>
      <w:marLeft w:val="0"/>
      <w:marRight w:val="0"/>
      <w:marTop w:val="0"/>
      <w:marBottom w:val="0"/>
      <w:divBdr>
        <w:top w:val="none" w:sz="0" w:space="0" w:color="auto"/>
        <w:left w:val="none" w:sz="0" w:space="0" w:color="auto"/>
        <w:bottom w:val="none" w:sz="0" w:space="0" w:color="auto"/>
        <w:right w:val="none" w:sz="0" w:space="0" w:color="auto"/>
      </w:divBdr>
    </w:div>
    <w:div w:id="1944533452">
      <w:bodyDiv w:val="1"/>
      <w:marLeft w:val="0"/>
      <w:marRight w:val="0"/>
      <w:marTop w:val="0"/>
      <w:marBottom w:val="0"/>
      <w:divBdr>
        <w:top w:val="none" w:sz="0" w:space="0" w:color="auto"/>
        <w:left w:val="none" w:sz="0" w:space="0" w:color="auto"/>
        <w:bottom w:val="none" w:sz="0" w:space="0" w:color="auto"/>
        <w:right w:val="none" w:sz="0" w:space="0" w:color="auto"/>
      </w:divBdr>
    </w:div>
    <w:div w:id="1951737828">
      <w:bodyDiv w:val="1"/>
      <w:marLeft w:val="0"/>
      <w:marRight w:val="0"/>
      <w:marTop w:val="0"/>
      <w:marBottom w:val="0"/>
      <w:divBdr>
        <w:top w:val="none" w:sz="0" w:space="0" w:color="auto"/>
        <w:left w:val="none" w:sz="0" w:space="0" w:color="auto"/>
        <w:bottom w:val="none" w:sz="0" w:space="0" w:color="auto"/>
        <w:right w:val="none" w:sz="0" w:space="0" w:color="auto"/>
      </w:divBdr>
    </w:div>
    <w:div w:id="1968506352">
      <w:bodyDiv w:val="1"/>
      <w:marLeft w:val="0"/>
      <w:marRight w:val="0"/>
      <w:marTop w:val="0"/>
      <w:marBottom w:val="0"/>
      <w:divBdr>
        <w:top w:val="none" w:sz="0" w:space="0" w:color="auto"/>
        <w:left w:val="none" w:sz="0" w:space="0" w:color="auto"/>
        <w:bottom w:val="none" w:sz="0" w:space="0" w:color="auto"/>
        <w:right w:val="none" w:sz="0" w:space="0" w:color="auto"/>
      </w:divBdr>
    </w:div>
    <w:div w:id="1973438646">
      <w:bodyDiv w:val="1"/>
      <w:marLeft w:val="0"/>
      <w:marRight w:val="0"/>
      <w:marTop w:val="0"/>
      <w:marBottom w:val="0"/>
      <w:divBdr>
        <w:top w:val="none" w:sz="0" w:space="0" w:color="auto"/>
        <w:left w:val="none" w:sz="0" w:space="0" w:color="auto"/>
        <w:bottom w:val="none" w:sz="0" w:space="0" w:color="auto"/>
        <w:right w:val="none" w:sz="0" w:space="0" w:color="auto"/>
      </w:divBdr>
    </w:div>
    <w:div w:id="1974095791">
      <w:bodyDiv w:val="1"/>
      <w:marLeft w:val="0"/>
      <w:marRight w:val="0"/>
      <w:marTop w:val="0"/>
      <w:marBottom w:val="0"/>
      <w:divBdr>
        <w:top w:val="none" w:sz="0" w:space="0" w:color="auto"/>
        <w:left w:val="none" w:sz="0" w:space="0" w:color="auto"/>
        <w:bottom w:val="none" w:sz="0" w:space="0" w:color="auto"/>
        <w:right w:val="none" w:sz="0" w:space="0" w:color="auto"/>
      </w:divBdr>
    </w:div>
    <w:div w:id="1974142032">
      <w:bodyDiv w:val="1"/>
      <w:marLeft w:val="0"/>
      <w:marRight w:val="0"/>
      <w:marTop w:val="0"/>
      <w:marBottom w:val="0"/>
      <w:divBdr>
        <w:top w:val="none" w:sz="0" w:space="0" w:color="auto"/>
        <w:left w:val="none" w:sz="0" w:space="0" w:color="auto"/>
        <w:bottom w:val="none" w:sz="0" w:space="0" w:color="auto"/>
        <w:right w:val="none" w:sz="0" w:space="0" w:color="auto"/>
      </w:divBdr>
    </w:div>
    <w:div w:id="1977638440">
      <w:bodyDiv w:val="1"/>
      <w:marLeft w:val="0"/>
      <w:marRight w:val="0"/>
      <w:marTop w:val="0"/>
      <w:marBottom w:val="0"/>
      <w:divBdr>
        <w:top w:val="none" w:sz="0" w:space="0" w:color="auto"/>
        <w:left w:val="none" w:sz="0" w:space="0" w:color="auto"/>
        <w:bottom w:val="none" w:sz="0" w:space="0" w:color="auto"/>
        <w:right w:val="none" w:sz="0" w:space="0" w:color="auto"/>
      </w:divBdr>
    </w:div>
    <w:div w:id="1983347723">
      <w:bodyDiv w:val="1"/>
      <w:marLeft w:val="0"/>
      <w:marRight w:val="0"/>
      <w:marTop w:val="0"/>
      <w:marBottom w:val="0"/>
      <w:divBdr>
        <w:top w:val="none" w:sz="0" w:space="0" w:color="auto"/>
        <w:left w:val="none" w:sz="0" w:space="0" w:color="auto"/>
        <w:bottom w:val="none" w:sz="0" w:space="0" w:color="auto"/>
        <w:right w:val="none" w:sz="0" w:space="0" w:color="auto"/>
      </w:divBdr>
    </w:div>
    <w:div w:id="1993362973">
      <w:bodyDiv w:val="1"/>
      <w:marLeft w:val="0"/>
      <w:marRight w:val="0"/>
      <w:marTop w:val="0"/>
      <w:marBottom w:val="0"/>
      <w:divBdr>
        <w:top w:val="none" w:sz="0" w:space="0" w:color="auto"/>
        <w:left w:val="none" w:sz="0" w:space="0" w:color="auto"/>
        <w:bottom w:val="none" w:sz="0" w:space="0" w:color="auto"/>
        <w:right w:val="none" w:sz="0" w:space="0" w:color="auto"/>
      </w:divBdr>
    </w:div>
    <w:div w:id="2008747551">
      <w:bodyDiv w:val="1"/>
      <w:marLeft w:val="0"/>
      <w:marRight w:val="0"/>
      <w:marTop w:val="0"/>
      <w:marBottom w:val="0"/>
      <w:divBdr>
        <w:top w:val="none" w:sz="0" w:space="0" w:color="auto"/>
        <w:left w:val="none" w:sz="0" w:space="0" w:color="auto"/>
        <w:bottom w:val="none" w:sz="0" w:space="0" w:color="auto"/>
        <w:right w:val="none" w:sz="0" w:space="0" w:color="auto"/>
      </w:divBdr>
    </w:div>
    <w:div w:id="2039313694">
      <w:bodyDiv w:val="1"/>
      <w:marLeft w:val="0"/>
      <w:marRight w:val="0"/>
      <w:marTop w:val="0"/>
      <w:marBottom w:val="0"/>
      <w:divBdr>
        <w:top w:val="none" w:sz="0" w:space="0" w:color="auto"/>
        <w:left w:val="none" w:sz="0" w:space="0" w:color="auto"/>
        <w:bottom w:val="none" w:sz="0" w:space="0" w:color="auto"/>
        <w:right w:val="none" w:sz="0" w:space="0" w:color="auto"/>
      </w:divBdr>
    </w:div>
    <w:div w:id="2042053170">
      <w:bodyDiv w:val="1"/>
      <w:marLeft w:val="0"/>
      <w:marRight w:val="0"/>
      <w:marTop w:val="0"/>
      <w:marBottom w:val="0"/>
      <w:divBdr>
        <w:top w:val="none" w:sz="0" w:space="0" w:color="auto"/>
        <w:left w:val="none" w:sz="0" w:space="0" w:color="auto"/>
        <w:bottom w:val="none" w:sz="0" w:space="0" w:color="auto"/>
        <w:right w:val="none" w:sz="0" w:space="0" w:color="auto"/>
      </w:divBdr>
    </w:div>
    <w:div w:id="2048986754">
      <w:bodyDiv w:val="1"/>
      <w:marLeft w:val="0"/>
      <w:marRight w:val="0"/>
      <w:marTop w:val="0"/>
      <w:marBottom w:val="0"/>
      <w:divBdr>
        <w:top w:val="none" w:sz="0" w:space="0" w:color="auto"/>
        <w:left w:val="none" w:sz="0" w:space="0" w:color="auto"/>
        <w:bottom w:val="none" w:sz="0" w:space="0" w:color="auto"/>
        <w:right w:val="none" w:sz="0" w:space="0" w:color="auto"/>
      </w:divBdr>
    </w:div>
    <w:div w:id="2051149243">
      <w:bodyDiv w:val="1"/>
      <w:marLeft w:val="0"/>
      <w:marRight w:val="0"/>
      <w:marTop w:val="0"/>
      <w:marBottom w:val="0"/>
      <w:divBdr>
        <w:top w:val="none" w:sz="0" w:space="0" w:color="auto"/>
        <w:left w:val="none" w:sz="0" w:space="0" w:color="auto"/>
        <w:bottom w:val="none" w:sz="0" w:space="0" w:color="auto"/>
        <w:right w:val="none" w:sz="0" w:space="0" w:color="auto"/>
      </w:divBdr>
    </w:div>
    <w:div w:id="2053840100">
      <w:bodyDiv w:val="1"/>
      <w:marLeft w:val="0"/>
      <w:marRight w:val="0"/>
      <w:marTop w:val="0"/>
      <w:marBottom w:val="0"/>
      <w:divBdr>
        <w:top w:val="none" w:sz="0" w:space="0" w:color="auto"/>
        <w:left w:val="none" w:sz="0" w:space="0" w:color="auto"/>
        <w:bottom w:val="none" w:sz="0" w:space="0" w:color="auto"/>
        <w:right w:val="none" w:sz="0" w:space="0" w:color="auto"/>
      </w:divBdr>
    </w:div>
    <w:div w:id="2058315474">
      <w:bodyDiv w:val="1"/>
      <w:marLeft w:val="0"/>
      <w:marRight w:val="0"/>
      <w:marTop w:val="0"/>
      <w:marBottom w:val="0"/>
      <w:divBdr>
        <w:top w:val="none" w:sz="0" w:space="0" w:color="auto"/>
        <w:left w:val="none" w:sz="0" w:space="0" w:color="auto"/>
        <w:bottom w:val="none" w:sz="0" w:space="0" w:color="auto"/>
        <w:right w:val="none" w:sz="0" w:space="0" w:color="auto"/>
      </w:divBdr>
    </w:div>
    <w:div w:id="2063476346">
      <w:bodyDiv w:val="1"/>
      <w:marLeft w:val="0"/>
      <w:marRight w:val="0"/>
      <w:marTop w:val="0"/>
      <w:marBottom w:val="0"/>
      <w:divBdr>
        <w:top w:val="none" w:sz="0" w:space="0" w:color="auto"/>
        <w:left w:val="none" w:sz="0" w:space="0" w:color="auto"/>
        <w:bottom w:val="none" w:sz="0" w:space="0" w:color="auto"/>
        <w:right w:val="none" w:sz="0" w:space="0" w:color="auto"/>
      </w:divBdr>
    </w:div>
    <w:div w:id="2089224888">
      <w:bodyDiv w:val="1"/>
      <w:marLeft w:val="0"/>
      <w:marRight w:val="0"/>
      <w:marTop w:val="0"/>
      <w:marBottom w:val="0"/>
      <w:divBdr>
        <w:top w:val="none" w:sz="0" w:space="0" w:color="auto"/>
        <w:left w:val="none" w:sz="0" w:space="0" w:color="auto"/>
        <w:bottom w:val="none" w:sz="0" w:space="0" w:color="auto"/>
        <w:right w:val="none" w:sz="0" w:space="0" w:color="auto"/>
      </w:divBdr>
    </w:div>
    <w:div w:id="2095278911">
      <w:bodyDiv w:val="1"/>
      <w:marLeft w:val="0"/>
      <w:marRight w:val="0"/>
      <w:marTop w:val="0"/>
      <w:marBottom w:val="0"/>
      <w:divBdr>
        <w:top w:val="none" w:sz="0" w:space="0" w:color="auto"/>
        <w:left w:val="none" w:sz="0" w:space="0" w:color="auto"/>
        <w:bottom w:val="none" w:sz="0" w:space="0" w:color="auto"/>
        <w:right w:val="none" w:sz="0" w:space="0" w:color="auto"/>
      </w:divBdr>
    </w:div>
    <w:div w:id="2099250153">
      <w:bodyDiv w:val="1"/>
      <w:marLeft w:val="0"/>
      <w:marRight w:val="0"/>
      <w:marTop w:val="0"/>
      <w:marBottom w:val="0"/>
      <w:divBdr>
        <w:top w:val="none" w:sz="0" w:space="0" w:color="auto"/>
        <w:left w:val="none" w:sz="0" w:space="0" w:color="auto"/>
        <w:bottom w:val="none" w:sz="0" w:space="0" w:color="auto"/>
        <w:right w:val="none" w:sz="0" w:space="0" w:color="auto"/>
      </w:divBdr>
    </w:div>
    <w:div w:id="213432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Ent22</b:Tag>
    <b:SourceType>InternetSite</b:SourceType>
    <b:Guid>{04BA6EC6-622B-4D7A-A973-E1352B18B678}</b:Guid>
    <b:Title>Entain (Entain awarded Advanced Safer Gambling Standard)</b:Title>
    <b:Year>2022</b:Year>
    <b:Author>
      <b:Author>
        <b:Corporate>Entain Plc</b:Corporate>
      </b:Author>
    </b:Author>
    <b:YearAccessed>2025</b:YearAccessed>
    <b:MonthAccessed>novemebr</b:MonthAccessed>
    <b:DayAccessed>15th, saturday</b:DayAccessed>
    <b:URL>https://www.entaingroup.com/news-insights/latest-news/2022/entain-awarded-advanced-safer-gambling-standard-as-it-leads-the-industry-in-player-protection/?</b:URL>
    <b:RefOrder>12</b:RefOrder>
  </b:Source>
  <b:Source>
    <b:Tag>ENT25</b:Tag>
    <b:SourceType>InternetSite</b:SourceType>
    <b:Guid>{5D2D2A37-2CF8-4FED-BB52-EB093154C468}</b:Guid>
    <b:Author>
      <b:Author>
        <b:Corporate>ENTAIN</b:Corporate>
      </b:Author>
    </b:Author>
    <b:Title>ENTAIN(Safer betting and gaming)</b:Title>
    <b:YearAccessed>2025</b:YearAccessed>
    <b:MonthAccessed>november</b:MonthAccessed>
    <b:DayAccessed>saturday</b:DayAccessed>
    <b:URL>https://www.entaingroup.com/sustainability-esg/safer-betting-and-gaming/</b:URL>
    <b:RefOrder>11</b:RefOrder>
  </b:Source>
  <b:Source>
    <b:Tag>Wan21</b:Tag>
    <b:SourceType>Report</b:SourceType>
    <b:Guid>{2370E5F6-D785-42CF-8434-579D946EEA23}</b:Guid>
    <b:Title>Transparency in Responsible Gambling: A Systematic Review</b:Title>
    <b:Year>2021</b:Year>
    <b:Author>
      <b:Author>
        <b:Corporate>Wang, R., Bush-Evans, R., Arden-Close, E., Thomas, S., Hodge, S., McAlaney, J., Bolat, E. and Phalp, K. T., 2021. </b:Corporate>
      </b:Author>
    </b:Author>
    <b:Publisher>Bournemouth university</b:Publisher>
    <b:City>Poole, England</b:City>
    <b:RefOrder>71</b:RefOrder>
  </b:Source>
  <b:Source>
    <b:Tag>Lib23</b:Tag>
    <b:SourceType>JournalArticle</b:SourceType>
    <b:Guid>{9E1C885D-64B6-4924-BC07-6CB667A409D4}</b:Guid>
    <b:Title>Corporate social responsibility in the gambling industry: A systematic review and conceptual framework</b:Title>
    <b:Year>2023</b:Year>
    <b:Author>
      <b:Author>
        <b:NameList>
          <b:Person>
            <b:Last>Tetrevova</b:Last>
            <b:First>Libena</b:First>
          </b:Person>
        </b:NameList>
      </b:Author>
    </b:Author>
    <b:JournalName>International Gambling Studies</b:JournalName>
    <b:Pages>Pages 518-538</b:Pages>
    <b:Volume>Volume 23</b:Volume>
    <b:Issue>Issue 3</b:Issue>
    <b:RefOrder>39</b:RefOrder>
  </b:Source>
  <b:Source>
    <b:Tag>Ent25</b:Tag>
    <b:SourceType>DocumentFromInternetSite</b:SourceType>
    <b:Guid>{6466EFF1-1A77-4AC8-8169-2C64088258DA}</b:Guid>
    <b:Title>Safer betting and gaming</b:Title>
    <b:Author>
      <b:Author>
        <b:NameList>
          <b:Person>
            <b:Last>Entain..plc</b:Last>
          </b:Person>
        </b:NameList>
      </b:Author>
    </b:Author>
    <b:YearAccessed>2025</b:YearAccessed>
    <b:MonthAccessed>November</b:MonthAccessed>
    <b:DayAccessed>15th</b:DayAccessed>
    <b:URL>https://www.entaingroup.com/sustainability-esg/safer-betting-and-gaming/</b:URL>
    <b:RefOrder>72</b:RefOrder>
  </b:Source>
  <b:Source>
    <b:Tag>Eur22</b:Tag>
    <b:SourceType>InternetSite</b:SourceType>
    <b:Guid>{54A6BC18-F637-4098-9974-A8A002837A18}</b:Guid>
    <b:Author>
      <b:Author>
        <b:NameList>
          <b:Person>
            <b:Last>Association</b:Last>
            <b:First>European</b:First>
            <b:Middle>Gaming &amp; Betting</b:Middle>
          </b:Person>
        </b:NameList>
      </b:Author>
    </b:Author>
    <b:Title>Entain: Advanced Responsibility &amp; Care (ARC)</b:Title>
    <b:Year>2022</b:Year>
    <b:YearAccessed>2025</b:YearAccessed>
    <b:MonthAccessed>Novemebr</b:MonthAccessed>
    <b:DayAccessed>15th</b:DayAccessed>
    <b:URL>https://www.egba.eu/news-post/entain-advanced-responsibility-care-arc/?</b:URL>
    <b:RefOrder>28</b:RefOrder>
  </b:Source>
  <b:Source>
    <b:Tag>lib23</b:Tag>
    <b:SourceType>Report</b:SourceType>
    <b:Guid>{224F8B65-E155-40A3-81D0-A47108107548}</b:Guid>
    <b:Title>A systematic review on corporate social responsibility in the gaming industry</b:Title>
    <b:Year>2023</b:Year>
    <b:Author>
      <b:Author>
        <b:NameList>
          <b:Person>
            <b:Last>Tetrevova</b:Last>
            <b:First>libena</b:First>
          </b:Person>
        </b:NameList>
      </b:Author>
    </b:Author>
    <b:Publisher>Greo</b:Publisher>
    <b:City>https://www.greo.ca/Modules/EvidenceCentre/files/Tetrevova%20%282023%29_Corporate%20social%20responsibility%20in%20the%20gambling%20industry_final.pdf?</b:City>
    <b:RefOrder>73</b:RefOrder>
  </b:Source>
  <b:Source>
    <b:Tag>Gam221</b:Tag>
    <b:SourceType>InternetSite</b:SourceType>
    <b:Guid>{B7B37686-D735-4842-9014-58E38634E5AE}</b:Guid>
    <b:Title>GamCare’s response to the Entain regulation settlement</b:Title>
    <b:Year>2022</b:Year>
    <b:Author>
      <b:Author>
        <b:NameList>
          <b:Person>
            <b:Last>Gamcare</b:Last>
          </b:Person>
        </b:NameList>
      </b:Author>
    </b:Author>
    <b:YearAccessed>2025</b:YearAccessed>
    <b:MonthAccessed>november</b:MonthAccessed>
    <b:DayAccessed>15th saturday</b:DayAccessed>
    <b:URL>https://www.gamcare.org.uk/news-and-blog/news/gamcares-response-to-the-entain-regulation-settlement/</b:URL>
    <b:RefOrder>74</b:RefOrder>
  </b:Source>
  <b:Source>
    <b:Tag>Rui21</b:Tag>
    <b:SourceType>Report</b:SourceType>
    <b:Guid>{D0E3E74F-85F3-417E-8CC5-84F4FEFEFF05}</b:Guid>
    <b:Title>Transparency in Responsible Gambling: systematic review</b:Title>
    <b:Year>2021</b:Year>
    <b:Author>
      <b:Author>
        <b:NameList>
          <b:Person>
            <b:Last>Keith Phalp</b:Last>
            <b:First>Ruijie</b:First>
            <b:Middle>Wang Emily Arden-Close Reece Bush-Evans Sarah Thomas Sarah Hodge John McAlaney Elvira Bolat Keith</b:Middle>
          </b:Person>
        </b:NameList>
      </b:Author>
    </b:Author>
    <b:Publisher>BU</b:Publisher>
    <b:City>Bournemouth , united kingdom</b:City>
    <b:RefOrder>36</b:RefOrder>
  </b:Source>
  <b:Source>
    <b:Tag>ENT22</b:Tag>
    <b:SourceType>InternetSite</b:SourceType>
    <b:Guid>{7E697411-5D2D-4A38-9129-6CDACC4671F3}</b:Guid>
    <b:Title>Entain awarded Advanced Safer Gambling Standard</b:Title>
    <b:Year>2022</b:Year>
    <b:Author>
      <b:Author>
        <b:NameList>
          <b:Person>
            <b:Last>PLC</b:Last>
            <b:First>ENTAIN</b:First>
          </b:Person>
        </b:NameList>
      </b:Author>
    </b:Author>
    <b:YearAccessed>2025</b:YearAccessed>
    <b:MonthAccessed>December </b:MonthAccessed>
    <b:DayAccessed>2</b:DayAccessed>
    <b:URL>https://www.entaingroup.com/news-insights/latest-news/2022/entain-awarded-advanced-safer-gambling-standard-as-it-leads-the-industry-in-player-protection/</b:URL>
    <b:RefOrder>75</b:RefOrder>
  </b:Source>
  <b:Source>
    <b:Tag>Placeholder1</b:Tag>
    <b:SourceType>InternetSite</b:SourceType>
    <b:Guid>{E90B2853-9F20-437A-8B8B-53BC0D82F89A}</b:Guid>
    <b:RefOrder>76</b:RefOrder>
  </b:Source>
  <b:Source>
    <b:Tag>Ice91</b:Tag>
    <b:SourceType>JournalArticle</b:SourceType>
    <b:Guid>{70B94A12-D9F2-408F-827E-7D50B8F14F28}</b:Guid>
    <b:Title>The theory of planned behavior</b:Title>
    <b:Year>1991</b:Year>
    <b:Author>
      <b:Author>
        <b:NameList>
          <b:Person>
            <b:Last>Icek Ajzen</b:Last>
          </b:Person>
        </b:NameList>
      </b:Author>
    </b:Author>
    <b:JournalName>Organizational Behavior and Human Decision Processes</b:JournalName>
    <b:Pages>179-211</b:Pages>
    <b:Volume>50</b:Volume>
    <b:Issue>2</b:Issue>
    <b:RefOrder>32</b:RefOrder>
  </b:Source>
  <b:Source>
    <b:Tag>Fre10</b:Tag>
    <b:SourceType>Book</b:SourceType>
    <b:Guid>{1A0ECEC4-BFB8-4E0E-A1B4-2205AD83BA72}</b:Guid>
    <b:Title>Strategic management: A stakeholder approach.</b:Title>
    <b:Year>2010</b:Year>
    <b:Author>
      <b:Author>
        <b:NameList>
          <b:Person>
            <b:Last>Freeman</b:Last>
            <b:First>R.</b:First>
            <b:Middle>Edward</b:Middle>
          </b:Person>
        </b:NameList>
      </b:Author>
    </b:Author>
    <b:City>cambridge, UK</b:City>
    <b:Publisher>Cambridge university</b:Publisher>
    <b:RefOrder>27</b:RefOrder>
  </b:Source>
  <b:Source>
    <b:Tag>Mic16</b:Tag>
    <b:SourceType>JournalArticle</b:SourceType>
    <b:Guid>{FB61EBD0-C300-4A59-AB8C-EDFE945E7CEC}</b:Guid>
    <b:Title>Personalized Behavioral Feedback for Online Gamblers: A Real World Empirical Study</b:Title>
    <b:Year>2016</b:Year>
    <b:Author>
      <b:Author>
        <b:NameList>
          <b:Person>
            <b:Last>Michael M Auer</b:Last>
            <b:First>Mark</b:First>
            <b:Middle>D Griffiths</b:Middle>
          </b:Person>
        </b:NameList>
      </b:Author>
    </b:Author>
    <b:JournalName>Frontiers in psychology</b:JournalName>
    <b:RefOrder>33</b:RefOrder>
  </b:Source>
  <b:Source>
    <b:Tag>ENT21</b:Tag>
    <b:SourceType>InternetSite</b:SourceType>
    <b:Guid>{3FCD74B7-BA86-4524-8404-B1A36CA8B756}</b:Guid>
    <b:Title>Protecting players with ARC™</b:Title>
    <b:Year>2021</b:Year>
    <b:Author>
      <b:Author>
        <b:Corporate>ENTAIN PLC</b:Corporate>
      </b:Author>
    </b:Author>
    <b:YearAccessed>2025</b:YearAccessed>
    <b:MonthAccessed>december</b:MonthAccessed>
    <b:DayAccessed>tuesday,2nd</b:DayAccessed>
    <b:URL>https://www.entaingroup.com/news-insights/insights/2021/protecting-players-with-arc/</b:URL>
    <b:RefOrder>35</b:RefOrder>
  </b:Source>
  <b:Source>
    <b:Tag>EGB221</b:Tag>
    <b:SourceType>InternetSite</b:SourceType>
    <b:Guid>{0B82B023-37D8-40D6-AB1D-333A0DC34FEC}</b:Guid>
    <b:Title>EGBA European Gaming &amp; Betting Association</b:Title>
    <b:Year>2022</b:Year>
    <b:YearAccessed>2025</b:YearAccessed>
    <b:MonthAccessed>August</b:MonthAccessed>
    <b:DayAccessed>15th Friday</b:DayAccessed>
    <b:URL>https://www.egba.eu/news-post/entain-advanced-responsibility-care-arc/</b:URL>
    <b:RefOrder>77</b:RefOrder>
  </b:Source>
  <b:Source>
    <b:Tag>Ent23</b:Tag>
    <b:SourceType>InternetSite</b:SourceType>
    <b:Guid>{F3509A19-438D-4B2F-9E70-09C9C65ECC4C}</b:Guid>
    <b:Title>Entain </b:Title>
    <b:Year>2023</b:Year>
    <b:YearAccessed>2025</b:YearAccessed>
    <b:MonthAccessed>August</b:MonthAccessed>
    <b:DayAccessed>wednesday 20th August</b:DayAccessed>
    <b:URL>https://www.entaingroup.com/news-insights/insights/2023/protecting-players-the-entain-way/</b:URL>
    <b:RefOrder>78</b:RefOrder>
  </b:Source>
  <b:Source>
    <b:Tag>Ent231</b:Tag>
    <b:SourceType>InternetSite</b:SourceType>
    <b:Guid>{0AE393D6-AF17-40FE-8E06-1802CACFCA5B}</b:Guid>
    <b:Title>Entain</b:Title>
    <b:Year>01 Feb 2023</b:Year>
    <b:YearAccessed>2025</b:YearAccessed>
    <b:MonthAccessed>August</b:MonthAccessed>
    <b:DayAccessed>21st Thursday</b:DayAccessed>
    <b:URL>https://www.entaingroup.com/news-insights/insights/2023/protecting-players-the-entain-way/</b:URL>
    <b:RefOrder>79</b:RefOrder>
  </b:Source>
  <b:Source>
    <b:Tag>SBC25</b:Tag>
    <b:SourceType>InternetSite</b:SourceType>
    <b:Guid>{ADEA6807-70E2-42A3-B59C-2122103CA088}</b:Guid>
    <b:Title>SBC NEWS</b:Title>
    <b:Year>2025</b:Year>
    <b:YearAccessed>2025</b:YearAccessed>
    <b:MonthAccessed>August</b:MonthAccessed>
    <b:DayAccessed>20th Wednesday</b:DayAccessed>
    <b:URL>https://sbcnews.co.uk/europe/uk/2025/05/01/gamstop-sucess-uk/</b:URL>
    <b:RefOrder>80</b:RefOrder>
  </b:Source>
  <b:Source>
    <b:Tag>Robly</b:Tag>
    <b:SourceType>JournalArticle</b:SourceType>
    <b:Guid>{C7B2D028-7F24-407B-97C3-7457575144B5}</b:Guid>
    <b:Title>The Commitment-Trust Theory of Relationship Marketing</b:Title>
    <b:Year>1994 july</b:Year>
    <b:Author>
      <b:Author>
        <b:NameList>
          <b:Person>
            <b:Last>Robert M. Morgan</b:Last>
            <b:First>Shelby</b:First>
            <b:Middle>D. Hunt</b:Middle>
          </b:Person>
        </b:NameList>
      </b:Author>
    </b:Author>
    <b:JournalName>Journal of Marketing</b:JournalName>
    <b:Pages>20-38</b:Pages>
    <b:Volume>58</b:Volume>
    <b:RefOrder>34</b:RefOrder>
  </b:Source>
  <b:Source>
    <b:Tag>Wan211</b:Tag>
    <b:SourceType>Report</b:SourceType>
    <b:Guid>{F2EC0F3B-7351-45C2-A560-F50B3B4E3DAA}</b:Guid>
    <b:Title>Transparency in Responsible Gambling: A Systematic Review</b:Title>
    <b:Year>2021</b:Year>
    <b:Author>
      <b:Author>
        <b:NameList>
          <b:Person>
            <b:Last>Wang</b:Last>
            <b:First>Ruijie</b:First>
          </b:Person>
          <b:Person>
            <b:Last>Bush-Evans</b:Last>
            <b:First>Reece</b:First>
          </b:Person>
          <b:Person>
            <b:Last>Arden-Close</b:Last>
            <b:First>Emily</b:First>
          </b:Person>
          <b:Person>
            <b:Last>Thomas</b:Last>
            <b:First>Sarah</b:First>
          </b:Person>
          <b:Person>
            <b:Last>Hodge</b:Last>
            <b:First>Sarah</b:First>
          </b:Person>
          <b:Person>
            <b:Last>McAlaney</b:Last>
            <b:First>John</b:First>
          </b:Person>
          <b:Person>
            <b:Last>Bolat</b:Last>
            <b:First>Elvira</b:First>
          </b:Person>
          <b:Person>
            <b:Last>Phalp</b:Last>
            <b:First>Keith</b:First>
          </b:Person>
        </b:NameList>
      </b:Author>
    </b:Author>
    <b:Publisher>BU</b:Publisher>
    <b:City>Bournemouth, UK</b:City>
    <b:YearAccessed>2025</b:YearAccessed>
    <b:MonthAccessed>december</b:MonthAccessed>
    <b:DayAccessed>December 2nd</b:DayAccessed>
    <b:URL>https://eprints.bournemouth.ac.uk/36739/1/EROGamb%202%20Systematic%20Review.pdf?</b:URL>
    <b:RefOrder>40</b:RefOrder>
  </b:Source>
  <b:Source>
    <b:Tag>Gam222</b:Tag>
    <b:SourceType>DocumentFromInternetSite</b:SourceType>
    <b:Guid>{5FA5403F-1D71-41A3-9372-876658890D0C}</b:Guid>
    <b:Title>GamCare</b:Title>
    <b:Year>2022</b:Year>
    <b:Author>
      <b:Author>
        <b:NameList>
          <b:Person>
            <b:Last>GamCare</b:Last>
          </b:Person>
        </b:NameList>
      </b:Author>
    </b:Author>
    <b:Month>August</b:Month>
    <b:Day>26</b:Day>
    <b:YearAccessed>2025</b:YearAccessed>
    <b:MonthAccessed>december</b:MonthAccessed>
    <b:DayAccessed>Tuesday</b:DayAccessed>
    <b:URL>https://www.gamcare.org.uk/news-and-blog/news/gamcares-response-to-the-entain-regulation-settlement/</b:URL>
    <b:RefOrder>4</b:RefOrder>
  </b:Source>
  <b:Source>
    <b:Tag>Rob16</b:Tag>
    <b:SourceType>JournalArticle</b:SourceType>
    <b:Guid>{41E640CC-4D4F-4431-A3DD-89C11AB0C5D1}</b:Guid>
    <b:Title>Responsible gambling: a synthesis</b:Title>
    <b:Year>2016</b:Year>
    <b:Author>
      <b:Author>
        <b:NameList>
          <b:Person>
            <b:Last>Robert Ladouceur</b:Last>
            <b:First>Paige</b:First>
            <b:Middle>Shaffer, Alex Blaszczynski &amp; Howard J. Shaffer</b:Middle>
          </b:Person>
        </b:NameList>
      </b:Author>
    </b:Author>
    <b:JournalName>Addiction Research &amp; Theory</b:JournalName>
    <b:RefOrder>41</b:RefOrder>
  </b:Source>
  <b:Source>
    <b:Tag>Han17</b:Tag>
    <b:SourceType>JournalArticle</b:SourceType>
    <b:Guid>{CDB997AD-86AA-48BA-AD51-B4B83D0B43DC}</b:Guid>
    <b:Author>
      <b:Author>
        <b:NameList>
          <b:Person>
            <b:Last>Hancock</b:Last>
            <b:First>Linda</b:First>
            <b:Middle>Smith, Garry</b:Middle>
          </b:Person>
        </b:NameList>
      </b:Author>
    </b:Author>
    <b:Title>Critiquing the Reno Model I-IV International Influence on Regulators and Governments (2004–2015)— the Distorted Reality of “Responsible Gambling”</b:Title>
    <b:JournalName>International Journal of Mental Health and Addiction</b:JournalName>
    <b:Year>2017</b:Year>
    <b:Pages>1151-1176</b:Pages>
    <b:RefOrder>42</b:RefOrder>
  </b:Source>
  <b:Source>
    <b:Tag>Aue16</b:Tag>
    <b:SourceType>JournalArticle</b:SourceType>
    <b:Guid>{7B845ACA-941A-4B5E-B804-72F219AB245A}</b:Guid>
    <b:Author>
      <b:Author>
        <b:NameList>
          <b:Person>
            <b:Last>Auer</b:Last>
            <b:First>Michael</b:First>
            <b:Middle>M. Griffiths, Mark D.</b:Middle>
          </b:Person>
        </b:NameList>
      </b:Author>
    </b:Author>
    <b:Title>Personalized behavioral feedback for online gamblers: A real-world empirical study</b:Title>
    <b:JournalName>Frontiers in Psychology</b:JournalName>
    <b:Year>2016</b:Year>
    <b:Pages>1875</b:Pages>
    <b:Volume>7</b:Volume>
    <b:YearAccessed>2025</b:YearAccessed>
    <b:MonthAccessed>DEC 2ND</b:MonthAccessed>
    <b:DayAccessed>TUESDAY</b:DayAccessed>
    <b:URL>https://www.frontiersin.org/journals/psychology/articles/10.3389/fpsyg.2016.01875/full</b:URL>
    <b:RefOrder>43</b:RefOrder>
  </b:Source>
  <b:Source>
    <b:Tag>Sau23</b:Tag>
    <b:SourceType>Book</b:SourceType>
    <b:Guid>{95F4C4F1-F2A6-4F9D-8810-2E5660040766}</b:Guid>
    <b:Title>Research Methods for Business Students</b:Title>
    <b:Year>2023</b:Year>
    <b:Author>
      <b:Author>
        <b:NameList>
          <b:Person>
            <b:Last>Saunders</b:Last>
            <b:First>Mark</b:First>
            <b:Middle>N. K.</b:Middle>
          </b:Person>
          <b:Person>
            <b:Last>Lewis</b:Last>
            <b:First>Philip</b:First>
          </b:Person>
          <b:Person>
            <b:Last>Thornhill</b:Last>
            <b:First>Adrian</b:First>
          </b:Person>
        </b:NameList>
      </b:Author>
    </b:Author>
    <b:City>Harlow / London / New York</b:City>
    <b:Publisher>Pearson Higher Education</b:Publisher>
    <b:Edition>9</b:Edition>
    <b:YearAccessed>2025</b:YearAccessed>
    <b:MonthAccessed>novemeber</b:MonthAccessed>
    <b:DayAccessed>15 saturday</b:DayAccessed>
    <b:URL>https://www.researchgate.net/publication/240218229_Research_Methods_for_Business_Students#fullTextFileContent</b:URL>
    <b:RefOrder>55</b:RefOrder>
  </b:Source>
  <b:Source>
    <b:Tag>Rus19</b:Tag>
    <b:SourceType>JournalArticle</b:SourceType>
    <b:Guid>{8E82A82B-BD9C-4A3E-BCA2-7865647F0FB2}</b:Guid>
    <b:Title>Does the uptake of responsible gambling tools predict gambling harm?</b:Title>
    <b:Year>2019</b:Year>
    <b:Author>
      <b:Author>
        <b:NameList>
          <b:Person>
            <b:Last>Russell</b:Last>
            <b:First>A.M.T.</b:First>
            <b:Middle>Li, E.Hing, N. Vitartas, P.</b:Middle>
          </b:Person>
        </b:NameList>
      </b:Author>
    </b:Author>
    <b:JournalName>Journal of Gambling Studies</b:JournalName>
    <b:Volume>35</b:Volume>
    <b:Issue>2</b:Issue>
    <b:YearAccessed>2025</b:YearAccessed>
    <b:MonthAccessed>dec</b:MonthAccessed>
    <b:DayAccessed>tuesday</b:DayAccessed>
    <b:RefOrder>56</b:RefOrder>
  </b:Source>
  <b:Source>
    <b:Tag>UKG23</b:Tag>
    <b:SourceType>Report</b:SourceType>
    <b:Guid>{0C6A25C2-136A-4079-B90C-86FDB332E6D3}</b:Guid>
    <b:Title>Licence conditions and codes of practice</b:Title>
    <b:Year>2023</b:Year>
    <b:Author>
      <b:Author>
        <b:Corporate>UK Gambling Commission</b:Corporate>
      </b:Author>
    </b:Author>
    <b:Publisher>UK Gambling Commission</b:Publisher>
    <b:City>Birmingham</b:City>
    <b:YearAccessed>2025</b:YearAccessed>
    <b:MonthAccessed>november</b:MonthAccessed>
    <b:DayAccessed>Thursday, 20th</b:DayAccessed>
    <b:URL>https://www.gamblingcommission.gov.uk/licensees-and-businesses/lccp</b:URL>
    <b:RefOrder>53</b:RefOrder>
  </b:Source>
  <b:Source>
    <b:Tag>Fre84</b:Tag>
    <b:SourceType>Book</b:SourceType>
    <b:Guid>{0F0515EA-FF65-41F0-8B56-48FF2D5C96C7}</b:Guid>
    <b:Author>
      <b:Author>
        <b:NameList>
          <b:Person>
            <b:Last>Freeman</b:Last>
            <b:First>R.</b:First>
            <b:Middle>E.</b:Middle>
          </b:Person>
        </b:NameList>
      </b:Author>
    </b:Author>
    <b:Title>Strategic management: A stakeholder approach</b:Title>
    <b:Year>1984</b:Year>
    <b:City>Boston</b:City>
    <b:Publisher>Pitman</b:Publisher>
    <b:YearAccessed>2025</b:YearAccessed>
    <b:MonthAccessed>dec</b:MonthAccessed>
    <b:DayAccessed>friday</b:DayAccessed>
    <b:URL>https://books.google.co.uk/books?hl=en&amp;lr=&amp;id=NpmA_qEiOpkC&amp;oi=fnd&amp;pg=PR5&amp;dq=Strategic+management:+A+stakeholder+approach&amp;ots=62hlD8O5QI&amp;sig=gGQLOu_o6ucyP0qtESHU0fxgTo4&amp;redir_esc=y#v=onepage&amp;q=Strategic%20management%3A%20A%20stakeholder%20approach&amp;f=false</b:URL>
    <b:RefOrder>57</b:RefOrder>
  </b:Source>
  <b:Source>
    <b:Tag>Hin21</b:Tag>
    <b:SourceType>JournalArticle</b:SourceType>
    <b:Guid>{7F917D02-D06D-4450-96FF-16592C42CB8B}</b:Guid>
    <b:Title>Frontline staff perceptions of responsible gambling practices</b:Title>
    <b:Year>2021</b:Year>
    <b:Author>
      <b:Author>
        <b:NameList>
          <b:Person>
            <b:Last>Hing</b:Last>
            <b:First>N.</b:First>
            <b:Middle>Nuske, E. Russell, A. M. T. Gainsbury, S. M.</b:Middle>
          </b:Person>
        </b:NameList>
      </b:Author>
    </b:Author>
    <b:JournalName>Journal of Business Ethics</b:JournalName>
    <b:Pages>1–15</b:Pages>
    <b:Volume>168</b:Volume>
    <b:Issue>1</b:Issue>
    <b:YearAccessed>2025</b:YearAccessed>
    <b:MonthAccessed>december</b:MonthAccessed>
    <b:DayAccessed>wednesday</b:DayAccessed>
    <b:RefOrder>58</b:RefOrder>
  </b:Source>
  <b:Source>
    <b:Tag>Dic94</b:Tag>
    <b:SourceType>JournalArticle</b:SourceType>
    <b:Guid>{87D105EC-E9A0-4FBC-B352-BAF45D5444EF}</b:Guid>
    <b:Author>
      <b:Author>
        <b:NameList>
          <b:Person>
            <b:Last>Dick</b:Last>
            <b:First>A.S.</b:First>
            <b:Middle>Basu, K.</b:Middle>
          </b:Person>
        </b:NameList>
      </b:Author>
    </b:Author>
    <b:Title>Customer loyalty: Toward an integrated conceptual framework</b:Title>
    <b:JournalName>Journal of the Academy of Marketing Science</b:JournalName>
    <b:Year>1994</b:Year>
    <b:Pages>99–113</b:Pages>
    <b:Volume>22</b:Volume>
    <b:Issue>2</b:Issue>
    <b:YearAccessed>2025</b:YearAccessed>
    <b:MonthAccessed>Dec</b:MonthAccessed>
    <b:DayAccessed>saturday</b:DayAccessed>
    <b:RefOrder>64</b:RefOrder>
  </b:Source>
  <b:Source>
    <b:Tag>Bin14</b:Tag>
    <b:SourceType>Report</b:SourceType>
    <b:Guid>{DC0B826D-C119-4D9E-9161-9901BB79F08F}</b:Guid>
    <b:Title>Gambling advertising: A critical research review</b:Title>
    <b:Year>2014</b:Year>
    <b:Author>
      <b:Author>
        <b:NameList>
          <b:Person>
            <b:Last>Binde</b:Last>
            <b:First>P.</b:First>
          </b:Person>
        </b:NameList>
      </b:Author>
    </b:Author>
    <b:Publisher>Responsible Gambling Trust</b:Publisher>
    <b:City>London</b:City>
    <b:YearAccessed>2025</b:YearAccessed>
    <b:MonthAccessed>December</b:MonthAccessed>
    <b:DayAccessed>4th, Thursday</b:DayAccessed>
    <b:URL>chrome-extension://efaidnbmnnnibpcajpcglclefindmkaj/https://ucalgary.scholaris.ca/server/api/core/bitstreams/58e1352d-e7dc-4c47-abec-89debb7e8815/content</b:URL>
    <b:RefOrder>65</b:RefOrder>
  </b:Source>
  <b:Source>
    <b:Tag>Hin19</b:Tag>
    <b:SourceType>JournalArticle</b:SourceType>
    <b:Guid>{799599D0-54F0-409D-8CB5-2D8C77423EDA}</b:Guid>
    <b:Title>Does the uptake of responsible gambling tools predict gambling harm?</b:Title>
    <b:Year>2019</b:Year>
    <b:Author>
      <b:Author>
        <b:NameList>
          <b:Person>
            <b:Last>Hing</b:Last>
            <b:First>N.</b:First>
            <b:Middle>Russell, A.M.T. Li, E. Vitartas, P</b:Middle>
          </b:Person>
        </b:NameList>
      </b:Author>
    </b:Author>
    <b:JournalName>Journal of Gambling Studies</b:JournalName>
    <b:Volume>35</b:Volume>
    <b:Issue>2</b:Issue>
    <b:RefOrder>66</b:RefOrder>
  </b:Source>
  <b:Source>
    <b:Tag>Gai20</b:Tag>
    <b:SourceType>JournalArticle</b:SourceType>
    <b:Guid>{51714F0F-EFA0-433F-A001-4786EE4A7EF5}</b:Guid>
    <b:Author>
      <b:Author>
        <b:NameList>
          <b:Person>
            <b:Last>Gainsbury</b:Last>
            <b:First>S.</b:First>
            <b:Middle>M,Angus, D. J.,Procter, L.,Blaszczynski, A.</b:Middle>
          </b:Person>
        </b:NameList>
      </b:Author>
    </b:Author>
    <b:Title>Use of consumer protection tools in online gambling: Evidence from players</b:Title>
    <b:JournalName>International Gambling Studies</b:JournalName>
    <b:Year>2020</b:Year>
    <b:Pages>1–20</b:Pages>
    <b:Volume>20</b:Volume>
    <b:Issue>2</b:Issue>
    <b:YearAccessed>2025</b:YearAccessed>
    <b:MonthAccessed>November</b:MonthAccessed>
    <b:DayAccessed>Wednesday</b:DayAccessed>
    <b:RefOrder>67</b:RefOrder>
  </b:Source>
  <b:Source>
    <b:Tag>Tho21</b:Tag>
    <b:SourceType>JournalArticle</b:SourceType>
    <b:Guid>{9335795B-0063-43E5-B497-87C8B3D19691}</b:Guid>
    <b:Author>
      <b:Author>
        <b:NameList>
          <b:Person>
            <b:Last>Thomas</b:Last>
            <b:First>A.</b:First>
            <b:Middle>Pitt, H. Bestman, A. Randle, M.</b:Middle>
          </b:Person>
        </b:NameList>
      </b:Author>
    </b:Author>
    <b:Title>Responsible gambling communication and customer trust</b:Title>
    <b:JournalName>Journal of Consumer Policy</b:JournalName>
    <b:Year>2021</b:Year>
    <b:Pages>1–21</b:Pages>
    <b:Volume>44</b:Volume>
    <b:Issue>2</b:Issue>
    <b:YearAccessed>2025</b:YearAccessed>
    <b:MonthAccessed>december</b:MonthAccessed>
    <b:DayAccessed>6th saturday</b:DayAccessed>
    <b:RefOrder>62</b:RefOrder>
  </b:Source>
  <b:Source>
    <b:Tag>Var08</b:Tag>
    <b:SourceType>JournalArticle</b:SourceType>
    <b:Guid>{1FB70751-CF7A-4B45-A8A1-C45D1007ED97}</b:Guid>
    <b:Author>
      <b:Author>
        <b:NameList>
          <b:Person>
            <b:Last>Vargo</b:Last>
            <b:First>S.</b:First>
            <b:Middle>L. Lusch, R. F.</b:Middle>
          </b:Person>
        </b:NameList>
      </b:Author>
    </b:Author>
    <b:Title>Service-dominant logic: Continuing the evolution</b:Title>
    <b:JournalName>Journal of the Academy of Marketing Science</b:JournalName>
    <b:Year>2008</b:Year>
    <b:Pages>1–10</b:Pages>
    <b:Volume>36</b:Volume>
    <b:Issue>1</b:Issue>
    <b:YearAccessed>2025</b:YearAccessed>
    <b:MonthAccessed>december</b:MonthAccessed>
    <b:DayAccessed>7th Sunday</b:DayAccessed>
    <b:RefOrder>68</b:RefOrder>
  </b:Source>
  <b:Source>
    <b:Tag>Bry16</b:Tag>
    <b:SourceType>Book</b:SourceType>
    <b:Guid>{75BF9D37-3732-401D-B874-173AD5C741C0}</b:Guid>
    <b:Title>Social research methods</b:Title>
    <b:Year>2016</b:Year>
    <b:Author>
      <b:Author>
        <b:NameList>
          <b:Person>
            <b:Last>Bryman</b:Last>
            <b:First>A.</b:First>
          </b:Person>
        </b:NameList>
      </b:Author>
    </b:Author>
    <b:City>Oxford</b:City>
    <b:Publisher>Oxford University Press</b:Publisher>
    <b:Edition>5</b:Edition>
    <b:YearAccessed>2025</b:YearAccessed>
    <b:MonthAccessed>December</b:MonthAccessed>
    <b:DayAccessed>4th Thursday</b:DayAccessed>
    <b:RefOrder>69</b:RefOrder>
  </b:Source>
  <b:Source>
    <b:Tag>Tho19</b:Tag>
    <b:SourceType>Book</b:SourceType>
    <b:Guid>{FC908BB7-B725-4C66-8A58-F8C9D0AB289B}</b:Guid>
    <b:Author>
      <b:Author>
        <b:NameList>
          <b:Person>
            <b:Last>Thornhill</b:Last>
            <b:First>A</b:First>
            <b:Middle>Lewis, P. Saunders, M.</b:Middle>
          </b:Person>
        </b:NameList>
      </b:Author>
    </b:Author>
    <b:Title>Research methods for business students</b:Title>
    <b:Year>2019</b:Year>
    <b:City>Harlow</b:City>
    <b:Publisher>Pearson Education</b:Publisher>
    <b:Edition>8</b:Edition>
    <b:YearAccessed>2025</b:YearAccessed>
    <b:MonthAccessed>December</b:MonthAccessed>
    <b:DayAccessed>sunday 7th</b:DayAccessed>
    <b:RefOrder>70</b:RefOrder>
  </b:Source>
  <b:Source>
    <b:Tag>ENT23</b:Tag>
    <b:SourceType>Report</b:SourceType>
    <b:Guid>{E406E409-C751-4C48-80BA-A2A9F34FE947}</b:Guid>
    <b:Title>Annual report and accounts 2023</b:Title>
    <b:Year>2023</b:Year>
    <b:City>London, United Kingdom</b:City>
    <b:Publisher>Entain plc</b:Publisher>
    <b:Author>
      <b:Author>
        <b:Corporate>ENTAIN plc</b:Corporate>
      </b:Author>
    </b:Author>
    <b:YearAccessed>2025</b:YearAccessed>
    <b:MonthAccessed>November</b:MonthAccessed>
    <b:DayAccessed>22nd Saturday</b:DayAccessed>
    <b:URL>https://www.entaingroup.com/investors/annual-reports/</b:URL>
    <b:RefOrder>54</b:RefOrder>
  </b:Source>
  <b:Source>
    <b:Tag>New22</b:Tag>
    <b:SourceType>JournalArticle</b:SourceType>
    <b:Guid>{B78172D7-8E6F-43ED-A7A6-F366898EC371}</b:Guid>
    <b:Title>Safer gambling tools and consumer trust</b:Title>
    <b:Year>2022</b:Year>
    <b:Author>
      <b:Author>
        <b:NameList>
          <b:Person>
            <b:Last>Newall</b:Last>
            <b:First>P.</b:First>
            <b:Middle>W. S. Thobhani, A. Walasek, L.Meyer, C.</b:Middle>
          </b:Person>
        </b:NameList>
      </b:Author>
    </b:Author>
    <b:JournalName>Behavioral Public Policy</b:JournalName>
    <b:Pages>1–18</b:Pages>
    <b:Volume>6</b:Volume>
    <b:Issue>3</b:Issue>
    <b:YearAccessed>2025</b:YearAccessed>
    <b:MonthAccessed>November</b:MonthAccessed>
    <b:DayAccessed>12th, Wednesday</b:DayAccessed>
    <b:RefOrder>60</b:RefOrder>
  </b:Source>
  <b:Source>
    <b:Tag>She94</b:Tag>
    <b:SourceType>JournalArticle</b:SourceType>
    <b:Guid>{0CDB0116-662D-401E-9368-5E0B844CBBF9}</b:Guid>
    <b:Author>
      <b:Author>
        <b:NameList>
          <b:Person>
            <b:Last>Shelby Hunt</b:Last>
            <b:First>D.</b:First>
            <b:Middle>Morgan, R. M.</b:Middle>
          </b:Person>
        </b:NameList>
      </b:Author>
    </b:Author>
    <b:Title>The commitment–trust theory of relationship marketing</b:Title>
    <b:JournalName>Journal of Marketing</b:JournalName>
    <b:Year>1994</b:Year>
    <b:Pages>20–38</b:Pages>
    <b:Volume>58</b:Volume>
    <b:Issue>3</b:Issue>
    <b:YearAccessed>2025</b:YearAccessed>
    <b:MonthAccessed>December</b:MonthAccessed>
    <b:DayAccessed>monday 1st</b:DayAccessed>
    <b:RefOrder>59</b:RefOrder>
  </b:Source>
  <b:Source>
    <b:Tag>Mor94</b:Tag>
    <b:SourceType>JournalArticle</b:SourceType>
    <b:Guid>{CD0841D7-7C9B-4BF4-A42A-82FB59D03483}</b:Guid>
    <b:Author>
      <b:Author>
        <b:NameList>
          <b:Person>
            <b:Last>Morgan</b:Last>
            <b:First>R.</b:First>
            <b:Middle>M. Hunt, S. D.</b:Middle>
          </b:Person>
        </b:NameList>
      </b:Author>
    </b:Author>
    <b:Title>The commitment–trust theory of relationship marketing</b:Title>
    <b:JournalName>Journal of Marketing</b:JournalName>
    <b:Year>1994</b:Year>
    <b:Pages>20-38</b:Pages>
    <b:Volume>58</b:Volume>
    <b:Issue>3</b:Issue>
    <b:YearAccessed>2025</b:YearAccessed>
    <b:MonthAccessed>november</b:MonthAccessed>
    <b:DayAccessed>28th Friday</b:DayAccessed>
    <b:URL>https://www.researchgate.net/publication/233894851_The_Commitment-Trust_Theory_of_Relationship_Marketing</b:URL>
    <b:RefOrder>61</b:RefOrder>
  </b:Source>
  <b:Source>
    <b:Tag>Rus20</b:Tag>
    <b:SourceType>JournalArticle</b:SourceType>
    <b:Guid>{92571FC7-0FF2-4BED-B03F-DBD3279FD56A}</b:Guid>
    <b:Author>
      <b:Author>
        <b:NameList>
          <b:Person>
            <b:Last>Russell</b:Last>
            <b:First>A.</b:First>
            <b:Middle>M. T. Vitartas, P.Lamont, M. Hing, N.</b:Middle>
          </b:Person>
        </b:NameList>
      </b:Author>
    </b:Author>
    <b:Title>Behavioural responses to gambling harm minimisation strategies</b:Title>
    <b:JournalName>Addictive Behaviors</b:JournalName>
    <b:Year>2020</b:Year>
    <b:Pages>106–118</b:Pages>
    <b:Volume>102</b:Volume>
    <b:YearAccessed>2025</b:YearAccessed>
    <b:MonthAccessed>November</b:MonthAccessed>
    <b:DayAccessed>wednesday 19th</b:DayAccessed>
    <b:RefOrder>63</b:RefOrder>
  </b:Source>
  <b:Source>
    <b:Tag>Cre18</b:Tag>
    <b:SourceType>Book</b:SourceType>
    <b:Guid>{C27EEC3B-DA4E-436C-9794-87AD77E075DC}</b:Guid>
    <b:Title>Qualitative inquiry and research design: Choosing among five approaches</b:Title>
    <b:Year>2018</b:Year>
    <b:Author>
      <b:Author>
        <b:NameList>
          <b:Person>
            <b:Last>Creswell</b:Last>
            <b:First>J.</b:First>
            <b:Middle>W. Poth, C. N.</b:Middle>
          </b:Person>
        </b:NameList>
      </b:Author>
    </b:Author>
    <b:City>Thousand Oaks, CA</b:City>
    <b:Publisher>SAGE</b:Publisher>
    <b:RefOrder>46</b:RefOrder>
  </b:Source>
  <b:Source>
    <b:Tag>Yin18</b:Tag>
    <b:SourceType>Book</b:SourceType>
    <b:Guid>{6046126C-B82F-4742-A9C1-CA8096BC736A}</b:Guid>
    <b:Author>
      <b:Author>
        <b:NameList>
          <b:Person>
            <b:Last>Yin</b:Last>
            <b:First>R.</b:First>
            <b:Middle>K.</b:Middle>
          </b:Person>
        </b:NameList>
      </b:Author>
    </b:Author>
    <b:Title>Case study research and applications: Design and methods</b:Title>
    <b:Year>2018</b:Year>
    <b:City>Thousand Oaks, CA</b:City>
    <b:Publisher>SAGE</b:Publisher>
    <b:Edition>6</b:Edition>
    <b:YearAccessed>2025</b:YearAccessed>
    <b:MonthAccessed>november</b:MonthAccessed>
    <b:DayAccessed>monday, 10th</b:DayAccessed>
    <b:URL>https://us.sagepub.com/en-us/nam/case-study-research-and-applications/book250150</b:URL>
    <b:RefOrder>47</b:RefOrder>
  </b:Source>
  <b:Source>
    <b:Tag>Joh17</b:Tag>
    <b:SourceType>JournalArticle</b:SourceType>
    <b:Guid>{5761E3AA-04F2-481E-8A13-5C461178D021}</b:Guid>
    <b:Title>Secondary data analysis: A method of which the time has come</b:Title>
    <b:Year>2017</b:Year>
    <b:Author>
      <b:Author>
        <b:NameList>
          <b:Person>
            <b:Last>Johnston</b:Last>
            <b:First>M.</b:First>
            <b:Middle>P.</b:Middle>
          </b:Person>
        </b:NameList>
      </b:Author>
    </b:Author>
    <b:JournalName>Qualitative and Quantitative Methods in Libraries</b:JournalName>
    <b:Pages>619–626</b:Pages>
    <b:Volume>3</b:Volume>
    <b:Issue>3</b:Issue>
    <b:YearAccessed>2025</b:YearAccessed>
    <b:MonthAccessed>november</b:MonthAccessed>
    <b:DayAccessed>tuesday, 11th</b:DayAccessed>
    <b:URL>https://www.qqml-journal.net/index.php/qqml/article/view/169</b:URL>
    <b:RefOrder>48</b:RefOrder>
  </b:Source>
  <b:Source>
    <b:Tag>Alk16</b:Tag>
    <b:SourceType>JournalArticle</b:SourceType>
    <b:Guid>{0313E111-09BC-4AD9-9D64-916EB14611DD}</b:Guid>
    <b:Author>
      <b:Author>
        <b:NameList>
          <b:Person>
            <b:Last>Alkassim</b:Last>
            <b:First>R.</b:First>
            <b:Middle>S. Musa, S. A. Etikan, I.</b:Middle>
          </b:Person>
        </b:NameList>
      </b:Author>
    </b:Author>
    <b:Title>Comparison of convenience sampling and purposive sampling</b:Title>
    <b:JournalName>American Journal of Theoretical and Applied Statistics</b:JournalName>
    <b:Year>2016</b:Year>
    <b:Pages>1–4</b:Pages>
    <b:Volume>5</b:Volume>
    <b:Issue>1</b:Issue>
    <b:YearAccessed>2025</b:YearAccessed>
    <b:MonthAccessed>december</b:MonthAccessed>
    <b:DayAccessed>1st , monday</b:DayAccessed>
    <b:URL>https://www.sciencepublishinggroup.com/article/10.11648/j.ajtas.20160501.11</b:URL>
    <b:RefOrder>49</b:RefOrder>
  </b:Source>
  <b:Source>
    <b:Tag>Vir06</b:Tag>
    <b:SourceType>JournalArticle</b:SourceType>
    <b:Guid>{48D4344B-7DDA-43D9-965B-660FBD2F0D91}</b:Guid>
    <b:Author>
      <b:Author>
        <b:NameList>
          <b:Person>
            <b:Last>Virginia Braun</b:Last>
            <b:First>Victoria</b:First>
            <b:Middle>Clarke</b:Middle>
          </b:Person>
        </b:NameList>
      </b:Author>
    </b:Author>
    <b:Title>Using thematic analysis in psychology</b:Title>
    <b:JournalName>Qualitative Research in Psychology</b:JournalName>
    <b:Year>2006</b:Year>
    <b:Pages>77–101</b:Pages>
    <b:Publisher>2006 Edward Arnold (Publishers) Ltd</b:Publisher>
    <b:YearAccessed>2025</b:YearAccessed>
    <b:MonthAccessed>December</b:MonthAccessed>
    <b:URL>https://www.tandfonline.com/doi/epdf/10.1191/1478088706qp063oa?needAccess=true</b:URL>
    <b:RefOrder>50</b:RefOrder>
  </b:Source>
  <b:Source>
    <b:Tag>Bow09</b:Tag>
    <b:SourceType>JournalArticle</b:SourceType>
    <b:Guid>{B7B33FEF-69F3-46A1-82CF-2ACD24736917}</b:Guid>
    <b:Author>
      <b:Author>
        <b:NameList>
          <b:Person>
            <b:Last>Bowen</b:Last>
            <b:First>Glenn</b:First>
            <b:Middle>A.</b:Middle>
          </b:Person>
        </b:NameList>
      </b:Author>
    </b:Author>
    <b:Title>Document analysis as a qualitative research method</b:Title>
    <b:JournalName>Qualitative Research Journal</b:JournalName>
    <b:Year>2009</b:Year>
    <b:Pages>27–40</b:Pages>
    <b:Volume>9</b:Volume>
    <b:Issue>2</b:Issue>
    <b:YearAccessed>2025</b:YearAccessed>
    <b:MonthAccessed>November</b:MonthAccessed>
    <b:DayAccessed>sunday 9th</b:DayAccessed>
    <b:URL>https://www.emerald.com/qrj/article-abstract/9/2/27/360733/Document-Analysis-as-a-Qualitative-Research-Method?redirectedFrom=fulltext</b:URL>
    <b:RefOrder>51</b:RefOrder>
  </b:Source>
  <b:Source>
    <b:Tag>Isr06</b:Tag>
    <b:SourceType>Book</b:SourceType>
    <b:Guid>{9302F1B4-793E-427B-8403-62A8A5B95F11}</b:Guid>
    <b:Title>Research ethics for social scientists</b:Title>
    <b:Year>2006</b:Year>
    <b:Author>
      <b:Author>
        <b:NameList>
          <b:Person>
            <b:Last>Israel</b:Last>
            <b:First>M.</b:First>
            <b:Middle>Hay, I.</b:Middle>
          </b:Person>
        </b:NameList>
      </b:Author>
    </b:Author>
    <b:City>London</b:City>
    <b:Publisher>SAGE</b:Publisher>
    <b:Edition>1</b:Edition>
    <b:YearAccessed>2025</b:YearAccessed>
    <b:MonthAccessed>december</b:MonthAccessed>
    <b:DayAccessed>Friday 12th</b:DayAccessed>
    <b:RefOrder>52</b:RefOrder>
  </b:Source>
  <b:Source>
    <b:Tag>Bla11</b:Tag>
    <b:SourceType>JournalArticle</b:SourceType>
    <b:Guid>{38CD7650-1FC6-4E67-906F-99362676DD24}</b:Guid>
    <b:Author>
      <b:Author>
        <b:NameList>
          <b:Person>
            <b:Last>Blaszczynski</b:Last>
            <b:First>A.</b:First>
            <b:Middle>Ladouceur, R. Shaffer, H.</b:Middle>
          </b:Person>
        </b:NameList>
      </b:Author>
    </b:Author>
    <b:Title>A science-based framework for responsible gambling</b:Title>
    <b:JournalName>Journal of Gambling Studies</b:JournalName>
    <b:Year>2011</b:Year>
    <b:Pages>217–230</b:Pages>
    <b:Volume>27</b:Volume>
    <b:Issue>2</b:Issue>
    <b:YearAccessed>2025</b:YearAccessed>
    <b:MonthAccessed>November</b:MonthAccessed>
    <b:DayAccessed>thursday 13th</b:DayAccessed>
    <b:RefOrder>13</b:RefOrder>
  </b:Source>
  <b:Source>
    <b:Tag>War20</b:Tag>
    <b:SourceType>JournalArticle</b:SourceType>
    <b:Guid>{7464F721-F572-41BA-B893-9F66B553063A}</b:Guid>
    <b:Author>
      <b:Author>
        <b:NameList>
          <b:Person>
            <b:Last>Wardle</b:Last>
            <b:First>H.</b:First>
          </b:Person>
        </b:NameList>
      </b:Author>
    </b:Author>
    <b:Title>Gambling harm and public health</b:Title>
    <b:JournalName>BMJ</b:JournalName>
    <b:Year>2020</b:Year>
    <b:Pages>m3464</b:Pages>
    <b:Volume>370</b:Volume>
    <b:YearAccessed>2025</b:YearAccessed>
    <b:MonthAccessed>November</b:MonthAccessed>
    <b:DayAccessed>saturday 1st</b:DayAccessed>
    <b:RefOrder>14</b:RefOrder>
  </b:Source>
  <b:Source>
    <b:Tag>Fel11</b:Tag>
    <b:SourceType>JournalArticle</b:SourceType>
    <b:Guid>{C264C6A9-D562-48CA-A7B4-15263FB7F4E3}</b:Guid>
    <b:Author>
      <b:Author>
        <b:NameList>
          <b:Person>
            <b:Last>Felicity K. Lorains</b:Last>
            <b:First>Sean</b:First>
            <b:Middle>Cowlishaw &amp; Shane A. Thomas</b:Middle>
          </b:Person>
        </b:NameList>
      </b:Author>
    </b:Author>
    <b:Title>Prevalence of comorbid disorders in problem gambling</b:Title>
    <b:JournalName>Journal of Gambling Studies</b:JournalName>
    <b:Year>2011</b:Year>
    <b:Pages>189–206</b:Pages>
    <b:Volume>27</b:Volume>
    <b:Issue>2</b:Issue>
    <b:YearAccessed>2025</b:YearAccessed>
    <b:MonthAccessed>November</b:MonthAccessed>
    <b:DayAccessed>chrome-extension://efaidnbmnnnibpcajpcglclefindmkaj/https://d1wqtxts1xzle7.cloudfront.net/69656878/j.1360-0443.2010.03300.x20210914-16978-7bo0ff-libre.pdf?1631653523=&amp;response-content-disposition=inline%3B+filename%3DPrevalence_of_comorbid_disorders_in_pr</b:DayAccessed>
    <b:RefOrder>15</b:RefOrder>
  </b:Source>
  <b:Source>
    <b:Tag>Gai18</b:Tag>
    <b:SourceType>JournalArticle</b:SourceType>
    <b:Guid>{A06CD504-3976-4CE5-B4FC-DA18905AA12F}</b:Guid>
    <b:Author>
      <b:Author>
        <b:NameList>
          <b:Person>
            <b:Last>Gainsbury</b:Last>
            <b:First>S.</b:First>
          </b:Person>
        </b:NameList>
      </b:Author>
    </b:Author>
    <b:Title>Consumer attitudes towards responsible gambling tools</b:Title>
    <b:JournalName>International Gambling Studies</b:JournalName>
    <b:Year>2018</b:Year>
    <b:Pages>404–421</b:Pages>
    <b:Volume>18</b:Volume>
    <b:Issue>3</b:Issue>
    <b:RefOrder>16</b:RefOrder>
  </b:Source>
  <b:Source>
    <b:Tag>Ent232</b:Tag>
    <b:SourceType>InternetSite</b:SourceType>
    <b:Guid>{7BD84080-F1D4-4E3E-AA00-5D14F4EADB38}</b:Guid>
    <b:Title>Entain Sustainability &amp; ESG </b:Title>
    <b:Year>2023</b:Year>
    <b:Author>
      <b:Author>
        <b:Corporate>Entain plc</b:Corporate>
      </b:Author>
    </b:Author>
    <b:YearAccessed>2025</b:YearAccessed>
    <b:MonthAccessed>November</b:MonthAccessed>
    <b:DayAccessed>Friday 7th</b:DayAccessed>
    <b:URL>https://www.entaingroup.com/sustainability-esg/safer-betting-and-gaming/</b:URL>
    <b:RefOrder>17</b:RefOrder>
  </b:Source>
  <b:Source>
    <b:Tag>Ent21</b:Tag>
    <b:SourceType>Report</b:SourceType>
    <b:Guid>{6E79DD9E-2638-48E3-84CD-A0E3ED91A02B}</b:Guid>
    <b:Author>
      <b:Author>
        <b:Corporate>Entain plc</b:Corporate>
      </b:Author>
    </b:Author>
    <b:Title>Protecting players with ARC™</b:Title>
    <b:Year>2021</b:Year>
    <b:YearAccessed>2025</b:YearAccessed>
    <b:MonthAccessed>Novemeber</b:MonthAccessed>
    <b:DayAccessed>Wednesday</b:DayAccessed>
    <b:URL>https://www.entaingroup.com/news-insights/insights/2021/protecting-players-with-arc/?</b:URL>
    <b:Publisher>Entain plc</b:Publisher>
    <b:City>London</b:City>
    <b:RefOrder>18</b:RefOrder>
  </b:Source>
  <b:Source>
    <b:Tag>Ent233</b:Tag>
    <b:SourceType>Report</b:SourceType>
    <b:Guid>{D3DA93BB-8596-461F-9E3F-95BD78CC93C8}</b:Guid>
    <b:Author>
      <b:Author>
        <b:Corporate>Entain plc</b:Corporate>
      </b:Author>
    </b:Author>
    <b:Title>Protecting players the Entain way</b:Title>
    <b:Year>2023</b:Year>
    <b:Publisher>Entain plc</b:Publisher>
    <b:City>London</b:City>
    <b:YearAccessed>2025</b:YearAccessed>
    <b:MonthAccessed>Novemeber</b:MonthAccessed>
    <b:URL>https://www.entaingroup.com/news-insights/insights/2023/protecting-players-the-entain-way/?</b:URL>
    <b:RefOrder>19</b:RefOrder>
  </b:Source>
  <b:Source>
    <b:Tag>Mac24</b:Tag>
    <b:SourceType>Report</b:SourceType>
    <b:Guid>{FD740643-944B-4F2A-A51E-892A3EB469A5}</b:Guid>
    <b:Author>
      <b:Author>
        <b:NameList>
          <b:Person>
            <b:Last>Macedo</b:Last>
            <b:First>Nicole</b:First>
          </b:Person>
        </b:NameList>
      </b:Author>
    </b:Author>
    <b:Title>Entain player protection tool</b:Title>
    <b:Year>2024</b:Year>
    <b:Publisher>iGB</b:Publisher>
    <b:City>London</b:City>
    <b:YearAccessed>2025</b:YearAccessed>
    <b:MonthAccessed>November</b:MonthAccessed>
    <b:URL>https://igamingbusiness.com/sustainable-gambling/entain-player-protection-tool/?</b:URL>
    <b:RefOrder>20</b:RefOrder>
  </b:Source>
  <b:Source>
    <b:Tag>Ent243</b:Tag>
    <b:SourceType>Report</b:SourceType>
    <b:Guid>{DED89698-A6EB-46B8-8305-FC6C82472E80}</b:Guid>
    <b:Author>
      <b:Author>
        <b:Corporate>Entain plc</b:Corporate>
      </b:Author>
    </b:Author>
    <b:Title>Entain publishes 2023–24 ESG report</b:Title>
    <b:Year>2024</b:Year>
    <b:Publisher>Entain plc</b:Publisher>
    <b:City>London</b:City>
    <b:YearAccessed>2025</b:YearAccessed>
    <b:MonthAccessed>November</b:MonthAccessed>
    <b:URL>https://www.entaingroup.com/news-insights/latest-news/2024/entain-publishes-2023-24-esg-report/?</b:URL>
    <b:RefOrder>21</b:RefOrder>
  </b:Source>
  <b:Source>
    <b:Tag>Rac22</b:Tag>
    <b:SourceType>Report</b:SourceType>
    <b:Guid>{1BE2923A-15F4-469E-B0E8-7D8E63658AFF}</b:Guid>
    <b:Author>
      <b:Author>
        <b:Corporate>Racing Post</b:Corporate>
      </b:Author>
    </b:Author>
    <b:Title>Ladbrokes Coral owner Entain fined record £17 million over regulatory failures</b:Title>
    <b:Year>2022</b:Year>
    <b:Publisher>Racing Post</b:Publisher>
    <b:City>London</b:City>
    <b:YearAccessed>2025</b:YearAccessed>
    <b:MonthAccessed>December</b:MonthAccessed>
    <b:URL>https://www.racingpost.com/news/ladbrokes-coral-owner-entain-fined-record-17-million-over-regulatory-failures-arVVV8o6bV4u/?</b:URL>
    <b:RefOrder>22</b:RefOrder>
  </b:Source>
  <b:Source>
    <b:Tag>Ent234</b:Tag>
    <b:SourceType>Report</b:SourceType>
    <b:Guid>{A0EB75E0-22AE-445E-A81E-0BAFDE834B4F}</b:Guid>
    <b:Author>
      <b:Author>
        <b:Corporate>Entain plc</b:Corporate>
      </b:Author>
    </b:Author>
    <b:Title>Protecting players the Entain way</b:Title>
    <b:Year>2023</b:Year>
    <b:Publisher>Entain plc</b:Publisher>
    <b:City>London</b:City>
    <b:RefOrder>23</b:RefOrder>
  </b:Source>
  <b:Source>
    <b:Tag>iGa24</b:Tag>
    <b:SourceType>Report</b:SourceType>
    <b:Guid>{A9E72BC1-D468-44BA-BC7A-422431D38E41}</b:Guid>
    <b:Author>
      <b:Author>
        <b:Corporate>iGaming Business</b:Corporate>
      </b:Author>
    </b:Author>
    <b:Title>Entain highlights ARC player protection outcomes</b:Title>
    <b:Year>2024</b:Year>
    <b:Publisher>iGaming Business</b:Publisher>
    <b:City>London</b:City>
    <b:RefOrder>24</b:RefOrder>
  </b:Source>
  <b:Source>
    <b:Tag>UKG25</b:Tag>
    <b:SourceType>Report</b:SourceType>
    <b:Guid>{D93807A7-08AE-4AD0-A595-F272450C5AAB}</b:Guid>
    <b:Author>
      <b:Author>
        <b:Corporate>UK Gambling Commission</b:Corporate>
      </b:Author>
    </b:Author>
    <b:Title>UK Gambling Commission</b:Title>
    <b:Year>2025</b:Year>
    <b:Publisher>UK Gambling Commission</b:Publisher>
    <b:City>UK Gambling Commission</b:City>
    <b:YearAccessed>2025</b:YearAccessed>
    <b:MonthAccessed>November</b:MonthAccessed>
    <b:URL>https://www.gamblingcommission.gov.uk/</b:URL>
    <b:RefOrder>25</b:RefOrder>
  </b:Source>
  <b:Source>
    <b:Tag>Gam19</b:Tag>
    <b:SourceType>Report</b:SourceType>
    <b:Guid>{E94C29F7-210E-408A-814E-FAC2E96B7CEB}</b:Guid>
    <b:Author>
      <b:Author>
        <b:Corporate>GamCare</b:Corporate>
      </b:Author>
    </b:Author>
    <b:Title>Safer gambling standard consultation for industry and wider public</b:Title>
    <b:Year>2019</b:Year>
    <b:Publisher>GamCare</b:Publisher>
    <b:City>London</b:City>
    <b:RefOrder>26</b:RefOrder>
  </b:Source>
  <b:Source>
    <b:Tag>Ahm23</b:Tag>
    <b:SourceType>JournalArticle</b:SourceType>
    <b:Guid>{E2A56C30-2515-44ED-A2C5-057183B42A3C}</b:Guid>
    <b:Title>Social exchange theory: A systematic review and future research directions</b:Title>
    <b:Year>2023</b:Year>
    <b:Author>
      <b:Author>
        <b:NameList>
          <b:Person>
            <b:Last>Ahmad</b:Last>
            <b:First>R.</b:First>
          </b:Person>
        </b:NameList>
      </b:Author>
    </b:Author>
    <b:JournalName>Frontiers in Psychology</b:JournalName>
    <b:Pages>1015921</b:Pages>
    <b:Volume>13</b:Volume>
    <b:URL>https://www.frontiersin.org/journals/psychology/articles/10.3389/fpsyg.2022.1015921/full</b:URL>
    <b:RefOrder>29</b:RefOrder>
  </b:Source>
  <b:Source>
    <b:Tag>Cro17</b:Tag>
    <b:SourceType>JournalArticle</b:SourceType>
    <b:Guid>{228B52A1-D1FF-4768-9FFA-B05049C35F96}</b:Guid>
    <b:Author>
      <b:Author>
        <b:NameList>
          <b:Person>
            <b:Last>Cropanzano</b:Last>
            <b:First>R.</b:First>
            <b:Middle>Anthony, E. Daniels, S. Hall, A.</b:Middle>
          </b:Person>
        </b:NameList>
      </b:Author>
    </b:Author>
    <b:Title>Social exchange theory: A critical review with theoretical remedies</b:Title>
    <b:JournalName>Academy of Management Annals</b:JournalName>
    <b:Year>2017</b:Year>
    <b:Pages>479–516</b:Pages>
    <b:Volume>11</b:Volume>
    <b:Issue>1</b:Issue>
    <b:RefOrder>30</b:RefOrder>
  </b:Source>
  <b:Source>
    <b:Tag>War24</b:Tag>
    <b:SourceType>JournalArticle</b:SourceType>
    <b:Guid>{4B96989C-A73F-44AC-A650-F8E425EF8D35}</b:Guid>
    <b:Author>
      <b:Author>
        <b:NameList>
          <b:Person>
            <b:Last>Wardle</b:Last>
            <b:First>H.</b:First>
            <b:Middle>/ Degenhardt, L. / Marionneau, V. / Reith, G. / Livingstone, C. / Sparrow, M. / Tran, L.T. / Biggar, B. / Bunn, C. / Farrell, M. / Kesaite, V. / Poznyak, V. / Quan, J. / Rehm, J. / Rintoul, A. / Sharma, M. / Shiffman, J. / Siste, K. / Ukhova, D</b:Middle>
          </b:Person>
        </b:NameList>
      </b:Author>
    </b:Author>
    <b:Title>The Lancet Public Health Commission on gambling</b:Title>
    <b:JournalName>The Lancet Public Health</b:JournalName>
    <b:Year>2024</b:Year>
    <b:Pages>e950–e994</b:Pages>
    <b:Volume>9</b:Volume>
    <b:Issue>11</b:Issue>
    <b:YearAccessed>2025</b:YearAccessed>
    <b:MonthAccessed>Novemeber</b:MonthAccessed>
    <b:URL>https://www.thelancet.com/journals/lanpub/article/PIIS2468-2667(24)00167-1/fulltext</b:URL>
    <b:RefOrder>31</b:RefOrder>
  </b:Source>
  <b:Source>
    <b:Tag>Aue15</b:Tag>
    <b:SourceType>JournalArticle</b:SourceType>
    <b:Guid>{FEBCA49C-E50F-40FE-A679-8814CD91BCE1}</b:Guid>
    <b:Author>
      <b:Author>
        <b:NameList>
          <b:Person>
            <b:Last>Auer</b:Last>
            <b:First>M.</b:First>
            <b:Middle>Griffiths, M. D.</b:Middle>
          </b:Person>
        </b:NameList>
      </b:Author>
    </b:Author>
    <b:Title>The use of personalized behavioral feedback for online gamblers: An empirical study</b:Title>
    <b:JournalName>Frontiers in Psychology</b:JournalName>
    <b:Year>2015</b:Year>
    <b:Pages>1406</b:Pages>
    <b:Volume>6</b:Volume>
    <b:RefOrder>37</b:RefOrder>
  </b:Source>
  <b:Source>
    <b:Tag>Aue161</b:Tag>
    <b:SourceType>JournalArticle</b:SourceType>
    <b:Guid>{A9E58A84-D0EA-4580-B9C9-7529A2EB143D}</b:Guid>
    <b:Author>
      <b:Author>
        <b:NameList>
          <b:Person>
            <b:Last>Auer</b:Last>
            <b:First>M.</b:First>
            <b:Middle>Griffiths, M. D.</b:Middle>
          </b:Person>
        </b:NameList>
      </b:Author>
    </b:Author>
    <b:Title>Self-reported losses versus actual losses in online gambling: An empirical study</b:Title>
    <b:JournalName>Journal of Gambling Studies</b:JournalName>
    <b:Year>2016</b:Year>
    <b:Pages>795–806</b:Pages>
    <b:Volume>32</b:Volume>
    <b:Issue>3</b:Issue>
    <b:RefOrder>38</b:RefOrder>
  </b:Source>
  <b:Source>
    <b:Tag>Hin211</b:Tag>
    <b:SourceType>JournalArticle</b:SourceType>
    <b:Guid>{091CB5E9-B46F-49EA-A9A7-34A7AB0B9A3C}</b:Guid>
    <b:Author>
      <b:Author>
        <b:NameList>
          <b:Person>
            <b:Last>Hing</b:Last>
            <b:First>N</b:First>
            <b:Middle>Nuske, E.Russell, A. M. T. Gainsbury, S. M.</b:Middle>
          </b:Person>
        </b:NameList>
      </b:Author>
    </b:Author>
    <b:Title>Frontline staff perceptions of responsible gambling practices</b:Title>
    <b:JournalName>Journal of Business Ethics</b:JournalName>
    <b:Year>2021</b:Year>
    <b:Pages>1–15</b:Pages>
    <b:Volume>168</b:Volume>
    <b:Issue>1</b:Issue>
    <b:RefOrder>44</b:RefOrder>
  </b:Source>
  <b:Source>
    <b:Tag>Lad17</b:Tag>
    <b:SourceType>JournalArticle</b:SourceType>
    <b:Guid>{DA237035-B9D4-4BF0-99EF-A49F11C44B70}</b:Guid>
    <b:Author>
      <b:Author>
        <b:NameList>
          <b:Person>
            <b:Last>Ladouceur</b:Last>
            <b:First>R.</b:First>
            <b:Middle>Ladouceur, R. Shaffer, H. J.</b:Middle>
          </b:Person>
        </b:NameList>
      </b:Author>
    </b:Author>
    <b:Title>Responsible gambling: A synthesis of the empirical evidence</b:Title>
    <b:JournalName>Addiction Research &amp; Theory</b:JournalName>
    <b:Year>2017</b:Year>
    <b:Pages>225–235</b:Pages>
    <b:Volume>25</b:Volume>
    <b:Issue>3</b:Issue>
    <b:RefOrder>45</b:RefOrder>
  </b:Source>
  <b:Source>
    <b:Tag>War201</b:Tag>
    <b:SourceType>JournalArticle</b:SourceType>
    <b:Guid>{23B2757D-2316-4673-9C2F-38AE2A49E285}</b:Guid>
    <b:Author>
      <b:Author>
        <b:NameList>
          <b:Person>
            <b:Last>Wardle</b:Last>
            <b:First>H.</b:First>
          </b:Person>
        </b:NameList>
      </b:Author>
    </b:Author>
    <b:Title>The role of responsible gambling in protecting consumers</b:Title>
    <b:JournalName>The Lancet Public Health</b:JournalName>
    <b:Year>2020</b:Year>
    <b:RefOrder>1</b:RefOrder>
  </b:Source>
  <b:Source>
    <b:Tag>Hin191</b:Tag>
    <b:SourceType>JournalArticle</b:SourceType>
    <b:Guid>{7E2654A9-94D1-4AAB-858D-43ECC5EEE292}</b:Guid>
    <b:Author>
      <b:Author>
        <b:NameList>
          <b:Person>
            <b:Last>Hing</b:Last>
            <b:First>N.</b:First>
          </b:Person>
          <b:Person>
            <b:Last>Russell</b:Last>
            <b:First>A.M.T.</b:First>
          </b:Person>
          <b:Person>
            <b:Last>Tolchard</b:Last>
            <b:First>B.</b:First>
          </b:Person>
          <b:Person>
            <b:Last>Nower</b:Last>
            <b:First>L.</b:First>
          </b:Person>
        </b:NameList>
      </b:Author>
    </b:Author>
    <b:Title>A comparative study of responsible gambling beliefs and behaviours</b:Title>
    <b:JournalName> Journal of Gambling Studies</b:JournalName>
    <b:Year>2019</b:Year>
    <b:RefOrder>2</b:RefOrder>
  </b:Source>
  <b:Source>
    <b:Tag>Ent235</b:Tag>
    <b:SourceType>Report</b:SourceType>
    <b:Guid>{8D7B5E5A-B1C2-477D-A1BF-D36B5E4C8D0C}</b:Guid>
    <b:Title>Annual Report and Sustainability (ESG) Report 2023</b:Title>
    <b:Year>2023</b:Year>
    <b:Author>
      <b:Author>
        <b:Corporate>Entain plc</b:Corporate>
      </b:Author>
    </b:Author>
    <b:Publisher>Entain plc</b:Publisher>
    <b:City>London</b:City>
    <b:RefOrder>3</b:RefOrder>
  </b:Source>
  <b:Source>
    <b:Tag>Bro19</b:Tag>
    <b:SourceType>JournalArticle</b:SourceType>
    <b:Guid>{F5A43B86-9131-480D-8235-B275FA4C4809}</b:Guid>
    <b:Title>Risk factors and behavioural indicators of problem gambling</b:Title>
    <b:Year>2019</b:Year>
    <b:Author>
      <b:Author>
        <b:NameList>
          <b:Person>
            <b:Last>Browne</b:Last>
            <b:First>M.</b:First>
            <b:Middle>Russell, A.M.T. Hing, N.</b:Middle>
          </b:Person>
        </b:NameList>
      </b:Author>
    </b:Author>
    <b:JournalName>Journal of Behavioral Addictions</b:JournalName>
    <b:Pages>1–15</b:Pages>
    <b:Volume>8</b:Volume>
    <b:Issue>2</b:Issue>
    <b:RefOrder>5</b:RefOrder>
  </b:Source>
  <b:Source>
    <b:Tag>Ent211</b:Tag>
    <b:SourceType>Report</b:SourceType>
    <b:Guid>{4351B382-F28C-440C-AD99-CCEFC107F116}</b:Guid>
    <b:Title>Changing for the Bettor: Sustainability Strategy</b:Title>
    <b:Year>2021</b:Year>
    <b:Author>
      <b:Author>
        <b:Corporate>Entain plc</b:Corporate>
      </b:Author>
    </b:Author>
    <b:Publisher>Entain plc</b:Publisher>
    <b:City>London</b:City>
    <b:RefOrder>6</b:RefOrder>
  </b:Source>
  <b:Source>
    <b:Tag>Ent236</b:Tag>
    <b:SourceType>Report</b:SourceType>
    <b:Guid>{B7252062-193B-47B5-92BC-0280130570F9}</b:Guid>
    <b:Author>
      <b:Author>
        <b:Corporate>Entain plc</b:Corporate>
      </b:Author>
    </b:Author>
    <b:Title> Annual Report and Accounts 2023</b:Title>
    <b:Year>2023</b:Year>
    <b:Publisher>Entain plc</b:Publisher>
    <b:City>London</b:City>
    <b:RefOrder>7</b:RefOrder>
  </b:Source>
  <b:Source>
    <b:Tag>Mor941</b:Tag>
    <b:SourceType>JournalArticle</b:SourceType>
    <b:Guid>{D8671745-C7B2-4DBD-B60F-024EE7FECE3F}</b:Guid>
    <b:Title>The commitment-trust theory of relationship marketing</b:Title>
    <b:Year>1994</b:Year>
    <b:Author>
      <b:Author>
        <b:NameList>
          <b:Person>
            <b:Last>Morgan</b:Last>
            <b:First>R.M.</b:First>
          </b:Person>
          <b:Person>
            <b:Last>Hunt</b:Last>
            <b:First>S.D.</b:First>
          </b:Person>
        </b:NameList>
      </b:Author>
    </b:Author>
    <b:JournalName>Journal of Marketing</b:JournalName>
    <b:Pages>20–38</b:Pages>
    <b:Volume>58</b:Volume>
    <b:Issue>3</b:Issue>
    <b:RefOrder>8</b:RefOrder>
  </b:Source>
  <b:Source>
    <b:Tag>Fre101</b:Tag>
    <b:SourceType>Book</b:SourceType>
    <b:Guid>{0257B6A6-FBE1-4A9C-BBC0-CCA4568D544D}</b:Guid>
    <b:Title>Strategic Management: A Stakeholder Approach</b:Title>
    <b:Year>2010</b:Year>
    <b:Author>
      <b:Author>
        <b:NameList>
          <b:Person>
            <b:Last>Freeman</b:Last>
            <b:First>R.E.</b:First>
          </b:Person>
        </b:NameList>
      </b:Author>
    </b:Author>
    <b:City>Cambridge</b:City>
    <b:Publisher>Cambridge University Press</b:Publisher>
    <b:RefOrder>9</b:RefOrder>
  </b:Source>
  <b:Source>
    <b:Tag>War202</b:Tag>
    <b:SourceType>JournalArticle</b:SourceType>
    <b:Guid>{F4E37E8D-5574-429D-B35A-DA16DDC0E24A}</b:Guid>
    <b:Title>Regulatory responses to gambling-related harm</b:Title>
    <b:Year>2020</b:Year>
    <b:Author>
      <b:Author>
        <b:NameList>
          <b:Person>
            <b:Last>Wardle</b:Last>
            <b:First>H.</b:First>
          </b:Person>
        </b:NameList>
      </b:Author>
    </b:Author>
    <b:JournalName>Addiction</b:JournalName>
    <b:Pages>2031–2033</b:Pages>
    <b:Volume>115</b:Volume>
    <b:Issue>11</b:Issue>
    <b:RefOrder>10</b:RefOrder>
  </b:Source>
</b:Sources>
</file>

<file path=customXml/itemProps1.xml><?xml version="1.0" encoding="utf-8"?>
<ds:datastoreItem xmlns:ds="http://schemas.openxmlformats.org/officeDocument/2006/customXml" ds:itemID="{665107D5-74EA-4849-9A19-72FDA1F1C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2935</TotalTime>
  <Pages>25</Pages>
  <Words>10433</Words>
  <Characters>59470</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rajeshwari </dc:creator>
  <cp:keywords/>
  <dc:description/>
  <cp:lastModifiedBy>rajeshwari </cp:lastModifiedBy>
  <cp:revision>1141</cp:revision>
  <dcterms:created xsi:type="dcterms:W3CDTF">2025-10-21T13:30:00Z</dcterms:created>
  <dcterms:modified xsi:type="dcterms:W3CDTF">2025-12-21T20:52:00Z</dcterms:modified>
</cp:coreProperties>
</file>