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Pr="00DF08BC" w:rsidRDefault="00063B4C">
      <w:r w:rsidRPr="00DF08BC">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Pr="00DF08BC" w:rsidRDefault="00063B4C"/>
    <w:p w14:paraId="00DE7510" w14:textId="684CC594" w:rsidR="00063B4C" w:rsidRPr="00DF08BC" w:rsidRDefault="00063B4C"/>
    <w:p w14:paraId="62B6C1AB" w14:textId="77777777" w:rsidR="00063B4C" w:rsidRPr="00DF08BC" w:rsidRDefault="00063B4C"/>
    <w:p w14:paraId="19C1447B" w14:textId="77777777" w:rsidR="00063B4C" w:rsidRPr="00DF08BC" w:rsidRDefault="00063B4C" w:rsidP="00063B4C">
      <w:pPr>
        <w:ind w:right="1229"/>
      </w:pPr>
    </w:p>
    <w:p w14:paraId="4BD32C57" w14:textId="2FA64C13" w:rsidR="00063B4C" w:rsidRPr="00DF08BC" w:rsidRDefault="00063B4C" w:rsidP="00286E69">
      <w:pPr>
        <w:ind w:right="1229"/>
        <w:jc w:val="center"/>
        <w:rPr>
          <w:rFonts w:ascii="Arial Nova" w:hAnsi="Arial Nova" w:cs="Arial"/>
          <w:sz w:val="60"/>
          <w:szCs w:val="60"/>
        </w:rPr>
      </w:pPr>
      <w:r w:rsidRPr="00DF08BC">
        <w:rPr>
          <w:rFonts w:ascii="Arial Nova" w:hAnsi="Arial Nova" w:cs="Arial"/>
          <w:sz w:val="60"/>
          <w:szCs w:val="60"/>
        </w:rPr>
        <w:t>Institute of Inner-City Learning Birmingham Campus</w:t>
      </w:r>
    </w:p>
    <w:p w14:paraId="7F58ECA1" w14:textId="77777777" w:rsidR="00063B4C" w:rsidRPr="00DF08BC" w:rsidRDefault="00063B4C" w:rsidP="00286E69">
      <w:pPr>
        <w:pStyle w:val="BodyText"/>
        <w:jc w:val="center"/>
        <w:rPr>
          <w:rFonts w:ascii="Arial Nova" w:hAnsi="Arial Nova" w:cs="Arial"/>
          <w:sz w:val="20"/>
        </w:rPr>
      </w:pPr>
    </w:p>
    <w:p w14:paraId="3009F44A" w14:textId="2F598781" w:rsidR="00063B4C" w:rsidRPr="00DF08BC" w:rsidRDefault="00063B4C" w:rsidP="00286E69">
      <w:pPr>
        <w:spacing w:line="813" w:lineRule="exact"/>
        <w:jc w:val="center"/>
        <w:rPr>
          <w:rFonts w:ascii="Arial Nova" w:hAnsi="Arial Nova" w:cs="Arial"/>
          <w:sz w:val="60"/>
          <w:szCs w:val="60"/>
        </w:rPr>
      </w:pPr>
      <w:r w:rsidRPr="00DF08BC">
        <w:rPr>
          <w:rFonts w:ascii="Arial Nova" w:hAnsi="Arial Nova" w:cs="Arial"/>
          <w:sz w:val="60"/>
          <w:szCs w:val="60"/>
        </w:rPr>
        <w:t>BSc (Hons) Health and Social Care</w:t>
      </w:r>
      <w:r w:rsidRPr="00DF08BC">
        <w:rPr>
          <w:rFonts w:ascii="Arial Nova" w:hAnsi="Arial Nova" w:cs="Arial"/>
          <w:sz w:val="60"/>
          <w:szCs w:val="60"/>
        </w:rPr>
        <w:br/>
      </w:r>
    </w:p>
    <w:p w14:paraId="56971E0F" w14:textId="77777777" w:rsidR="006C31F7" w:rsidRDefault="006C31F7" w:rsidP="006C31F7">
      <w:pPr>
        <w:pStyle w:val="Heading1"/>
        <w:spacing w:line="360" w:lineRule="auto"/>
        <w:ind w:left="0"/>
        <w:jc w:val="both"/>
        <w:rPr>
          <w:rFonts w:ascii="Arial Nova" w:hAnsi="Arial Nova" w:cs="Arial"/>
          <w:sz w:val="22"/>
          <w:szCs w:val="22"/>
        </w:rPr>
      </w:pPr>
    </w:p>
    <w:p w14:paraId="1CD18EA9" w14:textId="77777777" w:rsidR="006C31F7" w:rsidRDefault="006C31F7" w:rsidP="006C31F7">
      <w:pPr>
        <w:pStyle w:val="Heading1"/>
        <w:spacing w:line="360" w:lineRule="auto"/>
        <w:ind w:left="0"/>
        <w:jc w:val="both"/>
        <w:rPr>
          <w:rFonts w:ascii="Arial Nova" w:hAnsi="Arial Nova" w:cs="Arial"/>
          <w:sz w:val="22"/>
          <w:szCs w:val="22"/>
        </w:rPr>
      </w:pPr>
    </w:p>
    <w:p w14:paraId="688842EB" w14:textId="77777777" w:rsidR="006C31F7" w:rsidRDefault="006C31F7" w:rsidP="006C31F7">
      <w:pPr>
        <w:pStyle w:val="Heading1"/>
        <w:spacing w:line="360" w:lineRule="auto"/>
        <w:ind w:left="0"/>
        <w:jc w:val="both"/>
        <w:rPr>
          <w:rFonts w:ascii="Arial Nova" w:hAnsi="Arial Nova" w:cs="Arial"/>
          <w:sz w:val="22"/>
          <w:szCs w:val="22"/>
        </w:rPr>
      </w:pPr>
    </w:p>
    <w:p w14:paraId="6ACAD80D" w14:textId="77777777" w:rsidR="00A96AD5" w:rsidRDefault="00A96AD5" w:rsidP="006C31F7">
      <w:pPr>
        <w:pStyle w:val="Heading1"/>
        <w:spacing w:line="360" w:lineRule="auto"/>
        <w:ind w:left="0"/>
        <w:jc w:val="both"/>
        <w:rPr>
          <w:rFonts w:ascii="Arial Nova" w:hAnsi="Arial Nova" w:cs="Arial"/>
          <w:sz w:val="22"/>
          <w:szCs w:val="22"/>
        </w:rPr>
      </w:pPr>
    </w:p>
    <w:p w14:paraId="144ED095" w14:textId="46E8C498" w:rsidR="006C31F7" w:rsidRPr="009F3738" w:rsidRDefault="006C31F7" w:rsidP="006C31F7">
      <w:pPr>
        <w:pStyle w:val="Heading1"/>
        <w:spacing w:line="360" w:lineRule="auto"/>
        <w:ind w:left="0"/>
        <w:jc w:val="both"/>
        <w:rPr>
          <w:rFonts w:ascii="Arial Nova" w:hAnsi="Arial Nova" w:cs="Arial"/>
          <w:sz w:val="22"/>
          <w:szCs w:val="22"/>
        </w:rPr>
      </w:pPr>
      <w:r w:rsidRPr="009F3738">
        <w:rPr>
          <w:rFonts w:ascii="Arial Nova" w:hAnsi="Arial Nova" w:cs="Arial"/>
          <w:sz w:val="22"/>
          <w:szCs w:val="22"/>
        </w:rPr>
        <w:t>Disclaimer</w:t>
      </w:r>
    </w:p>
    <w:p w14:paraId="367AF222" w14:textId="77777777" w:rsidR="00B42CC4" w:rsidRDefault="006C31F7" w:rsidP="00B42CC4">
      <w:pPr>
        <w:spacing w:before="62"/>
        <w:ind w:right="96"/>
        <w:rPr>
          <w:rFonts w:ascii="Arial Nova" w:hAnsi="Arial Nova" w:cs="Arial"/>
        </w:rPr>
      </w:pPr>
      <w:r w:rsidRPr="009F3738">
        <w:rPr>
          <w:rFonts w:ascii="Arial Nova" w:hAnsi="Arial Nova" w:cs="Arial"/>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3492E4C4" w14:textId="23740F48" w:rsidR="00604A87" w:rsidRPr="00B42CC4" w:rsidRDefault="00604A87" w:rsidP="00B42CC4">
      <w:pPr>
        <w:spacing w:before="62"/>
        <w:ind w:right="96"/>
        <w:rPr>
          <w:rFonts w:ascii="Arial Nova" w:hAnsi="Arial Nova" w:cs="Arial"/>
        </w:rPr>
      </w:pPr>
      <w:r w:rsidRPr="00DF08BC">
        <w:rPr>
          <w:rFonts w:eastAsia="Times New Roman" w:cs="Arial"/>
          <w:b/>
          <w:sz w:val="28"/>
          <w:szCs w:val="28"/>
        </w:rPr>
        <w:lastRenderedPageBreak/>
        <w:t>DECLARATION</w:t>
      </w:r>
    </w:p>
    <w:p w14:paraId="113CAAED" w14:textId="2CC33593" w:rsidR="00604A87" w:rsidRPr="00DF08BC" w:rsidRDefault="00604A87" w:rsidP="00604A87">
      <w:pPr>
        <w:rPr>
          <w:rFonts w:eastAsia="Times New Roman" w:cs="Arial"/>
        </w:rPr>
      </w:pPr>
      <w:r w:rsidRPr="00DF08BC">
        <w:rPr>
          <w:rFonts w:eastAsia="Times New Roman" w:cs="Arial"/>
        </w:rPr>
        <w:t>This work has not previously been accepted in substance for any degree and is not being concurrently submitted in candidature for any degree</w:t>
      </w:r>
    </w:p>
    <w:p w14:paraId="3EF51212" w14:textId="1FAA7FF4" w:rsidR="00604A87" w:rsidRPr="00DF08BC" w:rsidRDefault="00604A87" w:rsidP="00604A87">
      <w:pPr>
        <w:rPr>
          <w:rFonts w:eastAsia="Times New Roman" w:cs="Arial"/>
        </w:rPr>
      </w:pPr>
      <w:r w:rsidRPr="00DF08BC">
        <w:rPr>
          <w:rFonts w:eastAsia="Times New Roman" w:cs="Arial"/>
        </w:rPr>
        <w:t>Signed</w:t>
      </w:r>
      <w:r w:rsidR="00C23468" w:rsidRPr="00DF08BC">
        <w:rPr>
          <w:rFonts w:eastAsia="Times New Roman" w:cs="Arial"/>
        </w:rPr>
        <w:t xml:space="preserve"> Kinga Starczewska</w:t>
      </w:r>
    </w:p>
    <w:p w14:paraId="16B6CB34" w14:textId="757D302A" w:rsidR="00604A87" w:rsidRPr="00DF08BC" w:rsidRDefault="00604A87" w:rsidP="00B078A8">
      <w:r w:rsidRPr="00DF08BC">
        <w:t>Dat</w:t>
      </w:r>
      <w:r w:rsidR="00C23468" w:rsidRPr="00DF08BC">
        <w:t>e 2</w:t>
      </w:r>
      <w:r w:rsidR="00CC204E">
        <w:t>2</w:t>
      </w:r>
      <w:r w:rsidR="00C23468" w:rsidRPr="00DF08BC">
        <w:t>/07/2026</w:t>
      </w:r>
    </w:p>
    <w:p w14:paraId="7D9E43A8" w14:textId="77777777" w:rsidR="00604A87" w:rsidRPr="00DF08BC" w:rsidRDefault="00604A87" w:rsidP="00604A87">
      <w:pPr>
        <w:rPr>
          <w:rFonts w:eastAsia="Times New Roman" w:cs="Arial"/>
          <w:bCs/>
          <w:kern w:val="32"/>
        </w:rPr>
      </w:pPr>
      <w:r w:rsidRPr="00DF08BC">
        <w:rPr>
          <w:rFonts w:eastAsia="Times New Roman" w:cs="Arial"/>
          <w:b/>
        </w:rPr>
        <w:t xml:space="preserve">STATEMENT 1 </w:t>
      </w:r>
    </w:p>
    <w:p w14:paraId="189DE0A6" w14:textId="710F2765" w:rsidR="00604A87" w:rsidRPr="00DF08BC" w:rsidRDefault="00604A87" w:rsidP="00604A87">
      <w:pPr>
        <w:rPr>
          <w:rFonts w:eastAsia="Times New Roman" w:cs="Arial"/>
        </w:rPr>
      </w:pPr>
      <w:r w:rsidRPr="00DF08BC">
        <w:rPr>
          <w:rFonts w:eastAsia="Times New Roman" w:cs="Arial"/>
        </w:rPr>
        <w:t>This dissertation is being submitted in partial fulfilment of the requirements for the degree of BSc.</w:t>
      </w:r>
    </w:p>
    <w:p w14:paraId="39F661A6" w14:textId="2D239380" w:rsidR="00604A87" w:rsidRPr="00DF08BC" w:rsidRDefault="00604A87" w:rsidP="00604A87">
      <w:pPr>
        <w:rPr>
          <w:rFonts w:eastAsia="Times New Roman" w:cs="Arial"/>
        </w:rPr>
      </w:pPr>
      <w:r w:rsidRPr="00DF08BC">
        <w:rPr>
          <w:rFonts w:eastAsia="Times New Roman" w:cs="Arial"/>
        </w:rPr>
        <w:t>Signed</w:t>
      </w:r>
      <w:r w:rsidR="00C23468" w:rsidRPr="00DF08BC">
        <w:rPr>
          <w:rFonts w:eastAsia="Times New Roman" w:cs="Arial"/>
        </w:rPr>
        <w:t xml:space="preserve"> Kinga Starczewska</w:t>
      </w:r>
    </w:p>
    <w:p w14:paraId="21F5E413" w14:textId="0B95ABDD" w:rsidR="00604A87" w:rsidRPr="00DF08BC" w:rsidRDefault="00604A87" w:rsidP="00604A87">
      <w:pPr>
        <w:rPr>
          <w:rFonts w:eastAsia="Times New Roman" w:cs="Arial"/>
        </w:rPr>
      </w:pPr>
      <w:r w:rsidRPr="00DF08BC">
        <w:rPr>
          <w:rFonts w:eastAsia="Times New Roman" w:cs="Arial"/>
        </w:rPr>
        <w:t>Dat</w:t>
      </w:r>
      <w:r w:rsidR="00C23468" w:rsidRPr="00DF08BC">
        <w:rPr>
          <w:rFonts w:eastAsia="Times New Roman" w:cs="Arial"/>
        </w:rPr>
        <w:t>e 2</w:t>
      </w:r>
      <w:r w:rsidR="00CC204E">
        <w:rPr>
          <w:rFonts w:eastAsia="Times New Roman" w:cs="Arial"/>
        </w:rPr>
        <w:t>2</w:t>
      </w:r>
      <w:r w:rsidR="00C23468" w:rsidRPr="00DF08BC">
        <w:rPr>
          <w:rFonts w:eastAsia="Times New Roman" w:cs="Arial"/>
        </w:rPr>
        <w:t>/07/2026</w:t>
      </w:r>
    </w:p>
    <w:p w14:paraId="713B64B9" w14:textId="77777777" w:rsidR="00604A87" w:rsidRPr="00DF08BC" w:rsidRDefault="00604A87" w:rsidP="00604A87">
      <w:pPr>
        <w:rPr>
          <w:rFonts w:eastAsia="Times New Roman" w:cs="Arial"/>
        </w:rPr>
      </w:pPr>
      <w:r w:rsidRPr="00DF08BC">
        <w:rPr>
          <w:rFonts w:eastAsia="Times New Roman" w:cs="Arial"/>
          <w:b/>
        </w:rPr>
        <w:t>STATEMENT 2</w:t>
      </w:r>
    </w:p>
    <w:p w14:paraId="4AA5D04A" w14:textId="65BB11AC" w:rsidR="00604A87" w:rsidRPr="00DF08BC" w:rsidRDefault="00604A87" w:rsidP="00604A87">
      <w:pPr>
        <w:rPr>
          <w:rFonts w:eastAsia="Times New Roman" w:cs="Arial"/>
        </w:rPr>
      </w:pPr>
      <w:r w:rsidRPr="00DF08BC">
        <w:rPr>
          <w:rFonts w:eastAsia="Times New Roman" w:cs="Arial"/>
        </w:rPr>
        <w:t>This dissertation is the result of my own independent work/investigation, except where otherwise stated. Other sources are acknowledged by footnotes giving explicit references.  A bibliography is appended.</w:t>
      </w:r>
    </w:p>
    <w:p w14:paraId="319A31E7" w14:textId="002CF9CF" w:rsidR="00604A87" w:rsidRPr="00DF08BC" w:rsidRDefault="00604A87" w:rsidP="00604A87">
      <w:pPr>
        <w:rPr>
          <w:rFonts w:eastAsia="Times New Roman" w:cs="Arial"/>
        </w:rPr>
      </w:pPr>
      <w:r w:rsidRPr="00DF08BC">
        <w:rPr>
          <w:rFonts w:eastAsia="Times New Roman" w:cs="Arial"/>
        </w:rPr>
        <w:t>Signed</w:t>
      </w:r>
      <w:r w:rsidR="00C23468" w:rsidRPr="00DF08BC">
        <w:rPr>
          <w:rFonts w:eastAsia="Times New Roman" w:cs="Arial"/>
        </w:rPr>
        <w:t xml:space="preserve"> Kinga Starczewska</w:t>
      </w:r>
    </w:p>
    <w:p w14:paraId="1CB40FFB" w14:textId="5DD2D0A5" w:rsidR="00604A87" w:rsidRPr="00DF08BC" w:rsidRDefault="00604A87" w:rsidP="00604A87">
      <w:pPr>
        <w:rPr>
          <w:rFonts w:eastAsia="Times New Roman" w:cs="Arial"/>
        </w:rPr>
      </w:pPr>
      <w:r w:rsidRPr="00DF08BC">
        <w:rPr>
          <w:rFonts w:eastAsia="Times New Roman" w:cs="Arial"/>
        </w:rPr>
        <w:t>Date</w:t>
      </w:r>
      <w:r w:rsidR="00C23468" w:rsidRPr="00DF08BC">
        <w:rPr>
          <w:rFonts w:eastAsia="Times New Roman" w:cs="Arial"/>
        </w:rPr>
        <w:t xml:space="preserve"> 2</w:t>
      </w:r>
      <w:r w:rsidR="00CC204E">
        <w:rPr>
          <w:rFonts w:eastAsia="Times New Roman" w:cs="Arial"/>
        </w:rPr>
        <w:t>2</w:t>
      </w:r>
      <w:r w:rsidR="00C23468" w:rsidRPr="00DF08BC">
        <w:rPr>
          <w:rFonts w:eastAsia="Times New Roman" w:cs="Arial"/>
        </w:rPr>
        <w:t>/07/2026</w:t>
      </w:r>
      <w:r w:rsidRPr="00DF08BC">
        <w:rPr>
          <w:rFonts w:eastAsia="Times New Roman" w:cs="Arial"/>
        </w:rPr>
        <w:t xml:space="preserve"> </w:t>
      </w:r>
    </w:p>
    <w:p w14:paraId="42D5D0C6" w14:textId="77777777" w:rsidR="00604A87" w:rsidRPr="00DF08BC" w:rsidRDefault="00604A87" w:rsidP="00604A87">
      <w:pPr>
        <w:rPr>
          <w:rFonts w:eastAsia="Times New Roman" w:cs="Arial"/>
        </w:rPr>
      </w:pPr>
      <w:r w:rsidRPr="00DF08BC">
        <w:rPr>
          <w:rFonts w:eastAsia="Times New Roman" w:cs="Arial"/>
          <w:b/>
        </w:rPr>
        <w:t>STATEMENT 3</w:t>
      </w:r>
    </w:p>
    <w:p w14:paraId="4B58546E" w14:textId="61CCB29A" w:rsidR="00604A87" w:rsidRPr="00DF08BC" w:rsidRDefault="00604A87" w:rsidP="00604A87">
      <w:pPr>
        <w:rPr>
          <w:rFonts w:eastAsia="Times New Roman" w:cs="Arial"/>
        </w:rPr>
      </w:pPr>
      <w:r w:rsidRPr="00DF08BC">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4096433A" w:rsidR="00604A87" w:rsidRPr="00DF08BC" w:rsidRDefault="00604A87" w:rsidP="00604A87">
      <w:pPr>
        <w:rPr>
          <w:rFonts w:eastAsia="Times New Roman" w:cs="Arial"/>
        </w:rPr>
      </w:pPr>
      <w:r w:rsidRPr="00DF08BC">
        <w:rPr>
          <w:rFonts w:eastAsia="Times New Roman" w:cs="Arial"/>
        </w:rPr>
        <w:t>Signe</w:t>
      </w:r>
      <w:r w:rsidR="00C23468" w:rsidRPr="00DF08BC">
        <w:rPr>
          <w:rFonts w:eastAsia="Times New Roman" w:cs="Arial"/>
        </w:rPr>
        <w:t>d Kinga Starczewska</w:t>
      </w:r>
    </w:p>
    <w:p w14:paraId="021196D1" w14:textId="477E055F" w:rsidR="00604A87" w:rsidRPr="00DF08BC"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DF08BC">
        <w:rPr>
          <w:rFonts w:eastAsia="Times New Roman" w:cs="Arial"/>
        </w:rPr>
        <w:t>Date</w:t>
      </w:r>
      <w:r w:rsidR="00C23468" w:rsidRPr="00DF08BC">
        <w:rPr>
          <w:rFonts w:eastAsia="Times New Roman" w:cs="Arial"/>
        </w:rPr>
        <w:t xml:space="preserve"> 2</w:t>
      </w:r>
      <w:r w:rsidR="00CC204E">
        <w:rPr>
          <w:rFonts w:eastAsia="Times New Roman" w:cs="Arial"/>
        </w:rPr>
        <w:t>2</w:t>
      </w:r>
      <w:r w:rsidR="00C23468" w:rsidRPr="00DF08BC">
        <w:rPr>
          <w:rFonts w:eastAsia="Times New Roman" w:cs="Arial"/>
        </w:rPr>
        <w:t>/07/2026</w:t>
      </w:r>
    </w:p>
    <w:p w14:paraId="77D38054" w14:textId="77777777" w:rsidR="00604A87" w:rsidRPr="00DF08BC" w:rsidRDefault="00604A87" w:rsidP="00604A87">
      <w:pPr>
        <w:rPr>
          <w:rFonts w:eastAsia="Times New Roman" w:cs="Arial"/>
          <w:b/>
        </w:rPr>
      </w:pPr>
      <w:r w:rsidRPr="00DF08BC">
        <w:rPr>
          <w:rFonts w:eastAsia="Times New Roman" w:cs="Arial"/>
          <w:b/>
        </w:rPr>
        <w:t>STATEMENT 4</w:t>
      </w:r>
    </w:p>
    <w:p w14:paraId="0A15E499" w14:textId="1F9546C0" w:rsidR="00604A87" w:rsidRPr="00DF08BC" w:rsidRDefault="00604A87" w:rsidP="00604A87">
      <w:pPr>
        <w:rPr>
          <w:rFonts w:eastAsia="Times New Roman" w:cs="Arial"/>
        </w:rPr>
      </w:pPr>
      <w:r w:rsidRPr="00DF08BC">
        <w:rPr>
          <w:rFonts w:eastAsia="Times New Roman" w:cs="Arial"/>
        </w:rPr>
        <w:t>I hereby give consent for my dissertation, if accepted, to be available on the university’s IT system to those who have consent to use the system.</w:t>
      </w:r>
    </w:p>
    <w:p w14:paraId="73D7762F" w14:textId="2E8ABF32" w:rsidR="00604A87" w:rsidRPr="00DF08BC" w:rsidRDefault="00604A87" w:rsidP="00604A87">
      <w:pPr>
        <w:rPr>
          <w:rFonts w:eastAsia="Times New Roman" w:cs="Arial"/>
        </w:rPr>
      </w:pPr>
      <w:r w:rsidRPr="00DF08BC">
        <w:rPr>
          <w:rFonts w:eastAsia="Times New Roman" w:cs="Arial"/>
        </w:rPr>
        <w:t>Signed</w:t>
      </w:r>
      <w:r w:rsidR="00C23468" w:rsidRPr="00DF08BC">
        <w:rPr>
          <w:rFonts w:eastAsia="Times New Roman" w:cs="Arial"/>
        </w:rPr>
        <w:t xml:space="preserve"> Kinga Starczewska</w:t>
      </w:r>
    </w:p>
    <w:p w14:paraId="2BDDE109" w14:textId="085C377C" w:rsidR="00604A87" w:rsidRPr="00DF08BC"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DF08BC">
        <w:rPr>
          <w:rFonts w:eastAsia="Times New Roman" w:cs="Arial"/>
        </w:rPr>
        <w:t>Date</w:t>
      </w:r>
      <w:r w:rsidR="00C23468" w:rsidRPr="00DF08BC">
        <w:rPr>
          <w:rFonts w:eastAsia="Times New Roman" w:cs="Arial"/>
        </w:rPr>
        <w:t xml:space="preserve"> 2</w:t>
      </w:r>
      <w:r w:rsidR="00CC204E">
        <w:rPr>
          <w:rFonts w:eastAsia="Times New Roman" w:cs="Arial"/>
        </w:rPr>
        <w:t>2</w:t>
      </w:r>
      <w:r w:rsidR="00C23468" w:rsidRPr="00DF08BC">
        <w:rPr>
          <w:rFonts w:eastAsia="Times New Roman" w:cs="Arial"/>
        </w:rPr>
        <w:t>/07/2026</w:t>
      </w:r>
    </w:p>
    <w:p w14:paraId="324943A4" w14:textId="77777777" w:rsidR="00063B4C" w:rsidRPr="00DF08BC" w:rsidRDefault="00063B4C"/>
    <w:p w14:paraId="69E4F63C" w14:textId="4210796F" w:rsidR="00995444" w:rsidRPr="00DF08BC" w:rsidRDefault="00C23468" w:rsidP="00C23468">
      <w:pPr>
        <w:jc w:val="center"/>
        <w:rPr>
          <w:rFonts w:eastAsia="Times New Roman" w:cs="Times New Roman"/>
          <w:sz w:val="56"/>
          <w:szCs w:val="56"/>
          <w:u w:val="single"/>
        </w:rPr>
      </w:pPr>
      <w:r w:rsidRPr="00DF08BC">
        <w:rPr>
          <w:rFonts w:ascii="Arial Nova" w:hAnsi="Arial Nova"/>
          <w:sz w:val="56"/>
          <w:szCs w:val="56"/>
          <w:u w:val="single"/>
        </w:rPr>
        <w:lastRenderedPageBreak/>
        <w:t>Exploring Phage Therapy as a Traditional Medical Treatment and Its Contemporary Application in the United Kingdom.</w:t>
      </w:r>
    </w:p>
    <w:p w14:paraId="0FC75915" w14:textId="77777777" w:rsidR="00995444" w:rsidRPr="00DF08BC"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6DB122B7" w14:textId="3C738DA2" w:rsidR="00995444" w:rsidRPr="00DF08BC" w:rsidRDefault="00C23468"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Nova" w:eastAsia="Arial Unicode MS" w:hAnsi="Arial Nova" w:cs="Arial"/>
          <w:bCs/>
          <w:sz w:val="48"/>
          <w:szCs w:val="48"/>
        </w:rPr>
      </w:pPr>
      <w:r w:rsidRPr="00DF08BC">
        <w:rPr>
          <w:rFonts w:ascii="Arial Nova" w:eastAsia="Arial Unicode MS" w:hAnsi="Arial Nova" w:cs="Arial"/>
          <w:bCs/>
          <w:sz w:val="48"/>
          <w:szCs w:val="48"/>
        </w:rPr>
        <w:t>Kinga Starczewska</w:t>
      </w:r>
    </w:p>
    <w:p w14:paraId="57E06806" w14:textId="5A616967" w:rsidR="00286E69" w:rsidRPr="00DF08BC" w:rsidRDefault="002B1567"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Nova" w:eastAsia="Arial Unicode MS" w:hAnsi="Arial Nova" w:cs="Arial"/>
          <w:bCs/>
          <w:sz w:val="48"/>
          <w:szCs w:val="48"/>
        </w:rPr>
      </w:pPr>
      <w:r>
        <w:rPr>
          <w:rFonts w:ascii="Arial Nova" w:eastAsia="Arial Unicode MS" w:hAnsi="Arial Nova" w:cs="Arial"/>
          <w:bCs/>
          <w:sz w:val="48"/>
          <w:szCs w:val="48"/>
        </w:rPr>
        <w:t>S</w:t>
      </w:r>
      <w:r w:rsidRPr="002B1567">
        <w:rPr>
          <w:rFonts w:ascii="Arial Nova" w:eastAsia="Arial Unicode MS" w:hAnsi="Arial Nova" w:cs="Arial"/>
          <w:bCs/>
          <w:sz w:val="48"/>
          <w:szCs w:val="48"/>
        </w:rPr>
        <w:t>tudent number</w:t>
      </w:r>
      <w:r>
        <w:rPr>
          <w:rFonts w:ascii="Arial Nova" w:eastAsia="Arial Unicode MS" w:hAnsi="Arial Nova" w:cs="Arial"/>
          <w:bCs/>
          <w:sz w:val="48"/>
          <w:szCs w:val="48"/>
        </w:rPr>
        <w:t xml:space="preserve">: </w:t>
      </w:r>
      <w:r w:rsidR="00286E69" w:rsidRPr="00DF08BC">
        <w:rPr>
          <w:rFonts w:ascii="Arial Nova" w:eastAsia="Arial Unicode MS" w:hAnsi="Arial Nova" w:cs="Arial"/>
          <w:bCs/>
          <w:sz w:val="48"/>
          <w:szCs w:val="48"/>
        </w:rPr>
        <w:t>2312239</w:t>
      </w:r>
    </w:p>
    <w:p w14:paraId="74A97C49" w14:textId="77777777" w:rsidR="00C23468" w:rsidRPr="00DF08BC" w:rsidRDefault="00C23468"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p>
    <w:p w14:paraId="3F8DA723" w14:textId="77777777" w:rsidR="00995444" w:rsidRPr="00DF08BC"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2057C793" w14:textId="1F68C9CC" w:rsidR="00995444" w:rsidRPr="00DF08BC" w:rsidRDefault="00995444" w:rsidP="00286E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Nova" w:eastAsia="Arial Unicode MS" w:hAnsi="Arial Nova" w:cs="Arial Unicode MS"/>
        </w:rPr>
      </w:pPr>
      <w:r w:rsidRPr="00DF08BC">
        <w:rPr>
          <w:rFonts w:ascii="Arial Nova" w:eastAsia="Arial Unicode MS" w:hAnsi="Arial Nova" w:cs="Arial"/>
          <w:sz w:val="40"/>
          <w:szCs w:val="40"/>
        </w:rPr>
        <w:t>Dissertation submitted as part of the requirements for the award BSc (Hons) Health and Social Care</w:t>
      </w:r>
    </w:p>
    <w:p w14:paraId="03004EEE" w14:textId="77777777" w:rsidR="00063B4C" w:rsidRPr="00DF08BC" w:rsidRDefault="00063B4C">
      <w:pPr>
        <w:rPr>
          <w:rFonts w:ascii="Arial Nova" w:hAnsi="Arial Nova"/>
        </w:rPr>
      </w:pPr>
    </w:p>
    <w:p w14:paraId="65358A57" w14:textId="77777777" w:rsidR="00995444" w:rsidRPr="00DF08BC" w:rsidRDefault="00995444"/>
    <w:p w14:paraId="7E7264EA" w14:textId="77777777" w:rsidR="00286E69" w:rsidRPr="00DF08BC" w:rsidRDefault="00286E69"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779B646E" w14:textId="77777777" w:rsidR="00286E69" w:rsidRPr="00DF08BC" w:rsidRDefault="00286E69"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64C996E2" w14:textId="77777777" w:rsidR="00286E69" w:rsidRPr="00DF08BC" w:rsidRDefault="00286E69"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3E6D1A03" w14:textId="3D73A5C2" w:rsidR="00995444" w:rsidRDefault="00995444" w:rsidP="004D04B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rPr>
      </w:pPr>
      <w:r w:rsidRPr="00DF08BC">
        <w:rPr>
          <w:rFonts w:eastAsia="Arial Unicode MS" w:cs="Arial"/>
          <w:b/>
          <w:sz w:val="28"/>
          <w:szCs w:val="28"/>
        </w:rPr>
        <w:lastRenderedPageBreak/>
        <w:t>ACKNOWLEDGEMENTS</w:t>
      </w:r>
      <w:r w:rsidR="004D04B4">
        <w:rPr>
          <w:rFonts w:eastAsia="Arial Unicode MS" w:cs="Arial"/>
          <w:b/>
        </w:rPr>
        <w:t>.</w:t>
      </w:r>
    </w:p>
    <w:p w14:paraId="23E498FD" w14:textId="77777777" w:rsidR="004D04B4" w:rsidRPr="004D04B4" w:rsidRDefault="004D04B4" w:rsidP="004D04B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Nova" w:eastAsia="Arial Unicode MS" w:hAnsi="Arial Nova" w:cs="Arial"/>
          <w:bCs/>
        </w:rPr>
      </w:pPr>
      <w:r w:rsidRPr="004D04B4">
        <w:rPr>
          <w:rFonts w:ascii="Arial Nova" w:eastAsia="Arial Unicode MS" w:hAnsi="Arial Nova" w:cs="Arial"/>
          <w:bCs/>
        </w:rPr>
        <w:t>I would like to express my sincere gratitude to my dissertation supervisor, Danielle Dunne, for her invaluable guidance, patience, and constructive feedback throughout the development of this dissertation. Her expertise and encouragement were instrumental in shaping the direction of this research.</w:t>
      </w:r>
    </w:p>
    <w:p w14:paraId="6CFF2959" w14:textId="3A082A20" w:rsidR="004D04B4" w:rsidRPr="004D04B4" w:rsidRDefault="004D04B4" w:rsidP="004D04B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Nova" w:eastAsia="Arial Unicode MS" w:hAnsi="Arial Nova" w:cs="Arial"/>
          <w:bCs/>
        </w:rPr>
      </w:pPr>
      <w:r w:rsidRPr="004D04B4">
        <w:rPr>
          <w:rFonts w:ascii="Arial Nova" w:eastAsia="Arial Unicode MS" w:hAnsi="Arial Nova" w:cs="Arial"/>
          <w:bCs/>
        </w:rPr>
        <w:t>I would also like to thank the academic staff of the University of Wales Trinity Saint David, especially the BMHP6020 module team, for the knowledge and support they provided me with during my studies.</w:t>
      </w:r>
      <w:r w:rsidR="0078032E">
        <w:rPr>
          <w:rFonts w:ascii="Arial Nova" w:eastAsia="Arial Unicode MS" w:hAnsi="Arial Nova" w:cs="Arial"/>
          <w:bCs/>
        </w:rPr>
        <w:t xml:space="preserve"> </w:t>
      </w:r>
    </w:p>
    <w:p w14:paraId="40A3E6C2" w14:textId="77777777" w:rsidR="00995444" w:rsidRPr="00DF08BC" w:rsidRDefault="00995444"/>
    <w:p w14:paraId="7EA8A979" w14:textId="77777777" w:rsidR="0073280B" w:rsidRPr="00DF08BC" w:rsidRDefault="0073280B"/>
    <w:p w14:paraId="24382F47" w14:textId="77777777" w:rsidR="0073280B" w:rsidRPr="00DF08BC" w:rsidRDefault="0073280B"/>
    <w:p w14:paraId="6A8FCE15" w14:textId="77777777" w:rsidR="0073280B" w:rsidRPr="00DF08BC" w:rsidRDefault="0073280B"/>
    <w:p w14:paraId="5B45260B" w14:textId="77777777" w:rsidR="0073280B" w:rsidRPr="00DF08BC" w:rsidRDefault="0073280B"/>
    <w:p w14:paraId="29F99602" w14:textId="77777777" w:rsidR="0073280B" w:rsidRPr="00DF08BC" w:rsidRDefault="0073280B"/>
    <w:p w14:paraId="7FFDFCFF" w14:textId="77777777" w:rsidR="0073280B" w:rsidRPr="00DF08BC" w:rsidRDefault="0073280B"/>
    <w:p w14:paraId="1E61CB56" w14:textId="77777777" w:rsidR="0073280B" w:rsidRPr="00DF08BC" w:rsidRDefault="0073280B"/>
    <w:p w14:paraId="4650381F" w14:textId="77777777" w:rsidR="0073280B" w:rsidRPr="00DF08BC" w:rsidRDefault="0073280B"/>
    <w:p w14:paraId="413A9F5D" w14:textId="77777777" w:rsidR="0073280B" w:rsidRPr="00DF08BC" w:rsidRDefault="0073280B"/>
    <w:p w14:paraId="0F7E2C83" w14:textId="77777777" w:rsidR="0073280B" w:rsidRPr="00DF08BC" w:rsidRDefault="0073280B"/>
    <w:p w14:paraId="68D32102" w14:textId="77777777" w:rsidR="0073280B" w:rsidRPr="00DF08BC" w:rsidRDefault="0073280B"/>
    <w:p w14:paraId="3269986A" w14:textId="77777777" w:rsidR="0073280B" w:rsidRPr="00DF08BC" w:rsidRDefault="0073280B"/>
    <w:p w14:paraId="26B038C1" w14:textId="77777777" w:rsidR="0073280B" w:rsidRPr="00DF08BC" w:rsidRDefault="0073280B"/>
    <w:p w14:paraId="33404D8E" w14:textId="77777777" w:rsidR="00F3393E" w:rsidRPr="00DF08BC" w:rsidRDefault="00F3393E"/>
    <w:p w14:paraId="2D93FDBE" w14:textId="77777777" w:rsidR="00F3393E" w:rsidRPr="00DF08BC" w:rsidRDefault="00F3393E"/>
    <w:p w14:paraId="65358E8C" w14:textId="77777777" w:rsidR="00F3393E" w:rsidRPr="00DF08BC" w:rsidRDefault="00F3393E"/>
    <w:p w14:paraId="0FE11318" w14:textId="77777777" w:rsidR="00EC3A60" w:rsidRDefault="00EC3A60" w:rsidP="000655D0"/>
    <w:p w14:paraId="6FDD26B3" w14:textId="62F94536" w:rsidR="006B2437" w:rsidRPr="00DF08BC" w:rsidRDefault="006B2437" w:rsidP="000655D0">
      <w:pPr>
        <w:rPr>
          <w:rFonts w:ascii="Arial Nova" w:hAnsi="Arial Nova"/>
          <w:b/>
          <w:bCs/>
          <w:sz w:val="28"/>
          <w:szCs w:val="28"/>
        </w:rPr>
      </w:pPr>
      <w:r w:rsidRPr="00DF08BC">
        <w:rPr>
          <w:rFonts w:ascii="Arial Nova" w:hAnsi="Arial Nova"/>
          <w:b/>
          <w:bCs/>
          <w:sz w:val="28"/>
          <w:szCs w:val="28"/>
        </w:rPr>
        <w:lastRenderedPageBreak/>
        <w:t>Abstract</w:t>
      </w:r>
      <w:r w:rsidR="00E328C3" w:rsidRPr="00DF08BC">
        <w:rPr>
          <w:rFonts w:ascii="Arial Nova" w:hAnsi="Arial Nova"/>
          <w:b/>
          <w:bCs/>
          <w:sz w:val="28"/>
          <w:szCs w:val="28"/>
        </w:rPr>
        <w:t>.</w:t>
      </w:r>
    </w:p>
    <w:p w14:paraId="122284E9" w14:textId="77777777" w:rsidR="006B2437" w:rsidRPr="00DF08BC" w:rsidRDefault="006B2437" w:rsidP="000655D0">
      <w:pPr>
        <w:rPr>
          <w:rFonts w:ascii="Arial Nova" w:hAnsi="Arial Nova"/>
        </w:rPr>
      </w:pPr>
      <w:r w:rsidRPr="00DF08BC">
        <w:rPr>
          <w:rFonts w:ascii="Arial Nova" w:hAnsi="Arial Nova"/>
        </w:rPr>
        <w:t>Antimicrobial resistance is a growing threat to global health, and new approaches are needed to protect patients and reduce pressure on health and social care services (WHO, 2023). Phage therapy, which uses viruses to destroy harmful bacteria, is a treatment method that predates antibiotics and may offer a valuable alternative when standard antibiotics fail (Kortright et al., 2019). This dissertation aims to critically examine phage therapy as a traditional treatment and its contemporary use in the United Kingdom, with objectives to explore its scientific basis and current clinical use, assess its relevance to nursing practice and public health, identify ethical and regulatory challenges, and make recommendations for future integration into UK practice and policy.</w:t>
      </w:r>
    </w:p>
    <w:p w14:paraId="51519711" w14:textId="77777777" w:rsidR="006B2437" w:rsidRPr="00DF08BC" w:rsidRDefault="006B2437" w:rsidP="000655D0">
      <w:pPr>
        <w:rPr>
          <w:rFonts w:ascii="Arial Nova" w:hAnsi="Arial Nova"/>
        </w:rPr>
      </w:pPr>
      <w:r w:rsidRPr="00DF08BC">
        <w:rPr>
          <w:rFonts w:ascii="Arial Nova" w:hAnsi="Arial Nova"/>
        </w:rPr>
        <w:t>The study uses a qualitative secondary research approach. Peer-reviewed journal articles, UK policy documents, and clinical guidelines were reviewed and analysed using thematic analysis, allowing comparison of clinical evidence, regulatory frameworks, and ethical debates.</w:t>
      </w:r>
    </w:p>
    <w:p w14:paraId="421D3866" w14:textId="7A6963D4" w:rsidR="006B2437" w:rsidRPr="00DF08BC" w:rsidRDefault="006B2437" w:rsidP="000655D0">
      <w:pPr>
        <w:rPr>
          <w:rFonts w:ascii="Arial Nova" w:hAnsi="Arial Nova"/>
        </w:rPr>
      </w:pPr>
      <w:r w:rsidRPr="00DF08BC">
        <w:rPr>
          <w:rFonts w:ascii="Arial Nova" w:hAnsi="Arial Nova"/>
        </w:rPr>
        <w:t>Findings show that phage therapy is currently used in the UK only on an individual, unapproved basis, supervised by the Medicines and Healthcare products Regulatory Agency, when conventional treatments have failed (MHRA, 2025). It may reduce reliance on broad</w:t>
      </w:r>
      <w:r w:rsidR="0018220F" w:rsidRPr="00DF08BC">
        <w:rPr>
          <w:rFonts w:ascii="Arial Nova" w:hAnsi="Arial Nova"/>
        </w:rPr>
        <w:t xml:space="preserve"> </w:t>
      </w:r>
      <w:r w:rsidRPr="00DF08BC">
        <w:rPr>
          <w:rFonts w:ascii="Arial Nova" w:hAnsi="Arial Nova"/>
        </w:rPr>
        <w:t xml:space="preserve">spectrum antibiotics and support antibiotic stewardship, but the lack of </w:t>
      </w:r>
      <w:r w:rsidR="00903D2D" w:rsidRPr="00DF08BC">
        <w:rPr>
          <w:rFonts w:ascii="Arial Nova" w:hAnsi="Arial Nova"/>
        </w:rPr>
        <w:t>large-scale</w:t>
      </w:r>
      <w:r w:rsidRPr="00DF08BC">
        <w:rPr>
          <w:rFonts w:ascii="Arial Nova" w:hAnsi="Arial Nova"/>
        </w:rPr>
        <w:t xml:space="preserve"> clinical trials limits confidence in its wider use (Kortright et al., 2019).</w:t>
      </w:r>
    </w:p>
    <w:p w14:paraId="760976FF" w14:textId="0A5EC8B1" w:rsidR="006B2437" w:rsidRPr="00DF08BC" w:rsidRDefault="006B2437" w:rsidP="000655D0">
      <w:pPr>
        <w:rPr>
          <w:rFonts w:ascii="Arial Nova" w:hAnsi="Arial Nova"/>
        </w:rPr>
      </w:pPr>
      <w:r w:rsidRPr="00DF08BC">
        <w:rPr>
          <w:rFonts w:ascii="Arial Nova" w:hAnsi="Arial Nova"/>
        </w:rPr>
        <w:t>Key limitations include restricted access to Good Manufacturing Practice</w:t>
      </w:r>
      <w:r w:rsidR="007B2D19" w:rsidRPr="00DF08BC">
        <w:rPr>
          <w:rFonts w:ascii="Arial Nova" w:hAnsi="Arial Nova"/>
        </w:rPr>
        <w:t xml:space="preserve"> </w:t>
      </w:r>
      <w:r w:rsidRPr="00DF08BC">
        <w:rPr>
          <w:rFonts w:ascii="Arial Nova" w:hAnsi="Arial Nova"/>
        </w:rPr>
        <w:t>compliant facilities, unclear regulatory pathways, and concerns about equity and patient safety (Loh et al., 2021). These barriers affect how consistently and fairly phage therapy can be delivered in practice.</w:t>
      </w:r>
    </w:p>
    <w:p w14:paraId="6426FB96" w14:textId="7D9B8201" w:rsidR="006B2437" w:rsidRPr="00DF08BC" w:rsidRDefault="006B2437" w:rsidP="000655D0">
      <w:pPr>
        <w:rPr>
          <w:rFonts w:ascii="Arial Nova" w:hAnsi="Arial Nova"/>
        </w:rPr>
      </w:pPr>
      <w:r w:rsidRPr="00DF08BC">
        <w:rPr>
          <w:rFonts w:ascii="Arial Nova" w:hAnsi="Arial Nova"/>
        </w:rPr>
        <w:t>Recommendations include increasing UK</w:t>
      </w:r>
      <w:r w:rsidR="0025166A" w:rsidRPr="00DF08BC">
        <w:rPr>
          <w:rFonts w:ascii="Arial Nova" w:hAnsi="Arial Nova"/>
        </w:rPr>
        <w:t xml:space="preserve"> </w:t>
      </w:r>
      <w:r w:rsidRPr="00DF08BC">
        <w:rPr>
          <w:rFonts w:ascii="Arial Nova" w:hAnsi="Arial Nova"/>
        </w:rPr>
        <w:t>based clinical trials, developing clearer regulatory guidance, improving education for nursing and healthcare staff, and encouraging closer collaboration between researchers, clinicians, and policymakers to support safe and effective future use.</w:t>
      </w:r>
    </w:p>
    <w:p w14:paraId="468E9983" w14:textId="77777777" w:rsidR="006B2437" w:rsidRPr="00DF08BC" w:rsidRDefault="006B2437" w:rsidP="000655D0">
      <w:pPr>
        <w:rPr>
          <w:rFonts w:ascii="Arial Nova" w:hAnsi="Arial Nova"/>
        </w:rPr>
      </w:pPr>
    </w:p>
    <w:p w14:paraId="59B17F1B" w14:textId="77777777" w:rsidR="00F3393E" w:rsidRPr="00DF08BC" w:rsidRDefault="00F3393E" w:rsidP="000655D0">
      <w:pPr>
        <w:rPr>
          <w:rFonts w:ascii="Arial Nova" w:hAnsi="Arial Nova"/>
        </w:rPr>
      </w:pPr>
    </w:p>
    <w:p w14:paraId="62EE7C44" w14:textId="77777777" w:rsidR="00123372" w:rsidRDefault="00123372" w:rsidP="00804B94">
      <w:pPr>
        <w:pStyle w:val="Heading1"/>
        <w:spacing w:line="360" w:lineRule="auto"/>
        <w:ind w:left="0"/>
        <w:jc w:val="center"/>
        <w:rPr>
          <w:rFonts w:ascii="Aptos" w:hAnsi="Aptos"/>
        </w:rPr>
      </w:pPr>
    </w:p>
    <w:p w14:paraId="5F9F2722" w14:textId="77777777" w:rsidR="00EC3A60" w:rsidRDefault="00EC3A60" w:rsidP="00804B94">
      <w:pPr>
        <w:pStyle w:val="Heading1"/>
        <w:spacing w:line="360" w:lineRule="auto"/>
        <w:ind w:left="0"/>
        <w:jc w:val="center"/>
        <w:rPr>
          <w:rFonts w:ascii="Aptos" w:hAnsi="Aptos"/>
        </w:rPr>
      </w:pPr>
    </w:p>
    <w:p w14:paraId="4992F7F6" w14:textId="77777777" w:rsidR="00EC3A60" w:rsidRDefault="00EC3A60" w:rsidP="00804B94">
      <w:pPr>
        <w:pStyle w:val="Heading1"/>
        <w:spacing w:line="360" w:lineRule="auto"/>
        <w:ind w:left="0"/>
        <w:jc w:val="center"/>
        <w:rPr>
          <w:rFonts w:ascii="Aptos" w:hAnsi="Aptos"/>
        </w:rPr>
      </w:pPr>
    </w:p>
    <w:p w14:paraId="15BFA27A" w14:textId="77AD2C8C" w:rsidR="00804B94" w:rsidRPr="00DF08BC" w:rsidRDefault="00804B94" w:rsidP="00804B94">
      <w:pPr>
        <w:pStyle w:val="Heading1"/>
        <w:spacing w:line="360" w:lineRule="auto"/>
        <w:ind w:left="0"/>
        <w:jc w:val="center"/>
        <w:rPr>
          <w:rFonts w:ascii="Aptos" w:hAnsi="Aptos"/>
          <w:b w:val="0"/>
        </w:rPr>
      </w:pPr>
      <w:r w:rsidRPr="00DF08BC">
        <w:rPr>
          <w:rFonts w:ascii="Aptos" w:hAnsi="Aptos"/>
        </w:rPr>
        <w:lastRenderedPageBreak/>
        <w:t>Table of Contents</w:t>
      </w:r>
    </w:p>
    <w:p w14:paraId="6AD8EAB4" w14:textId="77777777" w:rsidR="00B949D0" w:rsidRPr="00E71FC9" w:rsidRDefault="00B949D0" w:rsidP="00B949D0">
      <w:pPr>
        <w:pStyle w:val="Heading1"/>
        <w:spacing w:line="360" w:lineRule="auto"/>
        <w:ind w:left="0"/>
        <w:jc w:val="both"/>
        <w:rPr>
          <w:rFonts w:ascii="Arial Nova" w:hAnsi="Arial Nova"/>
          <w:b w:val="0"/>
          <w:sz w:val="22"/>
          <w:szCs w:val="22"/>
        </w:rPr>
      </w:pPr>
    </w:p>
    <w:p w14:paraId="2FBD077F" w14:textId="77777777" w:rsidR="00AC70DD" w:rsidRDefault="00AC70DD" w:rsidP="00AC70DD">
      <w:pPr>
        <w:tabs>
          <w:tab w:val="right" w:leader="dot" w:pos="9026"/>
        </w:tabs>
        <w:spacing w:before="200" w:line="276" w:lineRule="auto"/>
        <w:rPr>
          <w:rFonts w:ascii="Arial Nova" w:hAnsi="Arial Nova"/>
          <w:b/>
        </w:rPr>
      </w:pPr>
      <w:r>
        <w:rPr>
          <w:rFonts w:ascii="Arial Nova" w:hAnsi="Arial Nova"/>
          <w:b/>
        </w:rPr>
        <w:t>Acknowledgements</w:t>
      </w:r>
      <w:r>
        <w:rPr>
          <w:rFonts w:ascii="Arial Nova" w:hAnsi="Arial Nova"/>
          <w:b/>
        </w:rPr>
        <w:tab/>
        <w:t>4</w:t>
      </w:r>
    </w:p>
    <w:p w14:paraId="01D57299" w14:textId="77777777" w:rsidR="00AC70DD" w:rsidRDefault="00AC70DD" w:rsidP="00AC70DD">
      <w:pPr>
        <w:tabs>
          <w:tab w:val="right" w:leader="dot" w:pos="9026"/>
        </w:tabs>
        <w:spacing w:before="200" w:line="276" w:lineRule="auto"/>
        <w:rPr>
          <w:rFonts w:ascii="Arial Nova" w:hAnsi="Arial Nova"/>
          <w:b/>
        </w:rPr>
      </w:pPr>
      <w:r>
        <w:rPr>
          <w:rFonts w:ascii="Arial Nova" w:hAnsi="Arial Nova"/>
          <w:b/>
        </w:rPr>
        <w:t>Abstract</w:t>
      </w:r>
      <w:r>
        <w:rPr>
          <w:rFonts w:ascii="Arial Nova" w:hAnsi="Arial Nova"/>
          <w:b/>
        </w:rPr>
        <w:tab/>
        <w:t>5</w:t>
      </w:r>
    </w:p>
    <w:p w14:paraId="749A1ACA" w14:textId="77777777" w:rsidR="00AC70DD" w:rsidRDefault="00AC70DD" w:rsidP="00AC70DD">
      <w:pPr>
        <w:tabs>
          <w:tab w:val="right" w:leader="dot" w:pos="9026"/>
        </w:tabs>
        <w:spacing w:before="200" w:line="276" w:lineRule="auto"/>
        <w:rPr>
          <w:rFonts w:ascii="Arial Nova" w:hAnsi="Arial Nova"/>
          <w:b/>
        </w:rPr>
      </w:pPr>
      <w:r>
        <w:rPr>
          <w:rFonts w:ascii="Arial Nova" w:hAnsi="Arial Nova"/>
          <w:b/>
        </w:rPr>
        <w:t>CHAPTER 1: Introduction</w:t>
      </w:r>
      <w:r>
        <w:rPr>
          <w:rFonts w:ascii="Arial Nova" w:hAnsi="Arial Nova"/>
          <w:b/>
        </w:rPr>
        <w:tab/>
        <w:t>8</w:t>
      </w:r>
    </w:p>
    <w:p w14:paraId="5702B4F7"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t>1.1 Introduction</w:t>
      </w:r>
      <w:r>
        <w:rPr>
          <w:rFonts w:ascii="Arial Nova" w:hAnsi="Arial Nova"/>
        </w:rPr>
        <w:tab/>
        <w:t>8</w:t>
      </w:r>
    </w:p>
    <w:p w14:paraId="1DE542C5"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t>1.2 Definitions and Terminology</w:t>
      </w:r>
      <w:r>
        <w:rPr>
          <w:rFonts w:ascii="Arial Nova" w:hAnsi="Arial Nova"/>
        </w:rPr>
        <w:tab/>
        <w:t>8</w:t>
      </w:r>
    </w:p>
    <w:p w14:paraId="7F3F4DA3"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t>1.3 Background and Current Context</w:t>
      </w:r>
      <w:r>
        <w:rPr>
          <w:rFonts w:ascii="Arial Nova" w:hAnsi="Arial Nova"/>
        </w:rPr>
        <w:tab/>
        <w:t>9</w:t>
      </w:r>
    </w:p>
    <w:p w14:paraId="3A9270C2"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t>1.4 Rationale for Research / Problem Statement</w:t>
      </w:r>
      <w:r>
        <w:rPr>
          <w:rFonts w:ascii="Arial Nova" w:hAnsi="Arial Nova"/>
        </w:rPr>
        <w:tab/>
        <w:t>10</w:t>
      </w:r>
    </w:p>
    <w:p w14:paraId="1EFC96C6"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t>1.5 Aim and Objectives</w:t>
      </w:r>
      <w:r>
        <w:rPr>
          <w:rFonts w:ascii="Arial Nova" w:hAnsi="Arial Nova"/>
        </w:rPr>
        <w:tab/>
        <w:t>10</w:t>
      </w:r>
    </w:p>
    <w:p w14:paraId="5B30EAAB"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t>1.6 Conclusion</w:t>
      </w:r>
      <w:r>
        <w:rPr>
          <w:rFonts w:ascii="Arial Nova" w:hAnsi="Arial Nova"/>
        </w:rPr>
        <w:tab/>
        <w:t>11</w:t>
      </w:r>
    </w:p>
    <w:p w14:paraId="7EA7798F" w14:textId="77777777" w:rsidR="00AC70DD" w:rsidRDefault="00AC70DD" w:rsidP="00AC70DD">
      <w:pPr>
        <w:tabs>
          <w:tab w:val="right" w:leader="dot" w:pos="9026"/>
        </w:tabs>
        <w:spacing w:before="200" w:line="276" w:lineRule="auto"/>
        <w:rPr>
          <w:rFonts w:ascii="Arial Nova" w:hAnsi="Arial Nova"/>
          <w:b/>
        </w:rPr>
      </w:pPr>
      <w:r>
        <w:rPr>
          <w:rFonts w:ascii="Arial Nova" w:hAnsi="Arial Nova"/>
          <w:b/>
        </w:rPr>
        <w:t>CHAPTER 2 – Background Information and Analysis</w:t>
      </w:r>
      <w:r>
        <w:rPr>
          <w:rFonts w:ascii="Arial Nova" w:hAnsi="Arial Nova"/>
          <w:b/>
        </w:rPr>
        <w:tab/>
        <w:t>12</w:t>
      </w:r>
    </w:p>
    <w:p w14:paraId="79EF622D"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t>2.1 Introduction</w:t>
      </w:r>
      <w:r>
        <w:rPr>
          <w:rFonts w:ascii="Arial Nova" w:hAnsi="Arial Nova"/>
        </w:rPr>
        <w:tab/>
        <w:t>12</w:t>
      </w:r>
    </w:p>
    <w:p w14:paraId="6F9642AB"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t>2.2 Historical Background</w:t>
      </w:r>
      <w:r>
        <w:rPr>
          <w:rFonts w:ascii="Arial Nova" w:hAnsi="Arial Nova"/>
        </w:rPr>
        <w:tab/>
        <w:t>12</w:t>
      </w:r>
    </w:p>
    <w:p w14:paraId="728890BB"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t>2.3 Theoretical Background</w:t>
      </w:r>
      <w:r>
        <w:rPr>
          <w:rFonts w:ascii="Arial Nova" w:hAnsi="Arial Nova"/>
        </w:rPr>
        <w:tab/>
        <w:t>14</w:t>
      </w:r>
    </w:p>
    <w:p w14:paraId="7C254473" w14:textId="77777777" w:rsidR="00AC70DD" w:rsidRDefault="00AC70DD" w:rsidP="00AC70DD">
      <w:pPr>
        <w:spacing w:line="276" w:lineRule="auto"/>
        <w:rPr>
          <w:rFonts w:ascii="Arial Nova" w:hAnsi="Arial Nova"/>
        </w:rPr>
      </w:pPr>
      <w:r>
        <w:rPr>
          <w:rFonts w:ascii="Arial Nova" w:hAnsi="Arial Nova"/>
        </w:rPr>
        <w:t xml:space="preserve">      </w:t>
      </w:r>
      <w:r w:rsidRPr="00F60767">
        <w:rPr>
          <w:rFonts w:ascii="Arial Nova" w:hAnsi="Arial Nova"/>
        </w:rPr>
        <w:t>2.4 International Context</w:t>
      </w:r>
      <w:r>
        <w:rPr>
          <w:rFonts w:ascii="Arial Nova" w:hAnsi="Arial Nova"/>
        </w:rPr>
        <w:t>……………………………………………………………………15</w:t>
      </w:r>
    </w:p>
    <w:p w14:paraId="3CBFECFC" w14:textId="77777777" w:rsidR="00AC70DD" w:rsidRDefault="00AC70DD" w:rsidP="00AC70DD">
      <w:pPr>
        <w:spacing w:after="0" w:line="276" w:lineRule="auto"/>
        <w:rPr>
          <w:rFonts w:ascii="Arial Nova" w:hAnsi="Arial Nova"/>
        </w:rPr>
      </w:pPr>
      <w:r>
        <w:rPr>
          <w:rFonts w:ascii="Arial Nova" w:hAnsi="Arial Nova"/>
        </w:rPr>
        <w:t xml:space="preserve">      2.5 </w:t>
      </w:r>
      <w:r w:rsidRPr="00F60767">
        <w:rPr>
          <w:rFonts w:ascii="Arial Nova" w:hAnsi="Arial Nova"/>
        </w:rPr>
        <w:t>National-Local UK Context</w:t>
      </w:r>
      <w:r>
        <w:rPr>
          <w:rFonts w:ascii="Arial Nova" w:hAnsi="Arial Nova"/>
        </w:rPr>
        <w:t>……………………………………………………………...16</w:t>
      </w:r>
    </w:p>
    <w:p w14:paraId="29F3471B" w14:textId="77777777" w:rsidR="00AC70DD" w:rsidRPr="00F60767" w:rsidRDefault="00AC70DD" w:rsidP="00AC70DD">
      <w:pPr>
        <w:spacing w:after="0" w:line="276" w:lineRule="auto"/>
        <w:rPr>
          <w:rFonts w:ascii="Arial Nova" w:hAnsi="Arial Nova"/>
        </w:rPr>
      </w:pPr>
      <w:r>
        <w:rPr>
          <w:rFonts w:ascii="Arial Nova" w:hAnsi="Arial Nova"/>
        </w:rPr>
        <w:t xml:space="preserve">      </w:t>
      </w:r>
      <w:r w:rsidRPr="00F60767">
        <w:rPr>
          <w:rFonts w:ascii="Arial Nova" w:hAnsi="Arial Nova"/>
        </w:rPr>
        <w:t xml:space="preserve">2.6 </w:t>
      </w:r>
      <w:r w:rsidRPr="00F60767">
        <w:rPr>
          <w:rFonts w:ascii="Arial Nova" w:eastAsia="Calibri" w:hAnsi="Arial Nova" w:cs="Calibri"/>
        </w:rPr>
        <w:t>Conclusion</w:t>
      </w:r>
      <w:r>
        <w:rPr>
          <w:rFonts w:ascii="Arial Nova" w:eastAsia="Calibri" w:hAnsi="Arial Nova" w:cs="Calibri"/>
        </w:rPr>
        <w:t>………………………………………………………………………………..17</w:t>
      </w:r>
    </w:p>
    <w:p w14:paraId="74FB9C30" w14:textId="77777777" w:rsidR="00AC70DD" w:rsidRDefault="00AC70DD" w:rsidP="00AC70DD">
      <w:pPr>
        <w:tabs>
          <w:tab w:val="right" w:leader="dot" w:pos="9026"/>
        </w:tabs>
        <w:spacing w:before="200" w:line="276" w:lineRule="auto"/>
        <w:rPr>
          <w:rFonts w:ascii="Arial Nova" w:hAnsi="Arial Nova"/>
          <w:b/>
        </w:rPr>
      </w:pPr>
      <w:r>
        <w:rPr>
          <w:rFonts w:ascii="Arial Nova" w:hAnsi="Arial Nova"/>
          <w:b/>
        </w:rPr>
        <w:t>CHAPTER 3 – Methods and Search Strategy</w:t>
      </w:r>
      <w:r>
        <w:rPr>
          <w:rFonts w:ascii="Arial Nova" w:hAnsi="Arial Nova"/>
          <w:b/>
        </w:rPr>
        <w:tab/>
        <w:t>18</w:t>
      </w:r>
    </w:p>
    <w:p w14:paraId="73A3E548"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t>3.1 Introduction</w:t>
      </w:r>
      <w:r>
        <w:rPr>
          <w:rFonts w:ascii="Arial Nova" w:hAnsi="Arial Nova"/>
        </w:rPr>
        <w:tab/>
        <w:t>18</w:t>
      </w:r>
    </w:p>
    <w:p w14:paraId="719FE122"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t>3.2 Search Strategy</w:t>
      </w:r>
      <w:r>
        <w:rPr>
          <w:rFonts w:ascii="Arial Nova" w:hAnsi="Arial Nova"/>
        </w:rPr>
        <w:tab/>
        <w:t>18</w:t>
      </w:r>
    </w:p>
    <w:p w14:paraId="1D8CB76F"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t>3.3 Searching for Information</w:t>
      </w:r>
      <w:r>
        <w:rPr>
          <w:rFonts w:ascii="Arial Nova" w:hAnsi="Arial Nova"/>
        </w:rPr>
        <w:tab/>
        <w:t>18</w:t>
      </w:r>
    </w:p>
    <w:p w14:paraId="3A65EE53"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t>3.4 Research Validation</w:t>
      </w:r>
      <w:r>
        <w:rPr>
          <w:rFonts w:ascii="Arial Nova" w:hAnsi="Arial Nova"/>
        </w:rPr>
        <w:tab/>
        <w:t>19</w:t>
      </w:r>
    </w:p>
    <w:p w14:paraId="7374A730"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t>3.5 Inclusion and Exclusion Criteria</w:t>
      </w:r>
      <w:r>
        <w:rPr>
          <w:rFonts w:ascii="Arial Nova" w:hAnsi="Arial Nova"/>
        </w:rPr>
        <w:tab/>
        <w:t>19</w:t>
      </w:r>
    </w:p>
    <w:p w14:paraId="5D3ECFC0"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t>3.6 Analysing Research</w:t>
      </w:r>
      <w:r>
        <w:rPr>
          <w:rFonts w:ascii="Arial Nova" w:hAnsi="Arial Nova"/>
        </w:rPr>
        <w:tab/>
        <w:t>20</w:t>
      </w:r>
    </w:p>
    <w:p w14:paraId="4DB4E792"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t>3.7 Ethical Considerations</w:t>
      </w:r>
      <w:r>
        <w:rPr>
          <w:rFonts w:ascii="Arial Nova" w:hAnsi="Arial Nova"/>
        </w:rPr>
        <w:tab/>
        <w:t>20</w:t>
      </w:r>
    </w:p>
    <w:p w14:paraId="30249851"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t>3.8 Chapter Conclusion</w:t>
      </w:r>
      <w:r>
        <w:rPr>
          <w:rFonts w:ascii="Arial Nova" w:hAnsi="Arial Nova"/>
        </w:rPr>
        <w:tab/>
        <w:t>20</w:t>
      </w:r>
    </w:p>
    <w:p w14:paraId="06F431D2" w14:textId="77777777" w:rsidR="00AC70DD" w:rsidRDefault="00AC70DD" w:rsidP="00AC70DD">
      <w:pPr>
        <w:tabs>
          <w:tab w:val="right" w:leader="dot" w:pos="9026"/>
        </w:tabs>
        <w:spacing w:before="200" w:line="276" w:lineRule="auto"/>
        <w:rPr>
          <w:rFonts w:ascii="Arial Nova" w:hAnsi="Arial Nova"/>
          <w:b/>
        </w:rPr>
      </w:pPr>
      <w:r>
        <w:rPr>
          <w:rFonts w:ascii="Arial Nova" w:hAnsi="Arial Nova"/>
          <w:b/>
        </w:rPr>
        <w:t>CHAPTER 4 – Findings and Discussion</w:t>
      </w:r>
      <w:r>
        <w:rPr>
          <w:rFonts w:ascii="Arial Nova" w:hAnsi="Arial Nova"/>
          <w:b/>
        </w:rPr>
        <w:tab/>
        <w:t>21</w:t>
      </w:r>
    </w:p>
    <w:p w14:paraId="61280952"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t>4.1 Introduction</w:t>
      </w:r>
      <w:r>
        <w:rPr>
          <w:rFonts w:ascii="Arial Nova" w:hAnsi="Arial Nova"/>
        </w:rPr>
        <w:tab/>
        <w:t>21</w:t>
      </w:r>
    </w:p>
    <w:p w14:paraId="57FA8C4B"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lastRenderedPageBreak/>
        <w:t>4.2 Thematic Analysis</w:t>
      </w:r>
      <w:r>
        <w:rPr>
          <w:rFonts w:ascii="Arial Nova" w:hAnsi="Arial Nova"/>
        </w:rPr>
        <w:tab/>
        <w:t>21</w:t>
      </w:r>
    </w:p>
    <w:p w14:paraId="41E4FC9A"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t>4.3 Theme 1: Regulatory and Legal Barriers to Phage Therapy in the UK</w:t>
      </w:r>
      <w:r>
        <w:rPr>
          <w:rFonts w:ascii="Arial Nova" w:hAnsi="Arial Nova"/>
        </w:rPr>
        <w:tab/>
        <w:t>21</w:t>
      </w:r>
    </w:p>
    <w:p w14:paraId="08BB743E"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t>4.4 Theme 2: Scientific and Clinical Evidence Gaps</w:t>
      </w:r>
      <w:r>
        <w:rPr>
          <w:rFonts w:ascii="Arial Nova" w:hAnsi="Arial Nova"/>
        </w:rPr>
        <w:tab/>
        <w:t>24</w:t>
      </w:r>
    </w:p>
    <w:p w14:paraId="1A672F44"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t>4.5 Theme 3: Nursing Practice, Public Health and Antimicrobial Stewardship</w:t>
      </w:r>
      <w:r>
        <w:rPr>
          <w:rFonts w:ascii="Arial Nova" w:hAnsi="Arial Nova"/>
        </w:rPr>
        <w:tab/>
        <w:t>27</w:t>
      </w:r>
    </w:p>
    <w:p w14:paraId="038CF4C9"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t>4.6 Chapter Conclusion</w:t>
      </w:r>
      <w:r>
        <w:rPr>
          <w:rFonts w:ascii="Arial Nova" w:hAnsi="Arial Nova"/>
        </w:rPr>
        <w:tab/>
        <w:t>30</w:t>
      </w:r>
    </w:p>
    <w:p w14:paraId="51977585" w14:textId="77777777" w:rsidR="00AC70DD" w:rsidRDefault="00AC70DD" w:rsidP="00AC70DD">
      <w:pPr>
        <w:tabs>
          <w:tab w:val="right" w:leader="dot" w:pos="9026"/>
        </w:tabs>
        <w:spacing w:before="200" w:line="276" w:lineRule="auto"/>
        <w:rPr>
          <w:rFonts w:ascii="Arial Nova" w:hAnsi="Arial Nova"/>
          <w:b/>
        </w:rPr>
      </w:pPr>
      <w:r>
        <w:rPr>
          <w:rFonts w:ascii="Arial Nova" w:hAnsi="Arial Nova"/>
          <w:b/>
        </w:rPr>
        <w:t>CHAPTER 5 – Conclusion and Recommendations</w:t>
      </w:r>
      <w:r>
        <w:rPr>
          <w:rFonts w:ascii="Arial Nova" w:hAnsi="Arial Nova"/>
          <w:b/>
        </w:rPr>
        <w:tab/>
        <w:t>31</w:t>
      </w:r>
    </w:p>
    <w:p w14:paraId="3A84597E"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t>5.1 Overall Conclusion</w:t>
      </w:r>
      <w:r>
        <w:rPr>
          <w:rFonts w:ascii="Arial Nova" w:hAnsi="Arial Nova"/>
        </w:rPr>
        <w:tab/>
        <w:t>31</w:t>
      </w:r>
    </w:p>
    <w:p w14:paraId="0269F904"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t>5.2 Recommendations</w:t>
      </w:r>
      <w:r>
        <w:rPr>
          <w:rFonts w:ascii="Arial Nova" w:hAnsi="Arial Nova"/>
        </w:rPr>
        <w:tab/>
        <w:t>31</w:t>
      </w:r>
    </w:p>
    <w:p w14:paraId="3682B172" w14:textId="77777777" w:rsidR="00AC70DD" w:rsidRDefault="00AC70DD" w:rsidP="00AC70DD">
      <w:pPr>
        <w:tabs>
          <w:tab w:val="right" w:leader="dot" w:pos="8306"/>
        </w:tabs>
        <w:spacing w:line="276" w:lineRule="auto"/>
        <w:ind w:left="720"/>
        <w:rPr>
          <w:rFonts w:ascii="Arial Nova" w:hAnsi="Arial Nova"/>
        </w:rPr>
      </w:pPr>
      <w:r>
        <w:rPr>
          <w:rFonts w:ascii="Arial Nova" w:hAnsi="Arial Nova"/>
        </w:rPr>
        <w:t>5.2.1 Recommendation 1: Streamline UK regulatory pathways for phage therapy...</w:t>
      </w:r>
      <w:r>
        <w:rPr>
          <w:rFonts w:ascii="Arial Nova" w:hAnsi="Arial Nova"/>
        </w:rPr>
        <w:tab/>
        <w:t>31</w:t>
      </w:r>
    </w:p>
    <w:p w14:paraId="4EDE3596" w14:textId="1B8DA2FE" w:rsidR="00AC70DD" w:rsidRDefault="00AC70DD" w:rsidP="00AC70DD">
      <w:pPr>
        <w:tabs>
          <w:tab w:val="right" w:leader="dot" w:pos="8306"/>
        </w:tabs>
        <w:spacing w:line="276" w:lineRule="auto"/>
        <w:ind w:left="720"/>
        <w:rPr>
          <w:rFonts w:ascii="Arial Nova" w:hAnsi="Arial Nova"/>
        </w:rPr>
      </w:pPr>
      <w:r>
        <w:rPr>
          <w:rFonts w:ascii="Arial Nova" w:hAnsi="Arial Nova"/>
        </w:rPr>
        <w:t>5.2.2 Recommendation 2: Invest in UK-based clinical research suited to personalised treatments</w:t>
      </w:r>
      <w:r>
        <w:rPr>
          <w:rFonts w:ascii="Arial Nova" w:hAnsi="Arial Nova"/>
        </w:rPr>
        <w:tab/>
        <w:t>…32</w:t>
      </w:r>
    </w:p>
    <w:p w14:paraId="3DBA9DCC" w14:textId="77777777" w:rsidR="00AC70DD" w:rsidRDefault="00AC70DD" w:rsidP="00AC70DD">
      <w:pPr>
        <w:tabs>
          <w:tab w:val="right" w:leader="dot" w:pos="8306"/>
        </w:tabs>
        <w:spacing w:line="276" w:lineRule="auto"/>
        <w:ind w:left="720"/>
        <w:rPr>
          <w:rFonts w:ascii="Arial Nova" w:hAnsi="Arial Nova"/>
        </w:rPr>
      </w:pPr>
      <w:r>
        <w:rPr>
          <w:rFonts w:ascii="Arial Nova" w:hAnsi="Arial Nova"/>
        </w:rPr>
        <w:t>5.2.3 Recommendation 3: Embed antimicrobial resistance and phage therapy awareness into nursing education and stewardship training</w:t>
      </w:r>
      <w:r>
        <w:rPr>
          <w:rFonts w:ascii="Arial Nova" w:hAnsi="Arial Nova"/>
        </w:rPr>
        <w:tab/>
        <w:t>33</w:t>
      </w:r>
    </w:p>
    <w:p w14:paraId="3B4480F0" w14:textId="77777777" w:rsidR="00AC70DD" w:rsidRDefault="00AC70DD" w:rsidP="00AC70DD">
      <w:pPr>
        <w:tabs>
          <w:tab w:val="right" w:leader="dot" w:pos="9026"/>
        </w:tabs>
        <w:spacing w:before="200" w:line="276" w:lineRule="auto"/>
        <w:rPr>
          <w:rFonts w:ascii="Arial Nova" w:hAnsi="Arial Nova"/>
          <w:b/>
        </w:rPr>
      </w:pPr>
      <w:r>
        <w:rPr>
          <w:rFonts w:ascii="Arial Nova" w:hAnsi="Arial Nova"/>
          <w:b/>
        </w:rPr>
        <w:t>CHAPTER 6 – References and Appendices</w:t>
      </w:r>
      <w:r>
        <w:rPr>
          <w:rFonts w:ascii="Arial Nova" w:hAnsi="Arial Nova"/>
          <w:b/>
        </w:rPr>
        <w:tab/>
        <w:t>34</w:t>
      </w:r>
    </w:p>
    <w:p w14:paraId="4E134B42" w14:textId="56CD12DC" w:rsidR="00AC70DD" w:rsidRDefault="00AC70DD" w:rsidP="00AC70DD">
      <w:pPr>
        <w:tabs>
          <w:tab w:val="right" w:leader="dot" w:pos="8666"/>
        </w:tabs>
        <w:spacing w:line="276" w:lineRule="auto"/>
        <w:ind w:left="360"/>
        <w:rPr>
          <w:rFonts w:ascii="Arial Nova" w:hAnsi="Arial Nova"/>
        </w:rPr>
      </w:pPr>
      <w:r>
        <w:rPr>
          <w:rFonts w:ascii="Arial Nova" w:hAnsi="Arial Nova"/>
        </w:rPr>
        <w:t>6.1 References</w:t>
      </w:r>
      <w:r>
        <w:rPr>
          <w:rFonts w:ascii="Arial Nova" w:hAnsi="Arial Nova"/>
        </w:rPr>
        <w:tab/>
        <w:t>3</w:t>
      </w:r>
      <w:r w:rsidR="00567515">
        <w:rPr>
          <w:rFonts w:ascii="Arial Nova" w:hAnsi="Arial Nova"/>
        </w:rPr>
        <w:t>4</w:t>
      </w:r>
    </w:p>
    <w:p w14:paraId="553AF52C" w14:textId="77777777" w:rsidR="00AC70DD" w:rsidRDefault="00AC70DD" w:rsidP="00AC70DD">
      <w:pPr>
        <w:tabs>
          <w:tab w:val="right" w:leader="dot" w:pos="8666"/>
        </w:tabs>
        <w:spacing w:line="276" w:lineRule="auto"/>
        <w:ind w:left="360"/>
        <w:rPr>
          <w:rFonts w:ascii="Arial Nova" w:hAnsi="Arial Nova"/>
        </w:rPr>
      </w:pPr>
      <w:r>
        <w:rPr>
          <w:rFonts w:ascii="Arial Nova" w:hAnsi="Arial Nova"/>
        </w:rPr>
        <w:t>6.2 Appendices</w:t>
      </w:r>
      <w:r>
        <w:rPr>
          <w:rFonts w:ascii="Arial Nova" w:hAnsi="Arial Nova"/>
        </w:rPr>
        <w:tab/>
        <w:t>43</w:t>
      </w:r>
    </w:p>
    <w:p w14:paraId="51DC7CCA" w14:textId="77777777" w:rsidR="00AC70DD" w:rsidRPr="00242567" w:rsidRDefault="00AC70DD" w:rsidP="00AC70DD">
      <w:pPr>
        <w:spacing w:after="200" w:line="276" w:lineRule="auto"/>
        <w:rPr>
          <w:rFonts w:ascii="Arial Nova" w:hAnsi="Arial Nova"/>
          <w:bCs/>
        </w:rPr>
      </w:pPr>
      <w:r w:rsidRPr="00242567">
        <w:rPr>
          <w:rFonts w:ascii="Arial Nova" w:hAnsi="Arial Nova"/>
          <w:bCs/>
        </w:rPr>
        <w:t xml:space="preserve">      6.2.1. Appendix A – Search Strategy and Database Search Terms</w:t>
      </w:r>
      <w:r>
        <w:rPr>
          <w:rFonts w:ascii="Arial Nova" w:hAnsi="Arial Nova"/>
          <w:bCs/>
        </w:rPr>
        <w:t>……………………43</w:t>
      </w:r>
    </w:p>
    <w:p w14:paraId="12AC2920" w14:textId="77777777" w:rsidR="00AC70DD" w:rsidRDefault="00AC70DD" w:rsidP="00AC70DD">
      <w:pPr>
        <w:spacing w:line="276" w:lineRule="auto"/>
        <w:rPr>
          <w:rFonts w:ascii="Arial Nova" w:hAnsi="Arial Nova"/>
          <w:bCs/>
        </w:rPr>
      </w:pPr>
      <w:r>
        <w:rPr>
          <w:rFonts w:ascii="Arial Nova" w:hAnsi="Arial Nova"/>
        </w:rPr>
        <w:t xml:space="preserve">      </w:t>
      </w:r>
      <w:r w:rsidRPr="00242567">
        <w:rPr>
          <w:rFonts w:ascii="Arial Nova" w:hAnsi="Arial Nova"/>
          <w:bCs/>
        </w:rPr>
        <w:t>6.2.2. Appendix B – Glossary of Specialist Terms</w:t>
      </w:r>
      <w:r>
        <w:rPr>
          <w:rFonts w:ascii="Arial Nova" w:hAnsi="Arial Nova"/>
          <w:bCs/>
        </w:rPr>
        <w:t>………………………………………. 44</w:t>
      </w:r>
    </w:p>
    <w:p w14:paraId="71B27EFF" w14:textId="77777777" w:rsidR="00AC70DD" w:rsidRDefault="00AC70DD" w:rsidP="00AC70DD">
      <w:pPr>
        <w:spacing w:after="200" w:line="276" w:lineRule="auto"/>
        <w:rPr>
          <w:rFonts w:ascii="Arial Nova" w:hAnsi="Arial Nova"/>
          <w:bCs/>
        </w:rPr>
      </w:pPr>
      <w:r w:rsidRPr="009B63E8">
        <w:rPr>
          <w:rFonts w:ascii="Arial Nova" w:hAnsi="Arial Nova"/>
          <w:bCs/>
        </w:rPr>
        <w:t xml:space="preserve">      6.2.3 Appendix C – Thematic Coding Framework (Results Summary Table)</w:t>
      </w:r>
      <w:r>
        <w:rPr>
          <w:rFonts w:ascii="Arial Nova" w:hAnsi="Arial Nova"/>
          <w:bCs/>
        </w:rPr>
        <w:t xml:space="preserve"> …………46</w:t>
      </w:r>
    </w:p>
    <w:p w14:paraId="67BEFCB0" w14:textId="77777777" w:rsidR="00AC70DD" w:rsidRDefault="00AC70DD" w:rsidP="00AC70DD">
      <w:pPr>
        <w:spacing w:after="140" w:line="276" w:lineRule="auto"/>
        <w:rPr>
          <w:rFonts w:ascii="Arial Nova" w:hAnsi="Arial Nova"/>
          <w:bCs/>
        </w:rPr>
      </w:pPr>
      <w:r>
        <w:rPr>
          <w:rFonts w:ascii="Arial Nova" w:hAnsi="Arial Nova"/>
          <w:bCs/>
        </w:rPr>
        <w:t xml:space="preserve">       </w:t>
      </w:r>
      <w:r w:rsidRPr="009B63E8">
        <w:rPr>
          <w:rFonts w:ascii="Arial Nova" w:hAnsi="Arial Nova"/>
          <w:bCs/>
        </w:rPr>
        <w:t>6.2.4 Appendix D – Source Tracking Table……………………………………………….47</w:t>
      </w:r>
    </w:p>
    <w:p w14:paraId="24F0D61D" w14:textId="77777777" w:rsidR="00AC70DD" w:rsidRDefault="00AC70DD" w:rsidP="00AC70DD">
      <w:pPr>
        <w:spacing w:line="276" w:lineRule="auto"/>
        <w:rPr>
          <w:rFonts w:ascii="Arial Nova" w:hAnsi="Arial Nova"/>
        </w:rPr>
      </w:pPr>
      <w:r>
        <w:rPr>
          <w:rFonts w:ascii="Arial Nova" w:hAnsi="Arial Nova"/>
          <w:bCs/>
        </w:rPr>
        <w:t xml:space="preserve">       </w:t>
      </w:r>
      <w:r w:rsidRPr="009B63E8">
        <w:rPr>
          <w:rFonts w:ascii="Arial Nova" w:hAnsi="Arial Nova"/>
        </w:rPr>
        <w:t>6.2.5. Appendix E – Glossary of Specialist Terms</w:t>
      </w:r>
      <w:r>
        <w:rPr>
          <w:rFonts w:ascii="Arial Nova" w:hAnsi="Arial Nova"/>
        </w:rPr>
        <w:t>……………………………………….48</w:t>
      </w:r>
    </w:p>
    <w:p w14:paraId="4652D8C6" w14:textId="77777777" w:rsidR="00AC70DD" w:rsidRDefault="00AC70DD" w:rsidP="00AC70DD">
      <w:pPr>
        <w:spacing w:line="276" w:lineRule="auto"/>
        <w:rPr>
          <w:rFonts w:ascii="Arial Nova" w:hAnsi="Arial Nova"/>
        </w:rPr>
      </w:pPr>
      <w:r w:rsidRPr="009B63E8">
        <w:rPr>
          <w:rFonts w:ascii="Arial Nova" w:hAnsi="Arial Nova"/>
        </w:rPr>
        <w:t xml:space="preserve">       6.2.6. Appendix F – UWTSD Code of Ethical Practice</w:t>
      </w:r>
      <w:r>
        <w:rPr>
          <w:rFonts w:ascii="Arial Nova" w:hAnsi="Arial Nova"/>
        </w:rPr>
        <w:t>………………………………….49</w:t>
      </w:r>
    </w:p>
    <w:p w14:paraId="7352ED48" w14:textId="77777777" w:rsidR="00AC70DD" w:rsidRPr="009C3D77" w:rsidRDefault="00AC70DD" w:rsidP="00AC70DD">
      <w:pPr>
        <w:spacing w:line="276" w:lineRule="auto"/>
        <w:rPr>
          <w:rFonts w:ascii="Arial Nova" w:hAnsi="Arial Nova"/>
          <w:b/>
          <w:bCs/>
        </w:rPr>
      </w:pPr>
    </w:p>
    <w:p w14:paraId="455C71E7" w14:textId="77777777" w:rsidR="008D1C0C" w:rsidRPr="001027EE" w:rsidRDefault="008D1C0C" w:rsidP="008D1C0C">
      <w:pPr>
        <w:rPr>
          <w:rFonts w:ascii="Arial Nova" w:hAnsi="Arial Nova"/>
        </w:rPr>
      </w:pPr>
    </w:p>
    <w:p w14:paraId="3EF52184" w14:textId="77777777" w:rsidR="00804B94" w:rsidRPr="00DF08BC" w:rsidRDefault="00804B94"/>
    <w:p w14:paraId="52F0D83D" w14:textId="77777777" w:rsidR="00804B94" w:rsidRPr="00DF08BC" w:rsidRDefault="00804B94"/>
    <w:p w14:paraId="4DF07CEB" w14:textId="77777777" w:rsidR="00804B94" w:rsidRPr="00DF08BC" w:rsidRDefault="00804B94"/>
    <w:p w14:paraId="61CFD6DF" w14:textId="77777777" w:rsidR="00804B94" w:rsidRPr="00DF08BC" w:rsidRDefault="00804B94"/>
    <w:p w14:paraId="4FF35381" w14:textId="77777777" w:rsidR="00BA6146" w:rsidRDefault="00BA6146" w:rsidP="000F1769">
      <w:pPr>
        <w:pStyle w:val="Heading1"/>
        <w:spacing w:line="360" w:lineRule="auto"/>
        <w:ind w:left="0"/>
        <w:rPr>
          <w:rFonts w:ascii="Arial Nova" w:hAnsi="Arial Nova"/>
          <w:sz w:val="28"/>
          <w:szCs w:val="28"/>
        </w:rPr>
      </w:pPr>
    </w:p>
    <w:p w14:paraId="58452D18" w14:textId="2843E6A0" w:rsidR="00730C3C" w:rsidRPr="00DF08BC" w:rsidRDefault="00730C3C" w:rsidP="000F1769">
      <w:pPr>
        <w:pStyle w:val="Heading1"/>
        <w:spacing w:line="360" w:lineRule="auto"/>
        <w:ind w:left="0"/>
        <w:rPr>
          <w:rFonts w:ascii="Arial Nova" w:hAnsi="Arial Nova"/>
          <w:sz w:val="28"/>
          <w:szCs w:val="28"/>
        </w:rPr>
      </w:pPr>
      <w:r w:rsidRPr="00DF08BC">
        <w:rPr>
          <w:rFonts w:ascii="Arial Nova" w:hAnsi="Arial Nova"/>
          <w:sz w:val="28"/>
          <w:szCs w:val="28"/>
        </w:rPr>
        <w:lastRenderedPageBreak/>
        <w:t xml:space="preserve">CHAPTER 1: Introduction </w:t>
      </w:r>
    </w:p>
    <w:p w14:paraId="2DA953EE" w14:textId="77777777" w:rsidR="00E9008D" w:rsidRPr="00DF08BC" w:rsidRDefault="00E9008D" w:rsidP="000F1769">
      <w:pPr>
        <w:pStyle w:val="Heading1"/>
        <w:spacing w:line="360" w:lineRule="auto"/>
        <w:ind w:left="0"/>
        <w:rPr>
          <w:rFonts w:ascii="Arial Nova" w:hAnsi="Arial Nova"/>
          <w:sz w:val="22"/>
          <w:szCs w:val="22"/>
        </w:rPr>
      </w:pPr>
    </w:p>
    <w:p w14:paraId="633AE386" w14:textId="3FD61E06" w:rsidR="005E542B" w:rsidRPr="00DF08BC" w:rsidRDefault="005E542B" w:rsidP="00B22331">
      <w:pPr>
        <w:pStyle w:val="Heading1"/>
        <w:spacing w:line="360" w:lineRule="auto"/>
        <w:ind w:left="0"/>
        <w:jc w:val="both"/>
        <w:rPr>
          <w:rFonts w:ascii="Arial Nova" w:hAnsi="Arial Nova"/>
          <w:sz w:val="22"/>
          <w:szCs w:val="22"/>
        </w:rPr>
      </w:pPr>
      <w:r w:rsidRPr="00DF08BC">
        <w:rPr>
          <w:rFonts w:ascii="Arial Nova" w:hAnsi="Arial Nova"/>
          <w:sz w:val="22"/>
          <w:szCs w:val="22"/>
        </w:rPr>
        <w:t>1.1 Introduction</w:t>
      </w:r>
      <w:r w:rsidR="00E328C3" w:rsidRPr="00DF08BC">
        <w:rPr>
          <w:rFonts w:ascii="Arial Nova" w:hAnsi="Arial Nova"/>
          <w:sz w:val="22"/>
          <w:szCs w:val="22"/>
        </w:rPr>
        <w:t>.</w:t>
      </w:r>
    </w:p>
    <w:p w14:paraId="382F0196" w14:textId="77777777" w:rsidR="00012CAB" w:rsidRPr="00DF08BC" w:rsidRDefault="00012CAB" w:rsidP="005E542B">
      <w:pPr>
        <w:pStyle w:val="Heading1"/>
        <w:spacing w:line="360" w:lineRule="auto"/>
        <w:jc w:val="both"/>
        <w:rPr>
          <w:rFonts w:ascii="Arial Nova" w:hAnsi="Arial Nova"/>
          <w:sz w:val="22"/>
          <w:szCs w:val="22"/>
        </w:rPr>
      </w:pPr>
    </w:p>
    <w:p w14:paraId="612DDD12" w14:textId="77777777" w:rsidR="004C19BD" w:rsidRPr="00DF08BC" w:rsidRDefault="004C19BD" w:rsidP="00B22331">
      <w:pPr>
        <w:pStyle w:val="Heading1"/>
        <w:spacing w:line="360" w:lineRule="auto"/>
        <w:ind w:left="0"/>
        <w:jc w:val="both"/>
        <w:rPr>
          <w:rFonts w:ascii="Arial Nova" w:hAnsi="Arial Nova"/>
          <w:b w:val="0"/>
          <w:bCs/>
          <w:sz w:val="22"/>
          <w:szCs w:val="22"/>
        </w:rPr>
      </w:pPr>
      <w:r>
        <w:rPr>
          <w:rFonts w:ascii="Arial Nova" w:hAnsi="Arial Nova"/>
          <w:b w:val="0"/>
          <w:bCs/>
          <w:sz w:val="22"/>
          <w:szCs w:val="22"/>
        </w:rPr>
        <w:t>Antimicrobial resistance (AMR) is one of the most serious challenges facing modern healthcare, contributing to an estimated 4.71 million deaths globally in 2021 (Global Burden of Disease Antimicrobial Resistance Collaborators, 2024), with several of the bacterial pathogens responsible identified by the World Health Organization as critical or high priority for new treatment development (World Health Organization, 2017). As bacteria increasingly evolve resistance to standard antibiotics, alternative treatments are urgently needed to protect patients and preserve the effectiveness of existing medicines. Phage therapy, which uses naturally occurring viruses called bacteriophages to target and destroy specific bacteria, offers one such alternative (GOV.UK, 2025). Although the treatment predates antibiotics, it has re-emerged as a promising option in the fight against multidrug-resistant infections, particularly in countries such as the United Kingdom, where it remains experimental and tightly regulated (MHRA, 2025).</w:t>
      </w:r>
    </w:p>
    <w:p w14:paraId="3786E736" w14:textId="77777777" w:rsidR="004C19BD" w:rsidRPr="00DF08BC" w:rsidRDefault="004C19BD" w:rsidP="001841F9">
      <w:pPr>
        <w:pStyle w:val="Heading1"/>
        <w:spacing w:line="360" w:lineRule="auto"/>
        <w:jc w:val="both"/>
        <w:rPr>
          <w:rFonts w:ascii="Arial Nova" w:hAnsi="Arial Nova"/>
          <w:b w:val="0"/>
          <w:bCs/>
          <w:sz w:val="22"/>
          <w:szCs w:val="22"/>
        </w:rPr>
      </w:pPr>
    </w:p>
    <w:p w14:paraId="4D60DD21" w14:textId="3FE66172" w:rsidR="004C19BD" w:rsidRPr="00DF08BC" w:rsidRDefault="004C19BD" w:rsidP="001841F9">
      <w:pPr>
        <w:pStyle w:val="Heading1"/>
        <w:spacing w:line="360" w:lineRule="auto"/>
        <w:ind w:left="0"/>
        <w:jc w:val="both"/>
        <w:rPr>
          <w:rFonts w:ascii="Arial Nova" w:hAnsi="Arial Nova"/>
          <w:b w:val="0"/>
          <w:bCs/>
          <w:sz w:val="22"/>
          <w:szCs w:val="22"/>
        </w:rPr>
      </w:pPr>
      <w:r>
        <w:rPr>
          <w:rFonts w:ascii="Arial Nova" w:hAnsi="Arial Nova"/>
          <w:b w:val="0"/>
          <w:bCs/>
          <w:sz w:val="22"/>
          <w:szCs w:val="22"/>
        </w:rPr>
        <w:t>This dissertation explores phage therapy as both a traditional and contemporary treatment, focusing on its relevance to UK health and social care. Chapter 2 will provide background information and analysis, exploring international, national and local perspectives alongside relevant theory, policy, legislation and evidence. Chapter 3 will outline the research methodology and thematic analysis approach. Chapter 4 will present the findings and discussion, and Chapter 5 will conclude with recommendations for practice, policy, education and research</w:t>
      </w:r>
      <w:r w:rsidR="00D80ED4">
        <w:rPr>
          <w:rFonts w:ascii="Arial Nova" w:hAnsi="Arial Nova"/>
          <w:b w:val="0"/>
          <w:bCs/>
          <w:sz w:val="22"/>
          <w:szCs w:val="22"/>
        </w:rPr>
        <w:t>.</w:t>
      </w:r>
    </w:p>
    <w:p w14:paraId="511272AC" w14:textId="77777777" w:rsidR="000C3B26" w:rsidRPr="00DF08BC" w:rsidRDefault="000C3B26" w:rsidP="005E542B">
      <w:pPr>
        <w:pStyle w:val="Heading1"/>
        <w:spacing w:line="360" w:lineRule="auto"/>
        <w:ind w:left="0"/>
        <w:jc w:val="both"/>
        <w:rPr>
          <w:rFonts w:ascii="Arial Nova" w:hAnsi="Arial Nova"/>
          <w:b w:val="0"/>
          <w:bCs/>
          <w:sz w:val="22"/>
          <w:szCs w:val="22"/>
        </w:rPr>
      </w:pPr>
    </w:p>
    <w:p w14:paraId="48E79133" w14:textId="1069A470" w:rsidR="00837D4A" w:rsidRPr="00DF08BC" w:rsidRDefault="00837D4A" w:rsidP="00B22331">
      <w:pPr>
        <w:pStyle w:val="Heading1"/>
        <w:spacing w:line="360" w:lineRule="auto"/>
        <w:ind w:left="0"/>
        <w:jc w:val="both"/>
        <w:rPr>
          <w:rFonts w:ascii="Arial Nova" w:hAnsi="Arial Nova"/>
          <w:sz w:val="22"/>
          <w:szCs w:val="22"/>
        </w:rPr>
      </w:pPr>
      <w:r w:rsidRPr="00DF08BC">
        <w:rPr>
          <w:rFonts w:ascii="Arial Nova" w:hAnsi="Arial Nova"/>
          <w:sz w:val="22"/>
          <w:szCs w:val="22"/>
        </w:rPr>
        <w:t>1.2 Definitions and Terminology</w:t>
      </w:r>
      <w:r w:rsidR="00E328C3" w:rsidRPr="00DF08BC">
        <w:rPr>
          <w:rFonts w:ascii="Arial Nova" w:hAnsi="Arial Nova"/>
          <w:sz w:val="22"/>
          <w:szCs w:val="22"/>
        </w:rPr>
        <w:t>.</w:t>
      </w:r>
    </w:p>
    <w:p w14:paraId="462AA299" w14:textId="77777777" w:rsidR="00012CAB" w:rsidRPr="00DF08BC" w:rsidRDefault="00012CAB" w:rsidP="0039646B">
      <w:pPr>
        <w:pStyle w:val="Heading1"/>
        <w:spacing w:line="360" w:lineRule="auto"/>
        <w:jc w:val="both"/>
        <w:rPr>
          <w:rFonts w:ascii="Arial Nova" w:hAnsi="Arial Nova"/>
          <w:sz w:val="22"/>
          <w:szCs w:val="22"/>
        </w:rPr>
      </w:pPr>
    </w:p>
    <w:p w14:paraId="76BA1F13" w14:textId="77777777" w:rsidR="00837D4A" w:rsidRDefault="00837D4A" w:rsidP="00B22331">
      <w:pPr>
        <w:pStyle w:val="Heading1"/>
        <w:spacing w:line="360" w:lineRule="auto"/>
        <w:ind w:left="0"/>
        <w:rPr>
          <w:rFonts w:ascii="Arial Nova" w:hAnsi="Arial Nova"/>
          <w:b w:val="0"/>
          <w:bCs/>
          <w:sz w:val="22"/>
          <w:szCs w:val="22"/>
        </w:rPr>
      </w:pPr>
      <w:r w:rsidRPr="00DF08BC">
        <w:rPr>
          <w:rFonts w:ascii="Arial Nova" w:hAnsi="Arial Nova"/>
          <w:b w:val="0"/>
          <w:bCs/>
          <w:sz w:val="22"/>
          <w:szCs w:val="22"/>
        </w:rPr>
        <w:t>Bacteriophage (phage): a virus that specifically infects and destroys bacteria, without harming human cells (GOV.UK, 2025).</w:t>
      </w:r>
    </w:p>
    <w:p w14:paraId="6593092A" w14:textId="77777777" w:rsidR="002947F4" w:rsidRPr="00DF08BC" w:rsidRDefault="002947F4" w:rsidP="0039646B">
      <w:pPr>
        <w:pStyle w:val="Heading1"/>
        <w:spacing w:line="360" w:lineRule="auto"/>
        <w:jc w:val="both"/>
        <w:rPr>
          <w:rFonts w:ascii="Arial Nova" w:hAnsi="Arial Nova"/>
          <w:b w:val="0"/>
          <w:bCs/>
          <w:sz w:val="22"/>
          <w:szCs w:val="22"/>
        </w:rPr>
      </w:pPr>
    </w:p>
    <w:p w14:paraId="5D471C07" w14:textId="77777777" w:rsidR="00837D4A" w:rsidRDefault="00837D4A" w:rsidP="00B22331">
      <w:pPr>
        <w:pStyle w:val="Heading1"/>
        <w:spacing w:line="360" w:lineRule="auto"/>
        <w:ind w:left="0"/>
        <w:jc w:val="both"/>
        <w:rPr>
          <w:rFonts w:ascii="Arial Nova" w:hAnsi="Arial Nova"/>
          <w:b w:val="0"/>
          <w:bCs/>
          <w:sz w:val="22"/>
          <w:szCs w:val="22"/>
        </w:rPr>
      </w:pPr>
      <w:r w:rsidRPr="00DF08BC">
        <w:rPr>
          <w:rFonts w:ascii="Arial Nova" w:hAnsi="Arial Nova"/>
          <w:b w:val="0"/>
          <w:bCs/>
          <w:sz w:val="22"/>
          <w:szCs w:val="22"/>
        </w:rPr>
        <w:t>Phage therapy: the therapeutic use of bacteriophages to treat bacterial infections, often as an alternative or adjunct to antibiotics (Kortright, Chan, Koff and Turner, 2019).</w:t>
      </w:r>
    </w:p>
    <w:p w14:paraId="524B9CB2" w14:textId="77777777" w:rsidR="002947F4" w:rsidRPr="00DF08BC" w:rsidRDefault="002947F4" w:rsidP="0039646B">
      <w:pPr>
        <w:pStyle w:val="Heading1"/>
        <w:spacing w:line="360" w:lineRule="auto"/>
        <w:jc w:val="both"/>
        <w:rPr>
          <w:rFonts w:ascii="Arial Nova" w:hAnsi="Arial Nova"/>
          <w:b w:val="0"/>
          <w:bCs/>
          <w:sz w:val="22"/>
          <w:szCs w:val="22"/>
        </w:rPr>
      </w:pPr>
    </w:p>
    <w:p w14:paraId="21618BE9" w14:textId="77777777" w:rsidR="00123372" w:rsidRDefault="00123372" w:rsidP="0039646B">
      <w:pPr>
        <w:pStyle w:val="Heading1"/>
        <w:spacing w:line="360" w:lineRule="auto"/>
        <w:jc w:val="both"/>
        <w:rPr>
          <w:rFonts w:ascii="Arial Nova" w:hAnsi="Arial Nova"/>
          <w:b w:val="0"/>
          <w:bCs/>
          <w:sz w:val="22"/>
          <w:szCs w:val="22"/>
        </w:rPr>
      </w:pPr>
    </w:p>
    <w:p w14:paraId="4ECB7212" w14:textId="77777777" w:rsidR="00D35147" w:rsidRDefault="00D35147" w:rsidP="0039646B">
      <w:pPr>
        <w:pStyle w:val="Heading1"/>
        <w:spacing w:line="360" w:lineRule="auto"/>
        <w:jc w:val="both"/>
        <w:rPr>
          <w:rFonts w:ascii="Arial Nova" w:hAnsi="Arial Nova"/>
          <w:b w:val="0"/>
          <w:bCs/>
          <w:sz w:val="22"/>
          <w:szCs w:val="22"/>
        </w:rPr>
      </w:pPr>
    </w:p>
    <w:p w14:paraId="0C0B29C3" w14:textId="5DD851EA" w:rsidR="00837D4A" w:rsidRDefault="00837D4A" w:rsidP="00D85CF8">
      <w:pPr>
        <w:pStyle w:val="Heading1"/>
        <w:spacing w:line="360" w:lineRule="auto"/>
        <w:ind w:left="0"/>
        <w:jc w:val="both"/>
        <w:rPr>
          <w:rFonts w:ascii="Arial Nova" w:hAnsi="Arial Nova"/>
          <w:b w:val="0"/>
          <w:bCs/>
          <w:sz w:val="22"/>
          <w:szCs w:val="22"/>
        </w:rPr>
      </w:pPr>
      <w:r w:rsidRPr="00DF08BC">
        <w:rPr>
          <w:rFonts w:ascii="Arial Nova" w:hAnsi="Arial Nova"/>
          <w:b w:val="0"/>
          <w:bCs/>
          <w:sz w:val="22"/>
          <w:szCs w:val="22"/>
        </w:rPr>
        <w:lastRenderedPageBreak/>
        <w:t>Antimicrobial resistance (AMR): the ability of microorganisms to survive exposure to drugs that would normally kill them or stop their growth, making infections harder to treat (World Health Organization, 2025).</w:t>
      </w:r>
    </w:p>
    <w:p w14:paraId="2A67CAD9" w14:textId="77777777" w:rsidR="002947F4" w:rsidRPr="00DF08BC" w:rsidRDefault="002947F4" w:rsidP="0039646B">
      <w:pPr>
        <w:pStyle w:val="Heading1"/>
        <w:spacing w:line="360" w:lineRule="auto"/>
        <w:jc w:val="both"/>
        <w:rPr>
          <w:rFonts w:ascii="Arial Nova" w:hAnsi="Arial Nova"/>
          <w:b w:val="0"/>
          <w:bCs/>
          <w:sz w:val="22"/>
          <w:szCs w:val="22"/>
        </w:rPr>
      </w:pPr>
    </w:p>
    <w:p w14:paraId="234DE2ED" w14:textId="278968B7" w:rsidR="00837D4A" w:rsidRDefault="00837D4A" w:rsidP="00D85CF8">
      <w:pPr>
        <w:pStyle w:val="Heading1"/>
        <w:spacing w:line="360" w:lineRule="auto"/>
        <w:ind w:left="0"/>
        <w:jc w:val="both"/>
        <w:rPr>
          <w:rFonts w:ascii="Arial Nova" w:hAnsi="Arial Nova"/>
          <w:b w:val="0"/>
          <w:bCs/>
          <w:sz w:val="22"/>
          <w:szCs w:val="22"/>
        </w:rPr>
      </w:pPr>
      <w:r w:rsidRPr="00DF08BC">
        <w:rPr>
          <w:rFonts w:ascii="Arial Nova" w:hAnsi="Arial Nova"/>
          <w:b w:val="0"/>
          <w:bCs/>
          <w:sz w:val="22"/>
          <w:szCs w:val="22"/>
        </w:rPr>
        <w:t xml:space="preserve">Unlicensed medicine: a medicinal product not licensed for general use in the </w:t>
      </w:r>
      <w:r w:rsidR="000C3B26" w:rsidRPr="00DF08BC">
        <w:rPr>
          <w:rFonts w:ascii="Arial Nova" w:hAnsi="Arial Nova"/>
          <w:b w:val="0"/>
          <w:bCs/>
          <w:sz w:val="22"/>
          <w:szCs w:val="22"/>
        </w:rPr>
        <w:t>UK,</w:t>
      </w:r>
      <w:r w:rsidRPr="00DF08BC">
        <w:rPr>
          <w:rFonts w:ascii="Arial Nova" w:hAnsi="Arial Nova"/>
          <w:b w:val="0"/>
          <w:bCs/>
          <w:sz w:val="22"/>
          <w:szCs w:val="22"/>
        </w:rPr>
        <w:t xml:space="preserve"> but which may be supplied to treat an individual patient under specific regulatory conditions (Steele, Stacey, Nale and Clokie, 2022).</w:t>
      </w:r>
    </w:p>
    <w:p w14:paraId="53F6C90A" w14:textId="77777777" w:rsidR="002947F4" w:rsidRPr="00DF08BC" w:rsidRDefault="002947F4" w:rsidP="0039646B">
      <w:pPr>
        <w:pStyle w:val="Heading1"/>
        <w:spacing w:line="360" w:lineRule="auto"/>
        <w:jc w:val="both"/>
        <w:rPr>
          <w:rFonts w:ascii="Arial Nova" w:hAnsi="Arial Nova"/>
          <w:b w:val="0"/>
          <w:bCs/>
          <w:sz w:val="22"/>
          <w:szCs w:val="22"/>
        </w:rPr>
      </w:pPr>
    </w:p>
    <w:p w14:paraId="7E0763B4" w14:textId="2B4C646D" w:rsidR="00837D4A" w:rsidRDefault="00837D4A" w:rsidP="00D85CF8">
      <w:pPr>
        <w:pStyle w:val="Heading1"/>
        <w:spacing w:line="360" w:lineRule="auto"/>
        <w:ind w:left="0"/>
        <w:jc w:val="both"/>
        <w:rPr>
          <w:rFonts w:ascii="Arial Nova" w:hAnsi="Arial Nova"/>
          <w:b w:val="0"/>
          <w:bCs/>
          <w:sz w:val="22"/>
          <w:szCs w:val="22"/>
        </w:rPr>
      </w:pPr>
      <w:r w:rsidRPr="00DF08BC">
        <w:rPr>
          <w:rFonts w:ascii="Arial Nova" w:hAnsi="Arial Nova"/>
          <w:b w:val="0"/>
          <w:bCs/>
          <w:sz w:val="22"/>
          <w:szCs w:val="22"/>
        </w:rPr>
        <w:t xml:space="preserve">Compassionate use: the use of an unapproved or unlicensed treatment where conventional options have </w:t>
      </w:r>
      <w:r w:rsidR="000C3B26" w:rsidRPr="00DF08BC">
        <w:rPr>
          <w:rFonts w:ascii="Arial Nova" w:hAnsi="Arial Nova"/>
          <w:b w:val="0"/>
          <w:bCs/>
          <w:sz w:val="22"/>
          <w:szCs w:val="22"/>
        </w:rPr>
        <w:t>failed,</w:t>
      </w:r>
      <w:r w:rsidRPr="00DF08BC">
        <w:rPr>
          <w:rFonts w:ascii="Arial Nova" w:hAnsi="Arial Nova"/>
          <w:b w:val="0"/>
          <w:bCs/>
          <w:sz w:val="22"/>
          <w:szCs w:val="22"/>
        </w:rPr>
        <w:t xml:space="preserve"> and no alternative is available (Steele et al., 2022).</w:t>
      </w:r>
    </w:p>
    <w:p w14:paraId="2A1DF251" w14:textId="77777777" w:rsidR="002947F4" w:rsidRPr="00DF08BC" w:rsidRDefault="002947F4" w:rsidP="0039646B">
      <w:pPr>
        <w:pStyle w:val="Heading1"/>
        <w:spacing w:line="360" w:lineRule="auto"/>
        <w:jc w:val="both"/>
        <w:rPr>
          <w:rFonts w:ascii="Arial Nova" w:hAnsi="Arial Nova"/>
          <w:b w:val="0"/>
          <w:bCs/>
          <w:sz w:val="22"/>
          <w:szCs w:val="22"/>
        </w:rPr>
      </w:pPr>
    </w:p>
    <w:p w14:paraId="7C88E6C6" w14:textId="77777777" w:rsidR="00837D4A" w:rsidRPr="00DF08BC" w:rsidRDefault="00837D4A" w:rsidP="00D85CF8">
      <w:pPr>
        <w:pStyle w:val="Heading1"/>
        <w:spacing w:line="360" w:lineRule="auto"/>
        <w:ind w:left="0"/>
        <w:jc w:val="both"/>
        <w:rPr>
          <w:rFonts w:ascii="Arial Nova" w:hAnsi="Arial Nova"/>
          <w:b w:val="0"/>
          <w:bCs/>
          <w:sz w:val="22"/>
          <w:szCs w:val="22"/>
        </w:rPr>
      </w:pPr>
      <w:r w:rsidRPr="00DF08BC">
        <w:rPr>
          <w:rFonts w:ascii="Arial Nova" w:hAnsi="Arial Nova"/>
          <w:b w:val="0"/>
          <w:bCs/>
          <w:sz w:val="22"/>
          <w:szCs w:val="22"/>
        </w:rPr>
        <w:t>Good Manufacturing Practice (GMP): a quality assurance system ensuring medicines are consistently produced and controlled to appropriate standards (MHRA, 2025).</w:t>
      </w:r>
    </w:p>
    <w:p w14:paraId="16223602" w14:textId="77777777" w:rsidR="000C3B26" w:rsidRPr="00DF08BC" w:rsidRDefault="000C3B26" w:rsidP="0039646B">
      <w:pPr>
        <w:pStyle w:val="Heading1"/>
        <w:spacing w:line="360" w:lineRule="auto"/>
        <w:jc w:val="both"/>
        <w:rPr>
          <w:rFonts w:ascii="Arial Nova" w:hAnsi="Arial Nova"/>
          <w:b w:val="0"/>
          <w:bCs/>
          <w:sz w:val="22"/>
          <w:szCs w:val="22"/>
        </w:rPr>
      </w:pPr>
    </w:p>
    <w:p w14:paraId="773EE984" w14:textId="45B1E8B6" w:rsidR="00E9008D" w:rsidRPr="00DF08BC" w:rsidRDefault="00837D4A" w:rsidP="0039646B">
      <w:pPr>
        <w:pStyle w:val="Heading1"/>
        <w:spacing w:line="360" w:lineRule="auto"/>
        <w:ind w:left="0"/>
        <w:jc w:val="both"/>
        <w:rPr>
          <w:rFonts w:ascii="Arial Nova" w:hAnsi="Arial Nova"/>
          <w:b w:val="0"/>
          <w:bCs/>
          <w:sz w:val="22"/>
          <w:szCs w:val="22"/>
        </w:rPr>
      </w:pPr>
      <w:r w:rsidRPr="00DF08BC">
        <w:rPr>
          <w:rFonts w:ascii="Arial Nova" w:hAnsi="Arial Nova"/>
          <w:b w:val="0"/>
          <w:bCs/>
          <w:sz w:val="22"/>
          <w:szCs w:val="22"/>
        </w:rPr>
        <w:t xml:space="preserve">Key abbreviations used throughout this dissertation </w:t>
      </w:r>
      <w:r w:rsidR="000C3B26" w:rsidRPr="00DF08BC">
        <w:rPr>
          <w:rFonts w:ascii="Arial Nova" w:hAnsi="Arial Nova"/>
          <w:b w:val="0"/>
          <w:bCs/>
          <w:sz w:val="22"/>
          <w:szCs w:val="22"/>
        </w:rPr>
        <w:t>include</w:t>
      </w:r>
      <w:r w:rsidRPr="00DF08BC">
        <w:rPr>
          <w:rFonts w:ascii="Arial Nova" w:hAnsi="Arial Nova"/>
          <w:b w:val="0"/>
          <w:bCs/>
          <w:sz w:val="22"/>
          <w:szCs w:val="22"/>
        </w:rPr>
        <w:t xml:space="preserve"> AMR (antimicrobial resistance), MHRA (Medicines and Healthcare products Regulatory Agency), GMP (Good Manufacturing Practice), NHS (National Health Service), NICE (National Institute for Health and Care Excellence), WHO (World Health Organization), and TATFAR (Transatlantic Taskforce on Antimicrobial Resistance).</w:t>
      </w:r>
    </w:p>
    <w:p w14:paraId="1DE46ECD" w14:textId="77777777" w:rsidR="000347F6" w:rsidRPr="00DF08BC" w:rsidRDefault="000347F6" w:rsidP="0039646B">
      <w:pPr>
        <w:pStyle w:val="Heading1"/>
        <w:spacing w:line="360" w:lineRule="auto"/>
        <w:ind w:left="0"/>
        <w:jc w:val="both"/>
        <w:rPr>
          <w:rFonts w:ascii="Arial Nova" w:hAnsi="Arial Nova"/>
          <w:b w:val="0"/>
          <w:bCs/>
          <w:sz w:val="22"/>
          <w:szCs w:val="22"/>
        </w:rPr>
      </w:pPr>
    </w:p>
    <w:p w14:paraId="4612471E" w14:textId="7151EBFF" w:rsidR="00AB3736" w:rsidRPr="00DF08BC" w:rsidRDefault="00AB3736" w:rsidP="00D85CF8">
      <w:pPr>
        <w:pStyle w:val="Heading1"/>
        <w:spacing w:line="360" w:lineRule="auto"/>
        <w:ind w:left="0"/>
        <w:jc w:val="both"/>
        <w:rPr>
          <w:rFonts w:ascii="Arial Nova" w:hAnsi="Arial Nova"/>
          <w:sz w:val="22"/>
          <w:szCs w:val="22"/>
        </w:rPr>
      </w:pPr>
      <w:r w:rsidRPr="00DF08BC">
        <w:rPr>
          <w:rFonts w:ascii="Arial Nova" w:hAnsi="Arial Nova"/>
          <w:sz w:val="22"/>
          <w:szCs w:val="22"/>
        </w:rPr>
        <w:t>1.3 Background and Current Context</w:t>
      </w:r>
      <w:r w:rsidR="00DD0CB8">
        <w:rPr>
          <w:rFonts w:ascii="Arial Nova" w:hAnsi="Arial Nova"/>
          <w:sz w:val="22"/>
          <w:szCs w:val="22"/>
        </w:rPr>
        <w:t>.</w:t>
      </w:r>
    </w:p>
    <w:p w14:paraId="41F83EFC" w14:textId="77777777" w:rsidR="00012CAB" w:rsidRPr="00DF08BC" w:rsidRDefault="00012CAB" w:rsidP="00F62653">
      <w:pPr>
        <w:pStyle w:val="Heading1"/>
        <w:spacing w:line="360" w:lineRule="auto"/>
        <w:jc w:val="both"/>
        <w:rPr>
          <w:rFonts w:ascii="Arial Nova" w:hAnsi="Arial Nova"/>
          <w:sz w:val="22"/>
          <w:szCs w:val="22"/>
        </w:rPr>
      </w:pPr>
    </w:p>
    <w:p w14:paraId="1EBF94A2" w14:textId="77777777" w:rsidR="00D06AEA" w:rsidRPr="00DF08BC" w:rsidRDefault="00D06AEA" w:rsidP="00B22331">
      <w:pPr>
        <w:pStyle w:val="Heading1"/>
        <w:spacing w:line="360" w:lineRule="auto"/>
        <w:ind w:left="0"/>
        <w:jc w:val="both"/>
        <w:rPr>
          <w:rFonts w:ascii="Arial Nova" w:hAnsi="Arial Nova"/>
          <w:b w:val="0"/>
          <w:bCs/>
          <w:sz w:val="22"/>
          <w:szCs w:val="22"/>
        </w:rPr>
      </w:pPr>
      <w:r>
        <w:rPr>
          <w:rFonts w:ascii="Arial Nova" w:hAnsi="Arial Nova"/>
          <w:b w:val="0"/>
          <w:bCs/>
          <w:sz w:val="22"/>
          <w:szCs w:val="22"/>
        </w:rPr>
        <w:t>Phage therapy was first developed in the early twentieth century, before the discovery of antibiotics, and was widely used in Eastern Europe, where research and clinical use have continued for over a century (Kortright et al., 2019). Following the introduction of antibiotics, interest in phage therapy declined in Western countries, but rising antibiotic resistance has renewed international attention (Suh et al., 2025).</w:t>
      </w:r>
    </w:p>
    <w:p w14:paraId="36B5BEC7" w14:textId="77777777" w:rsidR="00D06AEA" w:rsidRPr="00DF08BC" w:rsidRDefault="00D06AEA" w:rsidP="00914406">
      <w:pPr>
        <w:pStyle w:val="Heading1"/>
        <w:spacing w:line="360" w:lineRule="auto"/>
        <w:jc w:val="both"/>
        <w:rPr>
          <w:rFonts w:ascii="Arial Nova" w:hAnsi="Arial Nova"/>
          <w:b w:val="0"/>
          <w:bCs/>
          <w:sz w:val="22"/>
          <w:szCs w:val="22"/>
        </w:rPr>
      </w:pPr>
    </w:p>
    <w:p w14:paraId="7564AD69" w14:textId="77777777" w:rsidR="00D06AEA" w:rsidRDefault="00D06AEA" w:rsidP="00914406">
      <w:pPr>
        <w:pStyle w:val="Heading1"/>
        <w:spacing w:line="360" w:lineRule="auto"/>
        <w:ind w:left="0"/>
        <w:jc w:val="both"/>
        <w:rPr>
          <w:rFonts w:ascii="Arial Nova" w:hAnsi="Arial Nova"/>
          <w:b w:val="0"/>
          <w:bCs/>
          <w:sz w:val="22"/>
          <w:szCs w:val="22"/>
        </w:rPr>
      </w:pPr>
      <w:r>
        <w:rPr>
          <w:rFonts w:ascii="Arial Nova" w:hAnsi="Arial Nova"/>
          <w:b w:val="0"/>
          <w:bCs/>
          <w:sz w:val="22"/>
          <w:szCs w:val="22"/>
        </w:rPr>
        <w:t xml:space="preserve">In the UK, Phage’s are classed as biological medicines, and none are currently licensed for clinical use (Stacey et al., 2022). Treatment is only available on a compassionate, unlicensed basis, and the MHRA must be notified before phage’s are imported for patient use (Stacey et al., 2022). In June 2025, the MHRA published the UK's first formal guidance on the regulatory pathway for phage therapy products, developed in collaboration with the Phage Innovation Network, clinicians and researchers, in response to recommendations from the House of Commons Science, Innovation and Technology Committee's inquiry into bacteriophages </w:t>
      </w:r>
      <w:r>
        <w:rPr>
          <w:rFonts w:ascii="Arial Nova" w:hAnsi="Arial Nova"/>
          <w:b w:val="0"/>
          <w:bCs/>
          <w:sz w:val="22"/>
          <w:szCs w:val="22"/>
        </w:rPr>
        <w:lastRenderedPageBreak/>
        <w:t>(House of Commons Science, Innovation and Technology Committee, 2023; GOV.UK, 2025; Microbiology Society, 2025). This guidance supports the UK's 2024–2029 National Action Plan for confronting AMR (GOV.UK, 2025). Despite this progress, phage therapy remains largely inaccessible to most patients, highlighting the ongoing importance of this research area.</w:t>
      </w:r>
    </w:p>
    <w:p w14:paraId="325D7C2C" w14:textId="77777777" w:rsidR="00D06AEA" w:rsidRPr="00DF08BC" w:rsidRDefault="00D06AEA" w:rsidP="00914406">
      <w:pPr>
        <w:pStyle w:val="Heading1"/>
        <w:spacing w:line="360" w:lineRule="auto"/>
        <w:ind w:left="0"/>
        <w:jc w:val="both"/>
        <w:rPr>
          <w:rFonts w:ascii="Arial Nova" w:hAnsi="Arial Nova"/>
          <w:b w:val="0"/>
          <w:bCs/>
          <w:sz w:val="22"/>
          <w:szCs w:val="22"/>
        </w:rPr>
      </w:pPr>
    </w:p>
    <w:p w14:paraId="0D7F782E" w14:textId="77777777" w:rsidR="006D7E84" w:rsidRPr="00DF08BC" w:rsidRDefault="006D7E84" w:rsidP="00F62653">
      <w:pPr>
        <w:pStyle w:val="Heading1"/>
        <w:spacing w:line="360" w:lineRule="auto"/>
        <w:ind w:left="0"/>
        <w:jc w:val="both"/>
        <w:rPr>
          <w:rFonts w:ascii="Arial Nova" w:hAnsi="Arial Nova"/>
          <w:b w:val="0"/>
          <w:bCs/>
          <w:sz w:val="22"/>
          <w:szCs w:val="22"/>
        </w:rPr>
      </w:pPr>
    </w:p>
    <w:p w14:paraId="41866A78" w14:textId="334EAD08" w:rsidR="00CE6CAF" w:rsidRPr="00DF08BC" w:rsidRDefault="00CE6CAF" w:rsidP="00C07FEA">
      <w:pPr>
        <w:pStyle w:val="Heading1"/>
        <w:spacing w:line="360" w:lineRule="auto"/>
        <w:ind w:left="0"/>
        <w:jc w:val="both"/>
        <w:rPr>
          <w:rFonts w:ascii="Arial Nova" w:hAnsi="Arial Nova"/>
          <w:sz w:val="22"/>
          <w:szCs w:val="22"/>
        </w:rPr>
      </w:pPr>
      <w:r w:rsidRPr="00DF08BC">
        <w:rPr>
          <w:rFonts w:ascii="Arial Nova" w:hAnsi="Arial Nova"/>
          <w:sz w:val="22"/>
          <w:szCs w:val="22"/>
        </w:rPr>
        <w:t xml:space="preserve">1.4 Rationale for Research </w:t>
      </w:r>
      <w:r w:rsidR="00294A74">
        <w:rPr>
          <w:rFonts w:ascii="Arial Nova" w:hAnsi="Arial Nova"/>
          <w:sz w:val="22"/>
          <w:szCs w:val="22"/>
        </w:rPr>
        <w:t>-</w:t>
      </w:r>
      <w:r w:rsidRPr="00DF08BC">
        <w:rPr>
          <w:rFonts w:ascii="Arial Nova" w:hAnsi="Arial Nova"/>
          <w:sz w:val="22"/>
          <w:szCs w:val="22"/>
        </w:rPr>
        <w:t xml:space="preserve"> Problem Statement</w:t>
      </w:r>
      <w:r w:rsidR="00E328C3" w:rsidRPr="00DF08BC">
        <w:rPr>
          <w:rFonts w:ascii="Arial Nova" w:hAnsi="Arial Nova"/>
          <w:sz w:val="22"/>
          <w:szCs w:val="22"/>
        </w:rPr>
        <w:t>.</w:t>
      </w:r>
    </w:p>
    <w:p w14:paraId="07EF9CBF" w14:textId="77777777" w:rsidR="00A46F1C" w:rsidRPr="00DF08BC" w:rsidRDefault="00A46F1C" w:rsidP="00CE6CAF">
      <w:pPr>
        <w:pStyle w:val="Heading1"/>
        <w:spacing w:line="360" w:lineRule="auto"/>
        <w:jc w:val="both"/>
        <w:rPr>
          <w:rFonts w:ascii="Arial Nova" w:hAnsi="Arial Nova"/>
          <w:b w:val="0"/>
          <w:bCs/>
          <w:sz w:val="22"/>
          <w:szCs w:val="22"/>
        </w:rPr>
      </w:pPr>
    </w:p>
    <w:p w14:paraId="0D6DBDA5" w14:textId="77777777" w:rsidR="00B41770" w:rsidRPr="00DF08BC" w:rsidRDefault="00B41770" w:rsidP="00D85CF8">
      <w:pPr>
        <w:pStyle w:val="Heading1"/>
        <w:spacing w:line="360" w:lineRule="auto"/>
        <w:ind w:left="0"/>
        <w:jc w:val="both"/>
        <w:rPr>
          <w:rFonts w:ascii="Arial Nova" w:hAnsi="Arial Nova"/>
          <w:b w:val="0"/>
          <w:bCs/>
          <w:sz w:val="22"/>
          <w:szCs w:val="22"/>
        </w:rPr>
      </w:pPr>
      <w:r w:rsidRPr="00DF08BC">
        <w:rPr>
          <w:rFonts w:ascii="Arial Nova" w:hAnsi="Arial Nova"/>
          <w:b w:val="0"/>
          <w:bCs/>
          <w:sz w:val="22"/>
          <w:szCs w:val="22"/>
        </w:rPr>
        <w:t>This research is necessary because antimicrobial resistance continues to rise while few new antibiotics are being developed, leaving a widening gap that alternative therapies such as phage therapy may help to fill (Kortright et al., 2019). Despite recent MHRA guidance clarifying the regulatory pathway for phage therapeutic products, there remains limited large-scale clinical trial evidence, inconsistent access across different regions of the UK, and a lack of awareness among healthcare professionals regarding phage therapy's potential benefits and practical application (Suh et al., 2025). Without addressing these gaps, patients with drug-resistant infections may continue to face limited treatment options, while opportunities to strengthen antibiotic stewardship are missed. This dissertation aims to explore these gaps by critically reviewing existing literature and policy, drawing together scientific, regulatory and practice-based perspectives.</w:t>
      </w:r>
    </w:p>
    <w:p w14:paraId="790F7475" w14:textId="77777777" w:rsidR="0024538D" w:rsidRPr="00DF08BC" w:rsidRDefault="0024538D" w:rsidP="000834CF">
      <w:pPr>
        <w:pStyle w:val="Heading1"/>
        <w:spacing w:line="360" w:lineRule="auto"/>
        <w:jc w:val="both"/>
        <w:rPr>
          <w:rFonts w:ascii="Arial Nova" w:hAnsi="Arial Nova"/>
          <w:b w:val="0"/>
          <w:bCs/>
          <w:sz w:val="22"/>
          <w:szCs w:val="22"/>
        </w:rPr>
      </w:pPr>
    </w:p>
    <w:p w14:paraId="6F005ACE" w14:textId="46112DCB" w:rsidR="002D49B5" w:rsidRPr="00DF08BC" w:rsidRDefault="00B41770" w:rsidP="000834CF">
      <w:pPr>
        <w:pStyle w:val="Heading1"/>
        <w:spacing w:line="360" w:lineRule="auto"/>
        <w:ind w:left="0"/>
        <w:jc w:val="both"/>
        <w:rPr>
          <w:rFonts w:ascii="Arial Nova" w:hAnsi="Arial Nova"/>
          <w:b w:val="0"/>
          <w:bCs/>
          <w:sz w:val="22"/>
          <w:szCs w:val="22"/>
        </w:rPr>
      </w:pPr>
      <w:r w:rsidRPr="00DF08BC">
        <w:rPr>
          <w:rFonts w:ascii="Arial Nova" w:hAnsi="Arial Nova"/>
          <w:b w:val="0"/>
          <w:bCs/>
          <w:sz w:val="22"/>
          <w:szCs w:val="22"/>
        </w:rPr>
        <w:t>The findings may benefit nurses, clinicians, healthcare policymakers, and patients affected by drug-resistant infections, by improving understanding of how phage therapy could be safely, ethically and effectively integrated into UK practice, ultimately supporting antibiotic stewardship, patient safety, and future research and policy priorities.</w:t>
      </w:r>
    </w:p>
    <w:p w14:paraId="504AB781" w14:textId="77777777" w:rsidR="0024538D" w:rsidRPr="00DF08BC" w:rsidRDefault="0024538D" w:rsidP="000834CF">
      <w:pPr>
        <w:pStyle w:val="Heading1"/>
        <w:spacing w:line="360" w:lineRule="auto"/>
        <w:ind w:left="0"/>
        <w:jc w:val="both"/>
        <w:rPr>
          <w:rFonts w:ascii="Arial Nova" w:hAnsi="Arial Nova"/>
          <w:b w:val="0"/>
          <w:bCs/>
          <w:sz w:val="22"/>
          <w:szCs w:val="22"/>
        </w:rPr>
      </w:pPr>
    </w:p>
    <w:p w14:paraId="70737744" w14:textId="08ADF071" w:rsidR="002D49B5" w:rsidRPr="00DF08BC" w:rsidRDefault="002D49B5" w:rsidP="00D85CF8">
      <w:pPr>
        <w:pStyle w:val="Heading1"/>
        <w:spacing w:line="360" w:lineRule="auto"/>
        <w:ind w:left="0"/>
        <w:jc w:val="both"/>
        <w:rPr>
          <w:rFonts w:ascii="Arial Nova" w:hAnsi="Arial Nova"/>
          <w:sz w:val="22"/>
          <w:szCs w:val="22"/>
        </w:rPr>
      </w:pPr>
      <w:r w:rsidRPr="00DF08BC">
        <w:rPr>
          <w:rFonts w:ascii="Arial Nova" w:hAnsi="Arial Nova"/>
          <w:sz w:val="22"/>
          <w:szCs w:val="22"/>
        </w:rPr>
        <w:t>1.5 Aim and Objectives</w:t>
      </w:r>
      <w:r w:rsidR="00E328C3" w:rsidRPr="00DF08BC">
        <w:rPr>
          <w:rFonts w:ascii="Arial Nova" w:hAnsi="Arial Nova"/>
          <w:sz w:val="22"/>
          <w:szCs w:val="22"/>
        </w:rPr>
        <w:t>.</w:t>
      </w:r>
    </w:p>
    <w:p w14:paraId="62CFCC47" w14:textId="77777777" w:rsidR="003F3F7E" w:rsidRPr="00DF08BC" w:rsidRDefault="003F3F7E" w:rsidP="003F3F7E">
      <w:pPr>
        <w:pStyle w:val="Heading1"/>
        <w:spacing w:line="360" w:lineRule="auto"/>
        <w:jc w:val="both"/>
        <w:rPr>
          <w:rFonts w:ascii="Arial Nova" w:hAnsi="Arial Nova"/>
          <w:b w:val="0"/>
          <w:bCs/>
          <w:sz w:val="22"/>
          <w:szCs w:val="22"/>
        </w:rPr>
      </w:pPr>
    </w:p>
    <w:p w14:paraId="748772FD" w14:textId="77777777" w:rsidR="002E77E9" w:rsidRPr="00DF08BC" w:rsidRDefault="002E77E9" w:rsidP="00461B85">
      <w:pPr>
        <w:pStyle w:val="Heading1"/>
        <w:spacing w:line="360" w:lineRule="auto"/>
        <w:ind w:left="0"/>
        <w:jc w:val="both"/>
        <w:rPr>
          <w:rFonts w:ascii="Arial Nova" w:hAnsi="Arial Nova"/>
          <w:b w:val="0"/>
          <w:bCs/>
          <w:sz w:val="22"/>
          <w:szCs w:val="22"/>
        </w:rPr>
      </w:pPr>
      <w:r w:rsidRPr="00DF08BC">
        <w:rPr>
          <w:rFonts w:ascii="Arial Nova" w:hAnsi="Arial Nova"/>
          <w:b w:val="0"/>
          <w:bCs/>
          <w:sz w:val="22"/>
          <w:szCs w:val="22"/>
        </w:rPr>
        <w:t>Research Aim: To critically examine phage therapy as a traditional treatment modality and its contemporary application within the UK health and social care context, exploring its scientific basis, practical relevance, and future potential.</w:t>
      </w:r>
    </w:p>
    <w:p w14:paraId="0511E6C3" w14:textId="77777777" w:rsidR="00D52179" w:rsidRPr="00DF08BC" w:rsidRDefault="00D52179" w:rsidP="002E77E9">
      <w:pPr>
        <w:pStyle w:val="Heading1"/>
        <w:spacing w:line="360" w:lineRule="auto"/>
        <w:jc w:val="both"/>
        <w:rPr>
          <w:rFonts w:ascii="Arial Nova" w:hAnsi="Arial Nova"/>
          <w:b w:val="0"/>
          <w:bCs/>
          <w:sz w:val="22"/>
          <w:szCs w:val="22"/>
        </w:rPr>
      </w:pPr>
    </w:p>
    <w:p w14:paraId="0B535B29" w14:textId="77777777" w:rsidR="002E77E9" w:rsidRPr="00662DF4" w:rsidRDefault="002E77E9" w:rsidP="00461B85">
      <w:pPr>
        <w:pStyle w:val="Heading1"/>
        <w:spacing w:line="360" w:lineRule="auto"/>
        <w:ind w:left="0"/>
        <w:jc w:val="both"/>
        <w:rPr>
          <w:rFonts w:ascii="Arial Nova" w:hAnsi="Arial Nova"/>
          <w:sz w:val="22"/>
          <w:szCs w:val="22"/>
        </w:rPr>
      </w:pPr>
      <w:r w:rsidRPr="00662DF4">
        <w:rPr>
          <w:rFonts w:ascii="Arial Nova" w:hAnsi="Arial Nova"/>
          <w:sz w:val="22"/>
          <w:szCs w:val="22"/>
        </w:rPr>
        <w:t>Research Objectives:</w:t>
      </w:r>
    </w:p>
    <w:p w14:paraId="30178883" w14:textId="77777777" w:rsidR="002C67AC" w:rsidRPr="00DF08BC" w:rsidRDefault="002C67AC" w:rsidP="002E77E9">
      <w:pPr>
        <w:pStyle w:val="Heading1"/>
        <w:spacing w:line="360" w:lineRule="auto"/>
        <w:jc w:val="both"/>
        <w:rPr>
          <w:rFonts w:ascii="Arial Nova" w:hAnsi="Arial Nova"/>
          <w:b w:val="0"/>
          <w:bCs/>
          <w:sz w:val="22"/>
          <w:szCs w:val="22"/>
        </w:rPr>
      </w:pPr>
    </w:p>
    <w:p w14:paraId="17DCE221" w14:textId="77777777" w:rsidR="002E77E9" w:rsidRDefault="002E77E9" w:rsidP="00461B85">
      <w:pPr>
        <w:pStyle w:val="Heading1"/>
        <w:spacing w:line="360" w:lineRule="auto"/>
        <w:ind w:left="0"/>
        <w:jc w:val="both"/>
        <w:rPr>
          <w:rFonts w:ascii="Arial Nova" w:hAnsi="Arial Nova"/>
          <w:b w:val="0"/>
          <w:bCs/>
          <w:sz w:val="22"/>
          <w:szCs w:val="22"/>
        </w:rPr>
      </w:pPr>
      <w:r w:rsidRPr="00DF08BC">
        <w:rPr>
          <w:rFonts w:ascii="Arial Nova" w:hAnsi="Arial Nova"/>
          <w:b w:val="0"/>
          <w:bCs/>
          <w:sz w:val="22"/>
          <w:szCs w:val="22"/>
        </w:rPr>
        <w:t xml:space="preserve">Objective 1: To define and critically analyse the scientific basis of phage therapy, including its mechanism of action against bacterial pathogens, and to examine its current use within UK </w:t>
      </w:r>
      <w:r w:rsidRPr="00DF08BC">
        <w:rPr>
          <w:rFonts w:ascii="Arial Nova" w:hAnsi="Arial Nova"/>
          <w:b w:val="0"/>
          <w:bCs/>
          <w:sz w:val="22"/>
          <w:szCs w:val="22"/>
        </w:rPr>
        <w:lastRenderedPageBreak/>
        <w:t>clinical practice and ongoing research.</w:t>
      </w:r>
    </w:p>
    <w:p w14:paraId="55ABB613" w14:textId="77777777" w:rsidR="005B3C4B" w:rsidRPr="00DF08BC" w:rsidRDefault="005B3C4B" w:rsidP="002E77E9">
      <w:pPr>
        <w:pStyle w:val="Heading1"/>
        <w:spacing w:line="360" w:lineRule="auto"/>
        <w:jc w:val="both"/>
        <w:rPr>
          <w:rFonts w:ascii="Arial Nova" w:hAnsi="Arial Nova"/>
          <w:b w:val="0"/>
          <w:bCs/>
          <w:sz w:val="22"/>
          <w:szCs w:val="22"/>
        </w:rPr>
      </w:pPr>
    </w:p>
    <w:p w14:paraId="0FDBC23D" w14:textId="77777777" w:rsidR="002E77E9" w:rsidRDefault="002E77E9" w:rsidP="00B72B18">
      <w:pPr>
        <w:pStyle w:val="Heading1"/>
        <w:spacing w:line="360" w:lineRule="auto"/>
        <w:ind w:left="0"/>
        <w:jc w:val="both"/>
        <w:rPr>
          <w:rFonts w:ascii="Arial Nova" w:hAnsi="Arial Nova"/>
          <w:b w:val="0"/>
          <w:bCs/>
          <w:sz w:val="22"/>
          <w:szCs w:val="22"/>
        </w:rPr>
      </w:pPr>
      <w:r w:rsidRPr="00DF08BC">
        <w:rPr>
          <w:rFonts w:ascii="Arial Nova" w:hAnsi="Arial Nova"/>
          <w:b w:val="0"/>
          <w:bCs/>
          <w:sz w:val="22"/>
          <w:szCs w:val="22"/>
        </w:rPr>
        <w:t>Objective 2: To analyse current literature regarding the relevance of phage therapy to nursing practice, patient care and education, and to assess its contribution to wider public health efforts aimed at combating antimicrobial resistance.</w:t>
      </w:r>
    </w:p>
    <w:p w14:paraId="19EE5E60" w14:textId="77777777" w:rsidR="005B3C4B" w:rsidRPr="00DF08BC" w:rsidRDefault="005B3C4B" w:rsidP="002E77E9">
      <w:pPr>
        <w:pStyle w:val="Heading1"/>
        <w:spacing w:line="360" w:lineRule="auto"/>
        <w:jc w:val="both"/>
        <w:rPr>
          <w:rFonts w:ascii="Arial Nova" w:hAnsi="Arial Nova"/>
          <w:b w:val="0"/>
          <w:bCs/>
          <w:sz w:val="22"/>
          <w:szCs w:val="22"/>
        </w:rPr>
      </w:pPr>
    </w:p>
    <w:p w14:paraId="756C5BB7" w14:textId="77777777" w:rsidR="005B3C4B" w:rsidRDefault="005B3C4B" w:rsidP="002E77E9">
      <w:pPr>
        <w:pStyle w:val="Heading1"/>
        <w:spacing w:line="360" w:lineRule="auto"/>
        <w:jc w:val="both"/>
        <w:rPr>
          <w:rFonts w:ascii="Arial Nova" w:hAnsi="Arial Nova"/>
          <w:b w:val="0"/>
          <w:bCs/>
          <w:sz w:val="22"/>
          <w:szCs w:val="22"/>
        </w:rPr>
      </w:pPr>
    </w:p>
    <w:p w14:paraId="7CB7651D" w14:textId="68A74E1B" w:rsidR="002E77E9" w:rsidRDefault="002E77E9" w:rsidP="00B72B18">
      <w:pPr>
        <w:pStyle w:val="Heading1"/>
        <w:spacing w:line="360" w:lineRule="auto"/>
        <w:ind w:left="0"/>
        <w:jc w:val="both"/>
        <w:rPr>
          <w:rFonts w:ascii="Arial Nova" w:hAnsi="Arial Nova"/>
          <w:b w:val="0"/>
          <w:bCs/>
          <w:sz w:val="22"/>
          <w:szCs w:val="22"/>
        </w:rPr>
      </w:pPr>
      <w:r w:rsidRPr="00DF08BC">
        <w:rPr>
          <w:rFonts w:ascii="Arial Nova" w:hAnsi="Arial Nova"/>
          <w:b w:val="0"/>
          <w:bCs/>
          <w:sz w:val="22"/>
          <w:szCs w:val="22"/>
        </w:rPr>
        <w:t>Objective 3: To critically evaluate the ethical, regulatory and practical challenges associated with implementing phage therapy within the UK healthcare system, using thematic analysis of published evidence and policy.</w:t>
      </w:r>
    </w:p>
    <w:p w14:paraId="63C4AE7B" w14:textId="77777777" w:rsidR="002C67AC" w:rsidRPr="00DF08BC" w:rsidRDefault="002C67AC" w:rsidP="002E77E9">
      <w:pPr>
        <w:pStyle w:val="Heading1"/>
        <w:spacing w:line="360" w:lineRule="auto"/>
        <w:jc w:val="both"/>
        <w:rPr>
          <w:rFonts w:ascii="Arial Nova" w:hAnsi="Arial Nova"/>
          <w:b w:val="0"/>
          <w:bCs/>
          <w:sz w:val="22"/>
          <w:szCs w:val="22"/>
        </w:rPr>
      </w:pPr>
    </w:p>
    <w:p w14:paraId="270FDCC1" w14:textId="71088E6C" w:rsidR="00676922" w:rsidRPr="00DF08BC" w:rsidRDefault="002E77E9" w:rsidP="002E77E9">
      <w:pPr>
        <w:pStyle w:val="Heading1"/>
        <w:spacing w:line="360" w:lineRule="auto"/>
        <w:ind w:left="0"/>
        <w:jc w:val="both"/>
        <w:rPr>
          <w:rFonts w:ascii="Arial Nova" w:hAnsi="Arial Nova"/>
          <w:b w:val="0"/>
          <w:bCs/>
          <w:sz w:val="22"/>
          <w:szCs w:val="22"/>
        </w:rPr>
      </w:pPr>
      <w:r w:rsidRPr="00DF08BC">
        <w:rPr>
          <w:rFonts w:ascii="Arial Nova" w:hAnsi="Arial Nova"/>
          <w:b w:val="0"/>
          <w:bCs/>
          <w:sz w:val="22"/>
          <w:szCs w:val="22"/>
        </w:rPr>
        <w:t>Objective 4: To recommend evidence-based improvements for future health and social care practice, policy, education and research regarding the safe and effective integration of phage therapy.</w:t>
      </w:r>
    </w:p>
    <w:p w14:paraId="7A581F24" w14:textId="77777777" w:rsidR="00D721C1" w:rsidRPr="00DF08BC" w:rsidRDefault="00D721C1" w:rsidP="002E77E9">
      <w:pPr>
        <w:pStyle w:val="Heading1"/>
        <w:spacing w:line="360" w:lineRule="auto"/>
        <w:jc w:val="both"/>
        <w:rPr>
          <w:rFonts w:ascii="Arial Nova" w:hAnsi="Arial Nova"/>
          <w:b w:val="0"/>
          <w:bCs/>
          <w:sz w:val="22"/>
          <w:szCs w:val="22"/>
        </w:rPr>
      </w:pPr>
    </w:p>
    <w:p w14:paraId="6F74BE18" w14:textId="7CD168C9" w:rsidR="005033E4" w:rsidRPr="00DF08BC" w:rsidRDefault="005033E4" w:rsidP="00B72B18">
      <w:pPr>
        <w:pStyle w:val="Heading1"/>
        <w:spacing w:line="360" w:lineRule="auto"/>
        <w:ind w:left="0"/>
        <w:jc w:val="both"/>
        <w:rPr>
          <w:rFonts w:ascii="Arial Nova" w:hAnsi="Arial Nova"/>
          <w:sz w:val="22"/>
          <w:szCs w:val="22"/>
        </w:rPr>
      </w:pPr>
      <w:r w:rsidRPr="00DF08BC">
        <w:rPr>
          <w:rFonts w:ascii="Arial Nova" w:hAnsi="Arial Nova"/>
          <w:sz w:val="22"/>
          <w:szCs w:val="22"/>
        </w:rPr>
        <w:t>1.6 Conclusion</w:t>
      </w:r>
      <w:r w:rsidR="00E328C3" w:rsidRPr="00DF08BC">
        <w:rPr>
          <w:rFonts w:ascii="Arial Nova" w:hAnsi="Arial Nova"/>
          <w:sz w:val="22"/>
          <w:szCs w:val="22"/>
        </w:rPr>
        <w:t>.</w:t>
      </w:r>
    </w:p>
    <w:p w14:paraId="6483CF8F" w14:textId="77777777" w:rsidR="00AD43C8" w:rsidRPr="00DF08BC" w:rsidRDefault="00AD43C8" w:rsidP="00AD43C8">
      <w:pPr>
        <w:pStyle w:val="Heading1"/>
        <w:spacing w:line="360" w:lineRule="auto"/>
        <w:jc w:val="both"/>
        <w:rPr>
          <w:rFonts w:ascii="Arial Nova" w:hAnsi="Arial Nova"/>
          <w:b w:val="0"/>
          <w:bCs/>
          <w:sz w:val="22"/>
          <w:szCs w:val="22"/>
        </w:rPr>
      </w:pPr>
    </w:p>
    <w:p w14:paraId="2E9EB279" w14:textId="78C635CF" w:rsidR="00FE679D" w:rsidRPr="00DF08BC" w:rsidRDefault="009671CC" w:rsidP="003F3F7E">
      <w:pPr>
        <w:pStyle w:val="Heading1"/>
        <w:spacing w:line="360" w:lineRule="auto"/>
        <w:ind w:left="0"/>
        <w:jc w:val="both"/>
        <w:rPr>
          <w:rFonts w:ascii="Arial Nova" w:hAnsi="Arial Nova"/>
          <w:b w:val="0"/>
          <w:bCs/>
          <w:sz w:val="22"/>
          <w:szCs w:val="22"/>
        </w:rPr>
      </w:pPr>
      <w:r w:rsidRPr="00DF08BC">
        <w:rPr>
          <w:rFonts w:ascii="Arial Nova" w:hAnsi="Arial Nova"/>
          <w:b w:val="0"/>
          <w:bCs/>
          <w:sz w:val="22"/>
          <w:szCs w:val="22"/>
        </w:rPr>
        <w:t>This chapter has introduced phage therapy as a historically significant treatment that has gained renewed contemporary relevance amid the ongoing rise of antimicrobial resistance across the UK and globally. It has outlined key definitions and terminology, provided background and current context, and established the rationale, aim and objectives that will guide this dissertation. Together, these elements highlight the importance and timeliness of this research. The following chapter will provide a detailed Background Information and Analysis of the topic, exploring international, national and local perspectives, alongside relevant theory, policy, legislation and current evidence.</w:t>
      </w:r>
    </w:p>
    <w:p w14:paraId="094A6F2B" w14:textId="77777777" w:rsidR="00C91A65" w:rsidRPr="00DF08BC" w:rsidRDefault="00C91A65" w:rsidP="003F3F7E">
      <w:pPr>
        <w:pStyle w:val="Heading1"/>
        <w:spacing w:line="360" w:lineRule="auto"/>
        <w:ind w:left="0"/>
        <w:jc w:val="both"/>
        <w:rPr>
          <w:rFonts w:ascii="Arial Nova" w:hAnsi="Arial Nova"/>
          <w:b w:val="0"/>
          <w:bCs/>
          <w:sz w:val="22"/>
          <w:szCs w:val="22"/>
        </w:rPr>
      </w:pPr>
    </w:p>
    <w:p w14:paraId="5EE7E9A7" w14:textId="77777777" w:rsidR="00740555" w:rsidRPr="00DF08BC" w:rsidRDefault="00740555" w:rsidP="003F3F7E">
      <w:pPr>
        <w:pStyle w:val="Heading1"/>
        <w:spacing w:line="360" w:lineRule="auto"/>
        <w:ind w:left="0"/>
        <w:jc w:val="both"/>
        <w:rPr>
          <w:rFonts w:ascii="Arial Nova" w:hAnsi="Arial Nova"/>
          <w:b w:val="0"/>
          <w:bCs/>
          <w:sz w:val="22"/>
          <w:szCs w:val="22"/>
        </w:rPr>
      </w:pPr>
    </w:p>
    <w:p w14:paraId="14B8091E" w14:textId="77777777" w:rsidR="003E33BE" w:rsidRDefault="003E33BE" w:rsidP="000D0641">
      <w:pPr>
        <w:pStyle w:val="Heading1"/>
        <w:ind w:left="0"/>
        <w:rPr>
          <w:rFonts w:ascii="Arial Nova" w:hAnsi="Arial Nova"/>
          <w:sz w:val="28"/>
          <w:szCs w:val="28"/>
        </w:rPr>
      </w:pPr>
    </w:p>
    <w:p w14:paraId="5B54483B" w14:textId="77777777" w:rsidR="003E33BE" w:rsidRDefault="003E33BE" w:rsidP="000D0641">
      <w:pPr>
        <w:pStyle w:val="Heading1"/>
        <w:ind w:left="0"/>
        <w:rPr>
          <w:rFonts w:ascii="Arial Nova" w:hAnsi="Arial Nova"/>
          <w:sz w:val="28"/>
          <w:szCs w:val="28"/>
        </w:rPr>
      </w:pPr>
    </w:p>
    <w:p w14:paraId="52818DDB" w14:textId="77777777" w:rsidR="003E33BE" w:rsidRDefault="003E33BE" w:rsidP="000D0641">
      <w:pPr>
        <w:pStyle w:val="Heading1"/>
        <w:ind w:left="0"/>
        <w:rPr>
          <w:rFonts w:ascii="Arial Nova" w:hAnsi="Arial Nova"/>
          <w:sz w:val="28"/>
          <w:szCs w:val="28"/>
        </w:rPr>
      </w:pPr>
    </w:p>
    <w:p w14:paraId="64D70CD7" w14:textId="77777777" w:rsidR="003E33BE" w:rsidRDefault="003E33BE" w:rsidP="000D0641">
      <w:pPr>
        <w:pStyle w:val="Heading1"/>
        <w:ind w:left="0"/>
        <w:rPr>
          <w:rFonts w:ascii="Arial Nova" w:hAnsi="Arial Nova"/>
          <w:sz w:val="28"/>
          <w:szCs w:val="28"/>
        </w:rPr>
      </w:pPr>
    </w:p>
    <w:p w14:paraId="14A476B8" w14:textId="77777777" w:rsidR="003E33BE" w:rsidRDefault="003E33BE" w:rsidP="000D0641">
      <w:pPr>
        <w:pStyle w:val="Heading1"/>
        <w:ind w:left="0"/>
        <w:rPr>
          <w:rFonts w:ascii="Arial Nova" w:hAnsi="Arial Nova"/>
          <w:sz w:val="28"/>
          <w:szCs w:val="28"/>
        </w:rPr>
      </w:pPr>
    </w:p>
    <w:p w14:paraId="20B5C8ED" w14:textId="77777777" w:rsidR="003E33BE" w:rsidRDefault="003E33BE" w:rsidP="000D0641">
      <w:pPr>
        <w:pStyle w:val="Heading1"/>
        <w:ind w:left="0"/>
        <w:rPr>
          <w:rFonts w:ascii="Arial Nova" w:hAnsi="Arial Nova"/>
          <w:sz w:val="28"/>
          <w:szCs w:val="28"/>
        </w:rPr>
      </w:pPr>
    </w:p>
    <w:p w14:paraId="3F105DA0" w14:textId="77777777" w:rsidR="003E33BE" w:rsidRDefault="003E33BE" w:rsidP="000D0641">
      <w:pPr>
        <w:pStyle w:val="Heading1"/>
        <w:ind w:left="0"/>
        <w:rPr>
          <w:rFonts w:ascii="Arial Nova" w:hAnsi="Arial Nova"/>
          <w:sz w:val="28"/>
          <w:szCs w:val="28"/>
        </w:rPr>
      </w:pPr>
    </w:p>
    <w:p w14:paraId="6C046EC7" w14:textId="77777777" w:rsidR="003E33BE" w:rsidRDefault="003E33BE" w:rsidP="000D0641">
      <w:pPr>
        <w:pStyle w:val="Heading1"/>
        <w:ind w:left="0"/>
        <w:rPr>
          <w:rFonts w:ascii="Arial Nova" w:hAnsi="Arial Nova"/>
          <w:sz w:val="28"/>
          <w:szCs w:val="28"/>
        </w:rPr>
      </w:pPr>
    </w:p>
    <w:p w14:paraId="7EEFAE58" w14:textId="77777777" w:rsidR="006736B3" w:rsidRDefault="006736B3" w:rsidP="000D0641">
      <w:pPr>
        <w:pStyle w:val="Heading1"/>
        <w:ind w:left="0"/>
        <w:rPr>
          <w:rFonts w:ascii="Arial Nova" w:hAnsi="Arial Nova"/>
          <w:sz w:val="28"/>
          <w:szCs w:val="28"/>
        </w:rPr>
      </w:pPr>
    </w:p>
    <w:p w14:paraId="33D4B98F" w14:textId="1D7A7BE4" w:rsidR="000D0641" w:rsidRPr="00DF08BC" w:rsidRDefault="000D0641" w:rsidP="000D0641">
      <w:pPr>
        <w:pStyle w:val="Heading1"/>
        <w:ind w:left="0"/>
        <w:rPr>
          <w:rFonts w:ascii="Arial Nova" w:hAnsi="Arial Nova"/>
          <w:sz w:val="28"/>
          <w:szCs w:val="28"/>
        </w:rPr>
      </w:pPr>
      <w:r w:rsidRPr="00DF08BC">
        <w:rPr>
          <w:rFonts w:ascii="Arial Nova" w:hAnsi="Arial Nova"/>
          <w:sz w:val="28"/>
          <w:szCs w:val="28"/>
        </w:rPr>
        <w:lastRenderedPageBreak/>
        <w:t xml:space="preserve">CHAPTER 2 – </w:t>
      </w:r>
      <w:r w:rsidR="00BD2909" w:rsidRPr="00DF08BC">
        <w:rPr>
          <w:rFonts w:ascii="Arial Nova" w:hAnsi="Arial Nova"/>
          <w:sz w:val="28"/>
          <w:szCs w:val="28"/>
        </w:rPr>
        <w:t xml:space="preserve">Background </w:t>
      </w:r>
      <w:r w:rsidR="00F44833" w:rsidRPr="00DF08BC">
        <w:rPr>
          <w:rFonts w:ascii="Arial Nova" w:hAnsi="Arial Nova"/>
          <w:sz w:val="28"/>
          <w:szCs w:val="28"/>
        </w:rPr>
        <w:t xml:space="preserve">Information and </w:t>
      </w:r>
      <w:r w:rsidR="00BD2909" w:rsidRPr="00DF08BC">
        <w:rPr>
          <w:rFonts w:ascii="Arial Nova" w:hAnsi="Arial Nova"/>
          <w:sz w:val="28"/>
          <w:szCs w:val="28"/>
        </w:rPr>
        <w:t>Analysis</w:t>
      </w:r>
      <w:r w:rsidR="00E328C3" w:rsidRPr="00DF08BC">
        <w:rPr>
          <w:rFonts w:ascii="Arial Nova" w:hAnsi="Arial Nova"/>
          <w:sz w:val="28"/>
          <w:szCs w:val="28"/>
        </w:rPr>
        <w:t>.</w:t>
      </w:r>
    </w:p>
    <w:p w14:paraId="3AB8FF4C" w14:textId="77777777" w:rsidR="00D33DD0" w:rsidRDefault="00D33DD0" w:rsidP="00C006E9">
      <w:pPr>
        <w:pStyle w:val="Heading1"/>
        <w:spacing w:line="360" w:lineRule="auto"/>
        <w:ind w:left="0"/>
        <w:jc w:val="both"/>
        <w:rPr>
          <w:rFonts w:ascii="Arial Nova" w:hAnsi="Arial Nova"/>
          <w:sz w:val="28"/>
          <w:szCs w:val="28"/>
        </w:rPr>
      </w:pPr>
    </w:p>
    <w:p w14:paraId="47E1F266" w14:textId="1F988F2A" w:rsidR="007F5870" w:rsidRPr="00DF08BC" w:rsidRDefault="007F5870" w:rsidP="00C006E9">
      <w:pPr>
        <w:pStyle w:val="Heading1"/>
        <w:spacing w:line="360" w:lineRule="auto"/>
        <w:ind w:left="0"/>
        <w:jc w:val="both"/>
        <w:rPr>
          <w:rFonts w:ascii="Arial Nova" w:hAnsi="Arial Nova"/>
          <w:sz w:val="22"/>
          <w:szCs w:val="22"/>
        </w:rPr>
      </w:pPr>
      <w:r w:rsidRPr="00DF08BC">
        <w:rPr>
          <w:rFonts w:ascii="Arial Nova" w:hAnsi="Arial Nova"/>
          <w:sz w:val="22"/>
          <w:szCs w:val="22"/>
        </w:rPr>
        <w:t>2.1 Introduction</w:t>
      </w:r>
      <w:r w:rsidR="007D7543" w:rsidRPr="00DF08BC">
        <w:rPr>
          <w:rFonts w:ascii="Arial Nova" w:hAnsi="Arial Nova"/>
          <w:sz w:val="22"/>
          <w:szCs w:val="22"/>
        </w:rPr>
        <w:t>.</w:t>
      </w:r>
    </w:p>
    <w:p w14:paraId="5983EA4F" w14:textId="77777777" w:rsidR="007F5870" w:rsidRPr="00DF08BC" w:rsidRDefault="007F5870" w:rsidP="007F5870">
      <w:pPr>
        <w:pStyle w:val="Heading1"/>
        <w:spacing w:line="360" w:lineRule="auto"/>
        <w:jc w:val="both"/>
        <w:rPr>
          <w:rFonts w:ascii="Arial Nova" w:hAnsi="Arial Nova"/>
          <w:b w:val="0"/>
          <w:bCs/>
          <w:sz w:val="22"/>
          <w:szCs w:val="22"/>
        </w:rPr>
      </w:pPr>
    </w:p>
    <w:p w14:paraId="026827AE" w14:textId="324334CE" w:rsidR="00600A23" w:rsidRDefault="00C0210A" w:rsidP="00C0210A">
      <w:pPr>
        <w:pStyle w:val="Heading1"/>
        <w:spacing w:line="360" w:lineRule="auto"/>
        <w:ind w:left="0"/>
        <w:jc w:val="both"/>
        <w:rPr>
          <w:rFonts w:ascii="Arial Nova" w:hAnsi="Arial Nova"/>
          <w:b w:val="0"/>
          <w:bCs/>
          <w:sz w:val="22"/>
          <w:szCs w:val="22"/>
        </w:rPr>
      </w:pPr>
      <w:r w:rsidRPr="00DF08BC">
        <w:rPr>
          <w:rFonts w:ascii="Arial Nova" w:hAnsi="Arial Nova"/>
          <w:b w:val="0"/>
          <w:bCs/>
          <w:sz w:val="22"/>
          <w:szCs w:val="22"/>
        </w:rPr>
        <w:t>This chapter provides the historical, theoretical and contextual foundation necessary for understanding phage therapy as both a traditional and contemporary treatment. It explores how phage therapy first developed over a century ago, the key scientific theories and concepts that underpin its therapeutic use, and how it is currently applied, viewed and regulated across international, national and local UK settings. In doing so, this chapter draws together perspectives from history, science, policy and legislation, providing essential context before the literature is examined in greater depth later in the dissertation. It is important to note that this chapter focuses on broad contextual understanding rather than identifying specific themes or patterns, as this analytical work will be undertaken separately in Chapter 4 through thematic analysis. By examining the topic from these multiple angles, this chapter demonstrates why phage therapy remains a relevant, evolving and increasingly significant area of health and social care practice, policy and research.</w:t>
      </w:r>
    </w:p>
    <w:p w14:paraId="63FF11F0" w14:textId="77777777" w:rsidR="00843747" w:rsidRPr="00DF08BC" w:rsidRDefault="00843747" w:rsidP="00C0210A">
      <w:pPr>
        <w:pStyle w:val="Heading1"/>
        <w:spacing w:line="360" w:lineRule="auto"/>
        <w:ind w:left="0"/>
        <w:jc w:val="both"/>
        <w:rPr>
          <w:rFonts w:ascii="Arial Nova" w:hAnsi="Arial Nova"/>
          <w:b w:val="0"/>
          <w:bCs/>
          <w:sz w:val="22"/>
          <w:szCs w:val="22"/>
        </w:rPr>
      </w:pPr>
    </w:p>
    <w:p w14:paraId="61E504DA" w14:textId="68407621" w:rsidR="006F3898" w:rsidRPr="00DF08BC" w:rsidRDefault="006F3898" w:rsidP="00843747">
      <w:pPr>
        <w:pStyle w:val="Heading1"/>
        <w:spacing w:line="360" w:lineRule="auto"/>
        <w:ind w:left="0"/>
        <w:jc w:val="both"/>
        <w:rPr>
          <w:rFonts w:ascii="Arial Nova" w:hAnsi="Arial Nova"/>
          <w:sz w:val="22"/>
          <w:szCs w:val="22"/>
        </w:rPr>
      </w:pPr>
      <w:r w:rsidRPr="00DF08BC">
        <w:rPr>
          <w:rFonts w:ascii="Arial Nova" w:hAnsi="Arial Nova"/>
          <w:sz w:val="22"/>
          <w:szCs w:val="22"/>
        </w:rPr>
        <w:t>2.2 Historical Background</w:t>
      </w:r>
      <w:r w:rsidR="00426C26" w:rsidRPr="00DF08BC">
        <w:rPr>
          <w:rFonts w:ascii="Arial Nova" w:hAnsi="Arial Nova"/>
          <w:sz w:val="22"/>
          <w:szCs w:val="22"/>
        </w:rPr>
        <w:t>.</w:t>
      </w:r>
    </w:p>
    <w:p w14:paraId="4A4E1DE8" w14:textId="77777777" w:rsidR="007262D5" w:rsidRPr="00DF08BC" w:rsidRDefault="007262D5" w:rsidP="007262D5">
      <w:pPr>
        <w:pStyle w:val="Heading1"/>
        <w:spacing w:line="360" w:lineRule="auto"/>
        <w:ind w:left="0"/>
        <w:jc w:val="both"/>
        <w:rPr>
          <w:rFonts w:ascii="Arial Nova" w:hAnsi="Arial Nova"/>
          <w:sz w:val="22"/>
          <w:szCs w:val="22"/>
        </w:rPr>
      </w:pPr>
    </w:p>
    <w:p w14:paraId="6EF2F998" w14:textId="77777777" w:rsidR="00BA04FD" w:rsidRPr="00DF08BC" w:rsidRDefault="00BA04FD" w:rsidP="00BA04FD">
      <w:pPr>
        <w:pStyle w:val="Heading1"/>
        <w:spacing w:line="360" w:lineRule="auto"/>
        <w:ind w:left="0"/>
        <w:jc w:val="both"/>
        <w:rPr>
          <w:rFonts w:ascii="Arial Nova" w:hAnsi="Arial Nova"/>
          <w:b w:val="0"/>
          <w:sz w:val="22"/>
          <w:szCs w:val="22"/>
        </w:rPr>
      </w:pPr>
      <w:r>
        <w:rPr>
          <w:rFonts w:ascii="Arial Nova" w:hAnsi="Arial Nova"/>
          <w:b w:val="0"/>
          <w:sz w:val="22"/>
          <w:szCs w:val="22"/>
        </w:rPr>
        <w:t>Bacteriophages were discovered independently by two scientists in the early twentieth century. Frederick Twort, a British bacteriologist, first observed the lysis of bacteria by an unknown agent in 1915, publishing his findings in The Lancet (Twort, 1915; Molineux, 2015). Although Twort recognised the significance of this discovery, he did not pursue the research further, partly due to a lack of funding and the disruption caused by the First World War (Molineux, 2015). Two years later, the French-Canadian microbiologist Félix d'Hérelle independently identified a similar "invisible microbe" that destroyed dysentery-causing bacteria, and he was the first to propose that these viruses, which he named bacteriophages, could be used therapeutically to treat bacterial infections in humans (d'Hérelle, 1917; Molineux, 2015; Phage Therapy Centre, 2021). D'Hérelle went on to use phage preparations to treat bacterial dysentery in humans as early as 1919, marking the beginning of clinical phage therapy, and he later expanded this work to other infections, including cholera and bubonic plague (Sulakvelidze, Alavidze and Morris, 2001).</w:t>
      </w:r>
    </w:p>
    <w:p w14:paraId="7A5E215E" w14:textId="77777777" w:rsidR="00BA04FD" w:rsidRPr="00DF08BC" w:rsidRDefault="00BA04FD" w:rsidP="00BA04FD">
      <w:pPr>
        <w:pStyle w:val="Heading1"/>
        <w:spacing w:line="360" w:lineRule="auto"/>
        <w:ind w:left="0"/>
        <w:jc w:val="both"/>
        <w:rPr>
          <w:rFonts w:ascii="Arial Nova" w:hAnsi="Arial Nova"/>
          <w:b w:val="0"/>
          <w:sz w:val="22"/>
          <w:szCs w:val="22"/>
        </w:rPr>
      </w:pPr>
      <w:r>
        <w:rPr>
          <w:rFonts w:ascii="Arial Nova" w:hAnsi="Arial Nova"/>
          <w:b w:val="0"/>
          <w:sz w:val="22"/>
          <w:szCs w:val="22"/>
        </w:rPr>
        <w:t xml:space="preserve">A significant milestone came in 1923, when the Georgian scientist George Eliava, who had met d'Hérelle at the Pasteur Institute in Paris and shared his enthusiasm for the therapeutic potential of Phage’s, founded an Institute of Bacteriology in Tbilisi dedicated to phage research </w:t>
      </w:r>
      <w:r>
        <w:rPr>
          <w:rFonts w:ascii="Arial Nova" w:hAnsi="Arial Nova"/>
          <w:b w:val="0"/>
          <w:sz w:val="22"/>
          <w:szCs w:val="22"/>
        </w:rPr>
        <w:lastRenderedPageBreak/>
        <w:t>(Linda Hall Library, 2025). This institution, later renamed the Eliava Institute of Bacteriophage, Microbiology and Virology, became a world leader in phage therapy, developing phage cocktails and treatment protocols that continue to inform practice today (Eliava Phage Therapy Centre, 2021). Tragically, Eliava was executed in 1937 during Stalin's political purges, and d'Hérelle, who had been due to join him in Tbilisi, was never permitted to return to Georgia; despite this, the institute continued its work throughout the Soviet era, becoming a lasting centre of phage expertise (Linda Hall Library, 2025).</w:t>
      </w:r>
    </w:p>
    <w:p w14:paraId="08331BBF" w14:textId="77777777" w:rsidR="00BA04FD" w:rsidRPr="00DF08BC" w:rsidRDefault="00BA04FD" w:rsidP="00BA04FD">
      <w:pPr>
        <w:pStyle w:val="Heading1"/>
        <w:spacing w:line="360" w:lineRule="auto"/>
        <w:ind w:left="0"/>
        <w:jc w:val="both"/>
        <w:rPr>
          <w:rFonts w:ascii="Arial Nova" w:hAnsi="Arial Nova"/>
          <w:b w:val="0"/>
          <w:sz w:val="22"/>
          <w:szCs w:val="22"/>
        </w:rPr>
      </w:pPr>
      <w:r>
        <w:rPr>
          <w:rFonts w:ascii="Arial Nova" w:hAnsi="Arial Nova"/>
          <w:b w:val="0"/>
          <w:sz w:val="22"/>
          <w:szCs w:val="22"/>
        </w:rPr>
        <w:t>In the West, phage therapy was practised in some settings during the 1920s and 1930s, including the successful treatment of staphylococcal wound infections by Richard Bruynoghe in Belgium in 1921. However, interest declined rapidly following the discovery and mass production of antibiotics such as penicillin in the 1940s (Fleming, 1929), which were cheaper to produce, easier to standardise, and did not require the laborious process of matching a specific phage to a specific bacterial strain (Sulakvelidze, Alavidze and Morris, 2001). As a result, phage therapy was largely abandoned in Western medicine, while research and clinical use continued extensively in the Soviet Union and Eastern Europe, particularly in Georgia and Poland, where decades of uninterrupted clinical experience were accumulated (Sulakvelidze, Alavidze and Morris, 2001).</w:t>
      </w:r>
    </w:p>
    <w:p w14:paraId="2BBC26F6" w14:textId="77777777" w:rsidR="00BA04FD" w:rsidRPr="00DF08BC" w:rsidRDefault="00BA04FD" w:rsidP="00BA04FD">
      <w:pPr>
        <w:pStyle w:val="Heading1"/>
        <w:spacing w:line="360" w:lineRule="auto"/>
        <w:ind w:left="0"/>
        <w:jc w:val="both"/>
        <w:rPr>
          <w:rFonts w:ascii="Arial Nova" w:hAnsi="Arial Nova"/>
          <w:b w:val="0"/>
          <w:sz w:val="22"/>
          <w:szCs w:val="22"/>
        </w:rPr>
      </w:pPr>
      <w:r>
        <w:rPr>
          <w:rFonts w:ascii="Arial Nova" w:hAnsi="Arial Nova"/>
          <w:b w:val="0"/>
          <w:sz w:val="22"/>
          <w:szCs w:val="22"/>
        </w:rPr>
        <w:t>The rise of antimicrobial resistance from the late twentieth century onwards has since renewed global interest in phage therapy as an alternative or complementary treatment (Kortright et al., 2019). This historical trajectory, from early discovery to decline and resurgence, is essential to understanding the current, cautious approach taken by Western regulators, including in the UK, where phage therapy is still viewed as an emerging rather than an established treatment (MHRA, 2025).</w:t>
      </w:r>
    </w:p>
    <w:p w14:paraId="46326379" w14:textId="77777777" w:rsidR="004C6112" w:rsidRPr="00DF08BC" w:rsidRDefault="004C6112" w:rsidP="00E03D1C">
      <w:pPr>
        <w:pStyle w:val="Heading1"/>
        <w:spacing w:line="360" w:lineRule="auto"/>
        <w:ind w:left="0"/>
        <w:jc w:val="both"/>
        <w:rPr>
          <w:rFonts w:ascii="Arial Nova" w:hAnsi="Arial Nova"/>
          <w:b w:val="0"/>
          <w:bCs/>
          <w:sz w:val="22"/>
          <w:szCs w:val="22"/>
        </w:rPr>
      </w:pPr>
    </w:p>
    <w:p w14:paraId="2BF37E67" w14:textId="0028CAEA" w:rsidR="00E03D1C" w:rsidRPr="00DF08BC" w:rsidRDefault="00E03D1C" w:rsidP="00E03D1C">
      <w:pPr>
        <w:pStyle w:val="Heading1"/>
        <w:spacing w:line="360" w:lineRule="auto"/>
        <w:ind w:left="0"/>
        <w:jc w:val="both"/>
        <w:rPr>
          <w:rFonts w:ascii="Arial Nova" w:eastAsiaTheme="minorEastAsia" w:hAnsi="Arial Nova" w:cstheme="minorBidi"/>
          <w:bCs/>
          <w:kern w:val="2"/>
          <w:sz w:val="22"/>
          <w:szCs w:val="22"/>
          <w:lang w:eastAsia="zh-CN" w:bidi="ar-SA"/>
          <w14:ligatures w14:val="standardContextual"/>
        </w:rPr>
      </w:pPr>
      <w:r w:rsidRPr="00DF08BC">
        <w:rPr>
          <w:rFonts w:ascii="Arial Nova" w:eastAsiaTheme="minorEastAsia" w:hAnsi="Arial Nova" w:cstheme="minorBidi"/>
          <w:bCs/>
          <w:kern w:val="2"/>
          <w:sz w:val="22"/>
          <w:szCs w:val="22"/>
          <w:lang w:eastAsia="zh-CN" w:bidi="ar-SA"/>
          <w14:ligatures w14:val="standardContextual"/>
        </w:rPr>
        <w:t>2.3 Theoretical Background</w:t>
      </w:r>
      <w:r w:rsidR="004B28F4" w:rsidRPr="00DF08BC">
        <w:rPr>
          <w:rFonts w:ascii="Arial Nova" w:eastAsiaTheme="minorEastAsia" w:hAnsi="Arial Nova" w:cstheme="minorBidi"/>
          <w:bCs/>
          <w:kern w:val="2"/>
          <w:sz w:val="22"/>
          <w:szCs w:val="22"/>
          <w:lang w:eastAsia="zh-CN" w:bidi="ar-SA"/>
          <w14:ligatures w14:val="standardContextual"/>
        </w:rPr>
        <w:t>.</w:t>
      </w:r>
    </w:p>
    <w:p w14:paraId="386C950D" w14:textId="77777777" w:rsidR="0007690B" w:rsidRPr="00DF08BC" w:rsidRDefault="0007690B" w:rsidP="00E03D1C">
      <w:pPr>
        <w:pStyle w:val="Heading1"/>
        <w:spacing w:line="360" w:lineRule="auto"/>
        <w:ind w:left="0"/>
        <w:jc w:val="both"/>
        <w:rPr>
          <w:rFonts w:ascii="Arial Nova" w:eastAsiaTheme="minorEastAsia" w:hAnsi="Arial Nova" w:cstheme="minorBidi"/>
          <w:bCs/>
          <w:kern w:val="2"/>
          <w:sz w:val="22"/>
          <w:szCs w:val="22"/>
          <w:lang w:eastAsia="zh-CN" w:bidi="ar-SA"/>
          <w14:ligatures w14:val="standardContextual"/>
        </w:rPr>
      </w:pPr>
    </w:p>
    <w:p w14:paraId="6594D5F8" w14:textId="7C50CF7C" w:rsidR="00B418B7" w:rsidRDefault="00B418B7" w:rsidP="00902B58">
      <w:pPr>
        <w:pStyle w:val="Heading1"/>
        <w:spacing w:line="360" w:lineRule="auto"/>
        <w:ind w:left="0"/>
        <w:jc w:val="both"/>
        <w:rPr>
          <w:rFonts w:ascii="Arial Nova" w:hAnsi="Arial Nova"/>
          <w:b w:val="0"/>
          <w:bCs/>
          <w:sz w:val="22"/>
          <w:szCs w:val="22"/>
        </w:rPr>
      </w:pPr>
      <w:r w:rsidRPr="00DF08BC">
        <w:rPr>
          <w:rFonts w:ascii="Arial Nova" w:hAnsi="Arial Nova"/>
          <w:b w:val="0"/>
          <w:bCs/>
          <w:sz w:val="22"/>
          <w:szCs w:val="22"/>
        </w:rPr>
        <w:t xml:space="preserve">The scientific basis of phage therapy rests on the natural life cycle of bacteriophages. </w:t>
      </w:r>
      <w:r w:rsidR="00651F4D" w:rsidRPr="00DF08BC">
        <w:rPr>
          <w:rFonts w:ascii="Arial Nova" w:hAnsi="Arial Nova"/>
          <w:b w:val="0"/>
          <w:bCs/>
          <w:sz w:val="22"/>
          <w:szCs w:val="22"/>
        </w:rPr>
        <w:t>Phage’s</w:t>
      </w:r>
      <w:r w:rsidRPr="00DF08BC">
        <w:rPr>
          <w:rFonts w:ascii="Arial Nova" w:hAnsi="Arial Nova"/>
          <w:b w:val="0"/>
          <w:bCs/>
          <w:sz w:val="22"/>
          <w:szCs w:val="22"/>
        </w:rPr>
        <w:t xml:space="preserve"> used therapeutically are typically lytic, meaning they infect a bacterial cell, replicate inside it, and cause the cell to burst (lyse), releasing new phage particles that can then infect further bacteria (Loh et al., 2021). This process can continue exponentially at the site of infection for as long as suitable host bacteria remain available, which is one reason phage therapy is sometimes described as "self-dosing" or self-amplifying, distinguishing it from conventional antibiotics that decline in concentration over time (Loh et al., 2021). This is distinct from lysogenic </w:t>
      </w:r>
      <w:r w:rsidR="00554C01" w:rsidRPr="00DF08BC">
        <w:rPr>
          <w:rFonts w:ascii="Arial Nova" w:hAnsi="Arial Nova"/>
          <w:b w:val="0"/>
          <w:bCs/>
          <w:sz w:val="22"/>
          <w:szCs w:val="22"/>
        </w:rPr>
        <w:t>phage’s</w:t>
      </w:r>
      <w:r w:rsidRPr="00DF08BC">
        <w:rPr>
          <w:rFonts w:ascii="Arial Nova" w:hAnsi="Arial Nova"/>
          <w:b w:val="0"/>
          <w:bCs/>
          <w:sz w:val="22"/>
          <w:szCs w:val="22"/>
        </w:rPr>
        <w:t xml:space="preserve">, which insert their genetic material into the host bacterium's chromosome without immediately destroying it, instead remaining dormant until triggered to enter the lytic </w:t>
      </w:r>
      <w:r w:rsidRPr="00DF08BC">
        <w:rPr>
          <w:rFonts w:ascii="Arial Nova" w:hAnsi="Arial Nova"/>
          <w:b w:val="0"/>
          <w:bCs/>
          <w:sz w:val="22"/>
          <w:szCs w:val="22"/>
        </w:rPr>
        <w:lastRenderedPageBreak/>
        <w:t xml:space="preserve">cycle at a later stage; lytic </w:t>
      </w:r>
      <w:r w:rsidR="00F578FA">
        <w:rPr>
          <w:rFonts w:ascii="Arial Nova" w:hAnsi="Arial Nova"/>
          <w:b w:val="0"/>
          <w:bCs/>
          <w:sz w:val="22"/>
          <w:szCs w:val="22"/>
        </w:rPr>
        <w:t>P</w:t>
      </w:r>
      <w:r w:rsidR="00554C01" w:rsidRPr="00DF08BC">
        <w:rPr>
          <w:rFonts w:ascii="Arial Nova" w:hAnsi="Arial Nova"/>
          <w:b w:val="0"/>
          <w:bCs/>
          <w:sz w:val="22"/>
          <w:szCs w:val="22"/>
        </w:rPr>
        <w:t>hage’s</w:t>
      </w:r>
      <w:r w:rsidRPr="00DF08BC">
        <w:rPr>
          <w:rFonts w:ascii="Arial Nova" w:hAnsi="Arial Nova"/>
          <w:b w:val="0"/>
          <w:bCs/>
          <w:sz w:val="22"/>
          <w:szCs w:val="22"/>
        </w:rPr>
        <w:t xml:space="preserve"> are preferred for treatment because they reliably kill their bacterial target rather than potentially contributing to bacterial evolution through gene transfer (Loh et al., 2021)</w:t>
      </w:r>
      <w:r w:rsidR="00E2686A">
        <w:rPr>
          <w:rFonts w:ascii="Arial Nova" w:hAnsi="Arial Nova"/>
          <w:b w:val="0"/>
          <w:bCs/>
          <w:sz w:val="22"/>
          <w:szCs w:val="22"/>
        </w:rPr>
        <w:t>.</w:t>
      </w:r>
    </w:p>
    <w:p w14:paraId="59131D99" w14:textId="77777777" w:rsidR="00E2686A" w:rsidRPr="00DF08BC" w:rsidRDefault="00E2686A" w:rsidP="00902B58">
      <w:pPr>
        <w:pStyle w:val="Heading1"/>
        <w:spacing w:line="360" w:lineRule="auto"/>
        <w:ind w:left="0"/>
        <w:jc w:val="both"/>
        <w:rPr>
          <w:rFonts w:ascii="Arial Nova" w:hAnsi="Arial Nova"/>
          <w:b w:val="0"/>
          <w:bCs/>
          <w:sz w:val="22"/>
          <w:szCs w:val="22"/>
        </w:rPr>
      </w:pPr>
    </w:p>
    <w:p w14:paraId="19E18348" w14:textId="5C7FF1C1" w:rsidR="00B418B7" w:rsidRDefault="00B418B7" w:rsidP="00E2686A">
      <w:pPr>
        <w:pStyle w:val="Heading1"/>
        <w:spacing w:line="360" w:lineRule="auto"/>
        <w:ind w:left="0"/>
        <w:jc w:val="both"/>
        <w:rPr>
          <w:rFonts w:ascii="Arial Nova" w:hAnsi="Arial Nova"/>
          <w:b w:val="0"/>
          <w:bCs/>
          <w:sz w:val="22"/>
          <w:szCs w:val="22"/>
        </w:rPr>
      </w:pPr>
      <w:r w:rsidRPr="00DF08BC">
        <w:rPr>
          <w:rFonts w:ascii="Arial Nova" w:hAnsi="Arial Nova"/>
          <w:b w:val="0"/>
          <w:bCs/>
          <w:sz w:val="22"/>
          <w:szCs w:val="22"/>
        </w:rPr>
        <w:t>Because each phage tends to be highly specific to one bacterial species or strain, treatment is often described as "</w:t>
      </w:r>
      <w:r w:rsidR="0007690B" w:rsidRPr="00DF08BC">
        <w:rPr>
          <w:rFonts w:ascii="Arial Nova" w:hAnsi="Arial Nova"/>
          <w:b w:val="0"/>
          <w:bCs/>
          <w:sz w:val="22"/>
          <w:szCs w:val="22"/>
        </w:rPr>
        <w:t>personalized</w:t>
      </w:r>
      <w:r w:rsidRPr="00DF08BC">
        <w:rPr>
          <w:rFonts w:ascii="Arial Nova" w:hAnsi="Arial Nova"/>
          <w:b w:val="0"/>
          <w:bCs/>
          <w:sz w:val="22"/>
          <w:szCs w:val="22"/>
        </w:rPr>
        <w:t xml:space="preserve">", requiring bacterial samples from the patient to be matched against a library of </w:t>
      </w:r>
      <w:r w:rsidR="00774DC8">
        <w:rPr>
          <w:rFonts w:ascii="Arial Nova" w:hAnsi="Arial Nova"/>
          <w:b w:val="0"/>
          <w:bCs/>
          <w:sz w:val="22"/>
          <w:szCs w:val="22"/>
        </w:rPr>
        <w:t>P</w:t>
      </w:r>
      <w:r w:rsidR="00774DC8" w:rsidRPr="00DF08BC">
        <w:rPr>
          <w:rFonts w:ascii="Arial Nova" w:hAnsi="Arial Nova"/>
          <w:b w:val="0"/>
          <w:bCs/>
          <w:sz w:val="22"/>
          <w:szCs w:val="22"/>
        </w:rPr>
        <w:t>hage’s</w:t>
      </w:r>
      <w:r w:rsidRPr="00DF08BC">
        <w:rPr>
          <w:rFonts w:ascii="Arial Nova" w:hAnsi="Arial Nova"/>
          <w:b w:val="0"/>
          <w:bCs/>
          <w:sz w:val="22"/>
          <w:szCs w:val="22"/>
        </w:rPr>
        <w:t xml:space="preserve">, or combined into cocktails containing multiple phage types to broaden effectiveness and reduce the likelihood of bacteria developing resistance to the phage itself. This specificity underpins a further theoretical concept relevant to this dissertation: antimicrobial stewardship. Stewardship refers to a coordinated set of actions across healthcare systems designed to promote the responsible use of antimicrobials, ensuring they remain effective for future generations. Phage therapy is </w:t>
      </w:r>
      <w:r w:rsidR="0007690B" w:rsidRPr="00DF08BC">
        <w:rPr>
          <w:rFonts w:ascii="Arial Nova" w:hAnsi="Arial Nova"/>
          <w:b w:val="0"/>
          <w:bCs/>
          <w:sz w:val="22"/>
          <w:szCs w:val="22"/>
        </w:rPr>
        <w:t>theorized</w:t>
      </w:r>
      <w:r w:rsidRPr="00DF08BC">
        <w:rPr>
          <w:rFonts w:ascii="Arial Nova" w:hAnsi="Arial Nova"/>
          <w:b w:val="0"/>
          <w:bCs/>
          <w:sz w:val="22"/>
          <w:szCs w:val="22"/>
        </w:rPr>
        <w:t xml:space="preserve"> to support stewardship goals because its narrow targeting reduces collateral damage to a patient's wider microbiome, in contrast to broad-spectrum antibiotics, which can harm beneficial bacteria and inadvertently contribute to further resistance across other bacterial populations (GOV.UK, 2025).</w:t>
      </w:r>
    </w:p>
    <w:p w14:paraId="7E9F5595" w14:textId="77777777" w:rsidR="00236AF9" w:rsidRPr="00DF08BC" w:rsidRDefault="00236AF9" w:rsidP="00E2686A">
      <w:pPr>
        <w:pStyle w:val="Heading1"/>
        <w:spacing w:line="360" w:lineRule="auto"/>
        <w:ind w:left="0"/>
        <w:jc w:val="both"/>
        <w:rPr>
          <w:rFonts w:ascii="Arial Nova" w:hAnsi="Arial Nova"/>
          <w:b w:val="0"/>
          <w:bCs/>
          <w:sz w:val="22"/>
          <w:szCs w:val="22"/>
        </w:rPr>
      </w:pPr>
    </w:p>
    <w:p w14:paraId="7B76221E" w14:textId="0634BEE5" w:rsidR="00B418B7" w:rsidRDefault="00B418B7" w:rsidP="00236AF9">
      <w:pPr>
        <w:pStyle w:val="Heading1"/>
        <w:spacing w:line="360" w:lineRule="auto"/>
        <w:ind w:left="0"/>
        <w:jc w:val="both"/>
        <w:rPr>
          <w:rFonts w:ascii="Arial Nova" w:hAnsi="Arial Nova"/>
          <w:b w:val="0"/>
          <w:bCs/>
          <w:sz w:val="22"/>
          <w:szCs w:val="22"/>
        </w:rPr>
      </w:pPr>
      <w:r w:rsidRPr="00DF08BC">
        <w:rPr>
          <w:rFonts w:ascii="Arial Nova" w:hAnsi="Arial Nova"/>
          <w:b w:val="0"/>
          <w:bCs/>
          <w:sz w:val="22"/>
          <w:szCs w:val="22"/>
        </w:rPr>
        <w:t xml:space="preserve">A second key theoretical framework relevant to this topic is the One Health approach, developed jointly by the World Health Organization, the Food and Agriculture Organization, and the World </w:t>
      </w:r>
      <w:r w:rsidR="00131685" w:rsidRPr="00DF08BC">
        <w:rPr>
          <w:rFonts w:ascii="Arial Nova" w:hAnsi="Arial Nova"/>
          <w:b w:val="0"/>
          <w:bCs/>
          <w:sz w:val="22"/>
          <w:szCs w:val="22"/>
        </w:rPr>
        <w:t>Organization</w:t>
      </w:r>
      <w:r w:rsidRPr="00DF08BC">
        <w:rPr>
          <w:rFonts w:ascii="Arial Nova" w:hAnsi="Arial Nova"/>
          <w:b w:val="0"/>
          <w:bCs/>
          <w:sz w:val="22"/>
          <w:szCs w:val="22"/>
        </w:rPr>
        <w:t xml:space="preserve"> for Animal Health (WOAH). One Health </w:t>
      </w:r>
      <w:r w:rsidR="0007690B" w:rsidRPr="00DF08BC">
        <w:rPr>
          <w:rFonts w:ascii="Arial Nova" w:hAnsi="Arial Nova"/>
          <w:b w:val="0"/>
          <w:bCs/>
          <w:sz w:val="22"/>
          <w:szCs w:val="22"/>
        </w:rPr>
        <w:t>recognizes</w:t>
      </w:r>
      <w:r w:rsidRPr="00DF08BC">
        <w:rPr>
          <w:rFonts w:ascii="Arial Nova" w:hAnsi="Arial Nova"/>
          <w:b w:val="0"/>
          <w:bCs/>
          <w:sz w:val="22"/>
          <w:szCs w:val="22"/>
        </w:rPr>
        <w:t xml:space="preserve"> that human, animal, plant and environmental health are interconnected, and that antimicrobial resistance must therefore be tackled across all these sectors simultaneously rather than in isolation (WOAH, 2026). This theory has been applied in previous research examining how resistant bacteria spread between humans, animals and the environment, particularly through food production and agricultural antibiotic use, and has shaped global strategies such as the WHO Global Action Plan on Antimicrobial Resistance (WOAH, 2024).</w:t>
      </w:r>
    </w:p>
    <w:p w14:paraId="4416E723" w14:textId="77777777" w:rsidR="00BC7126" w:rsidRPr="00DF08BC" w:rsidRDefault="00BC7126" w:rsidP="00236AF9">
      <w:pPr>
        <w:pStyle w:val="Heading1"/>
        <w:spacing w:line="360" w:lineRule="auto"/>
        <w:ind w:left="0"/>
        <w:jc w:val="both"/>
        <w:rPr>
          <w:rFonts w:ascii="Arial Nova" w:hAnsi="Arial Nova"/>
          <w:b w:val="0"/>
          <w:bCs/>
          <w:sz w:val="22"/>
          <w:szCs w:val="22"/>
        </w:rPr>
      </w:pPr>
    </w:p>
    <w:p w14:paraId="7E07C53E" w14:textId="77777777" w:rsidR="00B418B7" w:rsidRDefault="00B418B7" w:rsidP="00236AF9">
      <w:pPr>
        <w:pStyle w:val="Heading1"/>
        <w:spacing w:line="360" w:lineRule="auto"/>
        <w:ind w:left="0"/>
        <w:jc w:val="both"/>
        <w:rPr>
          <w:rFonts w:ascii="Arial Nova" w:hAnsi="Arial Nova"/>
          <w:b w:val="0"/>
          <w:bCs/>
          <w:sz w:val="22"/>
          <w:szCs w:val="22"/>
        </w:rPr>
      </w:pPr>
      <w:r w:rsidRPr="00DF08BC">
        <w:rPr>
          <w:rFonts w:ascii="Arial Nova" w:hAnsi="Arial Nova"/>
          <w:b w:val="0"/>
          <w:bCs/>
          <w:sz w:val="22"/>
          <w:szCs w:val="22"/>
        </w:rPr>
        <w:t xml:space="preserve">Critically, while these theories provide a useful structure for understanding phage therapy's potential role, they are not without limitations. The lytic-phage model, for example, assumes that a suitable phage can always be identified and matched to a patient's infection quickly enough to be clinically useful, which is not always practical in emergency or resource-limited settings where time-critical decisions are required. Similarly, critics of the One Health framework argue that it can be difficult to implement in practice, since it requires close collaboration between separate sectors, such as human medicine, veterinary science and environmental agencies, that do not always share data, priorities or funding streams (WOAH, </w:t>
      </w:r>
      <w:r w:rsidRPr="00DF08BC">
        <w:rPr>
          <w:rFonts w:ascii="Arial Nova" w:hAnsi="Arial Nova"/>
          <w:b w:val="0"/>
          <w:bCs/>
          <w:sz w:val="22"/>
          <w:szCs w:val="22"/>
        </w:rPr>
        <w:lastRenderedPageBreak/>
        <w:t>2024). These debates highlight ongoing tension between theoretical ideals and practical implementation, a tension that recurs throughout the phage therapy literature reviewed in this dissertation.</w:t>
      </w:r>
    </w:p>
    <w:p w14:paraId="4543CAB8" w14:textId="77777777" w:rsidR="00A67986" w:rsidRDefault="00A67986" w:rsidP="00236AF9">
      <w:pPr>
        <w:pStyle w:val="Heading1"/>
        <w:spacing w:line="360" w:lineRule="auto"/>
        <w:ind w:left="0"/>
        <w:jc w:val="both"/>
        <w:rPr>
          <w:rFonts w:ascii="Arial Nova" w:hAnsi="Arial Nova"/>
          <w:b w:val="0"/>
          <w:bCs/>
          <w:sz w:val="22"/>
          <w:szCs w:val="22"/>
        </w:rPr>
      </w:pPr>
    </w:p>
    <w:p w14:paraId="4DE2A81B" w14:textId="3E4660F3" w:rsidR="00A67986" w:rsidRPr="00F25148" w:rsidRDefault="00A67986" w:rsidP="00A67986">
      <w:pPr>
        <w:rPr>
          <w:rFonts w:ascii="Arial Nova" w:hAnsi="Arial Nova"/>
        </w:rPr>
      </w:pPr>
      <w:r w:rsidRPr="00F25148">
        <w:rPr>
          <w:rFonts w:ascii="Arial Nova" w:hAnsi="Arial Nova"/>
          <w:b/>
          <w:bCs/>
        </w:rPr>
        <w:t>2.4 International Context</w:t>
      </w:r>
      <w:r w:rsidR="00A85D3D">
        <w:rPr>
          <w:rFonts w:ascii="Arial Nova" w:hAnsi="Arial Nova"/>
          <w:b/>
          <w:bCs/>
        </w:rPr>
        <w:t>.</w:t>
      </w:r>
    </w:p>
    <w:p w14:paraId="14A6CD62" w14:textId="77777777" w:rsidR="00B66BC0" w:rsidRPr="00B66BC0" w:rsidRDefault="00B66BC0" w:rsidP="00B66BC0">
      <w:pPr>
        <w:rPr>
          <w:rFonts w:ascii="Arial Nova" w:eastAsia="Aptos" w:hAnsi="Arial Nova" w:cs="Times New Roman"/>
          <w:lang w:eastAsia="en-US"/>
        </w:rPr>
      </w:pPr>
      <w:r w:rsidRPr="00B66BC0">
        <w:rPr>
          <w:rFonts w:ascii="Arial Nova" w:eastAsia="Aptos" w:hAnsi="Arial Nova" w:cs="Times New Roman"/>
          <w:lang w:eastAsia="en-US"/>
        </w:rPr>
        <w:t>Phage therapy is approached differently across the world, reflecting varied regulatory traditions, levels of clinical experience, and public health priorities. These differences stem from decades of accumulated clinical experience in some regions alongside cautious, evidence-driven scepticism in others, producing a global landscape that remains far from uniform. In Georgia and Poland, phage therapy has been used continuously for decades and is embedded within routine clinical practice at specialist centres such as the Eliava Institute and the Ludwik Hirszfeld Institute in Wrocław (Chanishvili, 2022). These centres represent the longest-standing and most experienced phage treatment programmes in the world, having developed institutional knowledge, dedicated phage banks, and clinical protocols that Western healthcare systems largely lack.</w:t>
      </w:r>
    </w:p>
    <w:p w14:paraId="5E21D5B5" w14:textId="77777777" w:rsidR="00B66BC0" w:rsidRPr="00B66BC0" w:rsidRDefault="00B66BC0" w:rsidP="00B66BC0">
      <w:pPr>
        <w:rPr>
          <w:rFonts w:ascii="Arial Nova" w:eastAsia="Aptos" w:hAnsi="Arial Nova" w:cs="Times New Roman"/>
          <w:lang w:eastAsia="en-US"/>
        </w:rPr>
      </w:pPr>
      <w:r w:rsidRPr="00B66BC0">
        <w:rPr>
          <w:rFonts w:ascii="Arial Nova" w:eastAsia="Aptos" w:hAnsi="Arial Nova" w:cs="Times New Roman"/>
          <w:lang w:eastAsia="en-US"/>
        </w:rPr>
        <w:t>In contrast, most Western countries treat phage therapy as an experimental, last-resort intervention. In the United States, treatment is generally provided through the Food and Drug Administration's Expanded Access pathway, using Emergency Investigational New Drug applications, which can be authorised within hours for critically unwell patients (Oxford Academic, 2023). A well-known case involved Professor Tom Patterson, who was successfully treated with phage therapy for a life-threatening, antibiotic-resistant infection after emergency FDA approval (PMC, 2021); this case is often cited as a turning point in raising Western clinical awareness.</w:t>
      </w:r>
    </w:p>
    <w:p w14:paraId="531067EE" w14:textId="77777777" w:rsidR="00B66BC0" w:rsidRPr="00B66BC0" w:rsidRDefault="00B66BC0" w:rsidP="00B66BC0">
      <w:pPr>
        <w:rPr>
          <w:rFonts w:ascii="Arial Nova" w:eastAsia="Aptos" w:hAnsi="Arial Nova" w:cs="Times New Roman"/>
          <w:lang w:eastAsia="en-US"/>
        </w:rPr>
      </w:pPr>
      <w:r w:rsidRPr="00B66BC0">
        <w:rPr>
          <w:rFonts w:ascii="Arial Nova" w:eastAsia="Aptos" w:hAnsi="Arial Nova" w:cs="Times New Roman"/>
          <w:lang w:eastAsia="en-US"/>
        </w:rPr>
        <w:t>Belgium has taken a different regulatory route, developing a magistral preparation framework since 2016 that allows pharmacists to prepare personalised phage treatments based on a physician's prescription, like compounding pharmacy in the United States (Phage Directory, 2018). This model has been highlighted as a potential template for other European countries, although the availability of such preparations remains limited even within Belgium itself (Oxford Academic, 2023). Germany permits phage use through individual treatment trials under Article 37 of the Declaration of Helsinki, which allows unproven interventions for patients with severe or life-threatening conditions (ScienceDirect, 2025). Australia has established a national alliance promoting a standardised treatment access pathway focused on safe processes rather than a single licensed product (Fauconnier, 2018, cited in Frontiers in Microbiology, 2023).</w:t>
      </w:r>
    </w:p>
    <w:p w14:paraId="376FF3DF" w14:textId="77777777" w:rsidR="00B66BC0" w:rsidRDefault="00B66BC0" w:rsidP="00B66BC0">
      <w:pPr>
        <w:rPr>
          <w:rFonts w:ascii="Arial Nova" w:eastAsia="Aptos" w:hAnsi="Arial Nova" w:cs="Times New Roman"/>
          <w:lang w:eastAsia="en-US"/>
        </w:rPr>
      </w:pPr>
      <w:r w:rsidRPr="00B66BC0">
        <w:rPr>
          <w:rFonts w:ascii="Arial Nova" w:eastAsia="Aptos" w:hAnsi="Arial Nova" w:cs="Times New Roman"/>
          <w:lang w:eastAsia="en-US"/>
        </w:rPr>
        <w:lastRenderedPageBreak/>
        <w:t>These international comparisons show a recurring pattern: in the absence of licensed phage medicines, most countries rely on compassionate use, individual treatment exemptions, or compounding-style frameworks rather than mainstream regulatory approval. This creates variability in access and safety standards between countries and highlights an international research gap regarding standardised manufacturing and evidence generation, a gap that has prompted collaborative efforts such as the Transatlantic Taskforce on Antimicrobial Resistance (Suh et al., 2025).</w:t>
      </w:r>
    </w:p>
    <w:p w14:paraId="7D6CAA36" w14:textId="77777777" w:rsidR="00991A30" w:rsidRDefault="00991A30" w:rsidP="00991A30">
      <w:pPr>
        <w:spacing w:after="0"/>
        <w:rPr>
          <w:rFonts w:ascii="Arial Nova" w:hAnsi="Arial Nova"/>
          <w:b/>
          <w:bCs/>
        </w:rPr>
      </w:pPr>
      <w:r w:rsidRPr="00034942">
        <w:rPr>
          <w:rFonts w:ascii="Arial Nova" w:hAnsi="Arial Nova"/>
          <w:b/>
          <w:bCs/>
        </w:rPr>
        <w:t>2.5 National-Local UK Context</w:t>
      </w:r>
      <w:r>
        <w:rPr>
          <w:rFonts w:ascii="Arial Nova" w:hAnsi="Arial Nova"/>
          <w:b/>
          <w:bCs/>
        </w:rPr>
        <w:t>.</w:t>
      </w:r>
    </w:p>
    <w:p w14:paraId="69BD53BE" w14:textId="77777777" w:rsidR="00571D57" w:rsidRPr="00034942" w:rsidRDefault="00571D57" w:rsidP="00991A30">
      <w:pPr>
        <w:spacing w:after="0"/>
        <w:rPr>
          <w:rFonts w:ascii="Arial Nova" w:hAnsi="Arial Nova"/>
        </w:rPr>
      </w:pPr>
    </w:p>
    <w:p w14:paraId="4CCAD4A6" w14:textId="77777777" w:rsidR="00991A30" w:rsidRPr="00034942" w:rsidRDefault="00991A30" w:rsidP="00991A30">
      <w:pPr>
        <w:spacing w:after="0"/>
        <w:rPr>
          <w:rFonts w:ascii="Arial Nova" w:hAnsi="Arial Nova"/>
        </w:rPr>
      </w:pPr>
      <w:r w:rsidRPr="00034942">
        <w:rPr>
          <w:rFonts w:ascii="Arial Nova" w:hAnsi="Arial Nova"/>
        </w:rPr>
        <w:t xml:space="preserve">Within the UK, phage therapy is classified as a biological medicine, and no phage product currently holds a full licence for clinical use (Steele et al., 2022). This means that, unlike a standard antibiotic that a doctor can simply prescribe, </w:t>
      </w:r>
      <w:r>
        <w:rPr>
          <w:rFonts w:ascii="Arial Nova" w:hAnsi="Arial Nova"/>
        </w:rPr>
        <w:t>P</w:t>
      </w:r>
      <w:r w:rsidRPr="00034942">
        <w:rPr>
          <w:rFonts w:ascii="Arial Nova" w:hAnsi="Arial Nova"/>
        </w:rPr>
        <w:t xml:space="preserve">hage’s cannot yet be given to patients as an approved, off-the-shelf treatment. As a result, UK patients can only access phage therapy on a compassionate, unlicensed basis, generally when conventional antibiotic treatment has failed and the patient has run out of other options (Steele et al., 2022). This route is designed for emergencies rather than routine care, so it is only used as a last resort. The Medicines and Healthcare products Regulatory Agency (MHRA) oversees this process and must be notified at least 28 days before </w:t>
      </w:r>
      <w:r>
        <w:rPr>
          <w:rFonts w:ascii="Arial Nova" w:hAnsi="Arial Nova"/>
        </w:rPr>
        <w:t>P</w:t>
      </w:r>
      <w:r w:rsidRPr="00034942">
        <w:rPr>
          <w:rFonts w:ascii="Arial Nova" w:hAnsi="Arial Nova"/>
        </w:rPr>
        <w:t>hage’s are imported for use in an individual patient (Steele et al., 2022). This notice period is intended to allow proper safety checks, although it can feel slow for patients who are seriously unwell and need urgent help.</w:t>
      </w:r>
    </w:p>
    <w:p w14:paraId="1C4CC809" w14:textId="77777777" w:rsidR="00991A30" w:rsidRPr="00034942" w:rsidRDefault="00991A30" w:rsidP="00991A30">
      <w:pPr>
        <w:spacing w:after="0"/>
        <w:rPr>
          <w:rFonts w:ascii="Arial Nova" w:hAnsi="Arial Nova"/>
        </w:rPr>
      </w:pPr>
      <w:r w:rsidRPr="00034942">
        <w:rPr>
          <w:rFonts w:ascii="Arial Nova" w:hAnsi="Arial Nova"/>
        </w:rPr>
        <w:t>A significant national development occurred in June 2025, when the MHRA published the UK's first formal guidance document on the regulatory pathway for phage therapy products, developed in partnership with the Phage Innovation Network, clinicians, industry and academic researchers (GOV.UK, 2025a). This guidance followed a House of Commons Science, Innovation and Technology Committee inquiry into the antimicrobial potential of bacteriophages and was designed to support the UK's 2024–2029 National Action Plan for confronting antimicrobial resistance (GOV.UK, 2025a). In simple terms, the guidance sets out what researchers and companies need to prove about quality, safety and effectiveness before a treatment can move closer to everyday NHS use (GOV.UK, 2025a). This is an important step because, until now, anyone developing a phage treatment in the UK has had little clear direction on what regulators expect.</w:t>
      </w:r>
    </w:p>
    <w:p w14:paraId="48A2D20B" w14:textId="77777777" w:rsidR="00991A30" w:rsidRDefault="00991A30" w:rsidP="00991A30">
      <w:pPr>
        <w:spacing w:after="0"/>
        <w:rPr>
          <w:rFonts w:ascii="Arial Nova" w:hAnsi="Arial Nova"/>
        </w:rPr>
      </w:pPr>
      <w:r w:rsidRPr="00034942">
        <w:rPr>
          <w:rFonts w:ascii="Arial Nova" w:hAnsi="Arial Nova"/>
        </w:rPr>
        <w:t xml:space="preserve">At a local level, examples of phage therapy use in the UK remain rare but instructive. Clinicians in Edinburgh and Glasgow have provided adjunctive topical phage therapy to diabetic foot infection patients at high risk of amputation, while paediatric patients with cystic fibrosis have </w:t>
      </w:r>
      <w:r w:rsidRPr="00034942">
        <w:rPr>
          <w:rFonts w:ascii="Arial Nova" w:hAnsi="Arial Nova"/>
        </w:rPr>
        <w:lastRenderedPageBreak/>
        <w:t>received intravenous phage therapy at Great Ormond Street Hospital in London (Steele et al., 2022). These cases show both the promise of phage therapy for infections that would otherwise have no treatment, and the current reality that access depends heavily on individual clinical expertise and relationships with specialist phage suppliers, rather than a standardised NHS pathway that every hospital can follow in the same way. In practice, a patient's chance of receiving phage therapy may depend as much on where they live and which clinicians they see as on their clinical need. This regional variation raises important questions about equity of access, which will be explored further in later chapters.</w:t>
      </w:r>
    </w:p>
    <w:p w14:paraId="3C191478" w14:textId="77777777" w:rsidR="001842A6" w:rsidRPr="00034942" w:rsidRDefault="001842A6" w:rsidP="001842A6">
      <w:pPr>
        <w:pStyle w:val="Heading2"/>
        <w:spacing w:before="300" w:after="200"/>
        <w:rPr>
          <w:rFonts w:ascii="Arial Nova" w:hAnsi="Arial Nova"/>
          <w:color w:val="auto"/>
          <w:sz w:val="22"/>
          <w:szCs w:val="22"/>
        </w:rPr>
      </w:pPr>
      <w:r w:rsidRPr="00034942">
        <w:rPr>
          <w:rFonts w:ascii="Arial Nova" w:eastAsia="Calibri" w:hAnsi="Arial Nova" w:cs="Calibri"/>
          <w:b/>
          <w:bCs/>
          <w:color w:val="auto"/>
          <w:sz w:val="22"/>
          <w:szCs w:val="22"/>
        </w:rPr>
        <w:t>2.6 Conclusion</w:t>
      </w:r>
      <w:r>
        <w:rPr>
          <w:rFonts w:ascii="Arial Nova" w:eastAsia="Calibri" w:hAnsi="Arial Nova" w:cs="Calibri"/>
          <w:b/>
          <w:bCs/>
          <w:color w:val="auto"/>
          <w:sz w:val="22"/>
          <w:szCs w:val="22"/>
        </w:rPr>
        <w:t>.</w:t>
      </w:r>
    </w:p>
    <w:p w14:paraId="29332067" w14:textId="77777777" w:rsidR="001842A6" w:rsidRPr="00034942" w:rsidRDefault="001842A6" w:rsidP="001842A6">
      <w:pPr>
        <w:spacing w:after="240"/>
        <w:rPr>
          <w:rFonts w:ascii="Arial Nova" w:hAnsi="Arial Nova"/>
        </w:rPr>
      </w:pPr>
      <w:r w:rsidRPr="00034942">
        <w:rPr>
          <w:rFonts w:ascii="Arial Nova" w:eastAsia="Calibri" w:hAnsi="Arial Nova" w:cs="Calibri"/>
        </w:rPr>
        <w:t>This chapter has traced the historical development of phage therapy from its discovery by Twort and d'Hérelle, through its long-standing use in Georgia and Eastern Europe, to its decline in the West following the introduction of antibiotics. It has introduced key theoretical concepts, including the lytic phage life cycle, antimicrobial stewardship, and the One Health approach, while critically considering their strengths and limitations. It has also compared international regulatory approaches, from Georgia's established clinical programmes to the compassionate use models seen in the US, Belgium and Germany, before narrowing focus to the UK's current position, where phage therapy remains unlicensed but is supported by new MHRA guidance and isolated local examples of clinical use. Together, this background establishes the foundation for the next chapter, which will outline the methodology used to explore these issues further, including the thematic analysis approach applied to the current literature.</w:t>
      </w:r>
    </w:p>
    <w:p w14:paraId="56F3264E" w14:textId="77777777" w:rsidR="00571D57" w:rsidRPr="00034942" w:rsidRDefault="00571D57" w:rsidP="00991A30">
      <w:pPr>
        <w:spacing w:after="0"/>
        <w:rPr>
          <w:rFonts w:ascii="Arial Nova" w:hAnsi="Arial Nova"/>
        </w:rPr>
      </w:pPr>
    </w:p>
    <w:p w14:paraId="2960C27E" w14:textId="77777777" w:rsidR="00991A30" w:rsidRPr="00034942" w:rsidRDefault="00991A30" w:rsidP="00991A30">
      <w:pPr>
        <w:rPr>
          <w:rFonts w:ascii="Arial Nova" w:hAnsi="Arial Nova"/>
          <w:lang w:val="en-US"/>
        </w:rPr>
      </w:pPr>
    </w:p>
    <w:p w14:paraId="16580CEE" w14:textId="77777777" w:rsidR="002449A6" w:rsidRPr="00991A30" w:rsidRDefault="002449A6" w:rsidP="00B66BC0">
      <w:pPr>
        <w:rPr>
          <w:rFonts w:ascii="Arial Nova" w:eastAsia="Aptos" w:hAnsi="Arial Nova" w:cs="Times New Roman"/>
          <w:lang w:val="en-US" w:eastAsia="en-US"/>
        </w:rPr>
      </w:pPr>
    </w:p>
    <w:p w14:paraId="5CEB86C1" w14:textId="77777777" w:rsidR="00B66BC0" w:rsidRPr="00B66BC0" w:rsidRDefault="00B66BC0" w:rsidP="00B66BC0">
      <w:pPr>
        <w:rPr>
          <w:rFonts w:ascii="Arial Nova" w:eastAsia="Aptos" w:hAnsi="Arial Nova" w:cs="Times New Roman"/>
          <w:lang w:eastAsia="en-US"/>
        </w:rPr>
      </w:pPr>
    </w:p>
    <w:p w14:paraId="2510332D" w14:textId="77777777" w:rsidR="00A31160" w:rsidRPr="00DF08BC" w:rsidRDefault="00A31160" w:rsidP="00236AF9">
      <w:pPr>
        <w:pStyle w:val="Heading1"/>
        <w:spacing w:line="360" w:lineRule="auto"/>
        <w:ind w:left="0"/>
        <w:jc w:val="both"/>
        <w:rPr>
          <w:rFonts w:ascii="Arial Nova" w:hAnsi="Arial Nova"/>
          <w:b w:val="0"/>
          <w:bCs/>
          <w:sz w:val="22"/>
          <w:szCs w:val="22"/>
        </w:rPr>
      </w:pPr>
    </w:p>
    <w:p w14:paraId="5BD7C837" w14:textId="77777777" w:rsidR="004B28F4" w:rsidRPr="00DF08BC" w:rsidRDefault="004B28F4" w:rsidP="00E03D1C">
      <w:pPr>
        <w:pStyle w:val="Heading1"/>
        <w:spacing w:line="360" w:lineRule="auto"/>
        <w:ind w:left="0"/>
        <w:jc w:val="both"/>
        <w:rPr>
          <w:rFonts w:ascii="Arial Nova" w:hAnsi="Arial Nova"/>
          <w:b w:val="0"/>
          <w:bCs/>
          <w:sz w:val="22"/>
          <w:szCs w:val="22"/>
        </w:rPr>
      </w:pPr>
    </w:p>
    <w:p w14:paraId="3001FA29" w14:textId="77777777" w:rsidR="00D57C6B" w:rsidRPr="00DF08BC" w:rsidRDefault="00D57C6B" w:rsidP="00E03D1C">
      <w:pPr>
        <w:pStyle w:val="Heading1"/>
        <w:spacing w:line="360" w:lineRule="auto"/>
        <w:jc w:val="both"/>
        <w:rPr>
          <w:rFonts w:ascii="Arial Nova" w:eastAsiaTheme="minorEastAsia" w:hAnsi="Arial Nova" w:cstheme="minorBidi"/>
          <w:b w:val="0"/>
          <w:bCs/>
          <w:kern w:val="2"/>
          <w:sz w:val="22"/>
          <w:szCs w:val="22"/>
          <w:lang w:eastAsia="zh-CN" w:bidi="ar-SA"/>
          <w14:ligatures w14:val="standardContextual"/>
        </w:rPr>
      </w:pPr>
    </w:p>
    <w:p w14:paraId="45BB7EF9" w14:textId="77777777" w:rsidR="006736B3" w:rsidRDefault="006736B3" w:rsidP="00E03D1C">
      <w:pPr>
        <w:pStyle w:val="Heading1"/>
        <w:ind w:left="0"/>
        <w:rPr>
          <w:rFonts w:ascii="Aptos" w:hAnsi="Aptos"/>
        </w:rPr>
      </w:pPr>
    </w:p>
    <w:p w14:paraId="1DDA78FF" w14:textId="77777777" w:rsidR="006736B3" w:rsidRDefault="006736B3" w:rsidP="00E03D1C">
      <w:pPr>
        <w:pStyle w:val="Heading1"/>
        <w:ind w:left="0"/>
        <w:rPr>
          <w:rFonts w:ascii="Aptos" w:hAnsi="Aptos"/>
        </w:rPr>
      </w:pPr>
    </w:p>
    <w:p w14:paraId="52ED1059" w14:textId="77777777" w:rsidR="006736B3" w:rsidRDefault="006736B3" w:rsidP="00E03D1C">
      <w:pPr>
        <w:pStyle w:val="Heading1"/>
        <w:ind w:left="0"/>
        <w:rPr>
          <w:rFonts w:ascii="Aptos" w:hAnsi="Aptos"/>
        </w:rPr>
      </w:pPr>
    </w:p>
    <w:p w14:paraId="67270F79" w14:textId="77777777" w:rsidR="006736B3" w:rsidRDefault="006736B3" w:rsidP="00E03D1C">
      <w:pPr>
        <w:pStyle w:val="Heading1"/>
        <w:ind w:left="0"/>
        <w:rPr>
          <w:rFonts w:ascii="Aptos" w:hAnsi="Aptos"/>
        </w:rPr>
      </w:pPr>
    </w:p>
    <w:p w14:paraId="18296335" w14:textId="77777777" w:rsidR="006736B3" w:rsidRDefault="006736B3" w:rsidP="00E03D1C">
      <w:pPr>
        <w:pStyle w:val="Heading1"/>
        <w:ind w:left="0"/>
        <w:rPr>
          <w:rFonts w:ascii="Aptos" w:hAnsi="Aptos"/>
        </w:rPr>
      </w:pPr>
    </w:p>
    <w:p w14:paraId="398427E3" w14:textId="60898E6A" w:rsidR="00292A36" w:rsidRPr="00DF08BC" w:rsidRDefault="00292A36" w:rsidP="00E03D1C">
      <w:pPr>
        <w:pStyle w:val="Heading1"/>
        <w:ind w:left="0"/>
        <w:rPr>
          <w:rFonts w:ascii="Aptos" w:hAnsi="Aptos"/>
        </w:rPr>
      </w:pPr>
      <w:r w:rsidRPr="00DF08BC">
        <w:rPr>
          <w:rFonts w:ascii="Aptos" w:hAnsi="Aptos"/>
        </w:rPr>
        <w:lastRenderedPageBreak/>
        <w:t xml:space="preserve">CHAPTER 3 – </w:t>
      </w:r>
      <w:r w:rsidR="00E325CF" w:rsidRPr="00DF08BC">
        <w:rPr>
          <w:rFonts w:ascii="Aptos" w:hAnsi="Aptos"/>
        </w:rPr>
        <w:t>Methods and Search Strategy</w:t>
      </w:r>
      <w:r w:rsidR="001D727D" w:rsidRPr="00DF08BC">
        <w:rPr>
          <w:rFonts w:ascii="Aptos" w:hAnsi="Aptos"/>
        </w:rPr>
        <w:t>.</w:t>
      </w:r>
    </w:p>
    <w:p w14:paraId="1DFAFBD2" w14:textId="77777777" w:rsidR="00292A36" w:rsidRPr="00DF08BC" w:rsidRDefault="00292A36" w:rsidP="00292A36"/>
    <w:p w14:paraId="602C56FC" w14:textId="68B6F209" w:rsidR="009C7315" w:rsidRPr="00DF08BC" w:rsidRDefault="009C7315" w:rsidP="009C7315">
      <w:pPr>
        <w:rPr>
          <w:rFonts w:ascii="Arial Nova" w:hAnsi="Arial Nova"/>
          <w:b/>
          <w:bCs/>
        </w:rPr>
      </w:pPr>
      <w:r w:rsidRPr="00DF08BC">
        <w:rPr>
          <w:rFonts w:ascii="Arial Nova" w:hAnsi="Arial Nova"/>
          <w:b/>
          <w:bCs/>
        </w:rPr>
        <w:t>3.1 Introduction</w:t>
      </w:r>
      <w:r w:rsidR="00B57CDD" w:rsidRPr="00DF08BC">
        <w:rPr>
          <w:rFonts w:ascii="Arial Nova" w:hAnsi="Arial Nova"/>
          <w:b/>
          <w:bCs/>
        </w:rPr>
        <w:t>.</w:t>
      </w:r>
    </w:p>
    <w:p w14:paraId="4237712F" w14:textId="416688C3" w:rsidR="0034689D" w:rsidRPr="00DF08BC" w:rsidRDefault="0034689D" w:rsidP="009C7315">
      <w:pPr>
        <w:rPr>
          <w:rFonts w:ascii="Arial Nova" w:hAnsi="Arial Nova"/>
        </w:rPr>
      </w:pPr>
      <w:r w:rsidRPr="00DF08BC">
        <w:rPr>
          <w:rFonts w:ascii="Arial Nova" w:hAnsi="Arial Nova"/>
        </w:rPr>
        <w:t>This chapter explains how the research for this dissertation was conducted using a desk-based, literature review approach, focusing entirely on existing published evidence rather than new data collection. It builds upon the Academic Methodology Poster, which provided a visual summary of the research process, by expanding on each stage in greater detail. Understanding how sources were identified, evaluated and analysed is essential, as this process directly shaped the thematic findings presented in Chapter 4. The methods described below reflect established academic practice for conducting rigorous, transparent secondary research within health and social care, ensuring the evidence base underpinning this dissertation is credible, current and appropriately focused (Aveyard, 2019).</w:t>
      </w:r>
    </w:p>
    <w:p w14:paraId="507E62AE" w14:textId="118718E6" w:rsidR="00300AE3" w:rsidRPr="00DF08BC" w:rsidRDefault="00300AE3" w:rsidP="00300AE3">
      <w:pPr>
        <w:rPr>
          <w:rFonts w:ascii="Arial Nova" w:hAnsi="Arial Nova"/>
          <w:b/>
          <w:bCs/>
        </w:rPr>
      </w:pPr>
      <w:r w:rsidRPr="00DF08BC">
        <w:rPr>
          <w:rFonts w:ascii="Arial Nova" w:hAnsi="Arial Nova"/>
          <w:b/>
          <w:bCs/>
        </w:rPr>
        <w:t>3.2 Search Strategy</w:t>
      </w:r>
      <w:r w:rsidR="00C03359" w:rsidRPr="00DF08BC">
        <w:rPr>
          <w:rFonts w:ascii="Arial Nova" w:hAnsi="Arial Nova"/>
          <w:b/>
          <w:bCs/>
        </w:rPr>
        <w:t>.</w:t>
      </w:r>
    </w:p>
    <w:p w14:paraId="517198CA" w14:textId="6B0745BE" w:rsidR="00337E5C" w:rsidRPr="00DF08BC" w:rsidRDefault="00300AE3" w:rsidP="00300AE3">
      <w:pPr>
        <w:rPr>
          <w:rFonts w:ascii="Arial Nova" w:hAnsi="Arial Nova"/>
        </w:rPr>
      </w:pPr>
      <w:r w:rsidRPr="00DF08BC">
        <w:rPr>
          <w:rFonts w:ascii="Arial Nova" w:hAnsi="Arial Nova"/>
        </w:rPr>
        <w:t>Keywords were developed directly from the dissertation title and research objectives, combining lay and technical terminology to maximise the breadth of relevant results. Core terms included "phage therapy", "bacteriophage", "antimicrobial resistance", "antibiotic resistance", "UK healthcare", "nursing practice" and "MHRA regulation". Boolean operators were used to refine searches: "AND" was used to combine concepts</w:t>
      </w:r>
      <w:r w:rsidR="00C00310" w:rsidRPr="00DF08BC">
        <w:rPr>
          <w:rFonts w:ascii="Arial Nova" w:hAnsi="Arial Nova"/>
        </w:rPr>
        <w:t xml:space="preserve"> </w:t>
      </w:r>
      <w:r w:rsidRPr="00DF08BC">
        <w:rPr>
          <w:rFonts w:ascii="Arial Nova" w:hAnsi="Arial Nova"/>
        </w:rPr>
        <w:t>"phage therapy" AND "United Kingdom", "OR" was used to capture synonyms "phage" OR "bacteriophage", and "NOT" was used to exclude irrelevant results "phage therapy" NOT "veterinary". A structured search plan was developed and recorded in a search log, documenting each combination of terms used, the database searched, and the number of results returned, allowing the process to be repeated and refined systematically.</w:t>
      </w:r>
    </w:p>
    <w:p w14:paraId="513A2A1F" w14:textId="5ACD1E0E" w:rsidR="00B34E7C" w:rsidRPr="00DF08BC" w:rsidRDefault="00B34E7C" w:rsidP="00B34E7C">
      <w:pPr>
        <w:rPr>
          <w:rFonts w:ascii="Arial Nova" w:hAnsi="Arial Nova"/>
          <w:b/>
          <w:bCs/>
        </w:rPr>
      </w:pPr>
      <w:r w:rsidRPr="00DF08BC">
        <w:rPr>
          <w:rFonts w:ascii="Arial Nova" w:hAnsi="Arial Nova"/>
          <w:b/>
          <w:bCs/>
        </w:rPr>
        <w:t>3.3 Searching for Information.</w:t>
      </w:r>
    </w:p>
    <w:p w14:paraId="1A61F64A" w14:textId="77777777" w:rsidR="0050201E" w:rsidRPr="00DF08BC" w:rsidRDefault="0050201E" w:rsidP="0050201E">
      <w:pPr>
        <w:rPr>
          <w:rFonts w:ascii="Arial Nova" w:hAnsi="Arial Nova"/>
        </w:rPr>
      </w:pPr>
      <w:r w:rsidRPr="00DF08BC">
        <w:rPr>
          <w:rFonts w:ascii="Arial Nova" w:hAnsi="Arial Nova"/>
        </w:rPr>
        <w:t>Sources were identified using PubMed, CINAHL, Google Scholar, and the university library discovery service and online repositories, alongside UK-specific policy websites including GOV.UK, the NHS website, NICE and the MHRA. These databases were also selected because they index peer-reviewed, health-related literature and are widely recognised as credible sources in nursing and health research (Aveyard, 2019). Together, they provided coverage of clinical, regulatory and policy perspectives, reflecting both scientific and practice-based dimensions of the topic.</w:t>
      </w:r>
    </w:p>
    <w:p w14:paraId="3B3234DF" w14:textId="77777777" w:rsidR="0050201E" w:rsidRPr="00DF08BC" w:rsidRDefault="0050201E" w:rsidP="0050201E">
      <w:pPr>
        <w:rPr>
          <w:rFonts w:ascii="Arial Nova" w:hAnsi="Arial Nova"/>
        </w:rPr>
      </w:pPr>
      <w:r w:rsidRPr="00DF08BC">
        <w:rPr>
          <w:rFonts w:ascii="Arial Nova" w:hAnsi="Arial Nova"/>
        </w:rPr>
        <w:lastRenderedPageBreak/>
        <w:t>Filters were applied to narrow results, including publication date, generally within the last ten years, with some historical exceptions for background context, peer-reviewed status, English language, and UK focus where possible. These filters prioritised contemporary, credible and relevant material, while still allowing important historical sources to be included where necessary for context.</w:t>
      </w:r>
    </w:p>
    <w:p w14:paraId="10232D80" w14:textId="77777777" w:rsidR="0050201E" w:rsidRPr="00DF08BC" w:rsidRDefault="0050201E" w:rsidP="0050201E">
      <w:pPr>
        <w:rPr>
          <w:rFonts w:ascii="Arial Nova" w:hAnsi="Arial Nova"/>
        </w:rPr>
      </w:pPr>
      <w:r w:rsidRPr="00DF08BC">
        <w:rPr>
          <w:rFonts w:ascii="Arial Nova" w:hAnsi="Arial Nova"/>
        </w:rPr>
        <w:t>Where searches returned too few or too many results, terms were adjusted; for example, broadening "phage therapy UK" to include "bacteriophage therapy United Kingdom regulation" when early searches returned limited results. This iterative process gradually refined the specificity of the literature retrieved.</w:t>
      </w:r>
    </w:p>
    <w:p w14:paraId="3F3C6DAF" w14:textId="78A6280B" w:rsidR="00873640" w:rsidRPr="00DF08BC" w:rsidRDefault="009E0342" w:rsidP="0050201E">
      <w:pPr>
        <w:rPr>
          <w:rFonts w:ascii="Arial Nova" w:hAnsi="Arial Nova"/>
          <w:b/>
          <w:bCs/>
        </w:rPr>
      </w:pPr>
      <w:r w:rsidRPr="00DF08BC">
        <w:rPr>
          <w:rFonts w:ascii="Arial Nova" w:hAnsi="Arial Nova"/>
          <w:b/>
          <w:bCs/>
        </w:rPr>
        <w:t>3.4 Research Validation.</w:t>
      </w:r>
    </w:p>
    <w:p w14:paraId="6C789015" w14:textId="142C0326" w:rsidR="00EA2553" w:rsidRPr="00DF08BC" w:rsidRDefault="00EA2553" w:rsidP="007722BE">
      <w:pPr>
        <w:rPr>
          <w:rFonts w:ascii="Arial Nova" w:hAnsi="Arial Nova"/>
        </w:rPr>
      </w:pPr>
      <w:r w:rsidRPr="00DF08BC">
        <w:rPr>
          <w:rFonts w:ascii="Arial Nova" w:hAnsi="Arial Nova"/>
        </w:rPr>
        <w:t>Articles were initially assessed using skimming techniques, reading the title, abstract, introduction and conclusion to quickly judge relevance before committing to a full read (Aveyard, 2019). Sources that passed this initial screening were then evaluated using the CRAAP test, a framework developed by Blakeslee (2004) that assesses Currency, Relevance, Authority, Accuracy and Purpose. Not every source met all five criteria equally; priority was given to sources that strongly demonstrated Currency, Relevance and Authority, particularly given how rapidly UK regulatory guidance on phage therapy has developed. For example, a 2025 MHRA guidance document was included despite limited independent peer review, because its authority, currency and direct relevance to the research question outweighed this limitation. In contrast, an older opinion blog discussing phage therapy was excluded due to poor authority and lack of verifiable accuracy. This structured, consistent approach to validation helped ensure that only credible, trustworthy and appropriately current literature informed the analysis presented later in this dissertation.</w:t>
      </w:r>
      <w:r w:rsidR="007B149A" w:rsidRPr="00DF08BC">
        <w:rPr>
          <w:rFonts w:ascii="Arial Nova" w:hAnsi="Arial Nova"/>
        </w:rPr>
        <w:t xml:space="preserve"> </w:t>
      </w:r>
    </w:p>
    <w:p w14:paraId="06CD077C" w14:textId="54ED07EE" w:rsidR="00A24583" w:rsidRPr="00DF08BC" w:rsidRDefault="00A24583" w:rsidP="00A24583">
      <w:pPr>
        <w:rPr>
          <w:rFonts w:ascii="Arial Nova" w:hAnsi="Arial Nova"/>
          <w:b/>
          <w:bCs/>
        </w:rPr>
      </w:pPr>
      <w:r w:rsidRPr="00DF08BC">
        <w:rPr>
          <w:rFonts w:ascii="Arial Nova" w:hAnsi="Arial Nova"/>
          <w:b/>
          <w:bCs/>
        </w:rPr>
        <w:t>3.5 Inclusion and Exclusion Criteria.</w:t>
      </w:r>
    </w:p>
    <w:p w14:paraId="3E60CD02" w14:textId="5C987D07" w:rsidR="00A5588D" w:rsidRPr="00DF08BC" w:rsidRDefault="00A24583" w:rsidP="00A24583">
      <w:pPr>
        <w:rPr>
          <w:rFonts w:ascii="Arial Nova" w:hAnsi="Arial Nova"/>
        </w:rPr>
      </w:pPr>
      <w:r w:rsidRPr="00DF08BC">
        <w:rPr>
          <w:rFonts w:ascii="Arial Nova" w:hAnsi="Arial Nova"/>
        </w:rPr>
        <w:t>Inclusion criteria comprised peer-reviewed journal articles, government and regulatory publications, and NHS or WHO documents published within the last ten years, with a preference for UK</w:t>
      </w:r>
      <w:r w:rsidR="00265729">
        <w:rPr>
          <w:rFonts w:ascii="Arial Nova" w:hAnsi="Arial Nova"/>
        </w:rPr>
        <w:t xml:space="preserve"> </w:t>
      </w:r>
      <w:r w:rsidRPr="00DF08BC">
        <w:rPr>
          <w:rFonts w:ascii="Arial Nova" w:hAnsi="Arial Nova"/>
        </w:rPr>
        <w:t>based or UK</w:t>
      </w:r>
      <w:r w:rsidR="00265729">
        <w:rPr>
          <w:rFonts w:ascii="Arial Nova" w:hAnsi="Arial Nova"/>
        </w:rPr>
        <w:t xml:space="preserve"> </w:t>
      </w:r>
      <w:r w:rsidRPr="00DF08BC">
        <w:rPr>
          <w:rFonts w:ascii="Arial Nova" w:hAnsi="Arial Nova"/>
        </w:rPr>
        <w:t>relevant sources. Sources addressing the scientific, clinical, regulatory or nursing-practice dimensions of phage therapy were prioritised. Exclusion criteria included non-English language sources, unverified opinion blogs or forums, outdated pre</w:t>
      </w:r>
      <w:r w:rsidR="00265729">
        <w:rPr>
          <w:rFonts w:ascii="Arial Nova" w:hAnsi="Arial Nova"/>
        </w:rPr>
        <w:t xml:space="preserve"> </w:t>
      </w:r>
      <w:r w:rsidRPr="00DF08BC">
        <w:rPr>
          <w:rFonts w:ascii="Arial Nova" w:hAnsi="Arial Nova"/>
        </w:rPr>
        <w:t>2015 clinical literature except were used for historical background, and sources unrelated to human healthcare, such as agricultural or veterinary phage applications. These criteria helped maintain a focused, high-quality and academically credible evidence base appropriate for a health and social care dissertation.</w:t>
      </w:r>
    </w:p>
    <w:p w14:paraId="2452C87B" w14:textId="1E9423BC" w:rsidR="00782289" w:rsidRPr="00DF08BC" w:rsidRDefault="00782289" w:rsidP="00782289">
      <w:pPr>
        <w:rPr>
          <w:rFonts w:ascii="Arial Nova" w:hAnsi="Arial Nova"/>
          <w:b/>
          <w:bCs/>
        </w:rPr>
      </w:pPr>
      <w:r w:rsidRPr="00DF08BC">
        <w:rPr>
          <w:rFonts w:ascii="Arial Nova" w:hAnsi="Arial Nova"/>
          <w:b/>
          <w:bCs/>
        </w:rPr>
        <w:lastRenderedPageBreak/>
        <w:t>3.6 Analysing Research</w:t>
      </w:r>
      <w:r w:rsidR="003F3F28" w:rsidRPr="00DF08BC">
        <w:rPr>
          <w:rFonts w:ascii="Arial Nova" w:hAnsi="Arial Nova"/>
          <w:b/>
          <w:bCs/>
        </w:rPr>
        <w:t>.</w:t>
      </w:r>
    </w:p>
    <w:p w14:paraId="60386134" w14:textId="7E669567" w:rsidR="00321BE4" w:rsidRPr="00DF08BC" w:rsidRDefault="009C458E" w:rsidP="00B34E7C">
      <w:pPr>
        <w:rPr>
          <w:rFonts w:ascii="Arial Nova" w:hAnsi="Arial Nova"/>
        </w:rPr>
      </w:pPr>
      <w:r w:rsidRPr="00DF08BC">
        <w:rPr>
          <w:rFonts w:ascii="Arial Nova" w:hAnsi="Arial Nova"/>
        </w:rPr>
        <w:t>Selected sources were analysed using a thematic coding approach, following the six-phase framework outlined by Braun and Clarke (2006): familiarisation with the data, generating initial codes, searching for themes, reviewing themes, defining and naming themes, and producing the final analysis. Each article was read in detail, with recurring ideas, issues and terminology highlighted and assigned initial codes, such as "regulatory barrier", "clinical evidence gap" or "nursing awareness". These codes were then grouped into broader themes aligned with the research objectives, allowing patterns across different sources to be identified more clearly. A spreadsheet was used to organise codes by source, using colour coding to visually track which themes each article contributed to, supporting a clear and consistent structure. This systematic approach reduced the risk of bias, improved transparency, and ensured that the findings presented in Chapter 4 were firmly grounded in the reviewed literature (Braun and Clarke, 2006).</w:t>
      </w:r>
    </w:p>
    <w:p w14:paraId="3357F25E" w14:textId="30D4826F" w:rsidR="004705E6" w:rsidRDefault="004705E6" w:rsidP="004705E6">
      <w:pPr>
        <w:rPr>
          <w:rFonts w:ascii="Arial Nova" w:hAnsi="Arial Nova"/>
          <w:b/>
          <w:bCs/>
        </w:rPr>
      </w:pPr>
      <w:r w:rsidRPr="00DF08BC">
        <w:rPr>
          <w:rFonts w:ascii="Arial Nova" w:hAnsi="Arial Nova"/>
          <w:b/>
          <w:bCs/>
        </w:rPr>
        <w:t>3.7 Ethical Considerations</w:t>
      </w:r>
      <w:r w:rsidR="00350F75" w:rsidRPr="00DF08BC">
        <w:rPr>
          <w:rFonts w:ascii="Arial Nova" w:hAnsi="Arial Nova"/>
          <w:b/>
          <w:bCs/>
        </w:rPr>
        <w:t>.</w:t>
      </w:r>
    </w:p>
    <w:p w14:paraId="2F3CFEBC" w14:textId="77777777" w:rsidR="00876566" w:rsidRPr="00946072" w:rsidRDefault="00876566" w:rsidP="00876566">
      <w:pPr>
        <w:rPr>
          <w:rFonts w:ascii="Arial Nova" w:hAnsi="Arial Nova"/>
        </w:rPr>
      </w:pPr>
      <w:r w:rsidRPr="00946072">
        <w:rPr>
          <w:rFonts w:ascii="Arial Nova" w:hAnsi="Arial Nova"/>
        </w:rPr>
        <w:t>This dissertation is based entirely on secondary research, meaning no new data were collected from human participants, and no ethical approval was therefore required for primary data collection. Academic integrity was maintained by accurately citing all sources in the Harvard style, and by fairly representing authors' arguments without misrepresentation or plagiarism. As the researcher, responsibility was taken to present literature in a balanced, unbiased way, acknowledging debate or conflicting evidence rather than a one-sided account (Aveyard, 2019). Care was also taken to use only credible, peer-reviewed sources, so the conclusions reflect the wider evidence base rather than a single viewpoint.</w:t>
      </w:r>
    </w:p>
    <w:p w14:paraId="51DB3A61" w14:textId="734D9FEB" w:rsidR="00DE3EDA" w:rsidRPr="00DF08BC" w:rsidRDefault="00DE3EDA" w:rsidP="00DE3EDA">
      <w:pPr>
        <w:rPr>
          <w:rFonts w:ascii="Arial Nova" w:hAnsi="Arial Nova"/>
          <w:b/>
          <w:bCs/>
        </w:rPr>
      </w:pPr>
      <w:r w:rsidRPr="00DF08BC">
        <w:rPr>
          <w:rFonts w:ascii="Arial Nova" w:hAnsi="Arial Nova"/>
          <w:b/>
          <w:bCs/>
        </w:rPr>
        <w:t>3.8 Chapter Conclusion.</w:t>
      </w:r>
    </w:p>
    <w:p w14:paraId="796684B1" w14:textId="3D615EC2" w:rsidR="00872572" w:rsidRPr="00DF08BC" w:rsidRDefault="00872572" w:rsidP="00DE3EDA">
      <w:pPr>
        <w:rPr>
          <w:rFonts w:ascii="Arial Nova" w:hAnsi="Arial Nova"/>
        </w:rPr>
      </w:pPr>
      <w:r w:rsidRPr="00DF08BC">
        <w:rPr>
          <w:rFonts w:ascii="Arial Nova" w:hAnsi="Arial Nova"/>
        </w:rPr>
        <w:t>This chapter has outlined the key steps taken to locate, evaluate and analyse the literature underpinning this dissertation, from developing a structured search strategy and applying the CRAAP test, to using Braun and Clarke's (2006) thematic coding approach to organise findings. Clear inclusion and exclusion criteria, alongside consistent ethical practice, further strengthened the credibility of this process. This rigorous, transparent approach ensures the reliability and trustworthiness of the evidence base used throughout this dissertation. Chapter 4 will now present the findings of this analysis, organised into clear themes, with each theme discussed in relation to the research question and objectives.</w:t>
      </w:r>
    </w:p>
    <w:p w14:paraId="664AB9D2" w14:textId="77777777" w:rsidR="00C03359" w:rsidRPr="00DF08BC" w:rsidRDefault="00C03359" w:rsidP="00300AE3">
      <w:pPr>
        <w:rPr>
          <w:rFonts w:ascii="Arial Nova" w:hAnsi="Arial Nova"/>
        </w:rPr>
      </w:pPr>
    </w:p>
    <w:p w14:paraId="3E27A013" w14:textId="31D2CEB3" w:rsidR="001C3AF6" w:rsidRPr="00DF08BC" w:rsidRDefault="001C3AF6" w:rsidP="00636D9A">
      <w:pPr>
        <w:pStyle w:val="Heading1"/>
        <w:ind w:left="0"/>
        <w:rPr>
          <w:rFonts w:ascii="Aptos" w:hAnsi="Aptos"/>
        </w:rPr>
      </w:pPr>
      <w:r w:rsidRPr="00DF08BC">
        <w:rPr>
          <w:rFonts w:ascii="Aptos" w:hAnsi="Aptos"/>
        </w:rPr>
        <w:lastRenderedPageBreak/>
        <w:t>C</w:t>
      </w:r>
      <w:r w:rsidR="00636D9A" w:rsidRPr="00DF08BC">
        <w:rPr>
          <w:rFonts w:ascii="Aptos" w:hAnsi="Aptos"/>
        </w:rPr>
        <w:t>HAPTER</w:t>
      </w:r>
      <w:r w:rsidRPr="00DF08BC">
        <w:rPr>
          <w:rFonts w:ascii="Aptos" w:hAnsi="Aptos"/>
        </w:rPr>
        <w:t xml:space="preserve"> 4 – Findings and Discussion</w:t>
      </w:r>
      <w:r w:rsidR="00DF08BC" w:rsidRPr="00DF08BC">
        <w:rPr>
          <w:rFonts w:ascii="Aptos" w:hAnsi="Aptos"/>
        </w:rPr>
        <w:t>.</w:t>
      </w:r>
    </w:p>
    <w:p w14:paraId="1134D897" w14:textId="77777777" w:rsidR="001C3AF6" w:rsidRPr="00DF08BC" w:rsidRDefault="001C3AF6" w:rsidP="001C3AF6"/>
    <w:p w14:paraId="4F763BCC" w14:textId="417B5117" w:rsidR="005018C1" w:rsidRPr="00215B99" w:rsidRDefault="005018C1" w:rsidP="005018C1">
      <w:pPr>
        <w:rPr>
          <w:rFonts w:ascii="Arial Nova" w:hAnsi="Arial Nova"/>
          <w:b/>
          <w:bCs/>
        </w:rPr>
      </w:pPr>
      <w:r w:rsidRPr="00215B99">
        <w:rPr>
          <w:rFonts w:ascii="Arial Nova" w:hAnsi="Arial Nova"/>
          <w:b/>
          <w:bCs/>
        </w:rPr>
        <w:t>4.1 Introduction</w:t>
      </w:r>
      <w:r w:rsidR="00215B99">
        <w:rPr>
          <w:rFonts w:ascii="Arial Nova" w:hAnsi="Arial Nova"/>
          <w:b/>
          <w:bCs/>
        </w:rPr>
        <w:t>.</w:t>
      </w:r>
    </w:p>
    <w:p w14:paraId="17AF8223" w14:textId="05E0DB7A" w:rsidR="00DF08BC" w:rsidRDefault="005018C1" w:rsidP="005018C1">
      <w:pPr>
        <w:rPr>
          <w:rFonts w:ascii="Arial Nova" w:hAnsi="Arial Nova"/>
        </w:rPr>
      </w:pPr>
      <w:r w:rsidRPr="005018C1">
        <w:rPr>
          <w:rFonts w:ascii="Arial Nova" w:hAnsi="Arial Nova"/>
        </w:rPr>
        <w:t>This chapter presents and discusses the findings drawn from the thematic analysis described in Chapter 3. Three key themes emerged from the reviewed literature: regulatory and legal barriers to phage therapy in the UK; scientific and clinical evidence gaps; and the role of nursing practice and public health in supporting antimicrobial stewardship. Each theme is discussed in relation to the research question and objectives, drawing on relevant theory, policy, statistics and examples from the literature. The chapter begins by revisiting the thematic analysis process, before exploring each theme in turn, concluding with a summary that informs recommendations in Chapter 5.</w:t>
      </w:r>
    </w:p>
    <w:p w14:paraId="3C119D3F" w14:textId="4C339805" w:rsidR="00B44E44" w:rsidRPr="000560D9" w:rsidRDefault="00B44E44" w:rsidP="00B44E44">
      <w:pPr>
        <w:rPr>
          <w:rFonts w:ascii="Arial Nova" w:hAnsi="Arial Nova"/>
          <w:b/>
          <w:bCs/>
        </w:rPr>
      </w:pPr>
      <w:r w:rsidRPr="000560D9">
        <w:rPr>
          <w:rFonts w:ascii="Arial Nova" w:hAnsi="Arial Nova"/>
          <w:b/>
          <w:bCs/>
        </w:rPr>
        <w:t>4.2 Thematic Analysis</w:t>
      </w:r>
      <w:r w:rsidR="00E55CDD">
        <w:rPr>
          <w:rFonts w:ascii="Arial Nova" w:hAnsi="Arial Nova"/>
          <w:b/>
          <w:bCs/>
        </w:rPr>
        <w:t>.</w:t>
      </w:r>
    </w:p>
    <w:p w14:paraId="0ACA4C29" w14:textId="77777777" w:rsidR="00B44E44" w:rsidRPr="000560D9" w:rsidRDefault="00B44E44" w:rsidP="00B44E44">
      <w:pPr>
        <w:rPr>
          <w:rFonts w:ascii="Arial Nova" w:hAnsi="Arial Nova"/>
        </w:rPr>
      </w:pPr>
      <w:r w:rsidRPr="000560D9">
        <w:rPr>
          <w:rFonts w:ascii="Arial Nova" w:hAnsi="Arial Nova"/>
        </w:rPr>
        <w:t>Thematic analysis is a widely used method in secondary research for identifying, analysing and reporting patterns of meaning across a body of literature (Braun and Clarke, 2006). Rather than testing a fixed hypothesis, it allows themes to emerge inductively from the data, making it well suited to exploratory dissertations drawing on diverse sources such as scientific journals, government guidance and professional sources.</w:t>
      </w:r>
    </w:p>
    <w:p w14:paraId="0DD8854F" w14:textId="5E1C2A27" w:rsidR="00B44E44" w:rsidRPr="000560D9" w:rsidRDefault="00B44E44" w:rsidP="00B44E44">
      <w:pPr>
        <w:rPr>
          <w:rFonts w:ascii="Arial Nova" w:hAnsi="Arial Nova"/>
        </w:rPr>
      </w:pPr>
      <w:r w:rsidRPr="000560D9">
        <w:rPr>
          <w:rFonts w:ascii="Arial Nova" w:hAnsi="Arial Nova"/>
        </w:rPr>
        <w:t>In this dissertation, thematic analysis was applied to the sources identified and validated in Chapter 3. Each article was read closely, with recurring ideas, terms and concerns highlighted and assigned initial codes. These codes were recorded in a coding spreadsheet, alongside the source's title, author, database and relevance summary, allowing patterns to be tracked consistently across the full source tracking table. Codes were then grouped into broader, related categories, refined through repeated review, and organised into three overarching themes that directly addressed the research objectives.</w:t>
      </w:r>
    </w:p>
    <w:p w14:paraId="12807753" w14:textId="3D554D78" w:rsidR="00111ACA" w:rsidRDefault="00B44E44" w:rsidP="007C1C14">
      <w:pPr>
        <w:rPr>
          <w:rFonts w:ascii="Arial Nova" w:hAnsi="Arial Nova"/>
        </w:rPr>
      </w:pPr>
      <w:r w:rsidRPr="000560D9">
        <w:rPr>
          <w:rFonts w:ascii="Arial Nova" w:hAnsi="Arial Nova"/>
        </w:rPr>
        <w:t>The three themes identified were: regulatory and legal barriers to phage therapy in the UK; scientific and clinical evidence gaps; and the role of nursing practice and public health in supporting antimicrobial stewardship. These themes are explored in detail in the following sections, drawing on relevant examples from the reviewed literature.</w:t>
      </w:r>
    </w:p>
    <w:p w14:paraId="07F10874" w14:textId="77777777" w:rsidR="00513BA7" w:rsidRPr="00513BA7" w:rsidRDefault="00513BA7" w:rsidP="00513BA7">
      <w:pPr>
        <w:rPr>
          <w:rFonts w:ascii="Arial Nova" w:hAnsi="Arial Nova"/>
          <w:b/>
          <w:bCs/>
          <w:lang w:val="en-US"/>
        </w:rPr>
      </w:pPr>
      <w:r w:rsidRPr="00513BA7">
        <w:rPr>
          <w:rFonts w:ascii="Arial Nova" w:hAnsi="Arial Nova"/>
          <w:b/>
          <w:bCs/>
          <w:lang w:val="en-US"/>
        </w:rPr>
        <w:t>4.3 Theme 1: Regulatory and Legal Barriers to Phage Therapy in the UK</w:t>
      </w:r>
    </w:p>
    <w:p w14:paraId="44DE1212" w14:textId="77777777" w:rsidR="00513BA7" w:rsidRPr="00ED564D" w:rsidRDefault="00513BA7" w:rsidP="00513BA7">
      <w:pPr>
        <w:rPr>
          <w:rFonts w:ascii="Arial Nova" w:hAnsi="Arial Nova"/>
        </w:rPr>
      </w:pPr>
      <w:r w:rsidRPr="00ED564D">
        <w:rPr>
          <w:rFonts w:ascii="Arial Nova" w:hAnsi="Arial Nova"/>
        </w:rPr>
        <w:t xml:space="preserve">The first theme identified through thematic analysis concerns the regulatory and legal barriers that currently limit the adoption of phage therapy within the UK health and social care system. Regulation, in this context, refers to the formal rules, standards and approval processes set by </w:t>
      </w:r>
      <w:r w:rsidRPr="00ED564D">
        <w:rPr>
          <w:rFonts w:ascii="Arial Nova" w:hAnsi="Arial Nova"/>
        </w:rPr>
        <w:lastRenderedPageBreak/>
        <w:t>government bodies to ensure medicines are safe, effective and of consistent quality before they can be used in patient care (MHRA, 2025). Because bacteriophages are classed as biological medicines, they are subject to the same regulatory principles as other pharmaceutical products, despite being fundamentally different in how they are produced, matched to individual patients, and administered (Steele et al., 2022).</w:t>
      </w:r>
    </w:p>
    <w:p w14:paraId="166824C4" w14:textId="77777777" w:rsidR="00513BA7" w:rsidRPr="00ED564D" w:rsidRDefault="00513BA7" w:rsidP="00513BA7">
      <w:pPr>
        <w:rPr>
          <w:rFonts w:ascii="Arial Nova" w:hAnsi="Arial Nova"/>
        </w:rPr>
      </w:pPr>
      <w:r w:rsidRPr="00ED564D">
        <w:rPr>
          <w:rFonts w:ascii="Arial Nova" w:hAnsi="Arial Nova"/>
        </w:rPr>
        <w:t>Historically, the regulation of medicines in the UK developed to protect patients following past pharmaceutical harms, leading to a cautious, evidence-based licensing system administered by the Medicines and Healthcare products Regulatory Agency. The legal basis for supplying unlicensed medicines, including phage preparations, sits within the Human Medicines Regulations 2012, which permits pharmacists and doctors to supply an unlicensed "special" to meet the special needs of an individual patient, provided strict conditions around sourcing, record-keeping and clinical justification are met (MHRA, 2014). While this framework was never designed with phage therapy specifically in mind, it remains the primary legal mechanism through which UK patients can currently access treatment. Instead, phage therapy is accessed only through this "specials" route, which permits unlicensed medicines to be supplied for an individual patient when no licensed alternative is suitable. While this route enables some patients to access treatment on a compassionate basis, it was not designed for a treatment requiring frequent, patient-specific formulation, and therefore creates a slow, resource-intensive process unsuited to phage therapy's personalised nature (Steele et al., 2022).</w:t>
      </w:r>
    </w:p>
    <w:p w14:paraId="34574015" w14:textId="611B58B8" w:rsidR="00513BA7" w:rsidRPr="00ED564D" w:rsidRDefault="00513BA7" w:rsidP="00513BA7">
      <w:pPr>
        <w:rPr>
          <w:rFonts w:ascii="Arial Nova" w:hAnsi="Arial Nova"/>
        </w:rPr>
      </w:pPr>
      <w:r w:rsidRPr="00ED564D">
        <w:rPr>
          <w:rFonts w:ascii="Arial Nova" w:hAnsi="Arial Nova"/>
        </w:rPr>
        <w:t xml:space="preserve">This regulatory gap is highly significant to the research question, since it directly explains why phage therapy remains rare in UK clinical practice despite promising international results and decades of established use elsewhere, as discussed in Chapter 2. Without a licensed pathway, hospitals must navigate lengthy notification processes with the MHRA, source </w:t>
      </w:r>
      <w:r w:rsidR="00C57FE0">
        <w:rPr>
          <w:rFonts w:ascii="Arial Nova" w:hAnsi="Arial Nova"/>
        </w:rPr>
        <w:t>P</w:t>
      </w:r>
      <w:r w:rsidR="00C57FE0" w:rsidRPr="00ED564D">
        <w:rPr>
          <w:rFonts w:ascii="Arial Nova" w:hAnsi="Arial Nova"/>
        </w:rPr>
        <w:t>hage’s</w:t>
      </w:r>
      <w:r w:rsidRPr="00ED564D">
        <w:rPr>
          <w:rFonts w:ascii="Arial Nova" w:hAnsi="Arial Nova"/>
        </w:rPr>
        <w:t xml:space="preserve"> from limited specialist suppliers, often abroad, and rely on individual clinician expertise rather than standardised national protocols (</w:t>
      </w:r>
      <w:r w:rsidR="00BA1ED3">
        <w:rPr>
          <w:rFonts w:ascii="Arial Nova" w:hAnsi="Arial Nova"/>
        </w:rPr>
        <w:t>Stacey et al., 2022; Clarke et al., 2020</w:t>
      </w:r>
      <w:r w:rsidRPr="00ED564D">
        <w:rPr>
          <w:rFonts w:ascii="Arial Nova" w:hAnsi="Arial Nova"/>
        </w:rPr>
        <w:t>)</w:t>
      </w:r>
      <w:r w:rsidR="00F33632">
        <w:rPr>
          <w:rFonts w:ascii="Arial Nova" w:hAnsi="Arial Nova"/>
        </w:rPr>
        <w:t>.</w:t>
      </w:r>
      <w:r w:rsidRPr="00ED564D">
        <w:rPr>
          <w:rFonts w:ascii="Arial Nova" w:hAnsi="Arial Nova"/>
        </w:rPr>
        <w:t xml:space="preserve"> This variability raises concerns about equity, as patients in areas with less clinician familiarity or fewer specialist connections may have little or no realistic access to treatment, regardless of clinical need.</w:t>
      </w:r>
    </w:p>
    <w:p w14:paraId="1242270B" w14:textId="65D79DFE" w:rsidR="00513BA7" w:rsidRPr="00ED564D" w:rsidRDefault="00513BA7" w:rsidP="00513BA7">
      <w:pPr>
        <w:rPr>
          <w:rFonts w:ascii="Arial Nova" w:hAnsi="Arial Nova"/>
        </w:rPr>
      </w:pPr>
      <w:r w:rsidRPr="00ED564D">
        <w:rPr>
          <w:rFonts w:ascii="Arial Nova" w:hAnsi="Arial Nova"/>
        </w:rPr>
        <w:t xml:space="preserve">Encouragingly, the MHRA's June 2025 guidance on the regulatory pathway for phage therapeutic products represents a significant policy development, offering clearer expectations for quality, safety and efficacy standards for companies and researchers developing phage medicines (GOV.UK, 2025). This guidance followed a House of Commons Science, Innovation and Technology Committee inquiry into the antimicrobial potential of bacteriophages, reflecting growing political recognition of the issue (House of Commons Science, Innovation and Technology Committee, 2024). It also supports the UK 2024–2029 National Action Plan </w:t>
      </w:r>
      <w:r w:rsidRPr="00ED564D">
        <w:rPr>
          <w:rFonts w:ascii="Arial Nova" w:hAnsi="Arial Nova"/>
        </w:rPr>
        <w:lastRenderedPageBreak/>
        <w:t>for confronting antimicrobial resistance, situating phage therapy within a broader national strategy rather than treating it as an isolated scientific curiosity (NHS England, 2024).</w:t>
      </w:r>
    </w:p>
    <w:p w14:paraId="0EE09A6E" w14:textId="63BF76FB" w:rsidR="00513BA7" w:rsidRDefault="00513BA7" w:rsidP="00513BA7">
      <w:pPr>
        <w:rPr>
          <w:rFonts w:ascii="Arial Nova" w:hAnsi="Arial Nova"/>
        </w:rPr>
      </w:pPr>
      <w:r w:rsidRPr="00ED564D">
        <w:rPr>
          <w:rFonts w:ascii="Arial Nova" w:hAnsi="Arial Nova"/>
        </w:rPr>
        <w:t>Despite this progress, practical and ethical challenges remain. A recurring concern across the literature is the shortage of Good Manufacturing Practice-compliant facilities capable of producing phage preparations to the standard required for human use, which restricts supply even where clinical demand exists (Loh et al., 2021). Ethically, this creates tension between the urgency of treating patients with life-threatening, drug-resistant infections and the need to maintain rigorous safety and quality controls; rushing production to meet demand could compromise patient safety, while overly cautious regulation may deny patients a potentially life-saving treatment (</w:t>
      </w:r>
      <w:r w:rsidR="00880437">
        <w:rPr>
          <w:rFonts w:ascii="Arial Nova" w:hAnsi="Arial Nova"/>
        </w:rPr>
        <w:t>Stacey et al., 2022</w:t>
      </w:r>
      <w:r w:rsidRPr="00ED564D">
        <w:rPr>
          <w:rFonts w:ascii="Arial Nova" w:hAnsi="Arial Nova"/>
        </w:rPr>
        <w:t>)</w:t>
      </w:r>
      <w:r w:rsidR="00880437">
        <w:rPr>
          <w:rFonts w:ascii="Arial Nova" w:hAnsi="Arial Nova"/>
        </w:rPr>
        <w:t>.</w:t>
      </w:r>
    </w:p>
    <w:p w14:paraId="6AE42FB4" w14:textId="622A3CB6" w:rsidR="00CD0FFB" w:rsidRPr="00ED564D" w:rsidRDefault="00CD0FFB" w:rsidP="00CD0FFB">
      <w:pPr>
        <w:rPr>
          <w:rFonts w:ascii="Arial Nova" w:hAnsi="Arial Nova"/>
        </w:rPr>
      </w:pPr>
      <w:r>
        <w:rPr>
          <w:rFonts w:ascii="Arial Nova" w:hAnsi="Arial Nova"/>
        </w:rPr>
        <w:t>Examples from the literature illustrate these tensions clearly. Stacey et al. (2022) describe practical and ethical reasons why patients should not be transferred between NHS trusts purely to access phage therapy, highlighting how regulatory and logistical barriers can directly limit patient choice and continuity of care. Clarke et al. (2020) similarly argue that the future of clinical phage therapy in the UK depends heavily on resolving regulatory uncertainty, describing current arrangements as workable for isolated cases but unsustainable for wider clinical adoption. Both sources broadly agree that regulatory reform, rather than scientific limitations alone, represents the single greatest barrier to progress, though Clarke et al. (2020) are notably more optimistic about the pace of recent regulatory change following the 2025 MHRA guidance, whereas Stacey et al. (2022), writing earlier, focus more heavily on the practical burden placed on individual NHS trusts</w:t>
      </w:r>
      <w:r w:rsidR="008919DD">
        <w:rPr>
          <w:rFonts w:ascii="Arial Nova" w:hAnsi="Arial Nova"/>
        </w:rPr>
        <w:t>.</w:t>
      </w:r>
    </w:p>
    <w:p w14:paraId="2FC816D8" w14:textId="77777777" w:rsidR="00513BA7" w:rsidRPr="00ED564D" w:rsidRDefault="00513BA7" w:rsidP="00513BA7">
      <w:pPr>
        <w:rPr>
          <w:rFonts w:ascii="Arial Nova" w:hAnsi="Arial Nova"/>
        </w:rPr>
      </w:pPr>
      <w:r w:rsidRPr="00ED564D">
        <w:rPr>
          <w:rFonts w:ascii="Arial Nova" w:hAnsi="Arial Nova"/>
        </w:rPr>
        <w:t>Statistical context further underscores the urgency of resolving these regulatory barriers. The 2016 Review on Antimicrobial Resistance, chaired by Lord Jim O'Neill and commissioned by the UK government, estimated that drug-resistant infections could cause up to 10 million deaths per year worldwide by 2050 if no action were taken, alongside significant economic cost (O'Neill, 2016). More recent global estimates suggest that bacterial antimicrobial resistance was already associated with 4.71 million deaths in 2021, reinforcing the argument that regulatory delay carries a real, ongoing human cost, not merely a theoretical future risk (Global Burden of Disease AMR Collaborators, 2024, cited in Chapter 1). When considered against this backdrop, the UK's continued reliance on a "specials" framework designed for occasional, individual cases appears increasingly mismatched to the scale of the problem it is being asked to help address.</w:t>
      </w:r>
    </w:p>
    <w:p w14:paraId="2A212560" w14:textId="747AEE7C" w:rsidR="00513BA7" w:rsidRPr="00ED564D" w:rsidRDefault="00513BA7" w:rsidP="00513BA7">
      <w:pPr>
        <w:rPr>
          <w:rFonts w:ascii="Arial Nova" w:hAnsi="Arial Nova"/>
        </w:rPr>
      </w:pPr>
      <w:r w:rsidRPr="00ED564D">
        <w:rPr>
          <w:rFonts w:ascii="Arial Nova" w:hAnsi="Arial Nova"/>
        </w:rPr>
        <w:lastRenderedPageBreak/>
        <w:t>The theoretical concept of antimicrobial stewardship, introduced in Chapter 2, is also relevant here, since one of the underlying justifications for accelerating phage therapy regulation is its potential to reduce reliance on broad-spectrum antibiotics and therefore support wider stewardship goals (GOV.UK, 2025). However, regulation inevitably involves balancing competing priorities: patient safety and product quality on one hand, and timely access to potentially life-saving treatment on the other. This tension reflects a wider debate within health policy about how quickly emerging treatments should be integrated into standard care, particularly when the treatment in question is highly personalised and therefore difficult to evaluate using conventional, one-size-fits-all regulatory models originally designed for mass-produced pharmaceuticals.</w:t>
      </w:r>
    </w:p>
    <w:p w14:paraId="54A3A399" w14:textId="77777777" w:rsidR="00513BA7" w:rsidRDefault="00513BA7" w:rsidP="00513BA7">
      <w:pPr>
        <w:rPr>
          <w:rFonts w:ascii="Arial Nova" w:hAnsi="Arial Nova"/>
        </w:rPr>
      </w:pPr>
      <w:r w:rsidRPr="00ED564D">
        <w:rPr>
          <w:rFonts w:ascii="Arial Nova" w:hAnsi="Arial Nova"/>
        </w:rPr>
        <w:t>This theme connects closely to the second theme discussed in this chapter, scientific and clinical evidence gaps, since regulators are understandably reluctant to approve a treatment lacking large-scale clinical trial data, and the personalised nature of phage therapy makes such trials particularly difficult to design. It also links to the third theme, nursing practice and public health, as unclear regulatory pathways contribute directly to low awareness and confidence among healthcare professionals, who may be unfamiliar with how to access or discuss phage therapy with patients, or unsure of their own role within an unlicensed treatment pathway. Taken together, this theme demonstrates that regulatory and legal barriers do not exist in isolation, but interact with, and are partly sustained by, gaps in evidence and professional awareness explored later in this chapter.</w:t>
      </w:r>
    </w:p>
    <w:p w14:paraId="74D6B96A" w14:textId="118F5BE7" w:rsidR="00FF3496" w:rsidRPr="00FF3496" w:rsidRDefault="00FF3496" w:rsidP="00FF3496">
      <w:pPr>
        <w:rPr>
          <w:rFonts w:ascii="Arial Nova" w:hAnsi="Arial Nova"/>
          <w:b/>
          <w:bCs/>
        </w:rPr>
      </w:pPr>
      <w:r w:rsidRPr="00FF3496">
        <w:rPr>
          <w:rFonts w:ascii="Arial Nova" w:hAnsi="Arial Nova"/>
          <w:b/>
          <w:bCs/>
        </w:rPr>
        <w:t>4.4 Theme 2: Scientific and Clinical Evidence Gaps</w:t>
      </w:r>
      <w:r w:rsidR="009F0A4F">
        <w:rPr>
          <w:rFonts w:ascii="Arial Nova" w:hAnsi="Arial Nova"/>
          <w:b/>
          <w:bCs/>
        </w:rPr>
        <w:t>.</w:t>
      </w:r>
    </w:p>
    <w:p w14:paraId="6C940427" w14:textId="77777777" w:rsidR="00FF3496" w:rsidRPr="00FF3496" w:rsidRDefault="00FF3496" w:rsidP="00FF3496">
      <w:pPr>
        <w:rPr>
          <w:rFonts w:ascii="Arial Nova" w:hAnsi="Arial Nova"/>
        </w:rPr>
      </w:pPr>
      <w:r w:rsidRPr="00FF3496">
        <w:rPr>
          <w:rFonts w:ascii="Arial Nova" w:hAnsi="Arial Nova"/>
        </w:rPr>
        <w:t>The second theme identified through thematic analysis relates to the persistent gaps in scientific and clinical evidence supporting phage therapy, which significantly influence both regulatory caution and clinical confidence. In this context, "evidence gap" refers to the absence of large-scale, randomised controlled trials of the kind traditionally used to demonstrate a treatment's safety and effectiveness, which remain the accepted gold standard within evidence-based medicine (Uyttebroek et al., 2022). Although phage therapy has a long history of clinical use, much of the available evidence comes from individual case reports and small case series, rather than the rigorously controlled studies typically required for full regulatory approval.</w:t>
      </w:r>
    </w:p>
    <w:p w14:paraId="057034B2" w14:textId="2510D385" w:rsidR="00FF3496" w:rsidRPr="00FF3496" w:rsidRDefault="00FF3496" w:rsidP="00FF3496">
      <w:pPr>
        <w:rPr>
          <w:rFonts w:ascii="Arial Nova" w:hAnsi="Arial Nova"/>
        </w:rPr>
      </w:pPr>
      <w:r w:rsidRPr="00FF3496">
        <w:rPr>
          <w:rFonts w:ascii="Arial Nova" w:hAnsi="Arial Nova"/>
        </w:rPr>
        <w:t xml:space="preserve">This gap has clear historical </w:t>
      </w:r>
      <w:r w:rsidR="009F0A4F" w:rsidRPr="00FF3496">
        <w:rPr>
          <w:rFonts w:ascii="Arial Nova" w:hAnsi="Arial Nova"/>
        </w:rPr>
        <w:t>roots and</w:t>
      </w:r>
      <w:r w:rsidRPr="00FF3496">
        <w:rPr>
          <w:rFonts w:ascii="Arial Nova" w:hAnsi="Arial Nova"/>
        </w:rPr>
        <w:t xml:space="preserve"> understanding it is essential to interpreting why the UK regulatory position discussed under Theme 1 remains so cautious. As discussed in Chapter 2, phage therapy developed largely in Georgia and Eastern Europe throughout the twentieth </w:t>
      </w:r>
      <w:r w:rsidRPr="00FF3496">
        <w:rPr>
          <w:rFonts w:ascii="Arial Nova" w:hAnsi="Arial Nova"/>
        </w:rPr>
        <w:lastRenderedPageBreak/>
        <w:t>century, where research and clinical practice continued outside the framework of Western clinical trial methodology. As a result, decades of accumulated clinical experience exist, but not always in a form that meets the reporting standards expected by contemporary Western regulators and journals (Uyttebroek et al., 2022). This mismatch between long-standing practical experience and formal scientific evidence is a recurring source of tension throughout the literature reviewed.</w:t>
      </w:r>
    </w:p>
    <w:p w14:paraId="3CA25320" w14:textId="77777777" w:rsidR="00FF3496" w:rsidRPr="00FF3496" w:rsidRDefault="00FF3496" w:rsidP="00FF3496">
      <w:pPr>
        <w:rPr>
          <w:rFonts w:ascii="Arial Nova" w:hAnsi="Arial Nova"/>
        </w:rPr>
      </w:pPr>
      <w:r w:rsidRPr="00FF3496">
        <w:rPr>
          <w:rFonts w:ascii="Arial Nova" w:hAnsi="Arial Nova"/>
        </w:rPr>
        <w:t>This theme is highly relevant to the research question, because it directly shapes whether phage therapy can move beyond compassionate, individual use towards routine integration into UK clinical practice. Without robust trial data, clinicians and regulators alike face genuine uncertainty about which patients are most likely to benefit, which phage formulations are most effective, and how outcomes compare with standard antibiotic treatment. This uncertainty likely contributes to the caution seen in UK regulatory policy, discussed under Theme 1, and to the limited awareness among healthcare professionals discussed under Theme 3.</w:t>
      </w:r>
    </w:p>
    <w:p w14:paraId="3A5BD0E3" w14:textId="76614102" w:rsidR="00FF3496" w:rsidRPr="00FF3496" w:rsidRDefault="00FF3496" w:rsidP="00FF3496">
      <w:pPr>
        <w:rPr>
          <w:rFonts w:ascii="Arial Nova" w:hAnsi="Arial Nova"/>
        </w:rPr>
      </w:pPr>
      <w:r w:rsidRPr="00FF3496">
        <w:rPr>
          <w:rFonts w:ascii="Arial Nova" w:hAnsi="Arial Nova"/>
        </w:rPr>
        <w:t xml:space="preserve">Statistically, the picture is genuinely mixed, reflecting both encouraging clinical outcomes and persistent methodological weaknesses across the reviewed studies. Uyttebroek et al.'s (2022) systematic review of clinical phage therapy studies found generally favourable safety </w:t>
      </w:r>
      <w:r w:rsidR="009F0A4F" w:rsidRPr="00FF3496">
        <w:rPr>
          <w:rFonts w:ascii="Arial Nova" w:hAnsi="Arial Nova"/>
        </w:rPr>
        <w:t>outcomes but</w:t>
      </w:r>
      <w:r w:rsidRPr="00FF3496">
        <w:rPr>
          <w:rFonts w:ascii="Arial Nova" w:hAnsi="Arial Nova"/>
        </w:rPr>
        <w:t xml:space="preserve"> rated the overall quality of evidence as low to moderate, largely because most studies lacked comparison groups and many patients received phage therapy alongside continued antibiotic treatment, making it difficult to isolate the specific effect of the phages themselves. Similarly, El Haddad et al. (2019) reviewed phage therapy against multidrug-resistant ESKAPE pathogens, a group of bacteria of particular concern for antimicrobial </w:t>
      </w:r>
      <w:r w:rsidR="009F0A4F" w:rsidRPr="00FF3496">
        <w:rPr>
          <w:rFonts w:ascii="Arial Nova" w:hAnsi="Arial Nova"/>
        </w:rPr>
        <w:t>resistance and</w:t>
      </w:r>
      <w:r w:rsidRPr="00FF3496">
        <w:rPr>
          <w:rFonts w:ascii="Arial Nova" w:hAnsi="Arial Nova"/>
        </w:rPr>
        <w:t xml:space="preserve"> reported promising individual outcomes but again highlighted the near-total absence of randomised controlled trials in this area.</w:t>
      </w:r>
    </w:p>
    <w:p w14:paraId="6F695B45" w14:textId="3EF46AF8" w:rsidR="00FF3496" w:rsidRPr="00FF3496" w:rsidRDefault="00FF3496" w:rsidP="00FF3496">
      <w:pPr>
        <w:rPr>
          <w:rFonts w:ascii="Arial Nova" w:hAnsi="Arial Nova"/>
        </w:rPr>
      </w:pPr>
      <w:r w:rsidRPr="00FF3496">
        <w:rPr>
          <w:rFonts w:ascii="Arial Nova" w:hAnsi="Arial Nova"/>
        </w:rPr>
        <w:t xml:space="preserve">The theoretical explanation for this gap lies partly in the personalised nature of phage therapy itself, discussed in Chapter 2. Because </w:t>
      </w:r>
      <w:r w:rsidR="007B0DAE">
        <w:rPr>
          <w:rFonts w:ascii="Arial Nova" w:hAnsi="Arial Nova"/>
        </w:rPr>
        <w:t>P</w:t>
      </w:r>
      <w:r w:rsidR="007B0DAE" w:rsidRPr="00FF3496">
        <w:rPr>
          <w:rFonts w:ascii="Arial Nova" w:hAnsi="Arial Nova"/>
        </w:rPr>
        <w:t>hage’s</w:t>
      </w:r>
      <w:r w:rsidRPr="00FF3496">
        <w:rPr>
          <w:rFonts w:ascii="Arial Nova" w:hAnsi="Arial Nova"/>
        </w:rPr>
        <w:t xml:space="preserve"> are often matched to an individual patient's specific bacterial strain, and treatments are frequently combined into bespoke cocktails, the traditional randomised controlled trial model, designed for a single standardised drug given to many patients, does not map neatly onto phage therapy's clinical reality (Pirnay and Kutter, 2021). Pirnay and Kutter (2021) argue that phage therapy should instead be understood and regulated more like a personalised medical practice than a conventional pharmaceutical product, a position that has significant implications for how future evidence might realistically be generated.</w:t>
      </w:r>
    </w:p>
    <w:p w14:paraId="37DF58DB" w14:textId="5E2BFA4A" w:rsidR="00FF3496" w:rsidRDefault="00FF3496" w:rsidP="00FF3496">
      <w:pPr>
        <w:rPr>
          <w:rFonts w:ascii="Arial Nova" w:hAnsi="Arial Nova"/>
        </w:rPr>
      </w:pPr>
      <w:r w:rsidRPr="00FF3496">
        <w:rPr>
          <w:rFonts w:ascii="Arial Nova" w:hAnsi="Arial Nova"/>
        </w:rPr>
        <w:lastRenderedPageBreak/>
        <w:t xml:space="preserve">Examples from the literature illustrate both the promise and the limitations of current evidence. Schooley et al. (2017) documented a widely cited case in which a personalised bacteriophage cocktail successfully treated a patient with a life-threatening, multidrug-resistant Acinetobacter baumannii infection after all other treatment options had failed, demonstrating clear clinical benefit in an individual case. However, Uyttebroek et al. (2022) caution that such dramatic individual successes cannot be generalised into reliable population-level evidence without further controlled research, since favourable case reports may be more likely to be published than unsuccessful ones, a phenomenon known as publication bias. These sources broadly agree on phage therapy's clinical </w:t>
      </w:r>
      <w:r w:rsidR="009F0A4F" w:rsidRPr="00FF3496">
        <w:rPr>
          <w:rFonts w:ascii="Arial Nova" w:hAnsi="Arial Nova"/>
        </w:rPr>
        <w:t>potential but</w:t>
      </w:r>
      <w:r w:rsidRPr="00FF3496">
        <w:rPr>
          <w:rFonts w:ascii="Arial Nova" w:hAnsi="Arial Nova"/>
        </w:rPr>
        <w:t xml:space="preserve"> differ in how confidently that potential can currently be claimed, with Schooley et al. (2017) offering a compelling proof of concept and Uyttebroek et al. (2022) urging more cautious, population-level interpretation.</w:t>
      </w:r>
    </w:p>
    <w:p w14:paraId="1E669769" w14:textId="7EF7205D" w:rsidR="00B95C97" w:rsidRPr="00FF3496" w:rsidRDefault="00B95C97" w:rsidP="00B95C97">
      <w:pPr>
        <w:rPr>
          <w:rFonts w:ascii="Arial Nova" w:hAnsi="Arial Nova"/>
        </w:rPr>
      </w:pPr>
      <w:r>
        <w:rPr>
          <w:rFonts w:ascii="Arial Nova" w:hAnsi="Arial Nova"/>
        </w:rPr>
        <w:t>Further statistical evidence illustrates the scale of this gap. A bibliometric analysis of phage-related clinical research identified only 163 registered clinical trials worldwide between 1965 and 2024, despite a much larger and rapidly growing body of laboratory and preclinical research on bacteriophages during the same period. Reflecting this gap at a national level, Scotland's Health Technologies Group produced formal recommendations on bacteriophage therapy for difficult-to-treat infections in the absence of licensed products (Scottish Health Technologies Group, 2023), and UK clinicians have since published practical guidance for assessing patient suitability for unlicensed phage therapy given the continued absence of standardised trial pathways (Jones et al., 2025). This imbalance suggests that scientific interest in phage therapy has grown considerably faster than the clinical infrastructure needed to test it rigorously in humans, reinforcing the argument that evidence gaps reflect systemic and practical barriers to trial design as much as any lack of underlying scientific promise. Preclinical evidence, by contrast, is often described as considerably stronger; systematic reviews of animal infection models report reproducible efficacy of bacteriophage therapy across several infection types, including those involving multidrug-resistant organisms, lending biological plausibility to the treatment even where human trial data remain limited.</w:t>
      </w:r>
    </w:p>
    <w:p w14:paraId="2DFBBF9F" w14:textId="1A8BF477" w:rsidR="00FF3496" w:rsidRPr="00FF3496" w:rsidRDefault="00FF3496" w:rsidP="00FF3496">
      <w:pPr>
        <w:rPr>
          <w:rFonts w:ascii="Arial Nova" w:hAnsi="Arial Nova"/>
        </w:rPr>
      </w:pPr>
      <w:r w:rsidRPr="00FF3496">
        <w:rPr>
          <w:rFonts w:ascii="Arial Nova" w:hAnsi="Arial Nova"/>
        </w:rPr>
        <w:t xml:space="preserve">This distinction between strong preclinical evidence and weaker clinical trial evidence is important for understanding the research question, since it suggests that the core scientific mechanism of phage therapy, using lytic </w:t>
      </w:r>
      <w:r w:rsidR="007B0DAE">
        <w:rPr>
          <w:rFonts w:ascii="Arial Nova" w:hAnsi="Arial Nova"/>
        </w:rPr>
        <w:t>P</w:t>
      </w:r>
      <w:r w:rsidR="007B0DAE" w:rsidRPr="00FF3496">
        <w:rPr>
          <w:rFonts w:ascii="Arial Nova" w:hAnsi="Arial Nova"/>
        </w:rPr>
        <w:t>hage’s</w:t>
      </w:r>
      <w:r w:rsidRPr="00FF3496">
        <w:rPr>
          <w:rFonts w:ascii="Arial Nova" w:hAnsi="Arial Nova"/>
        </w:rPr>
        <w:t xml:space="preserve"> to destroy targeted bacteria, is well supported, while the practical challenge lies specifically in translating this mechanism into standardised, trial-ready clinical protocols suitable for regulatory approval. This distinction also has implications for how future research might be prioritised, suggesting that investment may be </w:t>
      </w:r>
      <w:r w:rsidRPr="00FF3496">
        <w:rPr>
          <w:rFonts w:ascii="Arial Nova" w:hAnsi="Arial Nova"/>
        </w:rPr>
        <w:lastRenderedPageBreak/>
        <w:t>better directed towards developing new clinical trial models suited to personalised treatments, rather than towards further preclinical research alone.</w:t>
      </w:r>
    </w:p>
    <w:p w14:paraId="2DF30EA7" w14:textId="05094EF6" w:rsidR="00FF3496" w:rsidRPr="00FF3496" w:rsidRDefault="00FF3496" w:rsidP="00FF3496">
      <w:pPr>
        <w:rPr>
          <w:rFonts w:ascii="Arial Nova" w:hAnsi="Arial Nova"/>
        </w:rPr>
      </w:pPr>
      <w:r w:rsidRPr="00FF3496">
        <w:rPr>
          <w:rFonts w:ascii="Arial Nova" w:hAnsi="Arial Nova"/>
        </w:rPr>
        <w:t xml:space="preserve">This gap has direct implications for practice. Positively, it means that phage therapy remains available as a genuine option of last resort for patients who would otherwise have no further treatment avenues, offering hope in situations where conventional antibiotics have failed. Negatively, the lack of standardised trial evidence makes it difficult for NHS commissioners, clinicians and nursing staff to confidently recommend or discuss the </w:t>
      </w:r>
      <w:r w:rsidR="009F0A4F" w:rsidRPr="00FF3496">
        <w:rPr>
          <w:rFonts w:ascii="Arial Nova" w:hAnsi="Arial Nova"/>
        </w:rPr>
        <w:t>treatment and</w:t>
      </w:r>
      <w:r w:rsidRPr="00FF3496">
        <w:rPr>
          <w:rFonts w:ascii="Arial Nova" w:hAnsi="Arial Nova"/>
        </w:rPr>
        <w:t xml:space="preserve"> may slow the development of the very regulatory pathways discussed under Theme 1, since regulators typically require some level of trial evidence before granting broader licences.</w:t>
      </w:r>
    </w:p>
    <w:p w14:paraId="6085F8FA" w14:textId="77777777" w:rsidR="00FF3496" w:rsidRPr="00FF3496" w:rsidRDefault="00FF3496" w:rsidP="00FF3496">
      <w:pPr>
        <w:rPr>
          <w:rFonts w:ascii="Arial Nova" w:hAnsi="Arial Nova"/>
        </w:rPr>
      </w:pPr>
      <w:r w:rsidRPr="00FF3496">
        <w:rPr>
          <w:rFonts w:ascii="Arial Nova" w:hAnsi="Arial Nova"/>
        </w:rPr>
        <w:t>This theme connects closely to the other themes explored in this chapter. It reinforces Theme 1, since limited trial evidence directly contributes to regulatory caution, and it anticipates Theme 3, since gaps in scientific evidence make it harder for nurses and other healthcare professionals to feel confident discussing or supporting phage therapy with patients. Together, these connections suggest that closing the evidence gap is not simply a scientific challenge, but one with direct consequences for regulation, professional confidence and, ultimately, patient access to care.</w:t>
      </w:r>
    </w:p>
    <w:p w14:paraId="0AD7C941" w14:textId="7F79E50F" w:rsidR="00831A22" w:rsidRPr="00A44143" w:rsidRDefault="00831A22" w:rsidP="00831A22">
      <w:pPr>
        <w:rPr>
          <w:rFonts w:ascii="Arial Nova" w:hAnsi="Arial Nova"/>
          <w:b/>
          <w:bCs/>
        </w:rPr>
      </w:pPr>
      <w:r w:rsidRPr="00A44143">
        <w:rPr>
          <w:rFonts w:ascii="Arial Nova" w:hAnsi="Arial Nova"/>
          <w:b/>
          <w:bCs/>
        </w:rPr>
        <w:t>4.5 Theme 3: Nursing Practice, Public Health and Antimicrobial Stewardship</w:t>
      </w:r>
      <w:r w:rsidR="00AE3898">
        <w:rPr>
          <w:rFonts w:ascii="Arial Nova" w:hAnsi="Arial Nova"/>
          <w:b/>
          <w:bCs/>
        </w:rPr>
        <w:t xml:space="preserve">. </w:t>
      </w:r>
    </w:p>
    <w:p w14:paraId="1350684E" w14:textId="77777777" w:rsidR="00831A22" w:rsidRPr="00A44143" w:rsidRDefault="00831A22" w:rsidP="00831A22">
      <w:pPr>
        <w:rPr>
          <w:rFonts w:ascii="Arial Nova" w:hAnsi="Arial Nova"/>
        </w:rPr>
      </w:pPr>
      <w:r w:rsidRPr="00A44143">
        <w:rPr>
          <w:rFonts w:ascii="Arial Nova" w:hAnsi="Arial Nova"/>
        </w:rPr>
        <w:t>The third theme identified through thematic analysis concerns the role of nursing practice and public health in supporting antimicrobial stewardship, and how limited awareness of phage therapy among healthcare professionals may affect its future integration into UK care. Antimicrobial stewardship refers to a coordinated set of actions promoting the responsible use of antimicrobials to preserve their effectiveness, and nurses are widely recognised as playing a central role in this effort due to their frequent, sustained contact with patients across care settings (Royal College of Nursing, 2014).</w:t>
      </w:r>
    </w:p>
    <w:p w14:paraId="0EBE39D4" w14:textId="77777777" w:rsidR="00831A22" w:rsidRPr="00A44143" w:rsidRDefault="00831A22" w:rsidP="00831A22">
      <w:pPr>
        <w:rPr>
          <w:rFonts w:ascii="Arial Nova" w:hAnsi="Arial Nova"/>
        </w:rPr>
      </w:pPr>
      <w:r w:rsidRPr="00A44143">
        <w:rPr>
          <w:rFonts w:ascii="Arial Nova" w:hAnsi="Arial Nova"/>
        </w:rPr>
        <w:t>Historically, and as discussed in earlier chapters, antimicrobial stewardship responsibilities have often been framed as primarily medical or pharmacy-led, with nurses positioned as implementers of prescribing decisions rather than active contributors to stewardship strategy. However, this view has shifted considerably over the past decade, with the Royal College of Nursing formally recognising nursing's contribution to combating antimicrobial resistance and highlighting that nurses are frequently the first to observe signs of infection, monitor treatment response, and communicate with patients about their care (Royal College of Nursing, 2014; Royal College of Nursing, 2026). This shift reflects a broader recognition that effective stewardship depends on multidisciplinary collaboration, not solely on prescribing behaviour.</w:t>
      </w:r>
    </w:p>
    <w:p w14:paraId="32BD240D" w14:textId="77777777" w:rsidR="00831A22" w:rsidRDefault="00831A22" w:rsidP="00831A22">
      <w:pPr>
        <w:rPr>
          <w:rFonts w:ascii="Arial Nova" w:hAnsi="Arial Nova"/>
        </w:rPr>
      </w:pPr>
      <w:r w:rsidRPr="00A44143">
        <w:rPr>
          <w:rFonts w:ascii="Arial Nova" w:hAnsi="Arial Nova"/>
        </w:rPr>
        <w:lastRenderedPageBreak/>
        <w:t>This theme is directly relevant to the research question, since successful integration of phage therapy into UK practice will likely depend heavily on frontline nursing staff feeling confident and informed enough to support, monitor and discuss this treatment with patients. If nurses remain largely unaware of phage therapy, or uncertain about their role in its administration and monitoring, this could significantly slow adoption even where regulatory and scientific barriers, discussed under Themes 1 and 2, begin to ease.</w:t>
      </w:r>
    </w:p>
    <w:p w14:paraId="1523E31C" w14:textId="77777777" w:rsidR="00787F89" w:rsidRPr="00A44143" w:rsidRDefault="00787F89" w:rsidP="00787F89">
      <w:pPr>
        <w:rPr>
          <w:rFonts w:ascii="Arial Nova" w:hAnsi="Arial Nova"/>
        </w:rPr>
      </w:pPr>
      <w:r>
        <w:rPr>
          <w:rFonts w:ascii="Arial Nova" w:hAnsi="Arial Nova"/>
        </w:rPr>
        <w:t>Statistical and review evidence supports the significance of this theme. An integrative review of nurse engagement in antimicrobial stewardship found that although nurses are widely expected to contribute to stewardship programmes, many remain disconnected from formal stewardship activity in practice, despite strong potential for patient advocacy and clinical influence (Gotterson, Buising and Manias, 2021). Similarly, research into nurses' future stewardship roles has identified nursing education as a key gap, arguing that stewardship principles, including emerging treatments such as phage therapy, are not yet consistently embedded within nursing curricula (Padigos, Ritchie and Lim, 2020). This is reinforced by a scoping review of the wider nursing role in antimicrobial stewardship, which found that while nurses routinely monitor prescribing and administer antimicrobials, they are rarely equipped with the specific knowledge needed to engage confidently with emerging or unlicensed therapies (van Huizen et al., 2021). A multi-country survey using the Theoretical Domains Framework similarly identified limited role clarity and competing clinical priorities as key barriers to nurse engagement in stewardship behaviours (Chater et al., 2022).</w:t>
      </w:r>
    </w:p>
    <w:p w14:paraId="774D2C94" w14:textId="77777777" w:rsidR="00831A22" w:rsidRPr="00A44143" w:rsidRDefault="00831A22" w:rsidP="00831A22">
      <w:pPr>
        <w:rPr>
          <w:rFonts w:ascii="Arial Nova" w:hAnsi="Arial Nova"/>
        </w:rPr>
      </w:pPr>
      <w:r w:rsidRPr="00A44143">
        <w:rPr>
          <w:rFonts w:ascii="Arial Nova" w:hAnsi="Arial Nova"/>
        </w:rPr>
        <w:t>Theoretically, this theme links closely to the One Health approach discussed in Chapter 2, which frames antimicrobial resistance as a challenge requiring coordinated action across human, animal and environmental health sectors (WOAH, 2024, cited in Chapter 2). Nurses occupy a uniquely positioned role within this framework at the human health level, given their direct, ongoing patient contact, positioning them as potential advocates for stewardship-supporting treatments such as phage therapy, provided they receive adequate training and organisational support to do so confidently.</w:t>
      </w:r>
    </w:p>
    <w:p w14:paraId="66B41583" w14:textId="77777777" w:rsidR="00831A22" w:rsidRPr="00A44143" w:rsidRDefault="00831A22" w:rsidP="00831A22">
      <w:pPr>
        <w:rPr>
          <w:rFonts w:ascii="Arial Nova" w:hAnsi="Arial Nova"/>
        </w:rPr>
      </w:pPr>
      <w:r w:rsidRPr="00A44143">
        <w:rPr>
          <w:rFonts w:ascii="Arial Nova" w:hAnsi="Arial Nova"/>
        </w:rPr>
        <w:t xml:space="preserve">Examples from the literature illustrate both opportunities and challenges. A recent article on the nurse's pivotal role in antimicrobial stewardship identifies educational, systemic and cultural barriers to nurse engagement, while also proposing that competency-based education could meaningfully empower nurses within this domain, suggesting a clear practical pathway forward (British Journal of Nursing, 2025). By contrast, Gotterson, Buising and Manias (2021) present a more cautious picture, emphasising that despite widespread calls for nurse involvement, structural barriers such as limited role clarity and insufficient managerial support </w:t>
      </w:r>
      <w:r w:rsidRPr="00A44143">
        <w:rPr>
          <w:rFonts w:ascii="Arial Nova" w:hAnsi="Arial Nova"/>
        </w:rPr>
        <w:lastRenderedPageBreak/>
        <w:t>continue to constrain nurses' actual contribution in many clinical settings. These sources broadly agree that nurses hold significant, currently under-realised potential in supporting stewardship and, by extension, emerging treatments like phage therapy, though they differ in how optimistically they view the pace of likely change, with the more recent source appearing somewhat more hopeful given ongoing policy attention to this issue. Padigos, Ritchie and Lim (2020) add a further dimension to this discussion, arguing that without deliberate curriculum reform, newly qualified nurses will continue entering practice without adequate grounding in stewardship principles, regardless of how much policy attention the issue receives at a national level.</w:t>
      </w:r>
    </w:p>
    <w:p w14:paraId="25AA2439" w14:textId="77777777" w:rsidR="00831A22" w:rsidRPr="00A44143" w:rsidRDefault="00831A22" w:rsidP="00831A22">
      <w:pPr>
        <w:rPr>
          <w:rFonts w:ascii="Arial Nova" w:hAnsi="Arial Nova"/>
        </w:rPr>
      </w:pPr>
      <w:r w:rsidRPr="00A44143">
        <w:rPr>
          <w:rFonts w:ascii="Arial Nova" w:hAnsi="Arial Nova"/>
        </w:rPr>
        <w:t>Beyond individual nursing practice, this theme also carries wider public health significance. The World Health Organization's Global Action Plan on Antimicrobial Resistance identifies improving awareness and understanding of AMR through effective education and training as one of its five strategic objectives, explicitly naming healthcare professionals, including nurses, as a key audience for such efforts (World Health Organization, 2015). Within the UK, this objective is reflected in NICE's antimicrobial stewardship guidance, which calls for a whole-system approach involving all healthcare staff, not solely prescribers, in promoting the responsible use of antimicrobials (NICE, 2023, cited in Chapter 2). Phage therapy, as a treatment explicitly linked to reducing reliance on broad-spectrum antibiotics, sits naturally within this wider public health agenda, yet remains largely absent from current nursing education materials and stewardship training programmes reviewed in the literature.</w:t>
      </w:r>
    </w:p>
    <w:p w14:paraId="0B3C6C30" w14:textId="2FFF38CF" w:rsidR="00831A22" w:rsidRPr="00A44143" w:rsidRDefault="00831A22" w:rsidP="00831A22">
      <w:pPr>
        <w:rPr>
          <w:rFonts w:ascii="Arial Nova" w:hAnsi="Arial Nova"/>
        </w:rPr>
      </w:pPr>
      <w:r w:rsidRPr="00A44143">
        <w:rPr>
          <w:rFonts w:ascii="Arial Nova" w:hAnsi="Arial Nova"/>
        </w:rPr>
        <w:t xml:space="preserve">This gap has clear implications for equity as well as education. If awareness of phage therapy remains concentrated among a small number of specialist clinicians, as suggested in the discussion of Theme 1, then nursing staff working outside these specialist centres may have little opportunity to develop relevant knowledge or confidence, regardless of national policy commitments. </w:t>
      </w:r>
      <w:r w:rsidR="00AE3898" w:rsidRPr="00A44143">
        <w:rPr>
          <w:rFonts w:ascii="Arial Nova" w:hAnsi="Arial Nova"/>
        </w:rPr>
        <w:t>These risks</w:t>
      </w:r>
      <w:r w:rsidRPr="00A44143">
        <w:rPr>
          <w:rFonts w:ascii="Arial Nova" w:hAnsi="Arial Nova"/>
        </w:rPr>
        <w:t xml:space="preserve"> reinforcing exactly the kind of regional inequality in access already identified as a concern under Theme 1, since patient education, monitoring and advocacy, all core nursing functions, may vary considerably depending on local staff familiarity with the treatment.</w:t>
      </w:r>
    </w:p>
    <w:p w14:paraId="280F19DF" w14:textId="77777777" w:rsidR="00831A22" w:rsidRPr="00A44143" w:rsidRDefault="00831A22" w:rsidP="00831A22">
      <w:pPr>
        <w:rPr>
          <w:rFonts w:ascii="Arial Nova" w:hAnsi="Arial Nova"/>
        </w:rPr>
      </w:pPr>
      <w:r w:rsidRPr="00A44143">
        <w:rPr>
          <w:rFonts w:ascii="Arial Nova" w:hAnsi="Arial Nova"/>
        </w:rPr>
        <w:t xml:space="preserve">The implications of this theme for practice are both positive and negative. Positively, nurses' close, continuous patient contact means they are well placed to identify patients who may benefit from alternative treatments, support informed discussions about unlicensed options such as phage therapy, and monitor treatment response and adverse effects closely. Negatively, without targeted education and clearer role definition, nurses may feel unprepared or hesitant </w:t>
      </w:r>
      <w:r w:rsidRPr="00A44143">
        <w:rPr>
          <w:rFonts w:ascii="Arial Nova" w:hAnsi="Arial Nova"/>
        </w:rPr>
        <w:lastRenderedPageBreak/>
        <w:t>to engage with an unfamiliar, unlicensed treatment, potentially limiting patient access even where a suitable phage therapy option exists.</w:t>
      </w:r>
    </w:p>
    <w:p w14:paraId="66604ED6" w14:textId="77777777" w:rsidR="00831A22" w:rsidRDefault="00831A22" w:rsidP="00831A22">
      <w:pPr>
        <w:rPr>
          <w:rFonts w:ascii="Arial Nova" w:hAnsi="Arial Nova"/>
        </w:rPr>
      </w:pPr>
      <w:r w:rsidRPr="00A44143">
        <w:rPr>
          <w:rFonts w:ascii="Arial Nova" w:hAnsi="Arial Nova"/>
        </w:rPr>
        <w:t>This theme connects clearly to the two themes discussed earlier in this chapter. It is shaped directly by the regulatory uncertainty explored under Theme 1, since an unclear regulatory pathway makes it harder to develop standardised nursing guidance, and by the evidence gaps explored under Theme 2, since limited clinical trial data restricts what can currently be taught with confidence. Together, all three themes suggest that meaningful progress in UK phage therapy adoption will require coordinated change across regulation, research and nursing education simultaneously, rather than progress in any single area alone.</w:t>
      </w:r>
    </w:p>
    <w:p w14:paraId="2F6E1517" w14:textId="088FC401" w:rsidR="0003127D" w:rsidRPr="00D56638" w:rsidRDefault="0003127D" w:rsidP="0003127D">
      <w:pPr>
        <w:rPr>
          <w:rFonts w:ascii="Arial Nova" w:hAnsi="Arial Nova"/>
          <w:b/>
          <w:bCs/>
        </w:rPr>
      </w:pPr>
      <w:r w:rsidRPr="00D56638">
        <w:rPr>
          <w:rFonts w:ascii="Arial Nova" w:hAnsi="Arial Nova"/>
          <w:b/>
          <w:bCs/>
        </w:rPr>
        <w:t>4.6 Chapter Conclusion</w:t>
      </w:r>
      <w:r w:rsidR="00D56638">
        <w:rPr>
          <w:rFonts w:ascii="Arial Nova" w:hAnsi="Arial Nova"/>
          <w:b/>
          <w:bCs/>
        </w:rPr>
        <w:t>.</w:t>
      </w:r>
    </w:p>
    <w:p w14:paraId="2D2BD30C" w14:textId="77777777" w:rsidR="0003127D" w:rsidRPr="00D56638" w:rsidRDefault="0003127D" w:rsidP="0003127D">
      <w:pPr>
        <w:rPr>
          <w:rFonts w:ascii="Arial Nova" w:hAnsi="Arial Nova"/>
        </w:rPr>
      </w:pPr>
      <w:r w:rsidRPr="00D56638">
        <w:rPr>
          <w:rFonts w:ascii="Arial Nova" w:hAnsi="Arial Nova"/>
        </w:rPr>
        <w:t>This chapter has presented and discussed the three key themes identified through thematic analysis of the literature reviewed for this dissertation. Theme 1 explored the regulatory and legal barriers currently limiting phage therapy's integration into UK healthcare, highlighting recent MHRA guidance as an important, though still incomplete, step forward. Theme 2 examined persistent gaps in scientific and clinical evidence, showing that while preclinical and case-based evidence is encouraging, the personalised nature of phage therapy complicates traditional trial design. Theme 3 considered the role of nursing practice and public health, arguing that meaningful progress depends on improved education, awareness and confidence among nursing staff, situated within wider antimicrobial stewardship and One Health frameworks.</w:t>
      </w:r>
    </w:p>
    <w:p w14:paraId="054C35F9" w14:textId="38D96F4E" w:rsidR="0003127D" w:rsidRDefault="0003127D" w:rsidP="0003127D">
      <w:pPr>
        <w:rPr>
          <w:rFonts w:ascii="Arial Nova" w:hAnsi="Arial Nova"/>
        </w:rPr>
      </w:pPr>
      <w:r w:rsidRPr="00D56638">
        <w:rPr>
          <w:rFonts w:ascii="Arial Nova" w:hAnsi="Arial Nova"/>
        </w:rPr>
        <w:t>Together, these themes suggest that no single barrier explains phage therapy's limited UK adoption; rather, regulatory caution, evidence gaps and professional awareness interact with, and actively reinforce, one another across the health and social care system. Addressing any single theme in isolation is therefore unlikely to be sufficient. The following chapter will evaluate these findings in relation to current literature and practice more broadly, before drawing together specific, actionable recommendations for future health and social care practice, policy, education and research regarding phage therapy in the UK</w:t>
      </w:r>
      <w:r w:rsidR="00D56638">
        <w:rPr>
          <w:rFonts w:ascii="Arial Nova" w:hAnsi="Arial Nova"/>
        </w:rPr>
        <w:t>.</w:t>
      </w:r>
    </w:p>
    <w:p w14:paraId="514DAC0F" w14:textId="77777777" w:rsidR="00B24D99" w:rsidRDefault="00B24D99" w:rsidP="00636D9A">
      <w:pPr>
        <w:pStyle w:val="Heading1"/>
        <w:ind w:left="0"/>
        <w:rPr>
          <w:rFonts w:ascii="Aptos" w:hAnsi="Aptos"/>
        </w:rPr>
      </w:pPr>
    </w:p>
    <w:p w14:paraId="2549B916" w14:textId="77777777" w:rsidR="007C413B" w:rsidRDefault="007C413B" w:rsidP="00DF16FA">
      <w:pPr>
        <w:pStyle w:val="Heading1"/>
        <w:ind w:left="0"/>
        <w:rPr>
          <w:rFonts w:ascii="Aptos" w:hAnsi="Aptos"/>
        </w:rPr>
      </w:pPr>
    </w:p>
    <w:p w14:paraId="0C1A2771" w14:textId="77777777" w:rsidR="007C413B" w:rsidRDefault="007C413B" w:rsidP="00DF16FA">
      <w:pPr>
        <w:pStyle w:val="Heading1"/>
        <w:ind w:left="0"/>
        <w:rPr>
          <w:rFonts w:ascii="Aptos" w:hAnsi="Aptos"/>
        </w:rPr>
      </w:pPr>
    </w:p>
    <w:p w14:paraId="4241D15B" w14:textId="77777777" w:rsidR="007C413B" w:rsidRDefault="007C413B" w:rsidP="00DF16FA">
      <w:pPr>
        <w:pStyle w:val="Heading1"/>
        <w:ind w:left="0"/>
        <w:rPr>
          <w:rFonts w:ascii="Aptos" w:hAnsi="Aptos"/>
        </w:rPr>
      </w:pPr>
    </w:p>
    <w:p w14:paraId="6C3684FC" w14:textId="77777777" w:rsidR="007C413B" w:rsidRDefault="007C413B" w:rsidP="00DF16FA">
      <w:pPr>
        <w:pStyle w:val="Heading1"/>
        <w:ind w:left="0"/>
        <w:rPr>
          <w:rFonts w:ascii="Aptos" w:hAnsi="Aptos"/>
        </w:rPr>
      </w:pPr>
    </w:p>
    <w:p w14:paraId="37389939" w14:textId="77777777" w:rsidR="007C413B" w:rsidRDefault="007C413B" w:rsidP="00DF16FA">
      <w:pPr>
        <w:pStyle w:val="Heading1"/>
        <w:ind w:left="0"/>
        <w:rPr>
          <w:rFonts w:ascii="Aptos" w:hAnsi="Aptos"/>
        </w:rPr>
      </w:pPr>
    </w:p>
    <w:p w14:paraId="1C6879D3" w14:textId="6E484358" w:rsidR="000400E4" w:rsidRDefault="00636D9A" w:rsidP="00DF16FA">
      <w:pPr>
        <w:pStyle w:val="Heading1"/>
        <w:ind w:left="0"/>
        <w:rPr>
          <w:rFonts w:ascii="Aptos" w:hAnsi="Aptos"/>
        </w:rPr>
      </w:pPr>
      <w:r w:rsidRPr="00DF08BC">
        <w:rPr>
          <w:rFonts w:ascii="Aptos" w:hAnsi="Aptos"/>
        </w:rPr>
        <w:lastRenderedPageBreak/>
        <w:t>CHAPTER 5 – Conclusion and Recommendations</w:t>
      </w:r>
      <w:r w:rsidR="00DF16FA">
        <w:rPr>
          <w:rFonts w:ascii="Aptos" w:hAnsi="Aptos"/>
        </w:rPr>
        <w:t>.</w:t>
      </w:r>
    </w:p>
    <w:p w14:paraId="03785482" w14:textId="77777777" w:rsidR="00DF16FA" w:rsidRDefault="00DF16FA" w:rsidP="00DF16FA">
      <w:pPr>
        <w:pStyle w:val="Heading1"/>
        <w:ind w:left="0"/>
        <w:rPr>
          <w:rFonts w:ascii="Aptos" w:hAnsi="Aptos"/>
        </w:rPr>
      </w:pPr>
    </w:p>
    <w:p w14:paraId="552EC033" w14:textId="564C4819" w:rsidR="00530F99" w:rsidRDefault="00530F99" w:rsidP="003911AE">
      <w:pPr>
        <w:pStyle w:val="Heading1"/>
        <w:spacing w:line="360" w:lineRule="auto"/>
        <w:ind w:left="0"/>
        <w:jc w:val="both"/>
        <w:rPr>
          <w:rFonts w:ascii="Arial Nova" w:hAnsi="Arial Nova"/>
          <w:sz w:val="22"/>
          <w:szCs w:val="22"/>
        </w:rPr>
      </w:pPr>
      <w:r w:rsidRPr="00EA62B7">
        <w:rPr>
          <w:rFonts w:ascii="Arial Nova" w:hAnsi="Arial Nova"/>
          <w:sz w:val="22"/>
          <w:szCs w:val="22"/>
        </w:rPr>
        <w:t>5.1 Overall Conclusion</w:t>
      </w:r>
      <w:r w:rsidR="00EA62B7">
        <w:rPr>
          <w:rFonts w:ascii="Arial Nova" w:hAnsi="Arial Nova"/>
          <w:sz w:val="22"/>
          <w:szCs w:val="22"/>
        </w:rPr>
        <w:t>.</w:t>
      </w:r>
    </w:p>
    <w:p w14:paraId="0508C9F5" w14:textId="77777777" w:rsidR="00392F43" w:rsidRDefault="00392F43" w:rsidP="00530F99">
      <w:pPr>
        <w:pStyle w:val="Heading1"/>
        <w:spacing w:line="360" w:lineRule="auto"/>
        <w:jc w:val="both"/>
        <w:rPr>
          <w:rFonts w:ascii="Arial Nova" w:hAnsi="Arial Nova"/>
          <w:sz w:val="22"/>
          <w:szCs w:val="22"/>
        </w:rPr>
      </w:pPr>
    </w:p>
    <w:p w14:paraId="7D905969" w14:textId="77777777" w:rsidR="00530F99" w:rsidRDefault="00530F99" w:rsidP="003911AE">
      <w:pPr>
        <w:pStyle w:val="Heading1"/>
        <w:spacing w:line="360" w:lineRule="auto"/>
        <w:ind w:left="0"/>
        <w:jc w:val="both"/>
        <w:rPr>
          <w:rFonts w:ascii="Arial Nova" w:hAnsi="Arial Nova"/>
          <w:b w:val="0"/>
          <w:bCs/>
          <w:sz w:val="22"/>
          <w:szCs w:val="22"/>
        </w:rPr>
      </w:pPr>
      <w:r w:rsidRPr="00530F99">
        <w:rPr>
          <w:rFonts w:ascii="Arial Nova" w:hAnsi="Arial Nova"/>
          <w:b w:val="0"/>
          <w:bCs/>
          <w:sz w:val="22"/>
          <w:szCs w:val="22"/>
        </w:rPr>
        <w:t>This dissertation set out to critically examine phage therapy as a traditional treatment modality and its contemporary application within the UK health and social care context. Chapter 2 traced phage therapy's origins with Twort and d'Hérelle, its long-standing use in Georgia and Eastern Europe, and its decline in the West following the introduction of antibiotics, before considering international regulatory approaches and the UK's current, cautious position. Chapter 3 outlined a systematic, thematically coded approach to reviewing the literature, ensuring findings were grounded in credible, current evidence. Chapter 4 identified three interconnected themes: regulatory and legal barriers, scientific and clinical evidence gaps, and the role of nursing practice and public health in supporting antimicrobial stewardship.</w:t>
      </w:r>
    </w:p>
    <w:p w14:paraId="3C4F22A5" w14:textId="77777777" w:rsidR="00EA62B7" w:rsidRPr="00530F99" w:rsidRDefault="00EA62B7" w:rsidP="00530F99">
      <w:pPr>
        <w:pStyle w:val="Heading1"/>
        <w:spacing w:line="360" w:lineRule="auto"/>
        <w:jc w:val="both"/>
        <w:rPr>
          <w:rFonts w:ascii="Arial Nova" w:hAnsi="Arial Nova"/>
          <w:b w:val="0"/>
          <w:bCs/>
          <w:sz w:val="22"/>
          <w:szCs w:val="22"/>
        </w:rPr>
      </w:pPr>
    </w:p>
    <w:p w14:paraId="7A15FEF2" w14:textId="7020417A" w:rsidR="00DF16FA" w:rsidRDefault="00530F99" w:rsidP="00530F99">
      <w:pPr>
        <w:pStyle w:val="Heading1"/>
        <w:spacing w:line="360" w:lineRule="auto"/>
        <w:ind w:left="0"/>
        <w:jc w:val="both"/>
        <w:rPr>
          <w:rFonts w:ascii="Arial Nova" w:hAnsi="Arial Nova"/>
          <w:b w:val="0"/>
          <w:bCs/>
          <w:sz w:val="22"/>
          <w:szCs w:val="22"/>
        </w:rPr>
      </w:pPr>
      <w:r w:rsidRPr="00530F99">
        <w:rPr>
          <w:rFonts w:ascii="Arial Nova" w:hAnsi="Arial Nova"/>
          <w:b w:val="0"/>
          <w:bCs/>
          <w:sz w:val="22"/>
          <w:szCs w:val="22"/>
        </w:rPr>
        <w:t>Each research objective has been substantially addressed. The scientific basis and current UK use of phage therapy were examined in Chapters 2 and 4; its relevance to nursing practice and public health was explored in Theme 3; ethical, regulatory and practical challenges were analysed throughout Themes 1 and 2; and recommendations are provided below. While the research aim has been fully met through critical analysis of the existing literature, some objectives, particularly those concerning nursing practice, remain only partially resolved in current evidence, reflecting genuine gaps identified within the literature itself</w:t>
      </w:r>
      <w:r w:rsidR="00C06176">
        <w:rPr>
          <w:rFonts w:ascii="Arial Nova" w:hAnsi="Arial Nova"/>
          <w:b w:val="0"/>
          <w:bCs/>
          <w:sz w:val="22"/>
          <w:szCs w:val="22"/>
        </w:rPr>
        <w:t xml:space="preserve">. </w:t>
      </w:r>
    </w:p>
    <w:p w14:paraId="15E583B5" w14:textId="77777777" w:rsidR="002F5CED" w:rsidRDefault="002F5CED" w:rsidP="00530F99">
      <w:pPr>
        <w:pStyle w:val="Heading1"/>
        <w:spacing w:line="360" w:lineRule="auto"/>
        <w:ind w:left="0"/>
        <w:jc w:val="both"/>
        <w:rPr>
          <w:rFonts w:ascii="Arial Nova" w:hAnsi="Arial Nova"/>
          <w:b w:val="0"/>
          <w:bCs/>
          <w:sz w:val="22"/>
          <w:szCs w:val="22"/>
        </w:rPr>
      </w:pPr>
    </w:p>
    <w:p w14:paraId="34C395D8" w14:textId="4ED933E1" w:rsidR="00B6082C" w:rsidRDefault="00B6082C" w:rsidP="002F5CED">
      <w:pPr>
        <w:pStyle w:val="Heading1"/>
        <w:spacing w:line="360" w:lineRule="auto"/>
        <w:ind w:left="0"/>
        <w:jc w:val="both"/>
        <w:rPr>
          <w:rFonts w:ascii="Arial Nova" w:hAnsi="Arial Nova"/>
          <w:sz w:val="22"/>
          <w:szCs w:val="22"/>
        </w:rPr>
      </w:pPr>
      <w:r w:rsidRPr="00392F43">
        <w:rPr>
          <w:rFonts w:ascii="Arial Nova" w:hAnsi="Arial Nova"/>
          <w:sz w:val="22"/>
          <w:szCs w:val="22"/>
        </w:rPr>
        <w:t>5.2 Recommendations</w:t>
      </w:r>
      <w:r w:rsidR="004C5CB8">
        <w:rPr>
          <w:rFonts w:ascii="Arial Nova" w:hAnsi="Arial Nova"/>
          <w:sz w:val="22"/>
          <w:szCs w:val="22"/>
        </w:rPr>
        <w:t>.</w:t>
      </w:r>
    </w:p>
    <w:p w14:paraId="601FA940" w14:textId="77777777" w:rsidR="00F543E7" w:rsidRDefault="00F543E7" w:rsidP="002F5CED">
      <w:pPr>
        <w:pStyle w:val="Heading1"/>
        <w:spacing w:line="360" w:lineRule="auto"/>
        <w:ind w:left="0"/>
        <w:jc w:val="both"/>
        <w:rPr>
          <w:rFonts w:ascii="Arial Nova" w:hAnsi="Arial Nova"/>
          <w:sz w:val="22"/>
          <w:szCs w:val="22"/>
        </w:rPr>
      </w:pPr>
    </w:p>
    <w:p w14:paraId="4E585290" w14:textId="3D9D8C64" w:rsidR="00B6082C" w:rsidRPr="00A80883" w:rsidRDefault="00B6082C" w:rsidP="002F5CED">
      <w:pPr>
        <w:pStyle w:val="Heading1"/>
        <w:spacing w:line="360" w:lineRule="auto"/>
        <w:ind w:left="0"/>
        <w:jc w:val="both"/>
        <w:rPr>
          <w:rFonts w:ascii="Arial Nova" w:hAnsi="Arial Nova"/>
          <w:b w:val="0"/>
          <w:bCs/>
          <w:sz w:val="22"/>
          <w:szCs w:val="22"/>
          <w:u w:val="single"/>
        </w:rPr>
      </w:pPr>
      <w:r w:rsidRPr="00A80883">
        <w:rPr>
          <w:rFonts w:ascii="Arial Nova" w:hAnsi="Arial Nova"/>
          <w:b w:val="0"/>
          <w:bCs/>
          <w:sz w:val="22"/>
          <w:szCs w:val="22"/>
          <w:u w:val="single"/>
        </w:rPr>
        <w:t>5.2.1 Recommendation 1: Streamline UK regulatory pathways for phage therapy</w:t>
      </w:r>
      <w:r w:rsidR="00A80883" w:rsidRPr="00A80883">
        <w:rPr>
          <w:rFonts w:ascii="Arial Nova" w:hAnsi="Arial Nova"/>
          <w:b w:val="0"/>
          <w:bCs/>
          <w:sz w:val="22"/>
          <w:szCs w:val="22"/>
          <w:u w:val="single"/>
        </w:rPr>
        <w:t>.</w:t>
      </w:r>
    </w:p>
    <w:p w14:paraId="28FFF3E5" w14:textId="77777777" w:rsidR="00F543E7" w:rsidRDefault="00F543E7" w:rsidP="00F543E7">
      <w:pPr>
        <w:pStyle w:val="Heading1"/>
        <w:spacing w:line="360" w:lineRule="auto"/>
        <w:ind w:left="0"/>
        <w:jc w:val="both"/>
        <w:rPr>
          <w:rFonts w:ascii="Arial Nova" w:hAnsi="Arial Nova"/>
          <w:b w:val="0"/>
          <w:bCs/>
          <w:sz w:val="22"/>
          <w:szCs w:val="22"/>
          <w:u w:val="single"/>
        </w:rPr>
      </w:pPr>
    </w:p>
    <w:p w14:paraId="4F7FC654" w14:textId="6FC532C0" w:rsidR="00F1528F" w:rsidRPr="00B6082C" w:rsidRDefault="00B6082C" w:rsidP="00573274">
      <w:pPr>
        <w:pStyle w:val="Heading1"/>
        <w:spacing w:line="360" w:lineRule="auto"/>
        <w:ind w:left="0"/>
        <w:jc w:val="both"/>
        <w:rPr>
          <w:rFonts w:ascii="Arial Nova" w:hAnsi="Arial Nova"/>
          <w:b w:val="0"/>
          <w:bCs/>
          <w:sz w:val="22"/>
          <w:szCs w:val="22"/>
        </w:rPr>
      </w:pPr>
      <w:r w:rsidRPr="00B6082C">
        <w:rPr>
          <w:rFonts w:ascii="Arial Nova" w:hAnsi="Arial Nova"/>
          <w:b w:val="0"/>
          <w:bCs/>
          <w:sz w:val="22"/>
          <w:szCs w:val="22"/>
        </w:rPr>
        <w:t>The UK should build on the MHRA's June 2025 guidance by extending accelerated access routes, such as the Innovative Licensing and Access Pathway, to phage-based products, given that this pathway already brings together the MHRA, NICE and the NHS to speed up patient access to transformative treatments (GOV.UK, 2025). This would provide phage developers with a single, coordinated route to market, rather than relying solely on individual, case-by-case "specials" applications, directly addressing the fragmented access described under Theme 1. Achieving this is realistic, since ILAP already exists and simply requires phage therapy to be formally recognised as eligible for this pathway.</w:t>
      </w:r>
      <w:r w:rsidR="009C493C">
        <w:rPr>
          <w:rFonts w:ascii="Arial Nova" w:hAnsi="Arial Nova"/>
          <w:b w:val="0"/>
          <w:bCs/>
          <w:sz w:val="22"/>
          <w:szCs w:val="22"/>
        </w:rPr>
        <w:t xml:space="preserve"> </w:t>
      </w:r>
      <w:r w:rsidR="00F1528F">
        <w:rPr>
          <w:rFonts w:ascii="Arial Nova" w:hAnsi="Arial Nova"/>
          <w:b w:val="0"/>
          <w:bCs/>
          <w:sz w:val="22"/>
          <w:szCs w:val="22"/>
        </w:rPr>
        <w:t xml:space="preserve">This recommendation also responds to the wider call, made almost a decade earlier by the Review on Antimicrobial </w:t>
      </w:r>
      <w:r w:rsidR="00F1528F">
        <w:rPr>
          <w:rFonts w:ascii="Arial Nova" w:hAnsi="Arial Nova"/>
          <w:b w:val="0"/>
          <w:bCs/>
          <w:sz w:val="22"/>
          <w:szCs w:val="22"/>
        </w:rPr>
        <w:lastRenderedPageBreak/>
        <w:t>Resistance, for governments to remove regulatory barriers slowing the development of viable antibiotic alternatives (Review on Antimicrobial Resistance, 2016)</w:t>
      </w:r>
      <w:r w:rsidR="00573274">
        <w:rPr>
          <w:rFonts w:ascii="Arial Nova" w:hAnsi="Arial Nova"/>
          <w:b w:val="0"/>
          <w:bCs/>
          <w:sz w:val="22"/>
          <w:szCs w:val="22"/>
        </w:rPr>
        <w:t>.</w:t>
      </w:r>
    </w:p>
    <w:p w14:paraId="2D644903" w14:textId="73E86672" w:rsidR="00B6082C" w:rsidRPr="00B6082C" w:rsidRDefault="00B6082C" w:rsidP="00F543E7">
      <w:pPr>
        <w:pStyle w:val="Heading1"/>
        <w:spacing w:line="360" w:lineRule="auto"/>
        <w:ind w:left="0"/>
        <w:jc w:val="both"/>
        <w:rPr>
          <w:rFonts w:ascii="Arial Nova" w:hAnsi="Arial Nova"/>
          <w:b w:val="0"/>
          <w:bCs/>
          <w:sz w:val="22"/>
          <w:szCs w:val="22"/>
        </w:rPr>
      </w:pPr>
    </w:p>
    <w:p w14:paraId="6F7E99E1" w14:textId="6C88710A" w:rsidR="00C06176" w:rsidRDefault="00B6082C" w:rsidP="00B6082C">
      <w:pPr>
        <w:pStyle w:val="Heading1"/>
        <w:spacing w:line="360" w:lineRule="auto"/>
        <w:ind w:left="0"/>
        <w:jc w:val="both"/>
        <w:rPr>
          <w:rFonts w:ascii="Arial Nova" w:hAnsi="Arial Nova"/>
          <w:b w:val="0"/>
          <w:bCs/>
          <w:sz w:val="22"/>
          <w:szCs w:val="22"/>
        </w:rPr>
      </w:pPr>
      <w:r w:rsidRPr="00B6082C">
        <w:rPr>
          <w:rFonts w:ascii="Arial Nova" w:hAnsi="Arial Nova"/>
          <w:b w:val="0"/>
          <w:bCs/>
          <w:sz w:val="22"/>
          <w:szCs w:val="22"/>
        </w:rPr>
        <w:t>The main barrier to this recommendation is that phage therapy's personalised nature does not fit neatly within a system designed largely for standardised pharmaceutical products. This could be overcome by developing a modified eligibility criterion within ILAP specifically for personalised or cocktail-based biological therapies, informed by ongoing international regulatory dialogue (ScienceDirect, 2025). Close collaboration between the MHRA, phage developers and patient representatives would help ensure any new criteria remain both safe and practically achievable. If implemented successfully, this recommendation could reduce the current reliance on lengthy, case-by-case notification processes, improving equity of access for patients regardless of geographic location or existing clinician connections.</w:t>
      </w:r>
    </w:p>
    <w:p w14:paraId="554C515F" w14:textId="77777777" w:rsidR="0028636A" w:rsidRPr="00DF16FA" w:rsidRDefault="0028636A" w:rsidP="00B6082C">
      <w:pPr>
        <w:pStyle w:val="Heading1"/>
        <w:spacing w:line="360" w:lineRule="auto"/>
        <w:ind w:left="0"/>
        <w:jc w:val="both"/>
        <w:rPr>
          <w:rFonts w:ascii="Arial Nova" w:hAnsi="Arial Nova"/>
          <w:b w:val="0"/>
          <w:bCs/>
          <w:sz w:val="22"/>
          <w:szCs w:val="22"/>
        </w:rPr>
      </w:pPr>
    </w:p>
    <w:p w14:paraId="36B8F092" w14:textId="3C2B3E9E" w:rsidR="0028636A" w:rsidRPr="00D6005A" w:rsidRDefault="0028636A" w:rsidP="00343E9B">
      <w:pPr>
        <w:jc w:val="left"/>
        <w:rPr>
          <w:rFonts w:ascii="Arial Nova" w:hAnsi="Arial Nova"/>
          <w:u w:val="single"/>
        </w:rPr>
      </w:pPr>
      <w:r w:rsidRPr="00D6005A">
        <w:rPr>
          <w:rFonts w:ascii="Arial Nova" w:hAnsi="Arial Nova"/>
          <w:u w:val="single"/>
        </w:rPr>
        <w:t>5.2.2 Recommendation 2: Invest in UK-based clinical research suited to personalised treatments</w:t>
      </w:r>
      <w:r w:rsidR="007632BD" w:rsidRPr="00D6005A">
        <w:rPr>
          <w:rFonts w:ascii="Arial Nova" w:hAnsi="Arial Nova"/>
          <w:u w:val="single"/>
        </w:rPr>
        <w:t>.</w:t>
      </w:r>
    </w:p>
    <w:p w14:paraId="6FF1CEED" w14:textId="38771C26" w:rsidR="0028636A" w:rsidRPr="00D6005A" w:rsidRDefault="0028636A" w:rsidP="00C0159F">
      <w:pPr>
        <w:rPr>
          <w:rFonts w:ascii="Arial Nova" w:hAnsi="Arial Nova"/>
        </w:rPr>
      </w:pPr>
      <w:r w:rsidRPr="00D6005A">
        <w:rPr>
          <w:rFonts w:ascii="Arial Nova" w:hAnsi="Arial Nova"/>
        </w:rPr>
        <w:t xml:space="preserve">Given the evidence gaps identified in Theme 2, and the relatively small number of registered global clinical trials identified in the literature, funders such as the National Institute for Health and Care Research and the </w:t>
      </w:r>
      <w:r w:rsidR="004B28BD" w:rsidRPr="00D6005A">
        <w:rPr>
          <w:rFonts w:ascii="Arial Nova" w:hAnsi="Arial Nova"/>
        </w:rPr>
        <w:t>Welcome</w:t>
      </w:r>
      <w:r w:rsidRPr="00D6005A">
        <w:rPr>
          <w:rFonts w:ascii="Arial Nova" w:hAnsi="Arial Nova"/>
        </w:rPr>
        <w:t xml:space="preserve"> Trust should prioritise UK-based research specifically designed to generate robust evidence for personalised, phage-based treatments, rather than relying solely on conventional randomised controlled trial models (Uyttebroek et al., 2022). This might include adaptive or platform trial designs capable of accommodating individually matched phage cocktails, building on approaches already discussed internationally (Pirnay and Kutter, 2021).</w:t>
      </w:r>
    </w:p>
    <w:p w14:paraId="56B3781E" w14:textId="77777777" w:rsidR="00CD7CCD" w:rsidRDefault="0028636A" w:rsidP="00C0159F">
      <w:pPr>
        <w:rPr>
          <w:rFonts w:ascii="Arial Nova" w:hAnsi="Arial Nova"/>
        </w:rPr>
      </w:pPr>
      <w:r w:rsidRPr="00D6005A">
        <w:rPr>
          <w:rFonts w:ascii="Arial Nova" w:hAnsi="Arial Nova"/>
        </w:rPr>
        <w:t xml:space="preserve">A significant barrier is the cost and complexity of designing trials for treatments that vary by patient, alongside limited existing UK infrastructure for phage production and testing. This could be addressed through targeted government or charitable funding calls specifically for phage therapy trial design, alongside investment in Good Manufacturing Practice-compliant production facilities, addressing the supply barrier identified in Theme 1 (Loh et al., 2021). Establishing a small number of specialist UK phage research centres, </w:t>
      </w:r>
      <w:r w:rsidR="00186D14" w:rsidRPr="00D6005A">
        <w:rPr>
          <w:rFonts w:ascii="Arial Nova" w:hAnsi="Arial Nova"/>
        </w:rPr>
        <w:t>like</w:t>
      </w:r>
      <w:r w:rsidRPr="00D6005A">
        <w:rPr>
          <w:rFonts w:ascii="Arial Nova" w:hAnsi="Arial Nova"/>
        </w:rPr>
        <w:t xml:space="preserve"> existing international models, would concentrate expertise and resources efficiently, while also providing a stronger evidence base to support the regulatory reforms proposed in Recommendation 1.</w:t>
      </w:r>
      <w:r w:rsidR="00F567A3">
        <w:rPr>
          <w:rFonts w:ascii="Arial Nova" w:hAnsi="Arial Nova"/>
        </w:rPr>
        <w:t xml:space="preserve"> </w:t>
      </w:r>
      <w:r w:rsidR="00F567A3" w:rsidRPr="00413D8A">
        <w:rPr>
          <w:rFonts w:ascii="Arial Nova" w:hAnsi="Arial Nova"/>
        </w:rPr>
        <w:t>Early collaborations of this kind, bringing together clinical, academic and manufacturing partners, have already been proposed as a route to sustainable, scalable phage provision in the UK (Jones et al., 2023)</w:t>
      </w:r>
      <w:r w:rsidR="00CD7CCD">
        <w:rPr>
          <w:rFonts w:ascii="Arial Nova" w:hAnsi="Arial Nova"/>
        </w:rPr>
        <w:t>.</w:t>
      </w:r>
    </w:p>
    <w:p w14:paraId="3C30F58C" w14:textId="345FB51A" w:rsidR="00EA24DF" w:rsidRPr="00D6005A" w:rsidRDefault="00EA24DF" w:rsidP="00C0159F">
      <w:pPr>
        <w:rPr>
          <w:rFonts w:ascii="Arial Nova" w:hAnsi="Arial Nova"/>
        </w:rPr>
      </w:pPr>
      <w:r w:rsidRPr="00D6005A">
        <w:rPr>
          <w:rFonts w:ascii="Arial Nova" w:hAnsi="Arial Nova"/>
          <w:u w:val="single"/>
        </w:rPr>
        <w:lastRenderedPageBreak/>
        <w:t>5.2.3 Recommendation 3: Embed antimicrobial resistance and phage therapy awareness into nursing education and stewardship training</w:t>
      </w:r>
      <w:r w:rsidR="00A80883" w:rsidRPr="00D6005A">
        <w:rPr>
          <w:rFonts w:ascii="Arial Nova" w:hAnsi="Arial Nova"/>
        </w:rPr>
        <w:t>.</w:t>
      </w:r>
    </w:p>
    <w:p w14:paraId="308816FF" w14:textId="77777777" w:rsidR="00226BB4" w:rsidRPr="00AE28A3" w:rsidRDefault="00EA24DF" w:rsidP="00226BB4">
      <w:pPr>
        <w:rPr>
          <w:rFonts w:ascii="Arial Nova" w:hAnsi="Arial Nova"/>
        </w:rPr>
      </w:pPr>
      <w:r w:rsidRPr="00D6005A">
        <w:rPr>
          <w:rFonts w:ascii="Arial Nova" w:hAnsi="Arial Nova"/>
        </w:rPr>
        <w:t>Reflecting the workforce and educational ambitions of the NHS Long Term Workforce Plan, nursing curricula and continuing professional development programmes should explicitly include antimicrobial stewardship and emerging treatments such as phage therapy, addressing the awareness gap identified in Theme 3 (NHS England, 2023). This aligns with existing NICE guidance encouraging behaviour change and professional engagement around antimicrobial use (NICE, 2017). Embedding this content within existing stewardship training, rather than creating an entirely new curriculum strand, would make this recommendation more readily achievable within current educational structures.</w:t>
      </w:r>
      <w:r w:rsidR="00226BB4">
        <w:rPr>
          <w:rFonts w:ascii="Arial Nova" w:hAnsi="Arial Nova"/>
        </w:rPr>
        <w:t xml:space="preserve"> </w:t>
      </w:r>
      <w:r w:rsidR="00226BB4" w:rsidRPr="00AE28A3">
        <w:rPr>
          <w:rFonts w:ascii="Arial Nova" w:hAnsi="Arial Nova"/>
        </w:rPr>
        <w:t>A recent systematic review of undergraduate antimicrobial stewardship education across medicine, nursing and allied health professions found that provision remains inconsistent internationally and that behavioural coverage of stewardship competencies is often incomplete, supporting the case for embedding phage therapy and AMR awareness explicitly within pre-registration nursing curricula (Weeks et al., 2026).</w:t>
      </w:r>
    </w:p>
    <w:p w14:paraId="2C695AA7" w14:textId="41A0277A" w:rsidR="00EA24DF" w:rsidRPr="00D6005A" w:rsidRDefault="00EA24DF" w:rsidP="00C0159F">
      <w:pPr>
        <w:rPr>
          <w:rFonts w:ascii="Arial Nova" w:hAnsi="Arial Nova"/>
        </w:rPr>
      </w:pPr>
      <w:r w:rsidRPr="00D6005A">
        <w:rPr>
          <w:rFonts w:ascii="Arial Nova" w:hAnsi="Arial Nova"/>
        </w:rPr>
        <w:t>The primary barrier is competing curriculum demands and limited protected time for continuing professional development within stressed NHS staffing levels (NHS England, 2023). This could be addressed by integrating phage therapy awareness into existing mandatory stewardship modules rather than adding standalone training, and by developing accessible, evidence-based digital learning resources that specialist centres, such as those treating cystic fibrosis or diabetic foot infections, could share more widely across NHS trusts (</w:t>
      </w:r>
      <w:r w:rsidR="008219F5" w:rsidRPr="00141F73">
        <w:rPr>
          <w:rFonts w:ascii="Arial Nova" w:hAnsi="Arial Nova"/>
        </w:rPr>
        <w:t>Stacey et al., 2022</w:t>
      </w:r>
      <w:r w:rsidRPr="00D6005A">
        <w:rPr>
          <w:rFonts w:ascii="Arial Nova" w:hAnsi="Arial Nova"/>
        </w:rPr>
        <w:t>)</w:t>
      </w:r>
      <w:r w:rsidR="008219F5">
        <w:rPr>
          <w:rFonts w:ascii="Arial Nova" w:hAnsi="Arial Nova"/>
        </w:rPr>
        <w:t>.</w:t>
      </w:r>
      <w:r w:rsidRPr="00D6005A">
        <w:rPr>
          <w:rFonts w:ascii="Arial Nova" w:hAnsi="Arial Nova"/>
        </w:rPr>
        <w:t xml:space="preserve"> The Royal College of Nursing could play a valuable role in championing this integration nationally (Royal College of Nursing, 2023), and doing so would also help address the regional inequality in awareness identified in Theme 3, ensuring nurses outside specialist centres feel equally equipped to support patients.</w:t>
      </w:r>
    </w:p>
    <w:p w14:paraId="6D2AF58F" w14:textId="45E6AAD0" w:rsidR="00B7443D" w:rsidRPr="00D6005A" w:rsidRDefault="00EA24DF" w:rsidP="00C0159F">
      <w:pPr>
        <w:rPr>
          <w:rFonts w:ascii="Arial Nova" w:hAnsi="Arial Nova"/>
        </w:rPr>
      </w:pPr>
      <w:r w:rsidRPr="00D6005A">
        <w:rPr>
          <w:rFonts w:ascii="Arial Nova" w:hAnsi="Arial Nova"/>
        </w:rPr>
        <w:t>Taken together, these three recommendations address the regulatory, scientific and educational barriers identified throughout this dissertation. None is likely to succeed in isolation; rather, coordinated progress across regulation, research funding and nursing education, supported by continued government commitment through the UK's national antimicrobial resistance action plan (GOV.UK, 2024), offers the most realistic route towards safer, more equitable and more widely available phage therapy within UK health and social care</w:t>
      </w:r>
      <w:r w:rsidR="00F53D74" w:rsidRPr="00D6005A">
        <w:rPr>
          <w:rFonts w:ascii="Arial Nova" w:hAnsi="Arial Nova"/>
        </w:rPr>
        <w:t>.</w:t>
      </w:r>
    </w:p>
    <w:p w14:paraId="69356E65" w14:textId="77777777" w:rsidR="00195D20" w:rsidRDefault="00195D20" w:rsidP="00211184">
      <w:pPr>
        <w:pStyle w:val="Heading1"/>
        <w:ind w:left="0"/>
        <w:rPr>
          <w:rFonts w:ascii="Arial Nova" w:hAnsi="Arial Nova"/>
        </w:rPr>
      </w:pPr>
    </w:p>
    <w:p w14:paraId="3E7AB370" w14:textId="77777777" w:rsidR="00195D20" w:rsidRDefault="00195D20" w:rsidP="00211184">
      <w:pPr>
        <w:pStyle w:val="Heading1"/>
        <w:ind w:left="0"/>
        <w:rPr>
          <w:rFonts w:ascii="Arial Nova" w:hAnsi="Arial Nova"/>
        </w:rPr>
      </w:pPr>
    </w:p>
    <w:p w14:paraId="3D3F3B28" w14:textId="28FBFB11" w:rsidR="00211184" w:rsidRPr="00166A24" w:rsidRDefault="00211184" w:rsidP="005304D6">
      <w:pPr>
        <w:pStyle w:val="Heading1"/>
        <w:spacing w:line="360" w:lineRule="auto"/>
        <w:ind w:left="0"/>
        <w:jc w:val="both"/>
        <w:rPr>
          <w:rFonts w:ascii="Arial Nova" w:hAnsi="Arial Nova"/>
          <w:sz w:val="28"/>
          <w:szCs w:val="28"/>
        </w:rPr>
      </w:pPr>
      <w:r w:rsidRPr="00166A24">
        <w:rPr>
          <w:rFonts w:ascii="Arial Nova" w:hAnsi="Arial Nova"/>
          <w:sz w:val="28"/>
          <w:szCs w:val="28"/>
        </w:rPr>
        <w:lastRenderedPageBreak/>
        <w:t>CHAPTER 6 – References and Appendices</w:t>
      </w:r>
      <w:r w:rsidR="00166A24">
        <w:rPr>
          <w:rFonts w:ascii="Arial Nova" w:hAnsi="Arial Nova"/>
          <w:sz w:val="28"/>
          <w:szCs w:val="28"/>
        </w:rPr>
        <w:t>.</w:t>
      </w:r>
    </w:p>
    <w:p w14:paraId="2EE69DD1" w14:textId="77777777" w:rsidR="00211184" w:rsidRPr="00BE3A34" w:rsidRDefault="00211184" w:rsidP="005304D6">
      <w:pPr>
        <w:rPr>
          <w:rFonts w:ascii="Arial Nova" w:hAnsi="Arial Nova"/>
        </w:rPr>
      </w:pPr>
    </w:p>
    <w:p w14:paraId="020975DD" w14:textId="7CD5B64B" w:rsidR="00621776" w:rsidRDefault="00621776" w:rsidP="005304D6">
      <w:pPr>
        <w:pStyle w:val="Heading1"/>
        <w:spacing w:line="360" w:lineRule="auto"/>
        <w:ind w:left="0"/>
        <w:jc w:val="both"/>
        <w:rPr>
          <w:rFonts w:ascii="Arial Nova" w:hAnsi="Arial Nova"/>
          <w:sz w:val="22"/>
          <w:szCs w:val="22"/>
        </w:rPr>
      </w:pPr>
      <w:r w:rsidRPr="00BE3A34">
        <w:rPr>
          <w:rFonts w:ascii="Arial Nova" w:hAnsi="Arial Nova"/>
          <w:sz w:val="22"/>
          <w:szCs w:val="22"/>
        </w:rPr>
        <w:t>6.1 – References</w:t>
      </w:r>
      <w:r w:rsidR="000E37A0" w:rsidRPr="00BE3A34">
        <w:rPr>
          <w:rFonts w:ascii="Arial Nova" w:hAnsi="Arial Nova"/>
          <w:sz w:val="22"/>
          <w:szCs w:val="22"/>
        </w:rPr>
        <w:t>:</w:t>
      </w:r>
    </w:p>
    <w:p w14:paraId="1449176E" w14:textId="77777777" w:rsidR="0073102D" w:rsidRDefault="0073102D" w:rsidP="005304D6">
      <w:pPr>
        <w:pStyle w:val="Heading1"/>
        <w:spacing w:line="360" w:lineRule="auto"/>
        <w:ind w:left="0"/>
        <w:jc w:val="both"/>
        <w:rPr>
          <w:rFonts w:ascii="Arial Nova" w:hAnsi="Arial Nova"/>
          <w:sz w:val="22"/>
          <w:szCs w:val="22"/>
        </w:rPr>
      </w:pPr>
    </w:p>
    <w:p w14:paraId="12AD4609" w14:textId="77777777" w:rsidR="0073102D" w:rsidRPr="0073102D" w:rsidRDefault="0073102D" w:rsidP="0073102D">
      <w:pPr>
        <w:spacing w:after="0"/>
        <w:rPr>
          <w:rFonts w:ascii="Arial Nova" w:hAnsi="Arial Nova"/>
        </w:rPr>
      </w:pPr>
      <w:r w:rsidRPr="0073102D">
        <w:rPr>
          <w:rFonts w:ascii="Arial Nova" w:eastAsia="Arial Nova" w:hAnsi="Arial Nova" w:cs="Arial Nova"/>
        </w:rPr>
        <w:t xml:space="preserve">Amaechi, U.G. (2021) 'An investigation into the impact of the Biafran government public </w:t>
      </w:r>
    </w:p>
    <w:p w14:paraId="1C647B33" w14:textId="77777777" w:rsidR="0073102D" w:rsidRPr="0073102D" w:rsidRDefault="0073102D" w:rsidP="0073102D">
      <w:pPr>
        <w:spacing w:after="0"/>
        <w:rPr>
          <w:rFonts w:ascii="Arial Nova" w:hAnsi="Arial Nova"/>
        </w:rPr>
      </w:pPr>
      <w:r w:rsidRPr="0073102D">
        <w:rPr>
          <w:rFonts w:ascii="Arial Nova" w:eastAsia="Arial Nova" w:hAnsi="Arial Nova" w:cs="Arial Nova"/>
        </w:rPr>
        <w:t xml:space="preserve">health policy 1967–1970', </w:t>
      </w:r>
      <w:r w:rsidRPr="0073102D">
        <w:rPr>
          <w:rFonts w:ascii="Arial Nova" w:eastAsia="Arial Nova" w:hAnsi="Arial Nova" w:cs="Arial Nova"/>
          <w:i/>
          <w:iCs/>
        </w:rPr>
        <w:t>Open Journal of Social Sciences</w:t>
      </w:r>
      <w:r w:rsidRPr="0073102D">
        <w:rPr>
          <w:rFonts w:ascii="Arial Nova" w:eastAsia="Arial Nova" w:hAnsi="Arial Nova" w:cs="Arial Nova"/>
        </w:rPr>
        <w:t xml:space="preserve">, 9, pp. 316–329. Available at: </w:t>
      </w:r>
      <w:hyperlink r:id="rId9" w:history="1">
        <w:r w:rsidRPr="0073102D">
          <w:rPr>
            <w:rStyle w:val="Hyperlink"/>
            <w:rFonts w:ascii="Arial Nova" w:eastAsia="Arial Nova" w:hAnsi="Arial Nova" w:cs="Arial Nova"/>
            <w:color w:val="0563C1"/>
          </w:rPr>
          <w:t>https://content.scirp.org/pdf/jss_2021091414022640.pdf</w:t>
        </w:r>
      </w:hyperlink>
      <w:r w:rsidRPr="0073102D">
        <w:rPr>
          <w:rFonts w:ascii="Arial Nova" w:eastAsia="Arial Nova" w:hAnsi="Arial Nova" w:cs="Arial Nova"/>
        </w:rPr>
        <w:t xml:space="preserve"> (Accessed: 23 February 2026).</w:t>
      </w:r>
    </w:p>
    <w:p w14:paraId="55D70248" w14:textId="77777777" w:rsidR="0073102D" w:rsidRPr="00335C5E" w:rsidRDefault="0073102D" w:rsidP="0073102D">
      <w:pPr>
        <w:jc w:val="left"/>
      </w:pPr>
    </w:p>
    <w:p w14:paraId="347F6B2F" w14:textId="77777777" w:rsidR="0073102D" w:rsidRPr="00335C5E" w:rsidRDefault="0073102D" w:rsidP="005C1C88">
      <w:pPr>
        <w:spacing w:after="0"/>
        <w:ind w:left="720" w:hanging="720"/>
      </w:pPr>
      <w:r w:rsidRPr="00335C5E">
        <w:rPr>
          <w:rFonts w:ascii="Arial Nova" w:eastAsia="Arial Nova" w:hAnsi="Arial Nova" w:cs="Arial Nova"/>
        </w:rPr>
        <w:t xml:space="preserve">Aslam, S., Lampley, E., Wooten, D., Karris, M., Benson, C., Strathdee, S. and Schooley, R.T. </w:t>
      </w:r>
    </w:p>
    <w:p w14:paraId="173FBA8D" w14:textId="77777777" w:rsidR="0073102D" w:rsidRPr="00335C5E" w:rsidRDefault="0073102D" w:rsidP="005C1C88">
      <w:pPr>
        <w:spacing w:after="0"/>
        <w:ind w:left="720" w:hanging="720"/>
      </w:pPr>
      <w:r w:rsidRPr="00335C5E">
        <w:rPr>
          <w:rFonts w:ascii="Arial Nova" w:eastAsia="Arial Nova" w:hAnsi="Arial Nova" w:cs="Arial Nova"/>
        </w:rPr>
        <w:t>(2020) 'Lessons learned from the first 10 consecutive cases of intravenous bacteriophage t</w:t>
      </w:r>
    </w:p>
    <w:p w14:paraId="02E469D9" w14:textId="77777777" w:rsidR="0073102D" w:rsidRPr="00335C5E" w:rsidRDefault="0073102D" w:rsidP="005C1C88">
      <w:pPr>
        <w:spacing w:after="0"/>
        <w:ind w:left="720" w:hanging="720"/>
      </w:pPr>
      <w:r w:rsidRPr="00335C5E">
        <w:rPr>
          <w:rFonts w:ascii="Arial Nova" w:eastAsia="Arial Nova" w:hAnsi="Arial Nova" w:cs="Arial Nova"/>
        </w:rPr>
        <w:t xml:space="preserve">herapy to treat multidrug-resistant bacterial infections at a single centre in the United States', </w:t>
      </w:r>
    </w:p>
    <w:p w14:paraId="0FBD6D45" w14:textId="77777777" w:rsidR="0073102D" w:rsidRPr="00335C5E" w:rsidRDefault="0073102D" w:rsidP="005C1C88">
      <w:pPr>
        <w:spacing w:after="0"/>
        <w:ind w:left="720" w:hanging="720"/>
      </w:pPr>
      <w:r w:rsidRPr="00335C5E">
        <w:rPr>
          <w:rFonts w:ascii="Arial Nova" w:eastAsia="Arial Nova" w:hAnsi="Arial Nova" w:cs="Arial Nova"/>
          <w:i/>
          <w:iCs/>
        </w:rPr>
        <w:t>Open Forum Infectious Diseases</w:t>
      </w:r>
      <w:r w:rsidRPr="00335C5E">
        <w:rPr>
          <w:rFonts w:ascii="Arial Nova" w:eastAsia="Arial Nova" w:hAnsi="Arial Nova" w:cs="Arial Nova"/>
        </w:rPr>
        <w:t>, 7(9), ofaa389.</w:t>
      </w:r>
    </w:p>
    <w:p w14:paraId="7115B5D3" w14:textId="77777777" w:rsidR="0073102D" w:rsidRPr="00335C5E" w:rsidRDefault="0073102D" w:rsidP="0073102D">
      <w:pPr>
        <w:spacing w:after="200" w:line="276" w:lineRule="auto"/>
        <w:ind w:left="720" w:hanging="720"/>
      </w:pPr>
    </w:p>
    <w:p w14:paraId="68ED549D" w14:textId="77777777" w:rsidR="0073102D" w:rsidRPr="00335C5E" w:rsidRDefault="0073102D" w:rsidP="005C1C88">
      <w:pPr>
        <w:spacing w:after="0"/>
        <w:ind w:left="720" w:hanging="720"/>
      </w:pPr>
      <w:r w:rsidRPr="00335C5E">
        <w:rPr>
          <w:rFonts w:ascii="Arial Nova" w:eastAsia="Arial Nova" w:hAnsi="Arial Nova" w:cs="Arial Nova"/>
        </w:rPr>
        <w:t xml:space="preserve">Aveyard, H. (2019) </w:t>
      </w:r>
      <w:r w:rsidRPr="00335C5E">
        <w:rPr>
          <w:rFonts w:ascii="Arial Nova" w:eastAsia="Arial Nova" w:hAnsi="Arial Nova" w:cs="Arial Nova"/>
          <w:i/>
          <w:iCs/>
        </w:rPr>
        <w:t>Doing a Literature Review in Health and Social Care: A Practical Guide</w:t>
      </w:r>
      <w:r w:rsidRPr="00335C5E">
        <w:rPr>
          <w:rFonts w:ascii="Arial Nova" w:eastAsia="Arial Nova" w:hAnsi="Arial Nova" w:cs="Arial Nova"/>
        </w:rPr>
        <w:t xml:space="preserve">. </w:t>
      </w:r>
    </w:p>
    <w:p w14:paraId="73D3F9B4" w14:textId="77777777" w:rsidR="0073102D" w:rsidRPr="00335C5E" w:rsidRDefault="0073102D" w:rsidP="005C1C88">
      <w:pPr>
        <w:spacing w:after="0"/>
        <w:ind w:left="720" w:hanging="720"/>
      </w:pPr>
      <w:r w:rsidRPr="00335C5E">
        <w:rPr>
          <w:rFonts w:ascii="Arial Nova" w:eastAsia="Arial Nova" w:hAnsi="Arial Nova" w:cs="Arial Nova"/>
        </w:rPr>
        <w:t>4th edn. London: Open University Press.</w:t>
      </w:r>
    </w:p>
    <w:p w14:paraId="261F5319" w14:textId="77777777" w:rsidR="0073102D" w:rsidRPr="00335C5E" w:rsidRDefault="0073102D" w:rsidP="0073102D">
      <w:pPr>
        <w:spacing w:after="200" w:line="276" w:lineRule="auto"/>
        <w:ind w:left="720" w:hanging="720"/>
      </w:pPr>
    </w:p>
    <w:p w14:paraId="1AC39E5B" w14:textId="77777777" w:rsidR="0073102D" w:rsidRPr="00335C5E" w:rsidRDefault="0073102D" w:rsidP="005C1C88">
      <w:pPr>
        <w:spacing w:after="0"/>
        <w:ind w:left="720" w:hanging="720"/>
      </w:pPr>
      <w:r w:rsidRPr="00335C5E">
        <w:rPr>
          <w:rFonts w:ascii="Arial Nova" w:eastAsia="Arial Nova" w:hAnsi="Arial Nova" w:cs="Arial Nova"/>
        </w:rPr>
        <w:t xml:space="preserve">Aveyard, H. (2023) </w:t>
      </w:r>
      <w:r w:rsidRPr="00335C5E">
        <w:rPr>
          <w:rFonts w:ascii="Arial Nova" w:eastAsia="Arial Nova" w:hAnsi="Arial Nova" w:cs="Arial Nova"/>
          <w:i/>
          <w:iCs/>
        </w:rPr>
        <w:t>Doing a Literature Review in Health and Social Care: A Practical Guide</w:t>
      </w:r>
      <w:r w:rsidRPr="00335C5E">
        <w:rPr>
          <w:rFonts w:ascii="Arial Nova" w:eastAsia="Arial Nova" w:hAnsi="Arial Nova" w:cs="Arial Nova"/>
        </w:rPr>
        <w:t xml:space="preserve">. </w:t>
      </w:r>
    </w:p>
    <w:p w14:paraId="5D9ECC58" w14:textId="77777777" w:rsidR="0073102D" w:rsidRPr="00335C5E" w:rsidRDefault="0073102D" w:rsidP="005C1C88">
      <w:pPr>
        <w:spacing w:after="0"/>
        <w:ind w:left="720" w:hanging="720"/>
      </w:pPr>
      <w:r w:rsidRPr="00335C5E">
        <w:rPr>
          <w:rFonts w:ascii="Arial Nova" w:eastAsia="Arial Nova" w:hAnsi="Arial Nova" w:cs="Arial Nova"/>
        </w:rPr>
        <w:t>5th edn. London: Open University Press.</w:t>
      </w:r>
    </w:p>
    <w:p w14:paraId="30122A28" w14:textId="77777777" w:rsidR="0073102D" w:rsidRPr="00335C5E" w:rsidRDefault="0073102D" w:rsidP="0073102D">
      <w:pPr>
        <w:spacing w:after="200" w:line="276" w:lineRule="auto"/>
        <w:ind w:left="720" w:hanging="720"/>
      </w:pPr>
    </w:p>
    <w:p w14:paraId="43E8005F" w14:textId="77777777" w:rsidR="0073102D" w:rsidRPr="00335C5E" w:rsidRDefault="0073102D" w:rsidP="0073102D">
      <w:pPr>
        <w:spacing w:after="200" w:line="276" w:lineRule="auto"/>
        <w:ind w:left="720" w:hanging="720"/>
      </w:pPr>
      <w:r w:rsidRPr="00335C5E">
        <w:rPr>
          <w:rFonts w:ascii="Arial Nova" w:eastAsia="Arial Nova" w:hAnsi="Arial Nova" w:cs="Arial Nova"/>
        </w:rPr>
        <w:t xml:space="preserve">Blakeslee, S. (2004) 'The CRAAP test', </w:t>
      </w:r>
      <w:r w:rsidRPr="00335C5E">
        <w:rPr>
          <w:rFonts w:ascii="Arial Nova" w:eastAsia="Arial Nova" w:hAnsi="Arial Nova" w:cs="Arial Nova"/>
          <w:i/>
          <w:iCs/>
        </w:rPr>
        <w:t>LOEX Quarterly</w:t>
      </w:r>
      <w:r w:rsidRPr="00335C5E">
        <w:rPr>
          <w:rFonts w:ascii="Arial Nova" w:eastAsia="Arial Nova" w:hAnsi="Arial Nova" w:cs="Arial Nova"/>
        </w:rPr>
        <w:t>, 31(3), pp. 6–7.</w:t>
      </w:r>
    </w:p>
    <w:p w14:paraId="36630D0F" w14:textId="77777777" w:rsidR="0073102D" w:rsidRPr="00335C5E" w:rsidRDefault="0073102D" w:rsidP="0073102D">
      <w:pPr>
        <w:spacing w:after="200" w:line="276" w:lineRule="auto"/>
        <w:ind w:left="720" w:hanging="720"/>
      </w:pPr>
    </w:p>
    <w:p w14:paraId="10F8DC68" w14:textId="77777777" w:rsidR="0073102D" w:rsidRPr="00335C5E" w:rsidRDefault="0073102D" w:rsidP="005C1C88">
      <w:pPr>
        <w:spacing w:after="0"/>
        <w:ind w:left="720" w:hanging="720"/>
        <w:rPr>
          <w:i/>
          <w:iCs/>
        </w:rPr>
      </w:pPr>
      <w:r w:rsidRPr="00335C5E">
        <w:rPr>
          <w:rFonts w:ascii="Arial Nova" w:eastAsia="Arial Nova" w:hAnsi="Arial Nova" w:cs="Arial Nova"/>
        </w:rPr>
        <w:t xml:space="preserve">Braun, V. and Clarke, V. (2006) 'Using thematic analysis in psychology', </w:t>
      </w:r>
      <w:r w:rsidRPr="00335C5E">
        <w:rPr>
          <w:rFonts w:ascii="Arial Nova" w:eastAsia="Arial Nova" w:hAnsi="Arial Nova" w:cs="Arial Nova"/>
          <w:i/>
          <w:iCs/>
        </w:rPr>
        <w:t xml:space="preserve">Qualitative Research </w:t>
      </w:r>
    </w:p>
    <w:p w14:paraId="362C4119" w14:textId="77777777" w:rsidR="0073102D" w:rsidRPr="00335C5E" w:rsidRDefault="0073102D" w:rsidP="005C1C88">
      <w:pPr>
        <w:spacing w:after="0"/>
        <w:ind w:left="720" w:hanging="720"/>
      </w:pPr>
      <w:r w:rsidRPr="00335C5E">
        <w:rPr>
          <w:rFonts w:ascii="Arial Nova" w:eastAsia="Arial Nova" w:hAnsi="Arial Nova" w:cs="Arial Nova"/>
          <w:i/>
          <w:iCs/>
        </w:rPr>
        <w:t>in Psychology</w:t>
      </w:r>
      <w:r w:rsidRPr="00335C5E">
        <w:rPr>
          <w:rFonts w:ascii="Arial Nova" w:eastAsia="Arial Nova" w:hAnsi="Arial Nova" w:cs="Arial Nova"/>
        </w:rPr>
        <w:t>, 3(2), pp. 77–101. doi:10.1191/1478088706qp063oa.</w:t>
      </w:r>
    </w:p>
    <w:p w14:paraId="5ACA2237" w14:textId="77777777" w:rsidR="0073102D" w:rsidRPr="00335C5E" w:rsidRDefault="0073102D" w:rsidP="0073102D">
      <w:pPr>
        <w:spacing w:after="200" w:line="276" w:lineRule="auto"/>
        <w:ind w:left="720" w:hanging="720"/>
      </w:pPr>
    </w:p>
    <w:p w14:paraId="178F726C" w14:textId="77777777" w:rsidR="0073102D" w:rsidRPr="00335C5E" w:rsidRDefault="0073102D" w:rsidP="005C1C88">
      <w:pPr>
        <w:spacing w:after="0"/>
        <w:ind w:left="720" w:hanging="720"/>
      </w:pPr>
      <w:r w:rsidRPr="00335C5E">
        <w:rPr>
          <w:rFonts w:ascii="Arial Nova" w:eastAsia="Arial Nova" w:hAnsi="Arial Nova" w:cs="Arial Nova"/>
        </w:rPr>
        <w:t xml:space="preserve">British Journal of Nursing (2025) 'The nurse's pivotal role in antimicrobial stewardship: </w:t>
      </w:r>
    </w:p>
    <w:p w14:paraId="752555EC" w14:textId="77777777" w:rsidR="0073102D" w:rsidRPr="00335C5E" w:rsidRDefault="0073102D" w:rsidP="005C1C88">
      <w:pPr>
        <w:spacing w:after="0"/>
        <w:ind w:left="720" w:hanging="720"/>
      </w:pPr>
      <w:r w:rsidRPr="00335C5E">
        <w:rPr>
          <w:rFonts w:ascii="Arial Nova" w:eastAsia="Arial Nova" w:hAnsi="Arial Nova" w:cs="Arial Nova"/>
        </w:rPr>
        <w:t xml:space="preserve">addressing the global challenge of antimicrobial resistance', </w:t>
      </w:r>
      <w:r w:rsidRPr="00335C5E">
        <w:rPr>
          <w:rFonts w:ascii="Arial Nova" w:eastAsia="Arial Nova" w:hAnsi="Arial Nova" w:cs="Arial Nova"/>
          <w:i/>
          <w:iCs/>
        </w:rPr>
        <w:t>British Journal of Nursing</w:t>
      </w:r>
      <w:r w:rsidRPr="00335C5E">
        <w:rPr>
          <w:rFonts w:ascii="Arial Nova" w:eastAsia="Arial Nova" w:hAnsi="Arial Nova" w:cs="Arial Nova"/>
        </w:rPr>
        <w:t xml:space="preserve">. </w:t>
      </w:r>
    </w:p>
    <w:p w14:paraId="345E43E2" w14:textId="77777777" w:rsidR="0073102D" w:rsidRPr="00335C5E" w:rsidRDefault="0073102D" w:rsidP="005C1C88">
      <w:pPr>
        <w:spacing w:after="0"/>
        <w:ind w:left="720" w:hanging="720"/>
      </w:pPr>
      <w:r w:rsidRPr="00335C5E">
        <w:rPr>
          <w:rFonts w:ascii="Arial Nova" w:eastAsia="Arial Nova" w:hAnsi="Arial Nova" w:cs="Arial Nova"/>
        </w:rPr>
        <w:t>Available at:</w:t>
      </w:r>
    </w:p>
    <w:p w14:paraId="1F5F0667" w14:textId="77777777" w:rsidR="0073102D" w:rsidRPr="00335C5E" w:rsidRDefault="0073102D" w:rsidP="005C1C88">
      <w:pPr>
        <w:spacing w:after="0"/>
      </w:pPr>
      <w:r w:rsidRPr="00335C5E">
        <w:rPr>
          <w:rFonts w:ascii="Arial Nova" w:eastAsia="Arial Nova" w:hAnsi="Arial Nova" w:cs="Arial Nova"/>
        </w:rPr>
        <w:t xml:space="preserve"> </w:t>
      </w:r>
      <w:hyperlink r:id="rId10" w:history="1">
        <w:r w:rsidRPr="00335C5E">
          <w:rPr>
            <w:rStyle w:val="Hyperlink"/>
            <w:rFonts w:ascii="Arial Nova" w:eastAsia="Arial Nova" w:hAnsi="Arial Nova" w:cs="Arial Nova"/>
            <w:color w:val="0563C1"/>
          </w:rPr>
          <w:t>https://www.britishjournalofnursing.com/content/focus/the-nurses-pivotal-role-in-antimicrobial-stewardship-addressing-the-global-challenge-of-antimicrobial-resistance</w:t>
        </w:r>
      </w:hyperlink>
      <w:r w:rsidRPr="00335C5E">
        <w:rPr>
          <w:rFonts w:ascii="Arial Nova" w:eastAsia="Arial Nova" w:hAnsi="Arial Nova" w:cs="Arial Nova"/>
        </w:rPr>
        <w:t xml:space="preserve"> (Accessed: 26 February 2026).</w:t>
      </w:r>
    </w:p>
    <w:p w14:paraId="1B8553F8" w14:textId="77777777" w:rsidR="0073102D" w:rsidRPr="00335C5E" w:rsidRDefault="0073102D" w:rsidP="0073102D"/>
    <w:p w14:paraId="77AC37BC" w14:textId="77777777" w:rsidR="005C1C88" w:rsidRDefault="005C1C88" w:rsidP="0073102D">
      <w:pPr>
        <w:ind w:left="720" w:hanging="720"/>
        <w:rPr>
          <w:rFonts w:ascii="Arial Nova" w:eastAsia="Arial Nova" w:hAnsi="Arial Nova" w:cs="Arial Nova"/>
        </w:rPr>
      </w:pPr>
    </w:p>
    <w:p w14:paraId="64F30D8F" w14:textId="0B7DE44E" w:rsidR="0073102D" w:rsidRPr="00335C5E" w:rsidRDefault="0073102D" w:rsidP="000C104A">
      <w:pPr>
        <w:spacing w:after="0"/>
        <w:ind w:left="720" w:hanging="720"/>
      </w:pPr>
      <w:r w:rsidRPr="00335C5E">
        <w:rPr>
          <w:rFonts w:ascii="Arial Nova" w:eastAsia="Arial Nova" w:hAnsi="Arial Nova" w:cs="Arial Nova"/>
        </w:rPr>
        <w:lastRenderedPageBreak/>
        <w:t xml:space="preserve">Bull, J.J., Levin, B.R. and Molineux, I.J. (2019) 'Promises and pitfalls of in vivo evolution to </w:t>
      </w:r>
    </w:p>
    <w:p w14:paraId="5B5C1731" w14:textId="77777777" w:rsidR="0073102D" w:rsidRPr="00335C5E" w:rsidRDefault="0073102D" w:rsidP="000C104A">
      <w:pPr>
        <w:spacing w:after="0"/>
        <w:ind w:left="720" w:hanging="720"/>
      </w:pPr>
      <w:r w:rsidRPr="00335C5E">
        <w:rPr>
          <w:rFonts w:ascii="Arial Nova" w:eastAsia="Arial Nova" w:hAnsi="Arial Nova" w:cs="Arial Nova"/>
        </w:rPr>
        <w:t xml:space="preserve">improve phage therapy', </w:t>
      </w:r>
      <w:r w:rsidRPr="00335C5E">
        <w:rPr>
          <w:rFonts w:ascii="Arial Nova" w:eastAsia="Arial Nova" w:hAnsi="Arial Nova" w:cs="Arial Nova"/>
          <w:i/>
          <w:iCs/>
        </w:rPr>
        <w:t>Viruses</w:t>
      </w:r>
      <w:r w:rsidRPr="00335C5E">
        <w:rPr>
          <w:rFonts w:ascii="Arial Nova" w:eastAsia="Arial Nova" w:hAnsi="Arial Nova" w:cs="Arial Nova"/>
        </w:rPr>
        <w:t>, 11(12), p. 1083.</w:t>
      </w:r>
    </w:p>
    <w:p w14:paraId="76F29062" w14:textId="77777777" w:rsidR="0073102D" w:rsidRPr="00335C5E" w:rsidRDefault="0073102D" w:rsidP="0073102D">
      <w:pPr>
        <w:ind w:left="720" w:hanging="720"/>
      </w:pPr>
    </w:p>
    <w:p w14:paraId="5299FAC8" w14:textId="77777777" w:rsidR="0073102D" w:rsidRPr="00335C5E" w:rsidRDefault="0073102D" w:rsidP="000C104A">
      <w:pPr>
        <w:spacing w:after="0"/>
        <w:ind w:left="720" w:hanging="720"/>
      </w:pPr>
      <w:r w:rsidRPr="00335C5E">
        <w:rPr>
          <w:rFonts w:ascii="Arial Nova" w:eastAsia="Arial Nova" w:hAnsi="Arial Nova" w:cs="Arial Nova"/>
        </w:rPr>
        <w:t xml:space="preserve">Bull, J.J., Wichman, H.A., Krone, S.M. and Molineux, I.J. (2024) 'Controlling recombination to </w:t>
      </w:r>
    </w:p>
    <w:p w14:paraId="7836BC2B" w14:textId="77777777" w:rsidR="0073102D" w:rsidRDefault="0073102D" w:rsidP="000C104A">
      <w:pPr>
        <w:spacing w:after="0"/>
        <w:ind w:left="720" w:hanging="720"/>
        <w:rPr>
          <w:rFonts w:ascii="Arial Nova" w:eastAsia="Arial Nova" w:hAnsi="Arial Nova" w:cs="Arial Nova"/>
        </w:rPr>
      </w:pPr>
      <w:r w:rsidRPr="00335C5E">
        <w:rPr>
          <w:rFonts w:ascii="Arial Nova" w:eastAsia="Arial Nova" w:hAnsi="Arial Nova" w:cs="Arial Nova"/>
        </w:rPr>
        <w:t xml:space="preserve">evolve bacteriophages', </w:t>
      </w:r>
      <w:r w:rsidRPr="00335C5E">
        <w:rPr>
          <w:rFonts w:ascii="Arial Nova" w:eastAsia="Arial Nova" w:hAnsi="Arial Nova" w:cs="Arial Nova"/>
          <w:i/>
          <w:iCs/>
        </w:rPr>
        <w:t>Cells</w:t>
      </w:r>
      <w:r w:rsidRPr="00335C5E">
        <w:rPr>
          <w:rFonts w:ascii="Arial Nova" w:eastAsia="Arial Nova" w:hAnsi="Arial Nova" w:cs="Arial Nova"/>
        </w:rPr>
        <w:t>, 13(7), p. 585.</w:t>
      </w:r>
    </w:p>
    <w:p w14:paraId="02733A81" w14:textId="77777777" w:rsidR="000C104A" w:rsidRDefault="000C104A" w:rsidP="000C104A">
      <w:pPr>
        <w:spacing w:after="0"/>
        <w:ind w:left="720" w:hanging="720"/>
        <w:rPr>
          <w:rFonts w:ascii="Arial Nova" w:eastAsia="Arial Nova" w:hAnsi="Arial Nova" w:cs="Arial Nova"/>
        </w:rPr>
      </w:pPr>
    </w:p>
    <w:p w14:paraId="5891241A" w14:textId="77777777" w:rsidR="00792D4A" w:rsidRPr="00335C5E" w:rsidRDefault="00792D4A" w:rsidP="00792D4A">
      <w:pPr>
        <w:spacing w:after="0"/>
        <w:ind w:left="720" w:hanging="720"/>
      </w:pPr>
      <w:r w:rsidRPr="00335C5E">
        <w:rPr>
          <w:rFonts w:ascii="Arial Nova" w:eastAsia="Arial Nova" w:hAnsi="Arial Nova" w:cs="Arial Nova"/>
        </w:rPr>
        <w:t xml:space="preserve">Chan, B.K., Sistrom, M., Wertz, J.E., Kortright, K.E., Narayan, D. and Turner, P.E. (2016) </w:t>
      </w:r>
    </w:p>
    <w:p w14:paraId="5322E86A" w14:textId="77777777" w:rsidR="00792D4A" w:rsidRPr="00335C5E" w:rsidRDefault="00792D4A" w:rsidP="00792D4A">
      <w:pPr>
        <w:spacing w:after="0"/>
        <w:ind w:left="720" w:hanging="720"/>
        <w:rPr>
          <w:i/>
          <w:iCs/>
        </w:rPr>
      </w:pPr>
      <w:r w:rsidRPr="00335C5E">
        <w:rPr>
          <w:rFonts w:ascii="Arial Nova" w:eastAsia="Arial Nova" w:hAnsi="Arial Nova" w:cs="Arial Nova"/>
        </w:rPr>
        <w:t xml:space="preserve">'Phage selection restores antibiotic sensitivity in MDR </w:t>
      </w:r>
      <w:r w:rsidRPr="00335C5E">
        <w:rPr>
          <w:rFonts w:ascii="Arial Nova" w:eastAsia="Arial Nova" w:hAnsi="Arial Nova" w:cs="Arial Nova"/>
          <w:i/>
          <w:iCs/>
        </w:rPr>
        <w:t>Pseudomonas aeruginosa</w:t>
      </w:r>
      <w:r w:rsidRPr="00335C5E">
        <w:rPr>
          <w:rFonts w:ascii="Arial Nova" w:eastAsia="Arial Nova" w:hAnsi="Arial Nova" w:cs="Arial Nova"/>
        </w:rPr>
        <w:t xml:space="preserve">', </w:t>
      </w:r>
      <w:r w:rsidRPr="00335C5E">
        <w:rPr>
          <w:rFonts w:ascii="Arial Nova" w:eastAsia="Arial Nova" w:hAnsi="Arial Nova" w:cs="Arial Nova"/>
          <w:i/>
          <w:iCs/>
        </w:rPr>
        <w:t xml:space="preserve">Scientific </w:t>
      </w:r>
    </w:p>
    <w:p w14:paraId="7D3B04B8" w14:textId="77777777" w:rsidR="00792D4A" w:rsidRPr="00335C5E" w:rsidRDefault="00792D4A" w:rsidP="00792D4A">
      <w:pPr>
        <w:spacing w:after="0"/>
        <w:ind w:left="720" w:hanging="720"/>
      </w:pPr>
      <w:r w:rsidRPr="00335C5E">
        <w:rPr>
          <w:rFonts w:ascii="Arial Nova" w:eastAsia="Arial Nova" w:hAnsi="Arial Nova" w:cs="Arial Nova"/>
          <w:i/>
          <w:iCs/>
        </w:rPr>
        <w:t>Reports</w:t>
      </w:r>
      <w:r w:rsidRPr="00335C5E">
        <w:rPr>
          <w:rFonts w:ascii="Arial Nova" w:eastAsia="Arial Nova" w:hAnsi="Arial Nova" w:cs="Arial Nova"/>
        </w:rPr>
        <w:t xml:space="preserve">, 6, article 26717. </w:t>
      </w:r>
      <w:hyperlink r:id="rId11" w:history="1">
        <w:r w:rsidRPr="00335C5E">
          <w:rPr>
            <w:rStyle w:val="Hyperlink"/>
            <w:rFonts w:ascii="Arial Nova" w:eastAsia="Arial Nova" w:hAnsi="Arial Nova" w:cs="Arial Nova"/>
            <w:color w:val="0563C1"/>
          </w:rPr>
          <w:t>https://doi.org/10.1038/srep26717</w:t>
        </w:r>
      </w:hyperlink>
      <w:r w:rsidRPr="00335C5E">
        <w:rPr>
          <w:rFonts w:ascii="Arial Nova" w:eastAsia="Arial Nova" w:hAnsi="Arial Nova" w:cs="Arial Nova"/>
        </w:rPr>
        <w:t xml:space="preserve"> (Accessed: 26 February 2026).</w:t>
      </w:r>
    </w:p>
    <w:p w14:paraId="5C30FB5B" w14:textId="77777777" w:rsidR="00792D4A" w:rsidRPr="00335C5E" w:rsidRDefault="00792D4A" w:rsidP="00792D4A">
      <w:pPr>
        <w:ind w:left="720" w:hanging="720"/>
      </w:pPr>
    </w:p>
    <w:p w14:paraId="5E27BD48" w14:textId="77777777" w:rsidR="00792D4A" w:rsidRPr="00335C5E" w:rsidRDefault="00792D4A" w:rsidP="00792D4A">
      <w:pPr>
        <w:spacing w:after="0"/>
        <w:ind w:left="720" w:hanging="720"/>
      </w:pPr>
      <w:r w:rsidRPr="00335C5E">
        <w:rPr>
          <w:rFonts w:ascii="Arial Nova" w:eastAsia="Arial Nova" w:hAnsi="Arial Nova" w:cs="Arial Nova"/>
        </w:rPr>
        <w:t xml:space="preserve">Chanishvili, N., Myelnikov, D. and Blauvelt, T.K. (2022) 'Professor Giorgi Eliava and the Eliava </w:t>
      </w:r>
    </w:p>
    <w:p w14:paraId="35954A39" w14:textId="77777777" w:rsidR="00792D4A" w:rsidRPr="00335C5E" w:rsidRDefault="00792D4A" w:rsidP="00792D4A">
      <w:pPr>
        <w:spacing w:after="0"/>
        <w:ind w:left="720" w:hanging="720"/>
      </w:pPr>
      <w:r w:rsidRPr="00335C5E">
        <w:rPr>
          <w:rFonts w:ascii="Arial Nova" w:eastAsia="Arial Nova" w:hAnsi="Arial Nova" w:cs="Arial Nova"/>
        </w:rPr>
        <w:t xml:space="preserve">Institute of Bacteriophage', </w:t>
      </w:r>
      <w:r w:rsidRPr="00335C5E">
        <w:rPr>
          <w:rFonts w:ascii="Arial Nova" w:eastAsia="Arial Nova" w:hAnsi="Arial Nova" w:cs="Arial Nova"/>
          <w:i/>
          <w:iCs/>
        </w:rPr>
        <w:t>PHAGE: Therapy, Applications, and Research</w:t>
      </w:r>
      <w:r w:rsidRPr="00335C5E">
        <w:rPr>
          <w:rFonts w:ascii="Arial Nova" w:eastAsia="Arial Nova" w:hAnsi="Arial Nova" w:cs="Arial Nova"/>
        </w:rPr>
        <w:t xml:space="preserve">, 3(2), pp. 71–80. </w:t>
      </w:r>
    </w:p>
    <w:p w14:paraId="3B4D4918" w14:textId="77777777" w:rsidR="00792D4A" w:rsidRPr="00335C5E" w:rsidRDefault="00792D4A" w:rsidP="00792D4A">
      <w:pPr>
        <w:spacing w:after="0"/>
        <w:ind w:left="720" w:hanging="720"/>
      </w:pPr>
      <w:r w:rsidRPr="00335C5E">
        <w:rPr>
          <w:rFonts w:ascii="Arial Nova" w:eastAsia="Arial Nova" w:hAnsi="Arial Nova" w:cs="Arial Nova"/>
        </w:rPr>
        <w:t>doi:10.1089/phage.2022.0016.</w:t>
      </w:r>
    </w:p>
    <w:p w14:paraId="1EF9F623" w14:textId="77777777" w:rsidR="00792D4A" w:rsidRPr="00335C5E" w:rsidRDefault="00792D4A" w:rsidP="00792D4A">
      <w:pPr>
        <w:ind w:left="720" w:hanging="720"/>
      </w:pPr>
    </w:p>
    <w:p w14:paraId="76645D13" w14:textId="77777777" w:rsidR="00792D4A" w:rsidRPr="00335C5E" w:rsidRDefault="00792D4A" w:rsidP="00792D4A">
      <w:pPr>
        <w:spacing w:after="0"/>
        <w:ind w:left="720" w:hanging="720"/>
      </w:pPr>
      <w:r w:rsidRPr="00335C5E">
        <w:rPr>
          <w:rFonts w:ascii="Arial Nova" w:eastAsia="Arial Nova" w:hAnsi="Arial Nova" w:cs="Arial Nova"/>
        </w:rPr>
        <w:t xml:space="preserve">Coxon, C., Bell, E., Adriaenssens, E., Clark, J., Edwards, J., Gohir, T., Hodges, F., Jones, J., </w:t>
      </w:r>
    </w:p>
    <w:p w14:paraId="0353A33C" w14:textId="77777777" w:rsidR="00792D4A" w:rsidRPr="00335C5E" w:rsidRDefault="00792D4A" w:rsidP="00792D4A">
      <w:pPr>
        <w:spacing w:after="0"/>
        <w:ind w:left="720" w:hanging="720"/>
      </w:pPr>
      <w:r w:rsidRPr="00335C5E">
        <w:rPr>
          <w:rFonts w:ascii="Arial Nova" w:eastAsia="Arial Nova" w:hAnsi="Arial Nova" w:cs="Arial Nova"/>
        </w:rPr>
        <w:t xml:space="preserve">Rees, C., Sansom, A., Smith, D., Sutton, M., Trippett, C. and Turner, D. (2025) 'Interpretation </w:t>
      </w:r>
    </w:p>
    <w:p w14:paraId="3AA9D5B1" w14:textId="77777777" w:rsidR="00792D4A" w:rsidRPr="00335C5E" w:rsidRDefault="00792D4A" w:rsidP="00792D4A">
      <w:pPr>
        <w:spacing w:after="0"/>
        <w:ind w:left="720" w:hanging="720"/>
      </w:pPr>
      <w:r w:rsidRPr="00335C5E">
        <w:rPr>
          <w:rFonts w:ascii="Arial Nova" w:eastAsia="Arial Nova" w:hAnsi="Arial Nova" w:cs="Arial Nova"/>
        </w:rPr>
        <w:t xml:space="preserve">guidance for MHRA regulatory considerations for phage therapeutic products', </w:t>
      </w:r>
      <w:r w:rsidRPr="00335C5E">
        <w:rPr>
          <w:rFonts w:ascii="Arial Nova" w:eastAsia="Arial Nova" w:hAnsi="Arial Nova" w:cs="Arial Nova"/>
          <w:i/>
          <w:iCs/>
        </w:rPr>
        <w:t>Microbiology</w:t>
      </w:r>
      <w:r w:rsidRPr="00335C5E">
        <w:rPr>
          <w:rFonts w:ascii="Arial Nova" w:eastAsia="Arial Nova" w:hAnsi="Arial Nova" w:cs="Arial Nova"/>
        </w:rPr>
        <w:t xml:space="preserve">, </w:t>
      </w:r>
    </w:p>
    <w:p w14:paraId="2077B72E" w14:textId="77777777" w:rsidR="00792D4A" w:rsidRPr="00335C5E" w:rsidRDefault="00792D4A" w:rsidP="00792D4A">
      <w:pPr>
        <w:spacing w:after="0"/>
        <w:ind w:left="720" w:hanging="720"/>
      </w:pPr>
      <w:r w:rsidRPr="00335C5E">
        <w:rPr>
          <w:rFonts w:ascii="Arial Nova" w:eastAsia="Arial Nova" w:hAnsi="Arial Nova" w:cs="Arial Nova"/>
        </w:rPr>
        <w:t>171(11), article 001613. doi:10.1099/mic.0.001613.</w:t>
      </w:r>
    </w:p>
    <w:p w14:paraId="2BBB1BF4" w14:textId="77777777" w:rsidR="00792D4A" w:rsidRPr="00335C5E" w:rsidRDefault="00792D4A" w:rsidP="00792D4A">
      <w:pPr>
        <w:ind w:left="720" w:hanging="720"/>
      </w:pPr>
    </w:p>
    <w:p w14:paraId="442C3AFA" w14:textId="77777777" w:rsidR="00792D4A" w:rsidRPr="00335C5E" w:rsidRDefault="00792D4A" w:rsidP="00792D4A">
      <w:pPr>
        <w:spacing w:after="0"/>
        <w:ind w:left="720" w:hanging="720"/>
      </w:pPr>
      <w:r w:rsidRPr="00335C5E">
        <w:rPr>
          <w:rFonts w:ascii="Arial Nova" w:eastAsia="Arial Nova" w:hAnsi="Arial Nova" w:cs="Arial Nova"/>
        </w:rPr>
        <w:t xml:space="preserve">Dąbrowska, K. and Abedon, S.T. (2019) 'Pharmacologically aware phage therapy: </w:t>
      </w:r>
    </w:p>
    <w:p w14:paraId="6FDF72C4" w14:textId="77777777" w:rsidR="00792D4A" w:rsidRPr="00335C5E" w:rsidRDefault="00792D4A" w:rsidP="00792D4A">
      <w:pPr>
        <w:spacing w:after="0"/>
        <w:ind w:left="720" w:hanging="720"/>
      </w:pPr>
      <w:r w:rsidRPr="00335C5E">
        <w:rPr>
          <w:rFonts w:ascii="Arial Nova" w:eastAsia="Arial Nova" w:hAnsi="Arial Nova" w:cs="Arial Nova"/>
        </w:rPr>
        <w:t xml:space="preserve">pharmacodynamic and pharmacokinetic obstacles to phage antibacterial action in animal </w:t>
      </w:r>
    </w:p>
    <w:p w14:paraId="6A42C342" w14:textId="77777777" w:rsidR="00792D4A" w:rsidRPr="00335C5E" w:rsidRDefault="00792D4A" w:rsidP="00792D4A">
      <w:pPr>
        <w:spacing w:after="0"/>
        <w:ind w:left="720" w:hanging="720"/>
      </w:pPr>
      <w:r w:rsidRPr="00335C5E">
        <w:rPr>
          <w:rFonts w:ascii="Arial Nova" w:eastAsia="Arial Nova" w:hAnsi="Arial Nova" w:cs="Arial Nova"/>
        </w:rPr>
        <w:t xml:space="preserve">and human bodies', </w:t>
      </w:r>
      <w:r w:rsidRPr="00335C5E">
        <w:rPr>
          <w:rFonts w:ascii="Arial Nova" w:eastAsia="Arial Nova" w:hAnsi="Arial Nova" w:cs="Arial Nova"/>
          <w:i/>
          <w:iCs/>
        </w:rPr>
        <w:t>Microbiology and Molecular Biology Reviews</w:t>
      </w:r>
      <w:r w:rsidRPr="00335C5E">
        <w:rPr>
          <w:rFonts w:ascii="Arial Nova" w:eastAsia="Arial Nova" w:hAnsi="Arial Nova" w:cs="Arial Nova"/>
        </w:rPr>
        <w:t xml:space="preserve">, 83(4), e00012-19. </w:t>
      </w:r>
    </w:p>
    <w:p w14:paraId="1E49B723" w14:textId="77777777" w:rsidR="00792D4A" w:rsidRPr="00335C5E" w:rsidRDefault="00792D4A" w:rsidP="00792D4A">
      <w:pPr>
        <w:spacing w:after="0"/>
        <w:ind w:left="720" w:hanging="720"/>
      </w:pPr>
      <w:r w:rsidRPr="00335C5E">
        <w:rPr>
          <w:rFonts w:ascii="Arial Nova" w:eastAsia="Arial Nova" w:hAnsi="Arial Nova" w:cs="Arial Nova"/>
        </w:rPr>
        <w:t>doi:10.1128/MMBR.00012-19.</w:t>
      </w:r>
    </w:p>
    <w:p w14:paraId="0D036C5F" w14:textId="77777777" w:rsidR="00792D4A" w:rsidRPr="00335C5E" w:rsidRDefault="00792D4A" w:rsidP="00792D4A">
      <w:pPr>
        <w:ind w:left="720" w:hanging="720"/>
      </w:pPr>
    </w:p>
    <w:p w14:paraId="576123E5" w14:textId="77777777" w:rsidR="00792D4A" w:rsidRPr="00335C5E" w:rsidRDefault="00792D4A" w:rsidP="00792D4A">
      <w:pPr>
        <w:spacing w:after="0"/>
        <w:ind w:left="720" w:hanging="720"/>
        <w:rPr>
          <w:i/>
          <w:iCs/>
        </w:rPr>
      </w:pPr>
      <w:r w:rsidRPr="00335C5E">
        <w:rPr>
          <w:rFonts w:ascii="Arial Nova" w:eastAsia="Arial Nova" w:hAnsi="Arial Nova" w:cs="Arial Nova"/>
        </w:rPr>
        <w:t xml:space="preserve">Department of Health and Social Care (2024) </w:t>
      </w:r>
      <w:r w:rsidRPr="00335C5E">
        <w:rPr>
          <w:rFonts w:ascii="Arial Nova" w:eastAsia="Arial Nova" w:hAnsi="Arial Nova" w:cs="Arial Nova"/>
          <w:i/>
          <w:iCs/>
        </w:rPr>
        <w:t xml:space="preserve">UK 5-year Action Plan for Antimicrobial </w:t>
      </w:r>
    </w:p>
    <w:p w14:paraId="44AAE88D" w14:textId="77777777" w:rsidR="00792D4A" w:rsidRPr="00335C5E" w:rsidRDefault="00792D4A" w:rsidP="00792D4A">
      <w:pPr>
        <w:spacing w:after="0"/>
        <w:ind w:left="720" w:hanging="720"/>
      </w:pPr>
      <w:r w:rsidRPr="00335C5E">
        <w:rPr>
          <w:rFonts w:ascii="Arial Nova" w:eastAsia="Arial Nova" w:hAnsi="Arial Nova" w:cs="Arial Nova"/>
          <w:i/>
          <w:iCs/>
        </w:rPr>
        <w:t>Resistance 2024 to 2029</w:t>
      </w:r>
      <w:r w:rsidRPr="00335C5E">
        <w:rPr>
          <w:rFonts w:ascii="Arial Nova" w:eastAsia="Arial Nova" w:hAnsi="Arial Nova" w:cs="Arial Nova"/>
        </w:rPr>
        <w:t xml:space="preserve">. London: Department of Health and Social Care. Available at: </w:t>
      </w:r>
    </w:p>
    <w:p w14:paraId="6BA83353" w14:textId="77777777" w:rsidR="00792D4A" w:rsidRPr="00335C5E" w:rsidRDefault="00792D4A" w:rsidP="00792D4A">
      <w:pPr>
        <w:spacing w:after="0"/>
      </w:pPr>
      <w:hyperlink r:id="rId12" w:history="1">
        <w:r w:rsidRPr="00335C5E">
          <w:rPr>
            <w:rStyle w:val="Hyperlink"/>
          </w:rPr>
          <w:t>https://www.gov.uk/government/publications/uk-5-year-action-plan-for-antimicrobial-resistance-2024-to-2029</w:t>
        </w:r>
      </w:hyperlink>
      <w:r w:rsidRPr="00335C5E">
        <w:rPr>
          <w:rFonts w:ascii="Arial Nova" w:eastAsia="Arial Nova" w:hAnsi="Arial Nova" w:cs="Arial Nova"/>
        </w:rPr>
        <w:t xml:space="preserve"> (Accessed: 01 March 2026).</w:t>
      </w:r>
    </w:p>
    <w:p w14:paraId="2EC5E9A5" w14:textId="77777777" w:rsidR="00792D4A" w:rsidRPr="00335C5E" w:rsidRDefault="00792D4A" w:rsidP="00792D4A"/>
    <w:p w14:paraId="67858FE0" w14:textId="77777777" w:rsidR="00882796" w:rsidRDefault="00882796" w:rsidP="00792D4A">
      <w:pPr>
        <w:ind w:left="720" w:hanging="720"/>
        <w:rPr>
          <w:rFonts w:ascii="Arial Nova" w:eastAsia="Arial Nova" w:hAnsi="Arial Nova" w:cs="Arial Nova"/>
        </w:rPr>
      </w:pPr>
    </w:p>
    <w:p w14:paraId="77A7F793" w14:textId="77777777" w:rsidR="00882796" w:rsidRDefault="00882796" w:rsidP="00792D4A">
      <w:pPr>
        <w:ind w:left="720" w:hanging="720"/>
        <w:rPr>
          <w:rFonts w:ascii="Arial Nova" w:eastAsia="Arial Nova" w:hAnsi="Arial Nova" w:cs="Arial Nova"/>
        </w:rPr>
      </w:pPr>
    </w:p>
    <w:p w14:paraId="79A12765" w14:textId="09ED822F" w:rsidR="00792D4A" w:rsidRPr="00335C5E" w:rsidRDefault="00792D4A" w:rsidP="00882796">
      <w:pPr>
        <w:spacing w:after="0"/>
        <w:ind w:left="720" w:hanging="720"/>
      </w:pPr>
      <w:r w:rsidRPr="00335C5E">
        <w:rPr>
          <w:rFonts w:ascii="Arial Nova" w:eastAsia="Arial Nova" w:hAnsi="Arial Nova" w:cs="Arial Nova"/>
        </w:rPr>
        <w:lastRenderedPageBreak/>
        <w:t xml:space="preserve">Department of Health and Social Care (DHSC), UK Health Security Agency (UKHSA) and </w:t>
      </w:r>
    </w:p>
    <w:p w14:paraId="36714055" w14:textId="77777777" w:rsidR="00792D4A" w:rsidRPr="00335C5E" w:rsidRDefault="00792D4A" w:rsidP="00882796">
      <w:pPr>
        <w:spacing w:after="0"/>
        <w:ind w:left="720" w:hanging="720"/>
        <w:rPr>
          <w:i/>
          <w:iCs/>
        </w:rPr>
      </w:pPr>
      <w:r w:rsidRPr="00335C5E">
        <w:rPr>
          <w:rFonts w:ascii="Arial Nova" w:eastAsia="Arial Nova" w:hAnsi="Arial Nova" w:cs="Arial Nova"/>
        </w:rPr>
        <w:t xml:space="preserve">Medicines and Healthcare products Regulatory Agency (MHRA) (2023) </w:t>
      </w:r>
      <w:r w:rsidRPr="00335C5E">
        <w:rPr>
          <w:rFonts w:ascii="Arial Nova" w:eastAsia="Arial Nova" w:hAnsi="Arial Nova" w:cs="Arial Nova"/>
          <w:i/>
          <w:iCs/>
        </w:rPr>
        <w:t xml:space="preserve">Written Evidence </w:t>
      </w:r>
    </w:p>
    <w:p w14:paraId="31BDD36C" w14:textId="77777777" w:rsidR="00792D4A" w:rsidRPr="00335C5E" w:rsidRDefault="00792D4A" w:rsidP="00882796">
      <w:pPr>
        <w:spacing w:after="0"/>
        <w:ind w:left="720" w:hanging="720"/>
        <w:rPr>
          <w:i/>
          <w:iCs/>
        </w:rPr>
      </w:pPr>
      <w:r w:rsidRPr="00335C5E">
        <w:rPr>
          <w:rFonts w:ascii="Arial Nova" w:eastAsia="Arial Nova" w:hAnsi="Arial Nova" w:cs="Arial Nova"/>
          <w:i/>
          <w:iCs/>
        </w:rPr>
        <w:t xml:space="preserve">Submitted to the Science and Technology Committee Inquiry: The Antimicrobial Potential of </w:t>
      </w:r>
    </w:p>
    <w:p w14:paraId="5A64A834" w14:textId="77777777" w:rsidR="00792D4A" w:rsidRPr="00335C5E" w:rsidRDefault="00792D4A" w:rsidP="00882796">
      <w:pPr>
        <w:spacing w:after="0"/>
        <w:ind w:left="720" w:hanging="720"/>
      </w:pPr>
      <w:r w:rsidRPr="00335C5E">
        <w:rPr>
          <w:rFonts w:ascii="Arial Nova" w:eastAsia="Arial Nova" w:hAnsi="Arial Nova" w:cs="Arial Nova"/>
          <w:i/>
          <w:iCs/>
        </w:rPr>
        <w:t>Bacteriophages</w:t>
      </w:r>
      <w:r w:rsidRPr="00335C5E">
        <w:rPr>
          <w:rFonts w:ascii="Arial Nova" w:eastAsia="Arial Nova" w:hAnsi="Arial Nova" w:cs="Arial Nova"/>
        </w:rPr>
        <w:t xml:space="preserve"> (PHA0007). Available at: </w:t>
      </w:r>
    </w:p>
    <w:p w14:paraId="6295C827" w14:textId="77777777" w:rsidR="00792D4A" w:rsidRPr="00335C5E" w:rsidRDefault="00792D4A" w:rsidP="00882796">
      <w:pPr>
        <w:spacing w:after="0"/>
        <w:ind w:left="720" w:hanging="720"/>
      </w:pPr>
      <w:hyperlink r:id="rId13" w:history="1">
        <w:r w:rsidRPr="00335C5E">
          <w:rPr>
            <w:rStyle w:val="Hyperlink"/>
          </w:rPr>
          <w:t>https://committees.parliament.uk/writtenevidence/116244/html/</w:t>
        </w:r>
      </w:hyperlink>
      <w:r w:rsidRPr="00335C5E">
        <w:rPr>
          <w:rFonts w:ascii="Arial Nova" w:eastAsia="Arial Nova" w:hAnsi="Arial Nova" w:cs="Arial Nova"/>
        </w:rPr>
        <w:t xml:space="preserve"> (Accessed: 06 June 2026).</w:t>
      </w:r>
    </w:p>
    <w:p w14:paraId="272C6446" w14:textId="77777777" w:rsidR="00792D4A" w:rsidRPr="00335C5E" w:rsidRDefault="00792D4A" w:rsidP="00792D4A">
      <w:pPr>
        <w:ind w:left="720" w:hanging="720"/>
      </w:pPr>
    </w:p>
    <w:p w14:paraId="6D0F9EAE" w14:textId="77777777" w:rsidR="00792D4A" w:rsidRPr="00335C5E" w:rsidRDefault="00792D4A" w:rsidP="00882796">
      <w:pPr>
        <w:spacing w:after="0"/>
        <w:ind w:left="720" w:hanging="720"/>
      </w:pPr>
      <w:r w:rsidRPr="00335C5E">
        <w:rPr>
          <w:rFonts w:ascii="Arial Nova" w:eastAsia="Arial Nova" w:hAnsi="Arial Nova" w:cs="Arial Nova"/>
        </w:rPr>
        <w:t xml:space="preserve">El Haddad, L., Harb, C.P., Gebara, M.A., Stibich, M.A. and Chemaly, R.F. (2019) 'A systematic </w:t>
      </w:r>
    </w:p>
    <w:p w14:paraId="0B475D78" w14:textId="77777777" w:rsidR="00792D4A" w:rsidRPr="00335C5E" w:rsidRDefault="00792D4A" w:rsidP="00882796">
      <w:pPr>
        <w:spacing w:after="0"/>
        <w:ind w:left="720" w:hanging="720"/>
      </w:pPr>
      <w:r w:rsidRPr="00335C5E">
        <w:rPr>
          <w:rFonts w:ascii="Arial Nova" w:eastAsia="Arial Nova" w:hAnsi="Arial Nova" w:cs="Arial Nova"/>
        </w:rPr>
        <w:t xml:space="preserve">and critical review of bacteriophage therapy against multidrug-resistant ESKAPE organisms </w:t>
      </w:r>
    </w:p>
    <w:p w14:paraId="4BD97991" w14:textId="77777777" w:rsidR="00792D4A" w:rsidRDefault="00792D4A" w:rsidP="00882796">
      <w:pPr>
        <w:spacing w:after="0"/>
        <w:ind w:left="720" w:hanging="720"/>
        <w:rPr>
          <w:rFonts w:ascii="Arial Nova" w:eastAsia="Arial Nova" w:hAnsi="Arial Nova" w:cs="Arial Nova"/>
        </w:rPr>
      </w:pPr>
      <w:r w:rsidRPr="00335C5E">
        <w:rPr>
          <w:rFonts w:ascii="Arial Nova" w:eastAsia="Arial Nova" w:hAnsi="Arial Nova" w:cs="Arial Nova"/>
        </w:rPr>
        <w:t xml:space="preserve">in humans', </w:t>
      </w:r>
      <w:r w:rsidRPr="00335C5E">
        <w:rPr>
          <w:rFonts w:ascii="Arial Nova" w:eastAsia="Arial Nova" w:hAnsi="Arial Nova" w:cs="Arial Nova"/>
          <w:i/>
          <w:iCs/>
        </w:rPr>
        <w:t>Clinical Infectious Diseases</w:t>
      </w:r>
      <w:r w:rsidRPr="00335C5E">
        <w:rPr>
          <w:rFonts w:ascii="Arial Nova" w:eastAsia="Arial Nova" w:hAnsi="Arial Nova" w:cs="Arial Nova"/>
        </w:rPr>
        <w:t>, 69(1), pp. 167–178. doi:10.1093/cid/ciy947.</w:t>
      </w:r>
    </w:p>
    <w:p w14:paraId="521EC570" w14:textId="77777777" w:rsidR="00882796" w:rsidRDefault="00882796" w:rsidP="00882796">
      <w:pPr>
        <w:spacing w:after="0"/>
        <w:ind w:left="720" w:hanging="720"/>
        <w:rPr>
          <w:rFonts w:ascii="Arial Nova" w:eastAsia="Arial Nova" w:hAnsi="Arial Nova" w:cs="Arial Nova"/>
        </w:rPr>
      </w:pPr>
    </w:p>
    <w:p w14:paraId="02A6DF14" w14:textId="77777777" w:rsidR="006B6E5A" w:rsidRPr="00335C5E" w:rsidRDefault="006B6E5A" w:rsidP="006B6E5A">
      <w:pPr>
        <w:spacing w:after="0"/>
        <w:ind w:left="720" w:hanging="720"/>
      </w:pPr>
      <w:r w:rsidRPr="00335C5E">
        <w:rPr>
          <w:rFonts w:ascii="Arial Nova" w:eastAsia="Arial Nova" w:hAnsi="Arial Nova" w:cs="Arial Nova"/>
        </w:rPr>
        <w:t xml:space="preserve">Fish, R., Kutter, E., Wheat, G., Blasdel, B., Kutateladze, M. and Kuhl, S. (2018) </w:t>
      </w:r>
    </w:p>
    <w:p w14:paraId="56C8B78A" w14:textId="77777777" w:rsidR="006B6E5A" w:rsidRPr="00335C5E" w:rsidRDefault="006B6E5A" w:rsidP="006B6E5A">
      <w:pPr>
        <w:spacing w:after="0"/>
        <w:ind w:left="720" w:hanging="720"/>
      </w:pPr>
      <w:r w:rsidRPr="00335C5E">
        <w:rPr>
          <w:rFonts w:ascii="Arial Nova" w:eastAsia="Arial Nova" w:hAnsi="Arial Nova" w:cs="Arial Nova"/>
        </w:rPr>
        <w:t xml:space="preserve">'Compassionate use of bacteriophage therapy for foot ulcer treatment as an effective step for </w:t>
      </w:r>
    </w:p>
    <w:p w14:paraId="6D360897" w14:textId="77777777" w:rsidR="006B6E5A" w:rsidRPr="00335C5E" w:rsidRDefault="006B6E5A" w:rsidP="006B6E5A">
      <w:pPr>
        <w:spacing w:after="0"/>
        <w:ind w:left="720" w:hanging="720"/>
        <w:rPr>
          <w:i/>
          <w:iCs/>
        </w:rPr>
      </w:pPr>
      <w:r w:rsidRPr="00335C5E">
        <w:rPr>
          <w:rFonts w:ascii="Arial Nova" w:eastAsia="Arial Nova" w:hAnsi="Arial Nova" w:cs="Arial Nova"/>
        </w:rPr>
        <w:t xml:space="preserve">moving toward clinical trials', in Azeredo, J. and Sillankorva, S. (eds) </w:t>
      </w:r>
      <w:r w:rsidRPr="00335C5E">
        <w:rPr>
          <w:rFonts w:ascii="Arial Nova" w:eastAsia="Arial Nova" w:hAnsi="Arial Nova" w:cs="Arial Nova"/>
          <w:i/>
          <w:iCs/>
        </w:rPr>
        <w:t xml:space="preserve">Bacteriophage Therapy: </w:t>
      </w:r>
    </w:p>
    <w:p w14:paraId="4CF4896F" w14:textId="77777777" w:rsidR="006B6E5A" w:rsidRPr="00335C5E" w:rsidRDefault="006B6E5A" w:rsidP="006B6E5A">
      <w:pPr>
        <w:spacing w:after="0"/>
        <w:ind w:left="720" w:hanging="720"/>
      </w:pPr>
      <w:r w:rsidRPr="00335C5E">
        <w:rPr>
          <w:rFonts w:ascii="Arial Nova" w:eastAsia="Arial Nova" w:hAnsi="Arial Nova" w:cs="Arial Nova"/>
          <w:i/>
          <w:iCs/>
        </w:rPr>
        <w:t>From Lab to Clinical Practice</w:t>
      </w:r>
      <w:r w:rsidRPr="00335C5E">
        <w:rPr>
          <w:rFonts w:ascii="Arial Nova" w:eastAsia="Arial Nova" w:hAnsi="Arial Nova" w:cs="Arial Nova"/>
        </w:rPr>
        <w:t xml:space="preserve">. New York: Springer (Methods in Molecular Biology, 1693), pp. </w:t>
      </w:r>
    </w:p>
    <w:p w14:paraId="5C493579" w14:textId="77777777" w:rsidR="006B6E5A" w:rsidRPr="00335C5E" w:rsidRDefault="006B6E5A" w:rsidP="006B6E5A">
      <w:pPr>
        <w:spacing w:after="0"/>
        <w:ind w:left="720" w:hanging="720"/>
      </w:pPr>
      <w:r w:rsidRPr="00335C5E">
        <w:rPr>
          <w:rFonts w:ascii="Arial Nova" w:eastAsia="Arial Nova" w:hAnsi="Arial Nova" w:cs="Arial Nova"/>
        </w:rPr>
        <w:t>159–170.</w:t>
      </w:r>
    </w:p>
    <w:p w14:paraId="7F954E1A" w14:textId="77777777" w:rsidR="006B6E5A" w:rsidRPr="00335C5E" w:rsidRDefault="006B6E5A" w:rsidP="006B6E5A">
      <w:pPr>
        <w:ind w:left="720" w:hanging="720"/>
      </w:pPr>
    </w:p>
    <w:p w14:paraId="1DE231E9" w14:textId="77777777" w:rsidR="006B6E5A" w:rsidRPr="00335C5E" w:rsidRDefault="006B6E5A" w:rsidP="006B6E5A">
      <w:pPr>
        <w:spacing w:after="0"/>
        <w:ind w:left="720" w:hanging="720"/>
      </w:pPr>
      <w:r w:rsidRPr="00335C5E">
        <w:rPr>
          <w:rFonts w:ascii="Arial Nova" w:eastAsia="Arial Nova" w:hAnsi="Arial Nova" w:cs="Arial Nova"/>
        </w:rPr>
        <w:t xml:space="preserve">Froissart, R. and Brives, C. (2021) 'Evolutionary biology and development model of </w:t>
      </w:r>
    </w:p>
    <w:p w14:paraId="09A171DE" w14:textId="77777777" w:rsidR="006B6E5A" w:rsidRPr="00335C5E" w:rsidRDefault="006B6E5A" w:rsidP="006B6E5A">
      <w:pPr>
        <w:spacing w:after="0"/>
        <w:ind w:left="720" w:hanging="720"/>
        <w:rPr>
          <w:i/>
          <w:iCs/>
        </w:rPr>
      </w:pPr>
      <w:r w:rsidRPr="00335C5E">
        <w:rPr>
          <w:rFonts w:ascii="Arial Nova" w:eastAsia="Arial Nova" w:hAnsi="Arial Nova" w:cs="Arial Nova"/>
        </w:rPr>
        <w:t xml:space="preserve">medicines: a necessary “pas de deux” for future successful bacteriophage therapy', </w:t>
      </w:r>
      <w:r w:rsidRPr="00335C5E">
        <w:rPr>
          <w:rFonts w:ascii="Arial Nova" w:eastAsia="Arial Nova" w:hAnsi="Arial Nova" w:cs="Arial Nova"/>
          <w:i/>
          <w:iCs/>
        </w:rPr>
        <w:t xml:space="preserve">Journal </w:t>
      </w:r>
    </w:p>
    <w:p w14:paraId="119A0A4C" w14:textId="77777777" w:rsidR="006B6E5A" w:rsidRPr="00335C5E" w:rsidRDefault="006B6E5A" w:rsidP="006B6E5A">
      <w:pPr>
        <w:spacing w:after="0"/>
        <w:ind w:left="720" w:hanging="720"/>
      </w:pPr>
      <w:r w:rsidRPr="00335C5E">
        <w:rPr>
          <w:rFonts w:ascii="Arial Nova" w:eastAsia="Arial Nova" w:hAnsi="Arial Nova" w:cs="Arial Nova"/>
          <w:i/>
          <w:iCs/>
        </w:rPr>
        <w:t>of Evolutionary Biology</w:t>
      </w:r>
      <w:r w:rsidRPr="00335C5E">
        <w:rPr>
          <w:rFonts w:ascii="Arial Nova" w:eastAsia="Arial Nova" w:hAnsi="Arial Nova" w:cs="Arial Nova"/>
        </w:rPr>
        <w:t>, 34(12), pp. 1855–1866.</w:t>
      </w:r>
    </w:p>
    <w:p w14:paraId="5D89C55F" w14:textId="77777777" w:rsidR="006B6E5A" w:rsidRPr="00335C5E" w:rsidRDefault="006B6E5A" w:rsidP="006B6E5A">
      <w:pPr>
        <w:ind w:left="720" w:hanging="720"/>
      </w:pPr>
    </w:p>
    <w:p w14:paraId="0965BD75" w14:textId="77777777" w:rsidR="006B6E5A" w:rsidRPr="00335C5E" w:rsidRDefault="006B6E5A" w:rsidP="006B6E5A">
      <w:pPr>
        <w:spacing w:after="0"/>
        <w:ind w:left="720" w:hanging="720"/>
      </w:pPr>
      <w:r w:rsidRPr="00335C5E">
        <w:rPr>
          <w:rFonts w:ascii="Arial Nova" w:eastAsia="Arial Nova" w:hAnsi="Arial Nova" w:cs="Arial Nova"/>
        </w:rPr>
        <w:t xml:space="preserve">GBD 2021 Antimicrobial Resistance Collaborators (2024) 'Global burden of bacterial </w:t>
      </w:r>
    </w:p>
    <w:p w14:paraId="1F21F338" w14:textId="77777777" w:rsidR="006B6E5A" w:rsidRPr="00335C5E" w:rsidRDefault="006B6E5A" w:rsidP="006B6E5A">
      <w:pPr>
        <w:spacing w:after="0"/>
        <w:ind w:left="720" w:hanging="720"/>
        <w:rPr>
          <w:i/>
          <w:iCs/>
        </w:rPr>
      </w:pPr>
      <w:r w:rsidRPr="00335C5E">
        <w:rPr>
          <w:rFonts w:ascii="Arial Nova" w:eastAsia="Arial Nova" w:hAnsi="Arial Nova" w:cs="Arial Nova"/>
        </w:rPr>
        <w:t xml:space="preserve">antimicrobial resistance 1990–2021: a systematic analysis with forecasts to 2050', </w:t>
      </w:r>
      <w:r w:rsidRPr="00335C5E">
        <w:rPr>
          <w:rFonts w:ascii="Arial Nova" w:eastAsia="Arial Nova" w:hAnsi="Arial Nova" w:cs="Arial Nova"/>
          <w:i/>
          <w:iCs/>
        </w:rPr>
        <w:t xml:space="preserve">The </w:t>
      </w:r>
    </w:p>
    <w:p w14:paraId="747C6A48" w14:textId="77777777" w:rsidR="006B6E5A" w:rsidRPr="00335C5E" w:rsidRDefault="006B6E5A" w:rsidP="006B6E5A">
      <w:pPr>
        <w:spacing w:after="0"/>
        <w:ind w:left="720" w:hanging="720"/>
      </w:pPr>
      <w:r w:rsidRPr="00335C5E">
        <w:rPr>
          <w:rFonts w:ascii="Arial Nova" w:eastAsia="Arial Nova" w:hAnsi="Arial Nova" w:cs="Arial Nova"/>
          <w:i/>
          <w:iCs/>
        </w:rPr>
        <w:t>Lancet</w:t>
      </w:r>
      <w:r w:rsidRPr="00335C5E">
        <w:rPr>
          <w:rFonts w:ascii="Arial Nova" w:eastAsia="Arial Nova" w:hAnsi="Arial Nova" w:cs="Arial Nova"/>
        </w:rPr>
        <w:t>, 404(10459), pp. 1199–1226. doi:10.1016/S0140-6736(24)01867-1.</w:t>
      </w:r>
    </w:p>
    <w:p w14:paraId="64063C2C" w14:textId="77777777" w:rsidR="006B6E5A" w:rsidRPr="00335C5E" w:rsidRDefault="006B6E5A" w:rsidP="006B6E5A">
      <w:pPr>
        <w:ind w:left="720" w:hanging="720"/>
      </w:pPr>
    </w:p>
    <w:p w14:paraId="5E3F531A" w14:textId="77777777" w:rsidR="006B6E5A" w:rsidRDefault="006B6E5A" w:rsidP="006B6E5A">
      <w:pPr>
        <w:spacing w:after="0"/>
        <w:ind w:left="720" w:hanging="720"/>
      </w:pPr>
      <w:r w:rsidRPr="00335C5E">
        <w:rPr>
          <w:rFonts w:ascii="Arial Nova" w:eastAsia="Arial Nova" w:hAnsi="Arial Nova" w:cs="Arial Nova"/>
        </w:rPr>
        <w:t xml:space="preserve">Gordillo Altamirano, F.L. and Barr, J.J. (2019) 'Phage therapy in the postantibiotic era', </w:t>
      </w:r>
    </w:p>
    <w:p w14:paraId="3E63F499" w14:textId="77777777" w:rsidR="006B6E5A" w:rsidRDefault="006B6E5A" w:rsidP="006B6E5A">
      <w:pPr>
        <w:spacing w:after="0"/>
        <w:ind w:left="720" w:hanging="720"/>
      </w:pPr>
      <w:r w:rsidRPr="00335C5E">
        <w:rPr>
          <w:rFonts w:ascii="Arial Nova" w:eastAsia="Arial Nova" w:hAnsi="Arial Nova" w:cs="Arial Nova"/>
          <w:i/>
          <w:iCs/>
        </w:rPr>
        <w:t>Clinical Microbiology Reviews</w:t>
      </w:r>
      <w:r w:rsidRPr="00335C5E">
        <w:rPr>
          <w:rFonts w:ascii="Arial Nova" w:eastAsia="Arial Nova" w:hAnsi="Arial Nova" w:cs="Arial Nova"/>
        </w:rPr>
        <w:t>, 32(2), e00066-18.</w:t>
      </w:r>
    </w:p>
    <w:p w14:paraId="1BAB577E" w14:textId="77777777" w:rsidR="006B6E5A" w:rsidRPr="00335C5E" w:rsidRDefault="006B6E5A" w:rsidP="006B6E5A">
      <w:pPr>
        <w:ind w:left="720" w:hanging="720"/>
      </w:pPr>
    </w:p>
    <w:p w14:paraId="1748424F" w14:textId="77777777" w:rsidR="006B6E5A" w:rsidRDefault="006B6E5A" w:rsidP="006B6E5A">
      <w:pPr>
        <w:spacing w:after="0"/>
        <w:ind w:left="720" w:hanging="720"/>
      </w:pPr>
      <w:r w:rsidRPr="00335C5E">
        <w:rPr>
          <w:rFonts w:ascii="Arial Nova" w:eastAsia="Arial Nova" w:hAnsi="Arial Nova" w:cs="Arial Nova"/>
        </w:rPr>
        <w:t xml:space="preserve">Gotterson, F., Buising, K. and Manias, E. (2021) 'Nurse role and contribution to antimicrobial </w:t>
      </w:r>
    </w:p>
    <w:p w14:paraId="4A2499C1" w14:textId="77777777" w:rsidR="006B6E5A" w:rsidRDefault="006B6E5A" w:rsidP="006B6E5A">
      <w:pPr>
        <w:spacing w:after="0"/>
        <w:ind w:left="720" w:hanging="720"/>
      </w:pPr>
      <w:r w:rsidRPr="00335C5E">
        <w:rPr>
          <w:rFonts w:ascii="Arial Nova" w:eastAsia="Arial Nova" w:hAnsi="Arial Nova" w:cs="Arial Nova"/>
        </w:rPr>
        <w:t xml:space="preserve">stewardship: an integrative review', </w:t>
      </w:r>
      <w:r w:rsidRPr="00335C5E">
        <w:rPr>
          <w:rFonts w:ascii="Arial Nova" w:eastAsia="Arial Nova" w:hAnsi="Arial Nova" w:cs="Arial Nova"/>
          <w:i/>
          <w:iCs/>
        </w:rPr>
        <w:t>International Journal of Nursing Studies</w:t>
      </w:r>
      <w:r w:rsidRPr="00335C5E">
        <w:rPr>
          <w:rFonts w:ascii="Arial Nova" w:eastAsia="Arial Nova" w:hAnsi="Arial Nova" w:cs="Arial Nova"/>
        </w:rPr>
        <w:t>, 117, 103787.</w:t>
      </w:r>
    </w:p>
    <w:p w14:paraId="792B5EC5" w14:textId="77777777" w:rsidR="006B6E5A" w:rsidRPr="00335C5E" w:rsidRDefault="006B6E5A" w:rsidP="006B6E5A">
      <w:pPr>
        <w:ind w:left="720" w:hanging="720"/>
      </w:pPr>
    </w:p>
    <w:p w14:paraId="4A9CFAAC" w14:textId="77777777" w:rsidR="006B6E5A" w:rsidRDefault="006B6E5A" w:rsidP="006B6E5A">
      <w:pPr>
        <w:ind w:left="720" w:hanging="720"/>
        <w:rPr>
          <w:rFonts w:ascii="Arial Nova" w:eastAsia="Arial Nova" w:hAnsi="Arial Nova" w:cs="Arial Nova"/>
        </w:rPr>
      </w:pPr>
    </w:p>
    <w:p w14:paraId="7A39293F" w14:textId="77777777" w:rsidR="006B6E5A" w:rsidRDefault="006B6E5A" w:rsidP="006B6E5A">
      <w:pPr>
        <w:ind w:left="720" w:hanging="720"/>
        <w:rPr>
          <w:rFonts w:ascii="Arial Nova" w:eastAsia="Arial Nova" w:hAnsi="Arial Nova" w:cs="Arial Nova"/>
        </w:rPr>
      </w:pPr>
    </w:p>
    <w:p w14:paraId="0FDFADB8" w14:textId="04BDA394" w:rsidR="006B6E5A" w:rsidRDefault="006B6E5A" w:rsidP="006B6E5A">
      <w:pPr>
        <w:spacing w:after="0"/>
        <w:ind w:left="720" w:hanging="720"/>
      </w:pPr>
      <w:r w:rsidRPr="00335C5E">
        <w:rPr>
          <w:rFonts w:ascii="Arial Nova" w:eastAsia="Arial Nova" w:hAnsi="Arial Nova" w:cs="Arial Nova"/>
        </w:rPr>
        <w:lastRenderedPageBreak/>
        <w:t xml:space="preserve">GOV.UK (2025) </w:t>
      </w:r>
      <w:r w:rsidRPr="00335C5E">
        <w:rPr>
          <w:rFonts w:ascii="Arial Nova" w:eastAsia="Arial Nova" w:hAnsi="Arial Nova" w:cs="Arial Nova"/>
          <w:i/>
          <w:iCs/>
        </w:rPr>
        <w:t>Helping Bring Phage Medicines to UK Patients – Guidance for Industry</w:t>
      </w:r>
      <w:r w:rsidRPr="00335C5E">
        <w:rPr>
          <w:rFonts w:ascii="Arial Nova" w:eastAsia="Arial Nova" w:hAnsi="Arial Nova" w:cs="Arial Nova"/>
        </w:rPr>
        <w:t xml:space="preserve">. </w:t>
      </w:r>
    </w:p>
    <w:p w14:paraId="131832F4" w14:textId="77777777" w:rsidR="006B6E5A" w:rsidRDefault="006B6E5A" w:rsidP="006B6E5A">
      <w:pPr>
        <w:spacing w:after="0"/>
        <w:ind w:left="720" w:hanging="720"/>
      </w:pPr>
      <w:r w:rsidRPr="00335C5E">
        <w:rPr>
          <w:rFonts w:ascii="Arial Nova" w:eastAsia="Arial Nova" w:hAnsi="Arial Nova" w:cs="Arial Nova"/>
        </w:rPr>
        <w:t xml:space="preserve">Available at: </w:t>
      </w:r>
    </w:p>
    <w:p w14:paraId="22677C94" w14:textId="77777777" w:rsidR="006B6E5A" w:rsidRDefault="006B6E5A" w:rsidP="006B6E5A">
      <w:pPr>
        <w:spacing w:after="0"/>
      </w:pPr>
      <w:hyperlink r:id="rId14" w:history="1">
        <w:r w:rsidRPr="00196DB1">
          <w:rPr>
            <w:rStyle w:val="Hyperlink"/>
          </w:rPr>
          <w:t>https://www.gov.uk/government/news/helping-bring-phage-medicines-to-uk-patients-guidance-for-industry</w:t>
        </w:r>
      </w:hyperlink>
      <w:r w:rsidRPr="00335C5E">
        <w:rPr>
          <w:rFonts w:ascii="Arial Nova" w:eastAsia="Arial Nova" w:hAnsi="Arial Nova" w:cs="Arial Nova"/>
        </w:rPr>
        <w:t xml:space="preserve"> (Accessed: 04 July 2026).</w:t>
      </w:r>
    </w:p>
    <w:p w14:paraId="77230D9B" w14:textId="77777777" w:rsidR="006B6E5A" w:rsidRPr="00335C5E" w:rsidRDefault="006B6E5A" w:rsidP="006B6E5A"/>
    <w:p w14:paraId="16CDFD54" w14:textId="77777777" w:rsidR="006B6E5A" w:rsidRDefault="006B6E5A" w:rsidP="006B6E5A">
      <w:pPr>
        <w:spacing w:after="0"/>
        <w:ind w:left="720" w:hanging="720"/>
        <w:rPr>
          <w:i/>
          <w:iCs/>
        </w:rPr>
      </w:pPr>
      <w:r w:rsidRPr="00335C5E">
        <w:rPr>
          <w:rFonts w:ascii="Arial Nova" w:eastAsia="Arial Nova" w:hAnsi="Arial Nova" w:cs="Arial Nova"/>
        </w:rPr>
        <w:t xml:space="preserve">House of Commons Science, Innovation and Technology Committee (2024) </w:t>
      </w:r>
      <w:r w:rsidRPr="00335C5E">
        <w:rPr>
          <w:rFonts w:ascii="Arial Nova" w:eastAsia="Arial Nova" w:hAnsi="Arial Nova" w:cs="Arial Nova"/>
          <w:i/>
          <w:iCs/>
        </w:rPr>
        <w:t xml:space="preserve">The </w:t>
      </w:r>
    </w:p>
    <w:p w14:paraId="777C4977" w14:textId="77777777" w:rsidR="006B6E5A" w:rsidRDefault="006B6E5A" w:rsidP="006B6E5A">
      <w:pPr>
        <w:spacing w:after="0"/>
        <w:ind w:left="720" w:hanging="720"/>
      </w:pPr>
      <w:r w:rsidRPr="00335C5E">
        <w:rPr>
          <w:rFonts w:ascii="Arial Nova" w:eastAsia="Arial Nova" w:hAnsi="Arial Nova" w:cs="Arial Nova"/>
          <w:i/>
          <w:iCs/>
        </w:rPr>
        <w:t>Antimicrobial Potential of Bacteriophages</w:t>
      </w:r>
      <w:r w:rsidRPr="00335C5E">
        <w:rPr>
          <w:rFonts w:ascii="Arial Nova" w:eastAsia="Arial Nova" w:hAnsi="Arial Nova" w:cs="Arial Nova"/>
        </w:rPr>
        <w:t xml:space="preserve">. London: House of Commons (HC 328). Available </w:t>
      </w:r>
    </w:p>
    <w:p w14:paraId="761B6525" w14:textId="77777777" w:rsidR="006B6E5A" w:rsidRDefault="006B6E5A" w:rsidP="006B6E5A">
      <w:pPr>
        <w:spacing w:after="0"/>
        <w:ind w:left="720" w:hanging="720"/>
      </w:pPr>
      <w:r w:rsidRPr="00335C5E">
        <w:rPr>
          <w:rFonts w:ascii="Arial Nova" w:eastAsia="Arial Nova" w:hAnsi="Arial Nova" w:cs="Arial Nova"/>
        </w:rPr>
        <w:t xml:space="preserve">at: </w:t>
      </w:r>
      <w:hyperlink r:id="rId15" w:history="1">
        <w:r w:rsidRPr="00335C5E">
          <w:rPr>
            <w:rStyle w:val="Hyperlink"/>
            <w:rFonts w:ascii="Arial Nova" w:eastAsia="Arial Nova" w:hAnsi="Arial Nova" w:cs="Arial Nova"/>
            <w:color w:val="0563C1"/>
          </w:rPr>
          <w:t>https://publications.parliament.uk/pa/cm5804/cmselect/cmsctech/328/report.html</w:t>
        </w:r>
      </w:hyperlink>
    </w:p>
    <w:p w14:paraId="140433A8" w14:textId="77777777" w:rsidR="006B6E5A" w:rsidRDefault="006B6E5A" w:rsidP="006B6E5A">
      <w:pPr>
        <w:spacing w:after="0"/>
        <w:ind w:left="720" w:hanging="720"/>
      </w:pPr>
      <w:r w:rsidRPr="00335C5E">
        <w:rPr>
          <w:rFonts w:ascii="Arial Nova" w:eastAsia="Arial Nova" w:hAnsi="Arial Nova" w:cs="Arial Nova"/>
        </w:rPr>
        <w:t>(Accessed: 08 March 2026).</w:t>
      </w:r>
    </w:p>
    <w:p w14:paraId="003E6736" w14:textId="77777777" w:rsidR="006B6E5A" w:rsidRPr="00335C5E" w:rsidRDefault="006B6E5A" w:rsidP="006B6E5A">
      <w:pPr>
        <w:ind w:left="720" w:hanging="720"/>
      </w:pPr>
    </w:p>
    <w:p w14:paraId="750A386A" w14:textId="77777777" w:rsidR="006B6E5A" w:rsidRDefault="006B6E5A" w:rsidP="006B6E5A">
      <w:pPr>
        <w:spacing w:after="0"/>
        <w:ind w:left="720" w:hanging="720"/>
      </w:pPr>
      <w:r w:rsidRPr="00335C5E">
        <w:rPr>
          <w:rFonts w:ascii="Arial Nova" w:eastAsia="Arial Nova" w:hAnsi="Arial Nova" w:cs="Arial Nova"/>
        </w:rPr>
        <w:t xml:space="preserve">Ingram-Adams, G. (2026) 'Antimicrobial stewardship in oncology nurse prescribing practice </w:t>
      </w:r>
    </w:p>
    <w:p w14:paraId="24232463" w14:textId="77777777" w:rsidR="006B6E5A" w:rsidRDefault="006B6E5A" w:rsidP="006B6E5A">
      <w:pPr>
        <w:spacing w:after="0"/>
        <w:ind w:left="720" w:hanging="720"/>
        <w:rPr>
          <w:rFonts w:ascii="Arial Nova" w:eastAsia="Arial Nova" w:hAnsi="Arial Nova" w:cs="Arial Nova"/>
        </w:rPr>
      </w:pPr>
      <w:r w:rsidRPr="00335C5E">
        <w:rPr>
          <w:rFonts w:ascii="Arial Nova" w:eastAsia="Arial Nova" w:hAnsi="Arial Nova" w:cs="Arial Nova"/>
        </w:rPr>
        <w:t xml:space="preserve">– reflection on a case study', </w:t>
      </w:r>
      <w:r w:rsidRPr="00335C5E">
        <w:rPr>
          <w:rFonts w:ascii="Arial Nova" w:eastAsia="Arial Nova" w:hAnsi="Arial Nova" w:cs="Arial Nova"/>
          <w:i/>
          <w:iCs/>
        </w:rPr>
        <w:t>Cancer Nursing Practice</w:t>
      </w:r>
      <w:r w:rsidRPr="00335C5E">
        <w:rPr>
          <w:rFonts w:ascii="Arial Nova" w:eastAsia="Arial Nova" w:hAnsi="Arial Nova" w:cs="Arial Nova"/>
        </w:rPr>
        <w:t>, 25(2).</w:t>
      </w:r>
    </w:p>
    <w:p w14:paraId="2FAC89B0" w14:textId="77777777" w:rsidR="006B6E5A" w:rsidRDefault="006B6E5A" w:rsidP="006B6E5A">
      <w:pPr>
        <w:spacing w:after="0"/>
        <w:ind w:left="720" w:hanging="720"/>
        <w:rPr>
          <w:rFonts w:ascii="Arial Nova" w:eastAsia="Arial Nova" w:hAnsi="Arial Nova" w:cs="Arial Nova"/>
        </w:rPr>
      </w:pPr>
    </w:p>
    <w:p w14:paraId="66DF73A8" w14:textId="77777777" w:rsidR="00C5244F" w:rsidRDefault="00C5244F" w:rsidP="00C5244F">
      <w:pPr>
        <w:spacing w:after="0"/>
        <w:ind w:left="720" w:hanging="720"/>
      </w:pPr>
      <w:r w:rsidRPr="00335C5E">
        <w:rPr>
          <w:rFonts w:ascii="Arial Nova" w:eastAsia="Arial Nova" w:hAnsi="Arial Nova" w:cs="Arial Nova"/>
        </w:rPr>
        <w:t xml:space="preserve">Jones, J.D., Trippett, C., Suleman, M., Clokie, M.R.J. and Clark, J.R. (2023) 'The future of </w:t>
      </w:r>
    </w:p>
    <w:p w14:paraId="2564DF2E" w14:textId="77777777" w:rsidR="00C5244F" w:rsidRDefault="00C5244F" w:rsidP="00C5244F">
      <w:pPr>
        <w:spacing w:after="0"/>
        <w:ind w:left="720" w:hanging="720"/>
      </w:pPr>
      <w:r w:rsidRPr="00335C5E">
        <w:rPr>
          <w:rFonts w:ascii="Arial Nova" w:eastAsia="Arial Nova" w:hAnsi="Arial Nova" w:cs="Arial Nova"/>
        </w:rPr>
        <w:t xml:space="preserve">clinical phage therapy in the United Kingdom', </w:t>
      </w:r>
      <w:r w:rsidRPr="00335C5E">
        <w:rPr>
          <w:rFonts w:ascii="Arial Nova" w:eastAsia="Arial Nova" w:hAnsi="Arial Nova" w:cs="Arial Nova"/>
          <w:i/>
          <w:iCs/>
        </w:rPr>
        <w:t>Viruses</w:t>
      </w:r>
      <w:r w:rsidRPr="00335C5E">
        <w:rPr>
          <w:rFonts w:ascii="Arial Nova" w:eastAsia="Arial Nova" w:hAnsi="Arial Nova" w:cs="Arial Nova"/>
        </w:rPr>
        <w:t>, 15(3), 721.</w:t>
      </w:r>
    </w:p>
    <w:p w14:paraId="29D2B7D0" w14:textId="77777777" w:rsidR="00C5244F" w:rsidRPr="00335C5E" w:rsidRDefault="00C5244F" w:rsidP="00C5244F">
      <w:pPr>
        <w:ind w:left="720" w:hanging="720"/>
      </w:pPr>
    </w:p>
    <w:p w14:paraId="13E260B6" w14:textId="77777777" w:rsidR="00C5244F" w:rsidRDefault="00C5244F" w:rsidP="00C5244F">
      <w:pPr>
        <w:spacing w:after="0"/>
        <w:ind w:left="720" w:hanging="720"/>
      </w:pPr>
      <w:r w:rsidRPr="00335C5E">
        <w:rPr>
          <w:rFonts w:ascii="Arial Nova" w:eastAsia="Arial Nova" w:hAnsi="Arial Nova" w:cs="Arial Nova"/>
        </w:rPr>
        <w:t xml:space="preserve">Khan, F.M., Manohar, P., Gondil, V.S., Mehra, N., Oyejobi, G.K., Odiwuor, N., Ahmad, T. and </w:t>
      </w:r>
    </w:p>
    <w:p w14:paraId="6EA4D7CB" w14:textId="77777777" w:rsidR="00C5244F" w:rsidRDefault="00C5244F" w:rsidP="00C5244F">
      <w:pPr>
        <w:spacing w:after="0"/>
        <w:ind w:left="720" w:hanging="720"/>
        <w:rPr>
          <w:i/>
          <w:iCs/>
        </w:rPr>
      </w:pPr>
      <w:r w:rsidRPr="00335C5E">
        <w:rPr>
          <w:rFonts w:ascii="Arial Nova" w:eastAsia="Arial Nova" w:hAnsi="Arial Nova" w:cs="Arial Nova"/>
        </w:rPr>
        <w:t xml:space="preserve">Huang, G. (2023) 'The applications of animal models in phage therapy: an update', </w:t>
      </w:r>
      <w:r w:rsidRPr="00335C5E">
        <w:rPr>
          <w:rFonts w:ascii="Arial Nova" w:eastAsia="Arial Nova" w:hAnsi="Arial Nova" w:cs="Arial Nova"/>
          <w:i/>
          <w:iCs/>
        </w:rPr>
        <w:t xml:space="preserve">Human </w:t>
      </w:r>
    </w:p>
    <w:p w14:paraId="44F770FF" w14:textId="77777777" w:rsidR="00C5244F" w:rsidRDefault="00C5244F" w:rsidP="00C5244F">
      <w:pPr>
        <w:spacing w:after="0"/>
        <w:ind w:left="720" w:hanging="720"/>
      </w:pPr>
      <w:r w:rsidRPr="00335C5E">
        <w:rPr>
          <w:rFonts w:ascii="Arial Nova" w:eastAsia="Arial Nova" w:hAnsi="Arial Nova" w:cs="Arial Nova"/>
          <w:i/>
          <w:iCs/>
        </w:rPr>
        <w:t>Vaccines &amp; Immunotherapeutics</w:t>
      </w:r>
      <w:r w:rsidRPr="00335C5E">
        <w:rPr>
          <w:rFonts w:ascii="Arial Nova" w:eastAsia="Arial Nova" w:hAnsi="Arial Nova" w:cs="Arial Nova"/>
        </w:rPr>
        <w:t>, 19(1), 2175519.</w:t>
      </w:r>
    </w:p>
    <w:p w14:paraId="63B6AFFD" w14:textId="77777777" w:rsidR="00C5244F" w:rsidRPr="00335C5E" w:rsidRDefault="00C5244F" w:rsidP="00C5244F">
      <w:pPr>
        <w:ind w:left="720" w:hanging="720"/>
      </w:pPr>
    </w:p>
    <w:p w14:paraId="728A7671" w14:textId="77777777" w:rsidR="00C5244F" w:rsidRDefault="00C5244F" w:rsidP="00C5244F">
      <w:pPr>
        <w:spacing w:after="0"/>
        <w:ind w:left="720" w:hanging="720"/>
      </w:pPr>
      <w:r w:rsidRPr="00335C5E">
        <w:rPr>
          <w:rFonts w:ascii="Arial Nova" w:eastAsia="Arial Nova" w:hAnsi="Arial Nova" w:cs="Arial Nova"/>
        </w:rPr>
        <w:t xml:space="preserve">Kortright, K.E., Chan, B.K., Koff, J.L. and Turner, P.E. (2019) 'Phage therapy: a renewed </w:t>
      </w:r>
    </w:p>
    <w:p w14:paraId="44EEBEB8" w14:textId="77777777" w:rsidR="00C5244F" w:rsidRDefault="00C5244F" w:rsidP="00C5244F">
      <w:pPr>
        <w:spacing w:after="0"/>
        <w:ind w:left="720" w:hanging="720"/>
      </w:pPr>
      <w:r w:rsidRPr="00335C5E">
        <w:rPr>
          <w:rFonts w:ascii="Arial Nova" w:eastAsia="Arial Nova" w:hAnsi="Arial Nova" w:cs="Arial Nova"/>
        </w:rPr>
        <w:t xml:space="preserve">approach to combat antibiotic-resistant bacteria', </w:t>
      </w:r>
      <w:r w:rsidRPr="00335C5E">
        <w:rPr>
          <w:rFonts w:ascii="Arial Nova" w:eastAsia="Arial Nova" w:hAnsi="Arial Nova" w:cs="Arial Nova"/>
          <w:i/>
          <w:iCs/>
        </w:rPr>
        <w:t>Cell Host &amp; Microbe</w:t>
      </w:r>
      <w:r w:rsidRPr="00335C5E">
        <w:rPr>
          <w:rFonts w:ascii="Arial Nova" w:eastAsia="Arial Nova" w:hAnsi="Arial Nova" w:cs="Arial Nova"/>
        </w:rPr>
        <w:t>, 25(2), pp. 219–232.</w:t>
      </w:r>
    </w:p>
    <w:p w14:paraId="16176174" w14:textId="77777777" w:rsidR="00C5244F" w:rsidRPr="00335C5E" w:rsidRDefault="00C5244F" w:rsidP="00C5244F">
      <w:pPr>
        <w:ind w:left="720" w:hanging="720"/>
      </w:pPr>
    </w:p>
    <w:p w14:paraId="1A0252FE" w14:textId="77777777" w:rsidR="00C5244F" w:rsidRDefault="00C5244F" w:rsidP="00C5244F">
      <w:pPr>
        <w:spacing w:after="0"/>
        <w:ind w:left="720" w:hanging="720"/>
      </w:pPr>
      <w:r w:rsidRPr="00335C5E">
        <w:rPr>
          <w:rFonts w:ascii="Arial Nova" w:eastAsia="Arial Nova" w:hAnsi="Arial Nova" w:cs="Arial Nova"/>
        </w:rPr>
        <w:t xml:space="preserve">Letarov, A.V. (2020) 'History of early bacteriophage research and emergence of key </w:t>
      </w:r>
    </w:p>
    <w:p w14:paraId="6636A86C" w14:textId="77777777" w:rsidR="00C5244F" w:rsidRDefault="00C5244F" w:rsidP="00C5244F">
      <w:pPr>
        <w:spacing w:after="0"/>
        <w:ind w:left="720" w:hanging="720"/>
      </w:pPr>
      <w:r w:rsidRPr="00335C5E">
        <w:rPr>
          <w:rFonts w:ascii="Arial Nova" w:eastAsia="Arial Nova" w:hAnsi="Arial Nova" w:cs="Arial Nova"/>
        </w:rPr>
        <w:t xml:space="preserve">concepts in virology', </w:t>
      </w:r>
      <w:r w:rsidRPr="00335C5E">
        <w:rPr>
          <w:rFonts w:ascii="Arial Nova" w:eastAsia="Arial Nova" w:hAnsi="Arial Nova" w:cs="Arial Nova"/>
          <w:i/>
          <w:iCs/>
        </w:rPr>
        <w:t>Biochemistry (Moscow)</w:t>
      </w:r>
      <w:r w:rsidRPr="00335C5E">
        <w:rPr>
          <w:rFonts w:ascii="Arial Nova" w:eastAsia="Arial Nova" w:hAnsi="Arial Nova" w:cs="Arial Nova"/>
        </w:rPr>
        <w:t>, 85(9), pp. 1093–1112.</w:t>
      </w:r>
    </w:p>
    <w:p w14:paraId="59E82261" w14:textId="77777777" w:rsidR="00C5244F" w:rsidRPr="00335C5E" w:rsidRDefault="00C5244F" w:rsidP="00C5244F">
      <w:pPr>
        <w:ind w:left="720" w:hanging="720"/>
      </w:pPr>
    </w:p>
    <w:p w14:paraId="397BD9B3" w14:textId="77777777" w:rsidR="00C5244F" w:rsidRDefault="00C5244F" w:rsidP="00C5244F">
      <w:pPr>
        <w:spacing w:after="0"/>
        <w:ind w:left="720" w:hanging="720"/>
        <w:rPr>
          <w:i/>
          <w:iCs/>
        </w:rPr>
      </w:pPr>
      <w:r w:rsidRPr="00335C5E">
        <w:rPr>
          <w:rFonts w:ascii="Arial Nova" w:eastAsia="Arial Nova" w:hAnsi="Arial Nova" w:cs="Arial Nova"/>
        </w:rPr>
        <w:t xml:space="preserve">Medicines and Healthcare products Regulatory Agency (2014) </w:t>
      </w:r>
      <w:r w:rsidRPr="00335C5E">
        <w:rPr>
          <w:rFonts w:ascii="Arial Nova" w:eastAsia="Arial Nova" w:hAnsi="Arial Nova" w:cs="Arial Nova"/>
          <w:i/>
          <w:iCs/>
        </w:rPr>
        <w:t xml:space="preserve">Guidance Note 14: The </w:t>
      </w:r>
    </w:p>
    <w:p w14:paraId="5F5B8889" w14:textId="77777777" w:rsidR="00C5244F" w:rsidRDefault="00C5244F" w:rsidP="00C5244F">
      <w:pPr>
        <w:spacing w:after="0"/>
        <w:ind w:left="720" w:hanging="720"/>
      </w:pPr>
      <w:r w:rsidRPr="00335C5E">
        <w:rPr>
          <w:rFonts w:ascii="Arial Nova" w:eastAsia="Arial Nova" w:hAnsi="Arial Nova" w:cs="Arial Nova"/>
          <w:i/>
          <w:iCs/>
        </w:rPr>
        <w:t>Supply of Unlicensed Medicinal Products ('Specials')</w:t>
      </w:r>
      <w:r w:rsidRPr="00335C5E">
        <w:rPr>
          <w:rFonts w:ascii="Arial Nova" w:eastAsia="Arial Nova" w:hAnsi="Arial Nova" w:cs="Arial Nova"/>
        </w:rPr>
        <w:t xml:space="preserve">. London: Medicines and Healthcare </w:t>
      </w:r>
    </w:p>
    <w:p w14:paraId="5591C7CF" w14:textId="77777777" w:rsidR="00C5244F" w:rsidRDefault="00C5244F" w:rsidP="00C5244F">
      <w:pPr>
        <w:spacing w:after="0"/>
        <w:ind w:left="720" w:hanging="720"/>
      </w:pPr>
      <w:r w:rsidRPr="00335C5E">
        <w:rPr>
          <w:rFonts w:ascii="Arial Nova" w:eastAsia="Arial Nova" w:hAnsi="Arial Nova" w:cs="Arial Nova"/>
        </w:rPr>
        <w:t xml:space="preserve">products Regulatory Agency. Available at: </w:t>
      </w:r>
    </w:p>
    <w:p w14:paraId="54AB3A72" w14:textId="77777777" w:rsidR="00C5244F" w:rsidRDefault="00C5244F" w:rsidP="00C5244F">
      <w:pPr>
        <w:spacing w:after="0"/>
        <w:ind w:left="720" w:hanging="720"/>
      </w:pPr>
      <w:hyperlink r:id="rId16" w:history="1">
        <w:r w:rsidRPr="00196DB1">
          <w:rPr>
            <w:rStyle w:val="Hyperlink"/>
          </w:rPr>
          <w:t>https://www.gov.uk/government/publications/supply-unlicensed-medicinal-products-specials</w:t>
        </w:r>
      </w:hyperlink>
      <w:r w:rsidRPr="00335C5E">
        <w:rPr>
          <w:rFonts w:ascii="Arial Nova" w:eastAsia="Arial Nova" w:hAnsi="Arial Nova" w:cs="Arial Nova"/>
        </w:rPr>
        <w:t xml:space="preserve"> </w:t>
      </w:r>
    </w:p>
    <w:p w14:paraId="47EE16FB" w14:textId="77777777" w:rsidR="00C5244F" w:rsidRDefault="00C5244F" w:rsidP="00C5244F">
      <w:pPr>
        <w:spacing w:after="0"/>
        <w:ind w:left="720" w:hanging="720"/>
      </w:pPr>
      <w:r w:rsidRPr="00335C5E">
        <w:rPr>
          <w:rFonts w:ascii="Arial Nova" w:eastAsia="Arial Nova" w:hAnsi="Arial Nova" w:cs="Arial Nova"/>
        </w:rPr>
        <w:t>(Accessed: 05 March 2026).</w:t>
      </w:r>
    </w:p>
    <w:p w14:paraId="13F486C9" w14:textId="77777777" w:rsidR="00C5244F" w:rsidRPr="00335C5E" w:rsidRDefault="00C5244F" w:rsidP="00C5244F">
      <w:pPr>
        <w:ind w:left="720" w:hanging="720"/>
      </w:pPr>
    </w:p>
    <w:p w14:paraId="26E37A34" w14:textId="77777777" w:rsidR="00C5244F" w:rsidRDefault="00C5244F" w:rsidP="00C5244F">
      <w:pPr>
        <w:spacing w:after="0"/>
        <w:ind w:left="720" w:hanging="720"/>
        <w:rPr>
          <w:i/>
          <w:iCs/>
        </w:rPr>
      </w:pPr>
      <w:r w:rsidRPr="00335C5E">
        <w:rPr>
          <w:rFonts w:ascii="Arial Nova" w:eastAsia="Arial Nova" w:hAnsi="Arial Nova" w:cs="Arial Nova"/>
        </w:rPr>
        <w:lastRenderedPageBreak/>
        <w:t xml:space="preserve">Medicines and Healthcare products Regulatory Agency (2025) </w:t>
      </w:r>
      <w:r w:rsidRPr="00335C5E">
        <w:rPr>
          <w:rFonts w:ascii="Arial Nova" w:eastAsia="Arial Nova" w:hAnsi="Arial Nova" w:cs="Arial Nova"/>
          <w:i/>
          <w:iCs/>
        </w:rPr>
        <w:t xml:space="preserve">Regulatory Considerations for </w:t>
      </w:r>
    </w:p>
    <w:p w14:paraId="7FD3E4AB" w14:textId="77777777" w:rsidR="00C5244F" w:rsidRDefault="00C5244F" w:rsidP="00C5244F">
      <w:pPr>
        <w:spacing w:after="0"/>
        <w:ind w:left="720" w:hanging="720"/>
      </w:pPr>
      <w:r w:rsidRPr="00335C5E">
        <w:rPr>
          <w:rFonts w:ascii="Arial Nova" w:eastAsia="Arial Nova" w:hAnsi="Arial Nova" w:cs="Arial Nova"/>
          <w:i/>
          <w:iCs/>
        </w:rPr>
        <w:t>Therapeutic Use of Bacteriophages in the UK</w:t>
      </w:r>
      <w:r w:rsidRPr="00335C5E">
        <w:rPr>
          <w:rFonts w:ascii="Arial Nova" w:eastAsia="Arial Nova" w:hAnsi="Arial Nova" w:cs="Arial Nova"/>
        </w:rPr>
        <w:t xml:space="preserve">. London: Medicines and Healthcare products </w:t>
      </w:r>
    </w:p>
    <w:p w14:paraId="7EF874C5" w14:textId="77777777" w:rsidR="00C5244F" w:rsidRDefault="00C5244F" w:rsidP="00C5244F">
      <w:pPr>
        <w:spacing w:after="0"/>
        <w:ind w:left="720" w:hanging="720"/>
      </w:pPr>
      <w:r w:rsidRPr="00335C5E">
        <w:rPr>
          <w:rFonts w:ascii="Arial Nova" w:eastAsia="Arial Nova" w:hAnsi="Arial Nova" w:cs="Arial Nova"/>
        </w:rPr>
        <w:t>Regulatory Agency. Available at:</w:t>
      </w:r>
    </w:p>
    <w:p w14:paraId="1CA4A520" w14:textId="77777777" w:rsidR="00C5244F" w:rsidRDefault="00C5244F" w:rsidP="00C5244F">
      <w:pPr>
        <w:spacing w:after="0"/>
      </w:pPr>
      <w:r w:rsidRPr="00335C5E">
        <w:rPr>
          <w:rFonts w:ascii="Arial Nova" w:eastAsia="Arial Nova" w:hAnsi="Arial Nova" w:cs="Arial Nova"/>
        </w:rPr>
        <w:t xml:space="preserve"> </w:t>
      </w:r>
      <w:hyperlink r:id="rId17" w:history="1">
        <w:r w:rsidRPr="00196DB1">
          <w:rPr>
            <w:rStyle w:val="Hyperlink"/>
          </w:rPr>
          <w:t>https://www.gov.uk/government/publications/regulatory-considerations-for-therapeutic-use-of-bacteriophages-in-the-uk</w:t>
        </w:r>
      </w:hyperlink>
      <w:r w:rsidRPr="00335C5E">
        <w:rPr>
          <w:rFonts w:ascii="Arial Nova" w:eastAsia="Arial Nova" w:hAnsi="Arial Nova" w:cs="Arial Nova"/>
        </w:rPr>
        <w:t xml:space="preserve"> (Accessed: 11 March 2026).</w:t>
      </w:r>
    </w:p>
    <w:p w14:paraId="735F8454" w14:textId="77777777" w:rsidR="00C5244F" w:rsidRPr="00335C5E" w:rsidRDefault="00C5244F" w:rsidP="00C5244F">
      <w:pPr>
        <w:ind w:left="720" w:hanging="720"/>
      </w:pPr>
    </w:p>
    <w:p w14:paraId="32648433" w14:textId="77777777" w:rsidR="00C5244F" w:rsidRDefault="00C5244F" w:rsidP="00C5244F">
      <w:pPr>
        <w:spacing w:after="0"/>
        <w:ind w:left="720" w:hanging="720"/>
      </w:pPr>
      <w:r w:rsidRPr="00335C5E">
        <w:rPr>
          <w:rFonts w:ascii="Arial Nova" w:eastAsia="Arial Nova" w:hAnsi="Arial Nova" w:cs="Arial Nova"/>
        </w:rPr>
        <w:t xml:space="preserve">Moon, K., Coxon, C., Årdal, C., Botgros, R., Djebara, S., Durno, L., Fiore, C.R., Perrin, J.B., </w:t>
      </w:r>
    </w:p>
    <w:p w14:paraId="553071C4" w14:textId="77777777" w:rsidR="00C5244F" w:rsidRDefault="00C5244F" w:rsidP="00C5244F">
      <w:pPr>
        <w:spacing w:after="0"/>
        <w:ind w:left="720" w:hanging="720"/>
      </w:pPr>
      <w:r w:rsidRPr="00335C5E">
        <w:rPr>
          <w:rFonts w:ascii="Arial Nova" w:eastAsia="Arial Nova" w:hAnsi="Arial Nova" w:cs="Arial Nova"/>
        </w:rPr>
        <w:t xml:space="preserve">Dixon, D.M. and Cavaleri, M. (2025) 'Considerations and perspectives on phage therapy from </w:t>
      </w:r>
    </w:p>
    <w:p w14:paraId="3E8952DB" w14:textId="77777777" w:rsidR="00C5244F" w:rsidRDefault="00C5244F" w:rsidP="00C5244F">
      <w:pPr>
        <w:spacing w:after="0"/>
        <w:ind w:left="720" w:hanging="720"/>
      </w:pPr>
      <w:r w:rsidRPr="00335C5E">
        <w:rPr>
          <w:rFonts w:ascii="Arial Nova" w:eastAsia="Arial Nova" w:hAnsi="Arial Nova" w:cs="Arial Nova"/>
        </w:rPr>
        <w:t xml:space="preserve">the transatlantic taskforce on antimicrobial resistance', </w:t>
      </w:r>
      <w:r w:rsidRPr="00335C5E">
        <w:rPr>
          <w:rFonts w:ascii="Arial Nova" w:eastAsia="Arial Nova" w:hAnsi="Arial Nova" w:cs="Arial Nova"/>
          <w:i/>
          <w:iCs/>
        </w:rPr>
        <w:t>Nature Communications</w:t>
      </w:r>
      <w:r w:rsidRPr="00335C5E">
        <w:rPr>
          <w:rFonts w:ascii="Arial Nova" w:eastAsia="Arial Nova" w:hAnsi="Arial Nova" w:cs="Arial Nova"/>
        </w:rPr>
        <w:t xml:space="preserve">, 16. </w:t>
      </w:r>
    </w:p>
    <w:p w14:paraId="353C6F8E" w14:textId="77777777" w:rsidR="00C5244F" w:rsidRDefault="00C5244F" w:rsidP="00C5244F">
      <w:pPr>
        <w:spacing w:after="0"/>
        <w:ind w:left="720" w:hanging="720"/>
      </w:pPr>
      <w:r w:rsidRPr="00335C5E">
        <w:rPr>
          <w:rFonts w:ascii="Arial Nova" w:eastAsia="Arial Nova" w:hAnsi="Arial Nova" w:cs="Arial Nova"/>
        </w:rPr>
        <w:t>doi:10.1038/s41467-025-64608-3.</w:t>
      </w:r>
    </w:p>
    <w:p w14:paraId="6A9065D0" w14:textId="77777777" w:rsidR="00C5244F" w:rsidRPr="00335C5E" w:rsidRDefault="00C5244F" w:rsidP="00C5244F">
      <w:pPr>
        <w:ind w:left="720" w:hanging="720"/>
      </w:pPr>
    </w:p>
    <w:p w14:paraId="409EC47D" w14:textId="77777777" w:rsidR="00C5244F" w:rsidRDefault="00C5244F" w:rsidP="00C5244F">
      <w:pPr>
        <w:spacing w:after="0"/>
        <w:ind w:left="720" w:hanging="720"/>
      </w:pPr>
      <w:r w:rsidRPr="00335C5E">
        <w:rPr>
          <w:rFonts w:ascii="Arial Nova" w:eastAsia="Arial Nova" w:hAnsi="Arial Nova" w:cs="Arial Nova"/>
        </w:rPr>
        <w:t xml:space="preserve">Nale, J.Y. and Clokie, M.R.J. (2021) 'Preclinical data and safety assessment of phage therapy </w:t>
      </w:r>
    </w:p>
    <w:p w14:paraId="25E4C6C7" w14:textId="77777777" w:rsidR="00C5244F" w:rsidRDefault="00C5244F" w:rsidP="00C5244F">
      <w:pPr>
        <w:spacing w:after="0"/>
        <w:ind w:left="720" w:hanging="720"/>
        <w:rPr>
          <w:rFonts w:ascii="Arial Nova" w:eastAsia="Arial Nova" w:hAnsi="Arial Nova" w:cs="Arial Nova"/>
        </w:rPr>
      </w:pPr>
      <w:r w:rsidRPr="00335C5E">
        <w:rPr>
          <w:rFonts w:ascii="Arial Nova" w:eastAsia="Arial Nova" w:hAnsi="Arial Nova" w:cs="Arial Nova"/>
        </w:rPr>
        <w:t xml:space="preserve">in humans', </w:t>
      </w:r>
      <w:r w:rsidRPr="00335C5E">
        <w:rPr>
          <w:rFonts w:ascii="Arial Nova" w:eastAsia="Arial Nova" w:hAnsi="Arial Nova" w:cs="Arial Nova"/>
          <w:i/>
          <w:iCs/>
        </w:rPr>
        <w:t>Current Opinion in Biotechnology</w:t>
      </w:r>
      <w:r w:rsidRPr="00335C5E">
        <w:rPr>
          <w:rFonts w:ascii="Arial Nova" w:eastAsia="Arial Nova" w:hAnsi="Arial Nova" w:cs="Arial Nova"/>
        </w:rPr>
        <w:t>, 68, pp. 310–317.</w:t>
      </w:r>
    </w:p>
    <w:p w14:paraId="68E4C054" w14:textId="77777777" w:rsidR="00C5244F" w:rsidRDefault="00C5244F" w:rsidP="00C5244F">
      <w:pPr>
        <w:spacing w:after="0"/>
        <w:ind w:left="720" w:hanging="720"/>
        <w:rPr>
          <w:rFonts w:ascii="Arial Nova" w:eastAsia="Arial Nova" w:hAnsi="Arial Nova" w:cs="Arial Nova"/>
        </w:rPr>
      </w:pPr>
    </w:p>
    <w:p w14:paraId="22E53D7F" w14:textId="77777777" w:rsidR="00B8474A" w:rsidRDefault="00B8474A" w:rsidP="00B8474A">
      <w:pPr>
        <w:spacing w:after="0"/>
        <w:ind w:left="720" w:hanging="720"/>
        <w:rPr>
          <w:i/>
          <w:iCs/>
        </w:rPr>
      </w:pPr>
      <w:r w:rsidRPr="00335C5E">
        <w:rPr>
          <w:rFonts w:ascii="Arial Nova" w:eastAsia="Arial Nova" w:hAnsi="Arial Nova" w:cs="Arial Nova"/>
        </w:rPr>
        <w:t xml:space="preserve">National Institute for Health and Care Excellence (2017) </w:t>
      </w:r>
      <w:r w:rsidRPr="00335C5E">
        <w:rPr>
          <w:rFonts w:ascii="Arial Nova" w:eastAsia="Arial Nova" w:hAnsi="Arial Nova" w:cs="Arial Nova"/>
          <w:i/>
          <w:iCs/>
        </w:rPr>
        <w:t xml:space="preserve">Antimicrobial Stewardship: </w:t>
      </w:r>
    </w:p>
    <w:p w14:paraId="4F74EE0E" w14:textId="77777777" w:rsidR="00B8474A" w:rsidRDefault="00B8474A" w:rsidP="00B8474A">
      <w:pPr>
        <w:spacing w:after="0"/>
        <w:ind w:left="720" w:hanging="720"/>
      </w:pPr>
      <w:r w:rsidRPr="00335C5E">
        <w:rPr>
          <w:rFonts w:ascii="Arial Nova" w:eastAsia="Arial Nova" w:hAnsi="Arial Nova" w:cs="Arial Nova"/>
          <w:i/>
          <w:iCs/>
        </w:rPr>
        <w:t>Changing Risk-related Behaviours in the General Population</w:t>
      </w:r>
      <w:r w:rsidRPr="00335C5E">
        <w:rPr>
          <w:rFonts w:ascii="Arial Nova" w:eastAsia="Arial Nova" w:hAnsi="Arial Nova" w:cs="Arial Nova"/>
        </w:rPr>
        <w:t xml:space="preserve">. NICE guideline [NG63]. </w:t>
      </w:r>
    </w:p>
    <w:p w14:paraId="53DD5C69" w14:textId="77777777" w:rsidR="00B8474A" w:rsidRDefault="00B8474A" w:rsidP="00B8474A">
      <w:pPr>
        <w:spacing w:after="0"/>
        <w:ind w:left="720" w:hanging="720"/>
      </w:pPr>
      <w:r w:rsidRPr="00335C5E">
        <w:rPr>
          <w:rFonts w:ascii="Arial Nova" w:eastAsia="Arial Nova" w:hAnsi="Arial Nova" w:cs="Arial Nova"/>
        </w:rPr>
        <w:t xml:space="preserve">London: National Institute for Health and Care Excellence. Available at: </w:t>
      </w:r>
    </w:p>
    <w:p w14:paraId="6E2F135D" w14:textId="77777777" w:rsidR="00B8474A" w:rsidRDefault="00B8474A" w:rsidP="00B8474A">
      <w:pPr>
        <w:spacing w:after="0"/>
        <w:ind w:left="720" w:hanging="720"/>
      </w:pPr>
      <w:hyperlink r:id="rId18" w:history="1">
        <w:r w:rsidRPr="00196DB1">
          <w:rPr>
            <w:rStyle w:val="Hyperlink"/>
          </w:rPr>
          <w:t>https://www.nice.org.uk/guidance/ng63</w:t>
        </w:r>
      </w:hyperlink>
      <w:r w:rsidRPr="00335C5E">
        <w:rPr>
          <w:rFonts w:ascii="Arial Nova" w:eastAsia="Arial Nova" w:hAnsi="Arial Nova" w:cs="Arial Nova"/>
        </w:rPr>
        <w:t xml:space="preserve"> (Accessed: 31 March 2026).</w:t>
      </w:r>
    </w:p>
    <w:p w14:paraId="1F06D438" w14:textId="77777777" w:rsidR="00B8474A" w:rsidRPr="00335C5E" w:rsidRDefault="00B8474A" w:rsidP="00B8474A">
      <w:pPr>
        <w:ind w:left="720" w:hanging="720"/>
      </w:pPr>
    </w:p>
    <w:p w14:paraId="64081E84" w14:textId="77777777" w:rsidR="00B8474A" w:rsidRDefault="00B8474A" w:rsidP="00B8474A">
      <w:pPr>
        <w:spacing w:after="0"/>
        <w:ind w:left="720" w:hanging="720"/>
      </w:pPr>
      <w:r w:rsidRPr="00335C5E">
        <w:rPr>
          <w:rFonts w:ascii="Arial Nova" w:eastAsia="Arial Nova" w:hAnsi="Arial Nova" w:cs="Arial Nova"/>
        </w:rPr>
        <w:t xml:space="preserve">NHS England (2023) </w:t>
      </w:r>
      <w:r w:rsidRPr="00335C5E">
        <w:rPr>
          <w:rFonts w:ascii="Arial Nova" w:eastAsia="Arial Nova" w:hAnsi="Arial Nova" w:cs="Arial Nova"/>
          <w:i/>
          <w:iCs/>
        </w:rPr>
        <w:t>NHS Long Term Workforce Plan</w:t>
      </w:r>
      <w:r w:rsidRPr="00335C5E">
        <w:rPr>
          <w:rFonts w:ascii="Arial Nova" w:eastAsia="Arial Nova" w:hAnsi="Arial Nova" w:cs="Arial Nova"/>
        </w:rPr>
        <w:t xml:space="preserve">. London: NHS England. Available at: </w:t>
      </w:r>
    </w:p>
    <w:p w14:paraId="2687944F" w14:textId="77777777" w:rsidR="00B8474A" w:rsidRDefault="00B8474A" w:rsidP="00B8474A">
      <w:pPr>
        <w:spacing w:after="0"/>
        <w:ind w:left="720" w:hanging="720"/>
      </w:pPr>
      <w:hyperlink r:id="rId19" w:history="1">
        <w:r w:rsidRPr="00196DB1">
          <w:rPr>
            <w:rStyle w:val="Hyperlink"/>
          </w:rPr>
          <w:t>https://www.england.nhs.uk/publication/nhs-long-term-workforce-plan/</w:t>
        </w:r>
      </w:hyperlink>
      <w:r w:rsidRPr="00335C5E">
        <w:rPr>
          <w:rFonts w:ascii="Arial Nova" w:eastAsia="Arial Nova" w:hAnsi="Arial Nova" w:cs="Arial Nova"/>
        </w:rPr>
        <w:t xml:space="preserve"> (Accessed: 11 March </w:t>
      </w:r>
    </w:p>
    <w:p w14:paraId="3A5152D2" w14:textId="77777777" w:rsidR="00B8474A" w:rsidRDefault="00B8474A" w:rsidP="00B8474A">
      <w:pPr>
        <w:spacing w:after="0"/>
        <w:ind w:left="720" w:hanging="720"/>
      </w:pPr>
      <w:r w:rsidRPr="00335C5E">
        <w:rPr>
          <w:rFonts w:ascii="Arial Nova" w:eastAsia="Arial Nova" w:hAnsi="Arial Nova" w:cs="Arial Nova"/>
        </w:rPr>
        <w:t>2026).</w:t>
      </w:r>
    </w:p>
    <w:p w14:paraId="5CE31E00" w14:textId="77777777" w:rsidR="00B8474A" w:rsidRPr="00335C5E" w:rsidRDefault="00B8474A" w:rsidP="00B8474A">
      <w:pPr>
        <w:ind w:left="720" w:hanging="720"/>
      </w:pPr>
    </w:p>
    <w:p w14:paraId="1002CC6E" w14:textId="77777777" w:rsidR="00B8474A" w:rsidRDefault="00B8474A" w:rsidP="00B8474A">
      <w:pPr>
        <w:spacing w:after="0"/>
        <w:ind w:left="720" w:hanging="720"/>
      </w:pPr>
      <w:r w:rsidRPr="00335C5E">
        <w:rPr>
          <w:rFonts w:ascii="Arial Nova" w:eastAsia="Arial Nova" w:hAnsi="Arial Nova" w:cs="Arial Nova"/>
        </w:rPr>
        <w:t xml:space="preserve">NHS England (2024) </w:t>
      </w:r>
      <w:r w:rsidRPr="00335C5E">
        <w:rPr>
          <w:rFonts w:ascii="Arial Nova" w:eastAsia="Arial Nova" w:hAnsi="Arial Nova" w:cs="Arial Nova"/>
          <w:i/>
          <w:iCs/>
        </w:rPr>
        <w:t>Antimicrobial Resistance (AMR)</w:t>
      </w:r>
      <w:r w:rsidRPr="00335C5E">
        <w:rPr>
          <w:rFonts w:ascii="Arial Nova" w:eastAsia="Arial Nova" w:hAnsi="Arial Nova" w:cs="Arial Nova"/>
        </w:rPr>
        <w:t xml:space="preserve">. London: NHS England. Available at: </w:t>
      </w:r>
    </w:p>
    <w:p w14:paraId="5669570D" w14:textId="77777777" w:rsidR="00B8474A" w:rsidRDefault="00B8474A" w:rsidP="00B8474A">
      <w:pPr>
        <w:spacing w:after="0"/>
        <w:ind w:left="720" w:hanging="720"/>
      </w:pPr>
      <w:hyperlink r:id="rId20" w:history="1">
        <w:r w:rsidRPr="00196DB1">
          <w:rPr>
            <w:rStyle w:val="Hyperlink"/>
          </w:rPr>
          <w:t>https://www.england.nhs.uk/ourwork/prevention/antimicrobial-resistance-amr/</w:t>
        </w:r>
      </w:hyperlink>
      <w:r w:rsidRPr="00335C5E">
        <w:rPr>
          <w:rFonts w:ascii="Arial Nova" w:eastAsia="Arial Nova" w:hAnsi="Arial Nova" w:cs="Arial Nova"/>
        </w:rPr>
        <w:t xml:space="preserve"> (Accessed: 15 </w:t>
      </w:r>
    </w:p>
    <w:p w14:paraId="223D6551" w14:textId="77777777" w:rsidR="00B8474A" w:rsidRDefault="00B8474A" w:rsidP="00B8474A">
      <w:pPr>
        <w:spacing w:after="0"/>
        <w:ind w:left="720" w:hanging="720"/>
      </w:pPr>
      <w:r w:rsidRPr="00335C5E">
        <w:rPr>
          <w:rFonts w:ascii="Arial Nova" w:eastAsia="Arial Nova" w:hAnsi="Arial Nova" w:cs="Arial Nova"/>
        </w:rPr>
        <w:t>April 2026).</w:t>
      </w:r>
    </w:p>
    <w:p w14:paraId="286494DE" w14:textId="77777777" w:rsidR="00B8474A" w:rsidRPr="00335C5E" w:rsidRDefault="00B8474A" w:rsidP="00B8474A">
      <w:pPr>
        <w:ind w:left="720" w:hanging="720"/>
      </w:pPr>
    </w:p>
    <w:p w14:paraId="35AFC438" w14:textId="77777777" w:rsidR="00B8474A" w:rsidRDefault="00B8474A" w:rsidP="00B8474A">
      <w:pPr>
        <w:spacing w:after="0"/>
        <w:ind w:left="720" w:hanging="720"/>
      </w:pPr>
      <w:r w:rsidRPr="00335C5E">
        <w:rPr>
          <w:rFonts w:ascii="Arial Nova" w:eastAsia="Arial Nova" w:hAnsi="Arial Nova" w:cs="Arial Nova"/>
        </w:rPr>
        <w:t xml:space="preserve">Noble, A.L., Patel, S., Birnie, E., Dorgan, E., Durojaiye, O.C., Emilie, C., Guleri, A., Green, H., </w:t>
      </w:r>
    </w:p>
    <w:p w14:paraId="33075B55" w14:textId="77777777" w:rsidR="00B8474A" w:rsidRDefault="00B8474A" w:rsidP="00B8474A">
      <w:pPr>
        <w:spacing w:after="0"/>
        <w:ind w:left="720" w:hanging="720"/>
      </w:pPr>
      <w:r w:rsidRPr="00335C5E">
        <w:rPr>
          <w:rFonts w:ascii="Arial Nova" w:eastAsia="Arial Nova" w:hAnsi="Arial Nova" w:cs="Arial Nova"/>
        </w:rPr>
        <w:t xml:space="preserve">Hedderwick, S., Hinds, L., Mahoney, M.V., McIntyre, K., Sime, F.B., Seddon, O., Statham, J., </w:t>
      </w:r>
    </w:p>
    <w:p w14:paraId="3C478E31" w14:textId="77777777" w:rsidR="00B8474A" w:rsidRDefault="00B8474A" w:rsidP="00B8474A">
      <w:pPr>
        <w:spacing w:after="0"/>
        <w:ind w:left="720" w:hanging="720"/>
      </w:pPr>
      <w:r w:rsidRPr="00335C5E">
        <w:rPr>
          <w:rFonts w:ascii="Arial Nova" w:eastAsia="Arial Nova" w:hAnsi="Arial Nova" w:cs="Arial Nova"/>
        </w:rPr>
        <w:t xml:space="preserve">Woodley, M., Gilchrist, M. and Seaton, R.A. (2026) '2026 updated good practice </w:t>
      </w:r>
    </w:p>
    <w:p w14:paraId="2026BE20" w14:textId="77777777" w:rsidR="00B8474A" w:rsidRDefault="00B8474A" w:rsidP="00B8474A">
      <w:pPr>
        <w:spacing w:after="0"/>
        <w:ind w:left="720" w:hanging="720"/>
      </w:pPr>
      <w:r w:rsidRPr="00335C5E">
        <w:rPr>
          <w:rFonts w:ascii="Arial Nova" w:eastAsia="Arial Nova" w:hAnsi="Arial Nova" w:cs="Arial Nova"/>
        </w:rPr>
        <w:t xml:space="preserve">recommendations for outpatient parenteral antimicrobial therapy (OPAT) in adults and </w:t>
      </w:r>
    </w:p>
    <w:p w14:paraId="0958A0AE" w14:textId="77777777" w:rsidR="00B8474A" w:rsidRDefault="00B8474A" w:rsidP="00B8474A">
      <w:pPr>
        <w:spacing w:after="0"/>
        <w:ind w:left="720" w:hanging="720"/>
      </w:pPr>
      <w:r w:rsidRPr="00335C5E">
        <w:rPr>
          <w:rFonts w:ascii="Arial Nova" w:eastAsia="Arial Nova" w:hAnsi="Arial Nova" w:cs="Arial Nova"/>
        </w:rPr>
        <w:t xml:space="preserve">children in the UK', </w:t>
      </w:r>
      <w:r w:rsidRPr="00335C5E">
        <w:rPr>
          <w:rFonts w:ascii="Arial Nova" w:eastAsia="Arial Nova" w:hAnsi="Arial Nova" w:cs="Arial Nova"/>
          <w:i/>
          <w:iCs/>
        </w:rPr>
        <w:t>JAC-Antimicrobial Resistance</w:t>
      </w:r>
      <w:r w:rsidRPr="00335C5E">
        <w:rPr>
          <w:rFonts w:ascii="Arial Nova" w:eastAsia="Arial Nova" w:hAnsi="Arial Nova" w:cs="Arial Nova"/>
        </w:rPr>
        <w:t>, 8(2), dlag044.</w:t>
      </w:r>
    </w:p>
    <w:p w14:paraId="2818D887" w14:textId="77777777" w:rsidR="00B8474A" w:rsidRPr="00335C5E" w:rsidRDefault="00B8474A" w:rsidP="00B8474A">
      <w:pPr>
        <w:ind w:left="720" w:hanging="720"/>
      </w:pPr>
    </w:p>
    <w:p w14:paraId="5C37780D" w14:textId="77777777" w:rsidR="00B8474A" w:rsidRDefault="00B8474A" w:rsidP="00B8474A">
      <w:pPr>
        <w:spacing w:after="0"/>
        <w:ind w:left="720" w:hanging="720"/>
        <w:rPr>
          <w:i/>
          <w:iCs/>
        </w:rPr>
      </w:pPr>
      <w:r w:rsidRPr="00335C5E">
        <w:rPr>
          <w:rFonts w:ascii="Arial Nova" w:eastAsia="Arial Nova" w:hAnsi="Arial Nova" w:cs="Arial Nova"/>
        </w:rPr>
        <w:lastRenderedPageBreak/>
        <w:t xml:space="preserve">O'Neill, J. (2016) </w:t>
      </w:r>
      <w:r w:rsidRPr="00335C5E">
        <w:rPr>
          <w:rFonts w:ascii="Arial Nova" w:eastAsia="Arial Nova" w:hAnsi="Arial Nova" w:cs="Arial Nova"/>
          <w:i/>
          <w:iCs/>
        </w:rPr>
        <w:t xml:space="preserve">Tackling Drug-Resistant Infections Globally: Final Report and </w:t>
      </w:r>
    </w:p>
    <w:p w14:paraId="57056FBA" w14:textId="77777777" w:rsidR="00B8474A" w:rsidRDefault="00B8474A" w:rsidP="00B8474A">
      <w:pPr>
        <w:spacing w:after="0"/>
        <w:ind w:left="720" w:hanging="720"/>
      </w:pPr>
      <w:r w:rsidRPr="00335C5E">
        <w:rPr>
          <w:rFonts w:ascii="Arial Nova" w:eastAsia="Arial Nova" w:hAnsi="Arial Nova" w:cs="Arial Nova"/>
          <w:i/>
          <w:iCs/>
        </w:rPr>
        <w:t>Recommendations</w:t>
      </w:r>
      <w:r w:rsidRPr="00335C5E">
        <w:rPr>
          <w:rFonts w:ascii="Arial Nova" w:eastAsia="Arial Nova" w:hAnsi="Arial Nova" w:cs="Arial Nova"/>
        </w:rPr>
        <w:t>. London: Wellcome Trust and HM Government. Available at:</w:t>
      </w:r>
    </w:p>
    <w:p w14:paraId="069C06B8" w14:textId="77777777" w:rsidR="00B8474A" w:rsidRDefault="00B8474A" w:rsidP="00B8474A">
      <w:pPr>
        <w:spacing w:after="0"/>
        <w:ind w:left="720" w:hanging="720"/>
      </w:pPr>
      <w:r w:rsidRPr="00335C5E">
        <w:rPr>
          <w:rFonts w:ascii="Arial Nova" w:eastAsia="Arial Nova" w:hAnsi="Arial Nova" w:cs="Arial Nova"/>
        </w:rPr>
        <w:t xml:space="preserve"> </w:t>
      </w:r>
      <w:hyperlink r:id="rId21" w:history="1">
        <w:r w:rsidRPr="00335C5E">
          <w:rPr>
            <w:rStyle w:val="Hyperlink"/>
            <w:rFonts w:ascii="Arial Nova" w:eastAsia="Arial Nova" w:hAnsi="Arial Nova" w:cs="Arial Nova"/>
            <w:color w:val="0563C1"/>
          </w:rPr>
          <w:t>https://amr-review.org/sites/default/files/160518_Final%20paper_with%20cover.pdf</w:t>
        </w:r>
      </w:hyperlink>
      <w:r w:rsidRPr="00335C5E">
        <w:rPr>
          <w:rFonts w:ascii="Arial Nova" w:eastAsia="Arial Nova" w:hAnsi="Arial Nova" w:cs="Arial Nova"/>
        </w:rPr>
        <w:t xml:space="preserve"> </w:t>
      </w:r>
    </w:p>
    <w:p w14:paraId="2ABA73A6" w14:textId="77777777" w:rsidR="00B8474A" w:rsidRDefault="00B8474A" w:rsidP="00B8474A">
      <w:pPr>
        <w:spacing w:after="0"/>
        <w:ind w:left="720" w:hanging="720"/>
      </w:pPr>
      <w:r w:rsidRPr="00335C5E">
        <w:rPr>
          <w:rFonts w:ascii="Arial Nova" w:eastAsia="Arial Nova" w:hAnsi="Arial Nova" w:cs="Arial Nova"/>
        </w:rPr>
        <w:t>(Accessed: 17 April 2026).</w:t>
      </w:r>
    </w:p>
    <w:p w14:paraId="4DF360A0" w14:textId="77777777" w:rsidR="00B8474A" w:rsidRPr="00335C5E" w:rsidRDefault="00B8474A" w:rsidP="00B8474A">
      <w:pPr>
        <w:ind w:left="720" w:hanging="720"/>
      </w:pPr>
    </w:p>
    <w:p w14:paraId="0CCEB23E" w14:textId="77777777" w:rsidR="00B8474A" w:rsidRDefault="00B8474A" w:rsidP="00B8474A">
      <w:pPr>
        <w:spacing w:after="0"/>
        <w:ind w:left="720" w:hanging="720"/>
      </w:pPr>
      <w:r w:rsidRPr="00335C5E">
        <w:rPr>
          <w:rFonts w:ascii="Arial Nova" w:eastAsia="Arial Nova" w:hAnsi="Arial Nova" w:cs="Arial Nova"/>
        </w:rPr>
        <w:t xml:space="preserve">Onsea, J., Wagemans, J., Pirnay, J.P., Di Luca, M., Uyttebroek, S., Lood, C., Van Gerven, L., </w:t>
      </w:r>
    </w:p>
    <w:p w14:paraId="7098BF60" w14:textId="77777777" w:rsidR="00B8474A" w:rsidRDefault="00B8474A" w:rsidP="00B8474A">
      <w:pPr>
        <w:spacing w:after="0"/>
        <w:ind w:left="720" w:hanging="720"/>
      </w:pPr>
      <w:r w:rsidRPr="00335C5E">
        <w:rPr>
          <w:rFonts w:ascii="Arial Nova" w:eastAsia="Arial Nova" w:hAnsi="Arial Nova" w:cs="Arial Nova"/>
        </w:rPr>
        <w:t xml:space="preserve">Spriet, I., Devolder, D., Debaveye, Y., Depypere, M. and Metsemakers, W.J. (2021) </w:t>
      </w:r>
    </w:p>
    <w:p w14:paraId="2EF2B153" w14:textId="77777777" w:rsidR="00B8474A" w:rsidRDefault="00B8474A" w:rsidP="00B8474A">
      <w:pPr>
        <w:spacing w:after="0"/>
        <w:ind w:left="720" w:hanging="720"/>
      </w:pPr>
      <w:r w:rsidRPr="00335C5E">
        <w:rPr>
          <w:rFonts w:ascii="Arial Nova" w:eastAsia="Arial Nova" w:hAnsi="Arial Nova" w:cs="Arial Nova"/>
        </w:rPr>
        <w:t xml:space="preserve">'Bacteriophage therapy for difficult-to-treat infections: the implementation of a </w:t>
      </w:r>
    </w:p>
    <w:p w14:paraId="2F8982E9" w14:textId="77777777" w:rsidR="00B8474A" w:rsidRDefault="00B8474A" w:rsidP="00B8474A">
      <w:pPr>
        <w:spacing w:after="0"/>
        <w:ind w:left="720" w:hanging="720"/>
      </w:pPr>
      <w:r w:rsidRPr="00335C5E">
        <w:rPr>
          <w:rFonts w:ascii="Arial Nova" w:eastAsia="Arial Nova" w:hAnsi="Arial Nova" w:cs="Arial Nova"/>
        </w:rPr>
        <w:t xml:space="preserve">multidisciplinary phage task force (the PHAGEFORCE study protocol)', </w:t>
      </w:r>
      <w:r w:rsidRPr="00335C5E">
        <w:rPr>
          <w:rFonts w:ascii="Arial Nova" w:eastAsia="Arial Nova" w:hAnsi="Arial Nova" w:cs="Arial Nova"/>
          <w:i/>
          <w:iCs/>
        </w:rPr>
        <w:t>Viruses</w:t>
      </w:r>
      <w:r w:rsidRPr="00335C5E">
        <w:rPr>
          <w:rFonts w:ascii="Arial Nova" w:eastAsia="Arial Nova" w:hAnsi="Arial Nova" w:cs="Arial Nova"/>
        </w:rPr>
        <w:t>, 13(8), 1543.</w:t>
      </w:r>
    </w:p>
    <w:p w14:paraId="4970029B" w14:textId="77777777" w:rsidR="00B8474A" w:rsidRPr="00335C5E" w:rsidRDefault="00B8474A" w:rsidP="00B8474A">
      <w:pPr>
        <w:ind w:left="720" w:hanging="720"/>
      </w:pPr>
    </w:p>
    <w:p w14:paraId="6920C59B" w14:textId="77777777" w:rsidR="00B8474A" w:rsidRDefault="00B8474A" w:rsidP="00B8474A">
      <w:pPr>
        <w:spacing w:after="0"/>
        <w:ind w:left="720" w:hanging="720"/>
      </w:pPr>
      <w:r w:rsidRPr="00335C5E">
        <w:rPr>
          <w:rFonts w:ascii="Arial Nova" w:eastAsia="Arial Nova" w:hAnsi="Arial Nova" w:cs="Arial Nova"/>
        </w:rPr>
        <w:t xml:space="preserve">Padigos, J., Ritchie, S. and Lim, A.G. (2020) 'Enhancing nurses' future role in antimicrobial </w:t>
      </w:r>
    </w:p>
    <w:p w14:paraId="2949A839" w14:textId="77777777" w:rsidR="00B8474A" w:rsidRDefault="00B8474A" w:rsidP="00B8474A">
      <w:pPr>
        <w:spacing w:after="0"/>
        <w:ind w:left="720" w:hanging="720"/>
      </w:pPr>
      <w:r w:rsidRPr="00335C5E">
        <w:rPr>
          <w:rFonts w:ascii="Arial Nova" w:eastAsia="Arial Nova" w:hAnsi="Arial Nova" w:cs="Arial Nova"/>
        </w:rPr>
        <w:t xml:space="preserve">stewardship', </w:t>
      </w:r>
      <w:r w:rsidRPr="00335C5E">
        <w:rPr>
          <w:rFonts w:ascii="Arial Nova" w:eastAsia="Arial Nova" w:hAnsi="Arial Nova" w:cs="Arial Nova"/>
          <w:i/>
          <w:iCs/>
        </w:rPr>
        <w:t>Collegian</w:t>
      </w:r>
      <w:r w:rsidRPr="00335C5E">
        <w:rPr>
          <w:rFonts w:ascii="Arial Nova" w:eastAsia="Arial Nova" w:hAnsi="Arial Nova" w:cs="Arial Nova"/>
        </w:rPr>
        <w:t>, 27(5), pp. 487–498.</w:t>
      </w:r>
    </w:p>
    <w:p w14:paraId="09C74F2E" w14:textId="77777777" w:rsidR="00B8474A" w:rsidRPr="00335C5E" w:rsidRDefault="00B8474A" w:rsidP="00B8474A">
      <w:pPr>
        <w:ind w:left="720" w:hanging="720"/>
      </w:pPr>
    </w:p>
    <w:p w14:paraId="3E353B3A" w14:textId="77777777" w:rsidR="00B8474A" w:rsidRDefault="00B8474A" w:rsidP="00B8474A">
      <w:pPr>
        <w:spacing w:after="0"/>
        <w:ind w:left="720" w:hanging="720"/>
      </w:pPr>
      <w:r w:rsidRPr="00335C5E">
        <w:rPr>
          <w:rFonts w:ascii="Arial Nova" w:eastAsia="Arial Nova" w:hAnsi="Arial Nova" w:cs="Arial Nova"/>
        </w:rPr>
        <w:t xml:space="preserve">Pirnay, J.P. and Kutter, E. (2021) 'Bacteriophages: it's a medicine, Jim, but not as we know it', </w:t>
      </w:r>
    </w:p>
    <w:p w14:paraId="1B2DFDA9" w14:textId="77777777" w:rsidR="00B8474A" w:rsidRDefault="00B8474A" w:rsidP="00B8474A">
      <w:pPr>
        <w:spacing w:after="0"/>
        <w:ind w:left="720" w:hanging="720"/>
        <w:rPr>
          <w:rFonts w:ascii="Arial Nova" w:eastAsia="Arial Nova" w:hAnsi="Arial Nova" w:cs="Arial Nova"/>
        </w:rPr>
      </w:pPr>
      <w:r w:rsidRPr="00335C5E">
        <w:rPr>
          <w:rFonts w:ascii="Arial Nova" w:eastAsia="Arial Nova" w:hAnsi="Arial Nova" w:cs="Arial Nova"/>
          <w:i/>
          <w:iCs/>
        </w:rPr>
        <w:t>The Lancet Infectious Diseases</w:t>
      </w:r>
      <w:r w:rsidRPr="00335C5E">
        <w:rPr>
          <w:rFonts w:ascii="Arial Nova" w:eastAsia="Arial Nova" w:hAnsi="Arial Nova" w:cs="Arial Nova"/>
        </w:rPr>
        <w:t>, 21(3), pp. 309–311.</w:t>
      </w:r>
    </w:p>
    <w:p w14:paraId="451B21A2" w14:textId="77777777" w:rsidR="00B8474A" w:rsidRDefault="00B8474A" w:rsidP="00B8474A">
      <w:pPr>
        <w:spacing w:after="0"/>
        <w:ind w:left="720" w:hanging="720"/>
      </w:pPr>
    </w:p>
    <w:p w14:paraId="5F64BF12" w14:textId="77777777" w:rsidR="00773638" w:rsidRDefault="00773638" w:rsidP="00773638">
      <w:pPr>
        <w:spacing w:after="0"/>
        <w:ind w:left="720" w:hanging="720"/>
      </w:pPr>
      <w:r w:rsidRPr="00335C5E">
        <w:rPr>
          <w:rFonts w:ascii="Arial Nova" w:eastAsia="Arial Nova" w:hAnsi="Arial Nova" w:cs="Arial Nova"/>
        </w:rPr>
        <w:t xml:space="preserve">Royal College of Nursing (2023) </w:t>
      </w:r>
      <w:r w:rsidRPr="00335C5E">
        <w:rPr>
          <w:rFonts w:ascii="Arial Nova" w:eastAsia="Arial Nova" w:hAnsi="Arial Nova" w:cs="Arial Nova"/>
          <w:i/>
          <w:iCs/>
        </w:rPr>
        <w:t>Antimicrobial Resistance</w:t>
      </w:r>
      <w:r w:rsidRPr="00335C5E">
        <w:rPr>
          <w:rFonts w:ascii="Arial Nova" w:eastAsia="Arial Nova" w:hAnsi="Arial Nova" w:cs="Arial Nova"/>
        </w:rPr>
        <w:t xml:space="preserve">. London: Royal College of Nursing. </w:t>
      </w:r>
    </w:p>
    <w:p w14:paraId="370308A1" w14:textId="77777777" w:rsidR="00773638" w:rsidRDefault="00773638" w:rsidP="00773638">
      <w:pPr>
        <w:spacing w:after="0"/>
        <w:ind w:left="720" w:hanging="720"/>
      </w:pPr>
      <w:r w:rsidRPr="00335C5E">
        <w:rPr>
          <w:rFonts w:ascii="Arial Nova" w:eastAsia="Arial Nova" w:hAnsi="Arial Nova" w:cs="Arial Nova"/>
        </w:rPr>
        <w:t>Available at:</w:t>
      </w:r>
    </w:p>
    <w:p w14:paraId="0A6EE255" w14:textId="77777777" w:rsidR="00773638" w:rsidRDefault="00773638" w:rsidP="00773638">
      <w:pPr>
        <w:spacing w:after="0"/>
      </w:pPr>
      <w:r w:rsidRPr="00335C5E">
        <w:rPr>
          <w:rFonts w:ascii="Arial Nova" w:eastAsia="Arial Nova" w:hAnsi="Arial Nova" w:cs="Arial Nova"/>
        </w:rPr>
        <w:t xml:space="preserve"> </w:t>
      </w:r>
      <w:hyperlink r:id="rId22" w:history="1">
        <w:r w:rsidRPr="00335C5E">
          <w:rPr>
            <w:rStyle w:val="Hyperlink"/>
            <w:rFonts w:ascii="Arial Nova" w:eastAsia="Arial Nova" w:hAnsi="Arial Nova" w:cs="Arial Nova"/>
            <w:color w:val="0563C1"/>
          </w:rPr>
          <w:t>https://www.rcn.org.uk/clinical-topics/Infection-prevention-and-control/antimicrobial-resistance</w:t>
        </w:r>
      </w:hyperlink>
      <w:r w:rsidRPr="00335C5E">
        <w:rPr>
          <w:rFonts w:ascii="Arial Nova" w:eastAsia="Arial Nova" w:hAnsi="Arial Nova" w:cs="Arial Nova"/>
        </w:rPr>
        <w:t xml:space="preserve"> (Accessed: 21 April 2026).</w:t>
      </w:r>
    </w:p>
    <w:p w14:paraId="5AED8230" w14:textId="77777777" w:rsidR="00773638" w:rsidRPr="00335C5E" w:rsidRDefault="00773638" w:rsidP="00773638"/>
    <w:p w14:paraId="64A844D3" w14:textId="77777777" w:rsidR="00773638" w:rsidRDefault="00773638" w:rsidP="00773638">
      <w:pPr>
        <w:spacing w:after="200"/>
      </w:pPr>
      <w:r w:rsidRPr="00335C5E">
        <w:rPr>
          <w:rFonts w:ascii="Arial Nova" w:eastAsia="Arial Nova" w:hAnsi="Arial Nova" w:cs="Arial Nova"/>
        </w:rPr>
        <w:t xml:space="preserve">Schooley, R.T., Biswas, B., Gill, J.J., Hernandez-Morales, A., Lancaster, J., Lessor, L., Barr,J.J., Reed, S.L., Rohwer, F., Benler, S., Segall, A.M., Taplitz, R., Smith, D.M., Kerr, K., Kumaraswamy, M., Nizet, V., Lin, L., McCauley, M.D., Strathdee, S.A. and Benson, C.A. (2017) 'Development and use of personalized bacteriophage-based therapeutic cocktails to treat a patient with a disseminated resistant Acinetobacter baumannii infection', </w:t>
      </w:r>
      <w:r w:rsidRPr="00335C5E">
        <w:rPr>
          <w:rFonts w:ascii="Arial Nova" w:eastAsia="Arial Nova" w:hAnsi="Arial Nova" w:cs="Arial Nova"/>
          <w:i/>
          <w:iCs/>
        </w:rPr>
        <w:t>Antimicrobial Agents and Chemotherapy</w:t>
      </w:r>
      <w:r w:rsidRPr="00335C5E">
        <w:rPr>
          <w:rFonts w:ascii="Arial Nova" w:eastAsia="Arial Nova" w:hAnsi="Arial Nova" w:cs="Arial Nova"/>
        </w:rPr>
        <w:t>, 61(10), e00954-17.</w:t>
      </w:r>
    </w:p>
    <w:p w14:paraId="2665473E" w14:textId="77777777" w:rsidR="00773638" w:rsidRPr="00335C5E" w:rsidRDefault="00773638" w:rsidP="00773638">
      <w:pPr>
        <w:spacing w:after="200"/>
      </w:pPr>
    </w:p>
    <w:p w14:paraId="166AE147" w14:textId="77777777" w:rsidR="00773638" w:rsidRDefault="00773638" w:rsidP="00773638">
      <w:pPr>
        <w:spacing w:after="200"/>
      </w:pPr>
      <w:r w:rsidRPr="00335C5E">
        <w:rPr>
          <w:rFonts w:ascii="Arial Nova" w:eastAsia="Arial Nova" w:hAnsi="Arial Nova" w:cs="Arial Nova"/>
        </w:rPr>
        <w:t xml:space="preserve">Serwer, P. (2025) 'Role of phages in past molecular biology and potentially in future biomedicine', </w:t>
      </w:r>
      <w:r w:rsidRPr="00335C5E">
        <w:rPr>
          <w:rFonts w:ascii="Arial Nova" w:eastAsia="Arial Nova" w:hAnsi="Arial Nova" w:cs="Arial Nova"/>
          <w:i/>
          <w:iCs/>
        </w:rPr>
        <w:t>Encyclopedia</w:t>
      </w:r>
      <w:r w:rsidRPr="00335C5E">
        <w:rPr>
          <w:rFonts w:ascii="Arial Nova" w:eastAsia="Arial Nova" w:hAnsi="Arial Nova" w:cs="Arial Nova"/>
        </w:rPr>
        <w:t>, 5(2), p. 58.</w:t>
      </w:r>
    </w:p>
    <w:p w14:paraId="1D512CC6" w14:textId="77777777" w:rsidR="00773638" w:rsidRPr="00335C5E" w:rsidRDefault="00773638" w:rsidP="00773638">
      <w:pPr>
        <w:spacing w:after="200"/>
      </w:pPr>
    </w:p>
    <w:p w14:paraId="4E2F6273" w14:textId="77777777" w:rsidR="00773638" w:rsidRDefault="00773638" w:rsidP="00773638">
      <w:pPr>
        <w:spacing w:after="200"/>
      </w:pPr>
      <w:r w:rsidRPr="00335C5E">
        <w:rPr>
          <w:rFonts w:ascii="Arial Nova" w:eastAsia="Arial Nova" w:hAnsi="Arial Nova" w:cs="Arial Nova"/>
        </w:rPr>
        <w:lastRenderedPageBreak/>
        <w:t xml:space="preserve">Steele, A., Stacey, H.J., de Soir, S. and Jones, J.D. (2022) 'The safety and efficacy of phage therapy for superficial bacterial infections: a systematic review', </w:t>
      </w:r>
      <w:r w:rsidRPr="00335C5E">
        <w:rPr>
          <w:rFonts w:ascii="Arial Nova" w:eastAsia="Arial Nova" w:hAnsi="Arial Nova" w:cs="Arial Nova"/>
          <w:i/>
          <w:iCs/>
        </w:rPr>
        <w:t>Antibiotics</w:t>
      </w:r>
      <w:r w:rsidRPr="00335C5E">
        <w:rPr>
          <w:rFonts w:ascii="Arial Nova" w:eastAsia="Arial Nova" w:hAnsi="Arial Nova" w:cs="Arial Nova"/>
        </w:rPr>
        <w:t>, 9(11), 754.</w:t>
      </w:r>
    </w:p>
    <w:p w14:paraId="0AE0AA4D" w14:textId="77777777" w:rsidR="00773638" w:rsidRPr="00335C5E" w:rsidRDefault="00773638" w:rsidP="00773638">
      <w:pPr>
        <w:spacing w:after="200"/>
      </w:pPr>
    </w:p>
    <w:p w14:paraId="67F1FB40" w14:textId="77777777" w:rsidR="00773638" w:rsidRDefault="00773638" w:rsidP="00773638">
      <w:pPr>
        <w:spacing w:after="200"/>
      </w:pPr>
      <w:r w:rsidRPr="00335C5E">
        <w:rPr>
          <w:rFonts w:ascii="Arial Nova" w:eastAsia="Arial Nova" w:hAnsi="Arial Nova" w:cs="Arial Nova"/>
        </w:rPr>
        <w:t xml:space="preserve">Suh, G.A., Lodise, T.P., Tamma, P.D., Knisely, J.M., Alexander, J., Aslam, S., Barton, K.D., Bizzell, E., Totten, K.M.C., Campbell, J.L., Chan, B.K., Cunningham, S.A., Goodman, K.E., Greenwood-Quaintance, K.E., Harris, A.D., Hesse, S., Maresso, A., Nussenblatt, V., Pride, D., Rybak, M.J., Sund, Z., van Duin, D., Van Tyne, D. and Patel, R. (2022) 'Considerations for the use of phage therapy in clinical practice', </w:t>
      </w:r>
      <w:r w:rsidRPr="00335C5E">
        <w:rPr>
          <w:rFonts w:ascii="Arial Nova" w:eastAsia="Arial Nova" w:hAnsi="Arial Nova" w:cs="Arial Nova"/>
          <w:i/>
          <w:iCs/>
        </w:rPr>
        <w:t>Antimicrobial Agents and Chemotherapy</w:t>
      </w:r>
      <w:r w:rsidRPr="00335C5E">
        <w:rPr>
          <w:rFonts w:ascii="Arial Nova" w:eastAsia="Arial Nova" w:hAnsi="Arial Nova" w:cs="Arial Nova"/>
        </w:rPr>
        <w:t>, 66(3), e02071-21.</w:t>
      </w:r>
    </w:p>
    <w:p w14:paraId="4940B7B1" w14:textId="77777777" w:rsidR="00773638" w:rsidRPr="00335C5E" w:rsidRDefault="00773638" w:rsidP="00773638">
      <w:pPr>
        <w:spacing w:after="200"/>
      </w:pPr>
    </w:p>
    <w:p w14:paraId="52D3DB4A" w14:textId="77777777" w:rsidR="00773638" w:rsidRDefault="00773638" w:rsidP="00773638">
      <w:pPr>
        <w:spacing w:after="200"/>
      </w:pPr>
      <w:r w:rsidRPr="00335C5E">
        <w:rPr>
          <w:rFonts w:ascii="Arial Nova" w:eastAsia="Arial Nova" w:hAnsi="Arial Nova" w:cs="Arial Nova"/>
        </w:rPr>
        <w:t xml:space="preserve">Sulakvelidze, A., Alavidze, Z. and Morris, J.G. (2001) 'Bacteriophage therapy', </w:t>
      </w:r>
      <w:r w:rsidRPr="00335C5E">
        <w:rPr>
          <w:rFonts w:ascii="Arial Nova" w:eastAsia="Arial Nova" w:hAnsi="Arial Nova" w:cs="Arial Nova"/>
          <w:i/>
          <w:iCs/>
        </w:rPr>
        <w:t>Antimicrobial Agents and Chemotherapy</w:t>
      </w:r>
      <w:r w:rsidRPr="00335C5E">
        <w:rPr>
          <w:rFonts w:ascii="Arial Nova" w:eastAsia="Arial Nova" w:hAnsi="Arial Nova" w:cs="Arial Nova"/>
        </w:rPr>
        <w:t>, 45(3), pp. 649–659.</w:t>
      </w:r>
    </w:p>
    <w:p w14:paraId="2490857E" w14:textId="77777777" w:rsidR="00773638" w:rsidRPr="00335C5E" w:rsidRDefault="00773638" w:rsidP="00773638">
      <w:pPr>
        <w:spacing w:after="200"/>
      </w:pPr>
    </w:p>
    <w:p w14:paraId="575E03EB" w14:textId="77777777" w:rsidR="00773638" w:rsidRDefault="00773638" w:rsidP="00773638">
      <w:pPr>
        <w:spacing w:after="200"/>
        <w:rPr>
          <w:rFonts w:ascii="Arial Nova" w:eastAsia="Arial Nova" w:hAnsi="Arial Nova" w:cs="Arial Nova"/>
        </w:rPr>
      </w:pPr>
      <w:r w:rsidRPr="00335C5E">
        <w:rPr>
          <w:rFonts w:ascii="Arial Nova" w:eastAsia="Arial Nova" w:hAnsi="Arial Nova" w:cs="Arial Nova"/>
        </w:rPr>
        <w:t xml:space="preserve">Summers, W.C. (2012) 'The strange history of phage therapy', </w:t>
      </w:r>
      <w:r w:rsidRPr="00335C5E">
        <w:rPr>
          <w:rFonts w:ascii="Arial Nova" w:eastAsia="Arial Nova" w:hAnsi="Arial Nova" w:cs="Arial Nova"/>
          <w:i/>
          <w:iCs/>
        </w:rPr>
        <w:t>Bacteriophage</w:t>
      </w:r>
      <w:r w:rsidRPr="00335C5E">
        <w:rPr>
          <w:rFonts w:ascii="Arial Nova" w:eastAsia="Arial Nova" w:hAnsi="Arial Nova" w:cs="Arial Nova"/>
        </w:rPr>
        <w:t>, 2(2), pp. 130–133.</w:t>
      </w:r>
    </w:p>
    <w:p w14:paraId="56FF17A3" w14:textId="77777777" w:rsidR="00FE7B63" w:rsidRDefault="00FE7B63" w:rsidP="00773638">
      <w:pPr>
        <w:spacing w:after="200"/>
        <w:rPr>
          <w:rFonts w:ascii="Arial Nova" w:eastAsia="Arial Nova" w:hAnsi="Arial Nova" w:cs="Arial Nova"/>
        </w:rPr>
      </w:pPr>
    </w:p>
    <w:p w14:paraId="6AF45B8A" w14:textId="77777777" w:rsidR="00E12740" w:rsidRDefault="00E12740" w:rsidP="00E12740">
      <w:pPr>
        <w:spacing w:after="200"/>
      </w:pPr>
      <w:r w:rsidRPr="00335C5E">
        <w:rPr>
          <w:rFonts w:ascii="Arial Nova" w:eastAsia="Arial Nova" w:hAnsi="Arial Nova" w:cs="Arial Nova"/>
        </w:rPr>
        <w:t xml:space="preserve">Sunley, K., Gallagher, R., Reidy, P. and Dunn, H. (2017) 'Essential practice for infection prevention and control: RCN guidance for nursing staff', </w:t>
      </w:r>
      <w:r w:rsidRPr="00335C5E">
        <w:rPr>
          <w:rFonts w:ascii="Arial Nova" w:eastAsia="Arial Nova" w:hAnsi="Arial Nova" w:cs="Arial Nova"/>
          <w:i/>
          <w:iCs/>
        </w:rPr>
        <w:t>British Journal of Healthcare Assistants</w:t>
      </w:r>
      <w:r w:rsidRPr="00335C5E">
        <w:rPr>
          <w:rFonts w:ascii="Arial Nova" w:eastAsia="Arial Nova" w:hAnsi="Arial Nova" w:cs="Arial Nova"/>
        </w:rPr>
        <w:t>, 11(12), pp. 586–593.</w:t>
      </w:r>
    </w:p>
    <w:p w14:paraId="3B68A090" w14:textId="77777777" w:rsidR="00E12740" w:rsidRDefault="00E12740" w:rsidP="00E12740">
      <w:pPr>
        <w:spacing w:after="200"/>
      </w:pPr>
    </w:p>
    <w:p w14:paraId="37E48FA7" w14:textId="77777777" w:rsidR="00E12740" w:rsidRDefault="00E12740" w:rsidP="00E12740">
      <w:pPr>
        <w:spacing w:after="200"/>
      </w:pPr>
      <w:r w:rsidRPr="00335C5E">
        <w:rPr>
          <w:rFonts w:ascii="Arial Nova" w:eastAsia="Arial Nova" w:hAnsi="Arial Nova" w:cs="Arial Nova"/>
        </w:rPr>
        <w:t xml:space="preserve">UK Health Security Agency (UKHSA) (2024) </w:t>
      </w:r>
      <w:r w:rsidRPr="00335C5E">
        <w:rPr>
          <w:rFonts w:ascii="Arial Nova" w:eastAsia="Arial Nova" w:hAnsi="Arial Nova" w:cs="Arial Nova"/>
          <w:i/>
          <w:iCs/>
        </w:rPr>
        <w:t>English Surveillance Programme for Antimicrobial Utilisation and Resistance (ESPAUR) Report 2023 to 2024</w:t>
      </w:r>
      <w:r w:rsidRPr="00335C5E">
        <w:rPr>
          <w:rFonts w:ascii="Arial Nova" w:eastAsia="Arial Nova" w:hAnsi="Arial Nova" w:cs="Arial Nova"/>
        </w:rPr>
        <w:t xml:space="preserve">. London: UKHSA. Available at: </w:t>
      </w:r>
      <w:hyperlink r:id="rId23" w:history="1">
        <w:r w:rsidRPr="00335C5E">
          <w:rPr>
            <w:rStyle w:val="Hyperlink"/>
            <w:rFonts w:ascii="Arial Nova" w:eastAsia="Arial Nova" w:hAnsi="Arial Nova" w:cs="Arial Nova"/>
            <w:color w:val="0563C1"/>
          </w:rPr>
          <w:t>https://www.gov.uk/government/publications/english-surveillance-programme-antimicrobial-utilisation-and-resistance-espaur-report</w:t>
        </w:r>
      </w:hyperlink>
      <w:r w:rsidRPr="00335C5E">
        <w:rPr>
          <w:rFonts w:ascii="Arial Nova" w:eastAsia="Arial Nova" w:hAnsi="Arial Nova" w:cs="Arial Nova"/>
        </w:rPr>
        <w:t xml:space="preserve"> (Accessed: 13 May 2026).</w:t>
      </w:r>
    </w:p>
    <w:p w14:paraId="5667BD41" w14:textId="77777777" w:rsidR="00E12740" w:rsidRDefault="00E12740" w:rsidP="00E12740">
      <w:pPr>
        <w:spacing w:after="200"/>
      </w:pPr>
    </w:p>
    <w:p w14:paraId="64D43A4E" w14:textId="77777777" w:rsidR="00E12740" w:rsidRDefault="00E12740" w:rsidP="00E12740">
      <w:pPr>
        <w:spacing w:after="200"/>
      </w:pPr>
      <w:r w:rsidRPr="00335C5E">
        <w:rPr>
          <w:rFonts w:ascii="Arial Nova" w:eastAsia="Arial Nova" w:hAnsi="Arial Nova" w:cs="Arial Nova"/>
        </w:rPr>
        <w:t xml:space="preserve">Uyttebroek, S., Chen, B., Onsea, J., Ruythooren, F., Debaveye, Y., Devolder, D., Spriet, I., Depypere, M., Wagemans, J., Lavigne, R., Pirnay, J.P., Merabishvili, M., De Munter, P., Peetermans, W.E., Dupont, L., Van Gerven, L. and Metsemakers, W.J. (2022) 'Safety and efficacy of phage therapy in difficult-to-treat infections: a systematic review', </w:t>
      </w:r>
      <w:r w:rsidRPr="00335C5E">
        <w:rPr>
          <w:rFonts w:ascii="Arial Nova" w:eastAsia="Arial Nova" w:hAnsi="Arial Nova" w:cs="Arial Nova"/>
          <w:i/>
          <w:iCs/>
        </w:rPr>
        <w:t>The Lancet Infectious Diseases</w:t>
      </w:r>
      <w:r w:rsidRPr="00335C5E">
        <w:rPr>
          <w:rFonts w:ascii="Arial Nova" w:eastAsia="Arial Nova" w:hAnsi="Arial Nova" w:cs="Arial Nova"/>
        </w:rPr>
        <w:t>, 22(8), pp. e208–e220. doi:10.1016/S1473-3099(21)00612-5.</w:t>
      </w:r>
    </w:p>
    <w:p w14:paraId="3CCDBE6B" w14:textId="77777777" w:rsidR="00E12740" w:rsidRDefault="00E12740" w:rsidP="00E12740">
      <w:pPr>
        <w:spacing w:after="200"/>
      </w:pPr>
    </w:p>
    <w:p w14:paraId="3C0EE0EB" w14:textId="77777777" w:rsidR="00E12740" w:rsidRDefault="00E12740" w:rsidP="002B4924">
      <w:pPr>
        <w:spacing w:after="200"/>
        <w:jc w:val="left"/>
      </w:pPr>
      <w:r w:rsidRPr="00335C5E">
        <w:rPr>
          <w:rFonts w:ascii="Arial Nova" w:eastAsia="Arial Nova" w:hAnsi="Arial Nova" w:cs="Arial Nova"/>
        </w:rPr>
        <w:t xml:space="preserve">Verbeken, G. and Pirnay, J.P. (2022) 'European regulatory aspects of phage therapy: magistral phage preparations', </w:t>
      </w:r>
      <w:r w:rsidRPr="00335C5E">
        <w:rPr>
          <w:rFonts w:ascii="Arial Nova" w:eastAsia="Arial Nova" w:hAnsi="Arial Nova" w:cs="Arial Nova"/>
          <w:i/>
          <w:iCs/>
        </w:rPr>
        <w:t>Current Opinion in Virology</w:t>
      </w:r>
      <w:r w:rsidRPr="00335C5E">
        <w:rPr>
          <w:rFonts w:ascii="Arial Nova" w:eastAsia="Arial Nova" w:hAnsi="Arial Nova" w:cs="Arial Nova"/>
        </w:rPr>
        <w:t xml:space="preserve">, 52, pp. 24–29. </w:t>
      </w:r>
      <w:r w:rsidRPr="00335C5E">
        <w:t>doi: 10.1016/j.coviro</w:t>
      </w:r>
      <w:r w:rsidRPr="00335C5E">
        <w:rPr>
          <w:rFonts w:ascii="Arial Nova" w:eastAsia="Arial Nova" w:hAnsi="Arial Nova" w:cs="Arial Nova"/>
        </w:rPr>
        <w:t>.2021.11.005.</w:t>
      </w:r>
    </w:p>
    <w:p w14:paraId="21D76D3E" w14:textId="77777777" w:rsidR="00E12740" w:rsidRDefault="00E12740" w:rsidP="00E12740">
      <w:pPr>
        <w:spacing w:after="200"/>
      </w:pPr>
    </w:p>
    <w:p w14:paraId="60869D24" w14:textId="77777777" w:rsidR="00E12740" w:rsidRDefault="00E12740" w:rsidP="00E12740">
      <w:pPr>
        <w:spacing w:after="200"/>
      </w:pPr>
      <w:r w:rsidRPr="00335C5E">
        <w:rPr>
          <w:rFonts w:ascii="Arial Nova" w:eastAsia="Arial Nova" w:hAnsi="Arial Nova" w:cs="Arial Nova"/>
        </w:rPr>
        <w:t xml:space="preserve">Wittebole, X., De Roock, S. and Opal, S.M. (2014) 'A historical overview of bacteriophage therapy as an alternative to antibiotics for the treatment of bacterial pathogens', </w:t>
      </w:r>
      <w:r w:rsidRPr="00335C5E">
        <w:rPr>
          <w:rFonts w:ascii="Arial Nova" w:eastAsia="Arial Nova" w:hAnsi="Arial Nova" w:cs="Arial Nova"/>
          <w:i/>
          <w:iCs/>
        </w:rPr>
        <w:t>Virulence</w:t>
      </w:r>
      <w:r w:rsidRPr="00335C5E">
        <w:rPr>
          <w:rFonts w:ascii="Arial Nova" w:eastAsia="Arial Nova" w:hAnsi="Arial Nova" w:cs="Arial Nova"/>
        </w:rPr>
        <w:t>, 5(1), pp. 226–235. doi:10.4161/viru.25991.</w:t>
      </w:r>
    </w:p>
    <w:p w14:paraId="27476212" w14:textId="77777777" w:rsidR="00E12740" w:rsidRPr="00335C5E" w:rsidRDefault="00E12740" w:rsidP="00E12740">
      <w:pPr>
        <w:spacing w:after="200"/>
      </w:pPr>
    </w:p>
    <w:p w14:paraId="788A06E8" w14:textId="77777777" w:rsidR="00E12740" w:rsidRDefault="00E12740" w:rsidP="002B4924">
      <w:pPr>
        <w:spacing w:after="200"/>
        <w:jc w:val="left"/>
        <w:rPr>
          <w:rFonts w:ascii="Arial Nova" w:eastAsia="Arial Nova" w:hAnsi="Arial Nova" w:cs="Arial Nova"/>
        </w:rPr>
      </w:pPr>
      <w:r w:rsidRPr="00335C5E">
        <w:rPr>
          <w:rFonts w:ascii="Arial Nova" w:eastAsia="Arial Nova" w:hAnsi="Arial Nova" w:cs="Arial Nova"/>
        </w:rPr>
        <w:t xml:space="preserve">World Health Organization (WHO) (2015) </w:t>
      </w:r>
      <w:r w:rsidRPr="00335C5E">
        <w:rPr>
          <w:rFonts w:ascii="Arial Nova" w:eastAsia="Arial Nova" w:hAnsi="Arial Nova" w:cs="Arial Nova"/>
          <w:i/>
          <w:iCs/>
        </w:rPr>
        <w:t>Global Action Plan on Antimicrobial Resistance</w:t>
      </w:r>
      <w:r w:rsidRPr="00335C5E">
        <w:rPr>
          <w:rFonts w:ascii="Arial Nova" w:eastAsia="Arial Nova" w:hAnsi="Arial Nova" w:cs="Arial Nova"/>
        </w:rPr>
        <w:t xml:space="preserve">. Geneva: World Health Organization. Available at: </w:t>
      </w:r>
      <w:hyperlink r:id="rId24" w:history="1">
        <w:r w:rsidRPr="00335C5E">
          <w:rPr>
            <w:rStyle w:val="Hyperlink"/>
            <w:rFonts w:ascii="Arial Nova" w:eastAsia="Arial Nova" w:hAnsi="Arial Nova" w:cs="Arial Nova"/>
            <w:color w:val="0563C1"/>
          </w:rPr>
          <w:t>https://iris.who.int/server/api/core/bitstreams/1a487887-e162-46a0-8aef-802907c66070/content</w:t>
        </w:r>
      </w:hyperlink>
      <w:r w:rsidRPr="00335C5E">
        <w:rPr>
          <w:rFonts w:ascii="Arial Nova" w:eastAsia="Arial Nova" w:hAnsi="Arial Nova" w:cs="Arial Nova"/>
        </w:rPr>
        <w:t xml:space="preserve"> (Accessed: 25 May 2026).</w:t>
      </w:r>
    </w:p>
    <w:p w14:paraId="0FEB3235" w14:textId="77777777" w:rsidR="002B4924" w:rsidRDefault="002B4924" w:rsidP="002B4924">
      <w:pPr>
        <w:spacing w:after="200"/>
        <w:jc w:val="left"/>
        <w:rPr>
          <w:rFonts w:ascii="Arial Nova" w:eastAsia="Arial Nova" w:hAnsi="Arial Nova" w:cs="Arial Nova"/>
        </w:rPr>
      </w:pPr>
    </w:p>
    <w:p w14:paraId="48514522" w14:textId="77777777" w:rsidR="00911111" w:rsidRDefault="00911111" w:rsidP="00911111">
      <w:pPr>
        <w:spacing w:after="200"/>
      </w:pPr>
      <w:r w:rsidRPr="00335C5E">
        <w:rPr>
          <w:rFonts w:ascii="Arial Nova" w:eastAsia="Arial Nova" w:hAnsi="Arial Nova" w:cs="Arial Nova"/>
        </w:rPr>
        <w:t xml:space="preserve">World Health Organization (WHO) (2024) </w:t>
      </w:r>
      <w:r w:rsidRPr="00335C5E">
        <w:rPr>
          <w:rFonts w:ascii="Arial Nova" w:eastAsia="Arial Nova" w:hAnsi="Arial Nova" w:cs="Arial Nova"/>
          <w:i/>
          <w:iCs/>
        </w:rPr>
        <w:t>WHO Bacterial Priority Pathogens List, 2024: Bacterial Pathogens of Public Health Importance to Guide Research, Development and Strategies to Prevent and Control Antimicrobial Resistance</w:t>
      </w:r>
      <w:r w:rsidRPr="00335C5E">
        <w:rPr>
          <w:rFonts w:ascii="Arial Nova" w:eastAsia="Arial Nova" w:hAnsi="Arial Nova" w:cs="Arial Nova"/>
        </w:rPr>
        <w:t xml:space="preserve">. Geneva: World Health Organization. Available at: </w:t>
      </w:r>
      <w:hyperlink r:id="rId25" w:history="1">
        <w:r w:rsidRPr="00335C5E">
          <w:rPr>
            <w:rStyle w:val="Hyperlink"/>
            <w:rFonts w:ascii="Arial Nova" w:eastAsia="Arial Nova" w:hAnsi="Arial Nova" w:cs="Arial Nova"/>
            <w:color w:val="0563C1"/>
          </w:rPr>
          <w:t>https://www.who.int/publications/i/item/9789240093461</w:t>
        </w:r>
      </w:hyperlink>
      <w:r w:rsidRPr="00335C5E">
        <w:rPr>
          <w:rFonts w:ascii="Arial Nova" w:eastAsia="Arial Nova" w:hAnsi="Arial Nova" w:cs="Arial Nova"/>
        </w:rPr>
        <w:t xml:space="preserve"> (Accessed: 19 May 2026).</w:t>
      </w:r>
    </w:p>
    <w:p w14:paraId="70D615EC" w14:textId="77777777" w:rsidR="00911111" w:rsidRPr="00335C5E" w:rsidRDefault="00911111" w:rsidP="00911111">
      <w:pPr>
        <w:spacing w:after="200"/>
      </w:pPr>
    </w:p>
    <w:p w14:paraId="6013E024" w14:textId="77777777" w:rsidR="00911111" w:rsidRDefault="00911111" w:rsidP="00911111">
      <w:pPr>
        <w:spacing w:after="200"/>
      </w:pPr>
      <w:r w:rsidRPr="00335C5E">
        <w:rPr>
          <w:rFonts w:ascii="Arial Nova" w:eastAsia="Arial Nova" w:hAnsi="Arial Nova" w:cs="Arial Nova"/>
        </w:rPr>
        <w:t xml:space="preserve">World Health Organization (WHO) (2025) </w:t>
      </w:r>
      <w:r w:rsidRPr="00335C5E">
        <w:rPr>
          <w:rFonts w:ascii="Arial Nova" w:eastAsia="Arial Nova" w:hAnsi="Arial Nova" w:cs="Arial Nova"/>
          <w:i/>
          <w:iCs/>
        </w:rPr>
        <w:t>Antimicrobial Resistance</w:t>
      </w:r>
      <w:r w:rsidRPr="00335C5E">
        <w:rPr>
          <w:rFonts w:ascii="Arial Nova" w:eastAsia="Arial Nova" w:hAnsi="Arial Nova" w:cs="Arial Nova"/>
        </w:rPr>
        <w:t xml:space="preserve">. Geneva: World Health Organization. Available at: </w:t>
      </w:r>
      <w:hyperlink r:id="rId26" w:history="1">
        <w:r w:rsidRPr="00335C5E">
          <w:rPr>
            <w:rStyle w:val="Hyperlink"/>
            <w:rFonts w:ascii="Arial Nova" w:eastAsia="Arial Nova" w:hAnsi="Arial Nova" w:cs="Arial Nova"/>
            <w:color w:val="0563C1"/>
          </w:rPr>
          <w:t>https://www.who.int/news-room/fact-sheets/detail/antimicrobial-resistance</w:t>
        </w:r>
      </w:hyperlink>
      <w:r w:rsidRPr="00335C5E">
        <w:rPr>
          <w:rFonts w:ascii="Arial Nova" w:eastAsia="Arial Nova" w:hAnsi="Arial Nova" w:cs="Arial Nova"/>
        </w:rPr>
        <w:t xml:space="preserve"> (Accessed: 13 July 2026).</w:t>
      </w:r>
    </w:p>
    <w:p w14:paraId="758AA402" w14:textId="77777777" w:rsidR="00911111" w:rsidRPr="00335C5E" w:rsidRDefault="00911111" w:rsidP="00911111">
      <w:pPr>
        <w:spacing w:after="200"/>
      </w:pPr>
    </w:p>
    <w:p w14:paraId="62C2E63F" w14:textId="77777777" w:rsidR="00911111" w:rsidRDefault="00911111" w:rsidP="00911111">
      <w:pPr>
        <w:spacing w:after="200"/>
      </w:pPr>
      <w:r w:rsidRPr="00335C5E">
        <w:rPr>
          <w:rFonts w:ascii="Arial Nova" w:eastAsia="Arial Nova" w:hAnsi="Arial Nova" w:cs="Arial Nova"/>
        </w:rPr>
        <w:t xml:space="preserve">World Organisation for Animal Health (WOAH) (2024) </w:t>
      </w:r>
      <w:r w:rsidRPr="00335C5E">
        <w:rPr>
          <w:rFonts w:ascii="Arial Nova" w:eastAsia="Arial Nova" w:hAnsi="Arial Nova" w:cs="Arial Nova"/>
          <w:i/>
          <w:iCs/>
        </w:rPr>
        <w:t>Tackling Antimicrobial Resistance Using the One Health Approach: The Animal Health Perspective</w:t>
      </w:r>
      <w:r w:rsidRPr="00335C5E">
        <w:rPr>
          <w:rFonts w:ascii="Arial Nova" w:eastAsia="Arial Nova" w:hAnsi="Arial Nova" w:cs="Arial Nova"/>
        </w:rPr>
        <w:t>. Policy Brief. Paris: WOAH. doi:10.20506/woah.3477.</w:t>
      </w:r>
    </w:p>
    <w:p w14:paraId="6A07F319" w14:textId="77777777" w:rsidR="00911111" w:rsidRPr="00335C5E" w:rsidRDefault="00911111" w:rsidP="00911111">
      <w:pPr>
        <w:spacing w:after="200"/>
      </w:pPr>
    </w:p>
    <w:p w14:paraId="4E05FBB8" w14:textId="77777777" w:rsidR="00911111" w:rsidRDefault="00911111" w:rsidP="00911111">
      <w:pPr>
        <w:spacing w:after="200"/>
      </w:pPr>
      <w:r w:rsidRPr="00335C5E">
        <w:rPr>
          <w:rFonts w:ascii="Arial Nova" w:eastAsia="Arial Nova" w:hAnsi="Arial Nova" w:cs="Arial Nova"/>
        </w:rPr>
        <w:lastRenderedPageBreak/>
        <w:t xml:space="preserve">World Organisation for Animal Health (WOAH) (2026) </w:t>
      </w:r>
      <w:r w:rsidRPr="00335C5E">
        <w:rPr>
          <w:rFonts w:ascii="Arial Nova" w:eastAsia="Arial Nova" w:hAnsi="Arial Nova" w:cs="Arial Nova"/>
          <w:i/>
          <w:iCs/>
        </w:rPr>
        <w:t>WOAH Members Adopt the Updated Global Action Plan on Antimicrobial Resistance</w:t>
      </w:r>
      <w:r w:rsidRPr="00335C5E">
        <w:rPr>
          <w:rFonts w:ascii="Arial Nova" w:eastAsia="Arial Nova" w:hAnsi="Arial Nova" w:cs="Arial Nova"/>
        </w:rPr>
        <w:t xml:space="preserve">. Available at: </w:t>
      </w:r>
      <w:hyperlink r:id="rId27" w:history="1">
        <w:r w:rsidRPr="00335C5E">
          <w:rPr>
            <w:rStyle w:val="Hyperlink"/>
            <w:rFonts w:ascii="Arial Nova" w:eastAsia="Arial Nova" w:hAnsi="Arial Nova" w:cs="Arial Nova"/>
            <w:color w:val="0563C1"/>
          </w:rPr>
          <w:t>https://www.woah.org/en/woah-members-adopt-the-updated-global-action-plan-on-antimicrobial-resistance/</w:t>
        </w:r>
      </w:hyperlink>
      <w:r w:rsidRPr="00335C5E">
        <w:rPr>
          <w:rFonts w:ascii="Arial Nova" w:eastAsia="Arial Nova" w:hAnsi="Arial Nova" w:cs="Arial Nova"/>
        </w:rPr>
        <w:t xml:space="preserve"> (Accessed: 05 April 2026).</w:t>
      </w:r>
    </w:p>
    <w:p w14:paraId="5696A26D" w14:textId="77777777" w:rsidR="00911111" w:rsidRPr="00335C5E" w:rsidRDefault="00911111" w:rsidP="00911111">
      <w:pPr>
        <w:spacing w:after="200"/>
      </w:pPr>
    </w:p>
    <w:p w14:paraId="6BE20E9B" w14:textId="77777777" w:rsidR="00911111" w:rsidRPr="00335C5E" w:rsidRDefault="00911111" w:rsidP="00911111">
      <w:pPr>
        <w:spacing w:after="200"/>
      </w:pPr>
      <w:r w:rsidRPr="00335C5E">
        <w:rPr>
          <w:rFonts w:ascii="Arial Nova" w:eastAsia="Arial Nova" w:hAnsi="Arial Nova" w:cs="Arial Nova"/>
        </w:rPr>
        <w:t>World Organisation for Animal Health (WOAH) (n</w:t>
      </w:r>
      <w:r>
        <w:t>.d</w:t>
      </w:r>
      <w:r w:rsidRPr="00335C5E">
        <w:rPr>
          <w:rFonts w:ascii="Arial Nova" w:eastAsia="Arial Nova" w:hAnsi="Arial Nova" w:cs="Arial Nova"/>
        </w:rPr>
        <w:t xml:space="preserve">) </w:t>
      </w:r>
      <w:r w:rsidRPr="00335C5E">
        <w:rPr>
          <w:rFonts w:ascii="Arial Nova" w:eastAsia="Arial Nova" w:hAnsi="Arial Nova" w:cs="Arial Nova"/>
          <w:i/>
          <w:iCs/>
        </w:rPr>
        <w:t>Antimicrobial Resistance</w:t>
      </w:r>
      <w:r w:rsidRPr="00335C5E">
        <w:rPr>
          <w:rFonts w:ascii="Arial Nova" w:eastAsia="Arial Nova" w:hAnsi="Arial Nova" w:cs="Arial Nova"/>
        </w:rPr>
        <w:t xml:space="preserve">. Available at: </w:t>
      </w:r>
      <w:hyperlink r:id="rId28" w:history="1">
        <w:r w:rsidRPr="00335C5E">
          <w:rPr>
            <w:rStyle w:val="Hyperlink"/>
            <w:rFonts w:ascii="Arial Nova" w:eastAsia="Arial Nova" w:hAnsi="Arial Nova" w:cs="Arial Nova"/>
            <w:color w:val="0563C1"/>
          </w:rPr>
          <w:t>https://www.woah.org/en/what-we-do/global-initiatives/antimicrobial-resistance/</w:t>
        </w:r>
      </w:hyperlink>
      <w:r w:rsidRPr="00335C5E">
        <w:rPr>
          <w:rFonts w:ascii="Arial Nova" w:eastAsia="Arial Nova" w:hAnsi="Arial Nova" w:cs="Arial Nova"/>
        </w:rPr>
        <w:t xml:space="preserve"> (Accessed: 17 May 2026).</w:t>
      </w:r>
    </w:p>
    <w:p w14:paraId="74C55FE5" w14:textId="77777777" w:rsidR="002B4924" w:rsidRDefault="002B4924" w:rsidP="002B4924">
      <w:pPr>
        <w:spacing w:after="200"/>
        <w:jc w:val="left"/>
      </w:pPr>
    </w:p>
    <w:p w14:paraId="3A45DACE" w14:textId="77777777" w:rsidR="00AC1B58" w:rsidRDefault="00AC1B58" w:rsidP="002B4924">
      <w:pPr>
        <w:spacing w:after="200"/>
        <w:jc w:val="left"/>
      </w:pPr>
    </w:p>
    <w:p w14:paraId="6237DF3A" w14:textId="77777777" w:rsidR="00E12740" w:rsidRPr="00335C5E" w:rsidRDefault="00E12740" w:rsidP="00E12740">
      <w:pPr>
        <w:spacing w:after="200"/>
      </w:pPr>
    </w:p>
    <w:p w14:paraId="4DB47712" w14:textId="77777777" w:rsidR="00FE7B63" w:rsidRDefault="00FE7B63" w:rsidP="00773638">
      <w:pPr>
        <w:spacing w:after="200"/>
      </w:pPr>
    </w:p>
    <w:p w14:paraId="63C5D8B2" w14:textId="77777777" w:rsidR="00B8474A" w:rsidRDefault="00B8474A" w:rsidP="00B8474A">
      <w:pPr>
        <w:spacing w:after="0"/>
        <w:ind w:left="720" w:hanging="720"/>
      </w:pPr>
    </w:p>
    <w:p w14:paraId="4E68EAD9" w14:textId="77777777" w:rsidR="00B8474A" w:rsidRPr="00335C5E" w:rsidRDefault="00B8474A" w:rsidP="00B8474A">
      <w:pPr>
        <w:ind w:left="720" w:hanging="720"/>
      </w:pPr>
    </w:p>
    <w:p w14:paraId="37E29E44" w14:textId="77777777" w:rsidR="00C5244F" w:rsidRDefault="00C5244F" w:rsidP="00C5244F">
      <w:pPr>
        <w:spacing w:after="0"/>
        <w:ind w:left="720" w:hanging="720"/>
      </w:pPr>
    </w:p>
    <w:p w14:paraId="54AA9230" w14:textId="77777777" w:rsidR="00C5244F" w:rsidRPr="00335C5E" w:rsidRDefault="00C5244F" w:rsidP="00C5244F">
      <w:pPr>
        <w:spacing w:after="0"/>
        <w:ind w:left="720" w:hanging="720"/>
      </w:pPr>
    </w:p>
    <w:p w14:paraId="2EB729BC" w14:textId="77777777" w:rsidR="00C5244F" w:rsidRDefault="00C5244F" w:rsidP="00C5244F">
      <w:pPr>
        <w:ind w:left="720" w:hanging="720"/>
      </w:pPr>
    </w:p>
    <w:p w14:paraId="4DFEF22F" w14:textId="77777777" w:rsidR="006B6E5A" w:rsidRDefault="006B6E5A" w:rsidP="006B6E5A">
      <w:pPr>
        <w:spacing w:after="0"/>
        <w:ind w:left="720" w:hanging="720"/>
      </w:pPr>
    </w:p>
    <w:p w14:paraId="0822ECDD" w14:textId="77777777" w:rsidR="00882796" w:rsidRPr="00335C5E" w:rsidRDefault="00882796" w:rsidP="00882796">
      <w:pPr>
        <w:spacing w:after="0"/>
        <w:ind w:left="720" w:hanging="720"/>
      </w:pPr>
    </w:p>
    <w:p w14:paraId="7119999F" w14:textId="77777777" w:rsidR="00792D4A" w:rsidRPr="00335C5E" w:rsidRDefault="00792D4A" w:rsidP="00792D4A">
      <w:pPr>
        <w:ind w:left="720" w:hanging="720"/>
      </w:pPr>
    </w:p>
    <w:p w14:paraId="79A1FF83" w14:textId="77777777" w:rsidR="000C104A" w:rsidRDefault="000C104A" w:rsidP="000C104A">
      <w:pPr>
        <w:spacing w:after="0"/>
        <w:ind w:left="720" w:hanging="720"/>
      </w:pPr>
    </w:p>
    <w:p w14:paraId="0531C442" w14:textId="77777777" w:rsidR="00B8777A" w:rsidRPr="008E29C2" w:rsidRDefault="00B8777A" w:rsidP="005304D6">
      <w:pPr>
        <w:pStyle w:val="Heading1"/>
        <w:spacing w:line="360" w:lineRule="auto"/>
        <w:ind w:left="0"/>
        <w:jc w:val="both"/>
        <w:rPr>
          <w:rFonts w:ascii="Arial Nova" w:hAnsi="Arial Nova"/>
          <w:b w:val="0"/>
          <w:bCs/>
          <w:sz w:val="22"/>
          <w:szCs w:val="22"/>
        </w:rPr>
      </w:pPr>
    </w:p>
    <w:p w14:paraId="68DE84DE" w14:textId="77777777" w:rsidR="00F956C8" w:rsidRPr="00F956C8" w:rsidRDefault="00F956C8" w:rsidP="00F956C8">
      <w:pPr>
        <w:pStyle w:val="Heading1"/>
        <w:spacing w:line="360" w:lineRule="auto"/>
        <w:ind w:left="0"/>
        <w:jc w:val="both"/>
        <w:rPr>
          <w:rFonts w:ascii="Arial Nova" w:hAnsi="Arial Nova"/>
          <w:b w:val="0"/>
          <w:bCs/>
          <w:sz w:val="22"/>
          <w:szCs w:val="22"/>
        </w:rPr>
      </w:pPr>
    </w:p>
    <w:p w14:paraId="177D47C3" w14:textId="77777777" w:rsidR="00621776" w:rsidRPr="00BE3A34" w:rsidRDefault="00621776" w:rsidP="005304D6">
      <w:pPr>
        <w:rPr>
          <w:rFonts w:ascii="Arial Nova" w:hAnsi="Arial Nova"/>
        </w:rPr>
      </w:pPr>
    </w:p>
    <w:p w14:paraId="3C7AA80C" w14:textId="77777777" w:rsidR="00621776" w:rsidRPr="00BE3A34" w:rsidRDefault="00621776" w:rsidP="005304D6">
      <w:pPr>
        <w:rPr>
          <w:rFonts w:ascii="Arial Nova" w:hAnsi="Arial Nova"/>
        </w:rPr>
      </w:pPr>
    </w:p>
    <w:p w14:paraId="7F0E026F" w14:textId="77777777" w:rsidR="004D18C5" w:rsidRDefault="004D18C5" w:rsidP="005304D6">
      <w:pPr>
        <w:pStyle w:val="Heading1"/>
        <w:spacing w:line="360" w:lineRule="auto"/>
        <w:ind w:left="0"/>
        <w:jc w:val="both"/>
        <w:rPr>
          <w:rFonts w:ascii="Arial Nova" w:hAnsi="Arial Nova"/>
          <w:sz w:val="22"/>
          <w:szCs w:val="22"/>
        </w:rPr>
      </w:pPr>
    </w:p>
    <w:p w14:paraId="717903A7" w14:textId="77777777" w:rsidR="004D18C5" w:rsidRDefault="004D18C5" w:rsidP="005304D6">
      <w:pPr>
        <w:pStyle w:val="Heading1"/>
        <w:spacing w:line="360" w:lineRule="auto"/>
        <w:ind w:left="0"/>
        <w:jc w:val="both"/>
        <w:rPr>
          <w:rFonts w:ascii="Arial Nova" w:hAnsi="Arial Nova"/>
          <w:sz w:val="22"/>
          <w:szCs w:val="22"/>
        </w:rPr>
      </w:pPr>
    </w:p>
    <w:p w14:paraId="44799B3F" w14:textId="77777777" w:rsidR="004D18C5" w:rsidRDefault="004D18C5" w:rsidP="005304D6">
      <w:pPr>
        <w:pStyle w:val="Heading1"/>
        <w:spacing w:line="360" w:lineRule="auto"/>
        <w:ind w:left="0"/>
        <w:jc w:val="both"/>
        <w:rPr>
          <w:rFonts w:ascii="Arial Nova" w:hAnsi="Arial Nova"/>
          <w:sz w:val="22"/>
          <w:szCs w:val="22"/>
        </w:rPr>
      </w:pPr>
    </w:p>
    <w:p w14:paraId="6F8678FE" w14:textId="77777777" w:rsidR="004D18C5" w:rsidRDefault="004D18C5" w:rsidP="005304D6">
      <w:pPr>
        <w:pStyle w:val="Heading1"/>
        <w:spacing w:line="360" w:lineRule="auto"/>
        <w:ind w:left="0"/>
        <w:jc w:val="both"/>
        <w:rPr>
          <w:rFonts w:ascii="Arial Nova" w:hAnsi="Arial Nova"/>
          <w:sz w:val="22"/>
          <w:szCs w:val="22"/>
        </w:rPr>
      </w:pPr>
    </w:p>
    <w:p w14:paraId="6D7584F3" w14:textId="08458EDD" w:rsidR="00621776" w:rsidRPr="00BE3A34" w:rsidRDefault="00621776" w:rsidP="005304D6">
      <w:pPr>
        <w:pStyle w:val="Heading1"/>
        <w:spacing w:line="360" w:lineRule="auto"/>
        <w:ind w:left="0"/>
        <w:jc w:val="both"/>
        <w:rPr>
          <w:rFonts w:ascii="Arial Nova" w:hAnsi="Arial Nova"/>
          <w:sz w:val="22"/>
          <w:szCs w:val="22"/>
        </w:rPr>
      </w:pPr>
      <w:r w:rsidRPr="00BE3A34">
        <w:rPr>
          <w:rFonts w:ascii="Arial Nova" w:hAnsi="Arial Nova"/>
          <w:sz w:val="22"/>
          <w:szCs w:val="22"/>
        </w:rPr>
        <w:lastRenderedPageBreak/>
        <w:t>6.2 – Appendices</w:t>
      </w:r>
      <w:r w:rsidR="008614BE" w:rsidRPr="00BE3A34">
        <w:rPr>
          <w:rFonts w:ascii="Arial Nova" w:hAnsi="Arial Nova"/>
          <w:sz w:val="22"/>
          <w:szCs w:val="22"/>
        </w:rPr>
        <w:t>.</w:t>
      </w:r>
      <w:r w:rsidRPr="00BE3A34">
        <w:rPr>
          <w:rFonts w:ascii="Arial Nova" w:hAnsi="Arial Nova"/>
          <w:sz w:val="22"/>
          <w:szCs w:val="22"/>
        </w:rPr>
        <w:t xml:space="preserve"> </w:t>
      </w:r>
    </w:p>
    <w:p w14:paraId="7F7B2FB0" w14:textId="77777777" w:rsidR="00BE4278" w:rsidRPr="005304D6" w:rsidRDefault="00BE4278" w:rsidP="005304D6">
      <w:pPr>
        <w:pStyle w:val="Heading1"/>
        <w:spacing w:line="360" w:lineRule="auto"/>
        <w:ind w:left="0"/>
        <w:jc w:val="both"/>
        <w:rPr>
          <w:rFonts w:ascii="Arial Nova" w:hAnsi="Arial Nova"/>
          <w:sz w:val="28"/>
          <w:szCs w:val="28"/>
        </w:rPr>
      </w:pPr>
    </w:p>
    <w:p w14:paraId="5293B77A" w14:textId="2C3AD01A" w:rsidR="00F42533" w:rsidRPr="001A7D85" w:rsidRDefault="006446CC" w:rsidP="00F42533">
      <w:pPr>
        <w:spacing w:after="200"/>
        <w:rPr>
          <w:rFonts w:ascii="Arial Nova" w:hAnsi="Arial Nova"/>
          <w:b/>
        </w:rPr>
      </w:pPr>
      <w:r>
        <w:rPr>
          <w:rFonts w:ascii="Arial Nova" w:hAnsi="Arial Nova"/>
          <w:b/>
        </w:rPr>
        <w:t>6.2.1</w:t>
      </w:r>
      <w:r w:rsidR="00844A32">
        <w:rPr>
          <w:rFonts w:ascii="Arial Nova" w:hAnsi="Arial Nova"/>
          <w:b/>
        </w:rPr>
        <w:t xml:space="preserve">. </w:t>
      </w:r>
      <w:r w:rsidR="00F42533" w:rsidRPr="001A7D85">
        <w:rPr>
          <w:rFonts w:ascii="Arial Nova" w:hAnsi="Arial Nova"/>
          <w:b/>
        </w:rPr>
        <w:t>Appendix A – Search Strategy and Database Search Terms</w:t>
      </w:r>
      <w:r w:rsidR="00FC0063">
        <w:rPr>
          <w:rFonts w:ascii="Arial Nova" w:hAnsi="Arial Nova"/>
          <w:b/>
        </w:rPr>
        <w:t>.</w:t>
      </w:r>
    </w:p>
    <w:p w14:paraId="07F2A555" w14:textId="77777777" w:rsidR="00F42533" w:rsidRPr="001A7D85" w:rsidRDefault="00F42533" w:rsidP="00F42533">
      <w:pPr>
        <w:rPr>
          <w:rFonts w:ascii="Arial Nova" w:hAnsi="Arial Nova"/>
        </w:rPr>
      </w:pPr>
      <w:r w:rsidRPr="001A7D85">
        <w:rPr>
          <w:rFonts w:ascii="Arial Nova" w:hAnsi="Arial Nova"/>
        </w:rPr>
        <w:t>(Referred to in Section 3.2 and 3.3)</w:t>
      </w:r>
    </w:p>
    <w:p w14:paraId="02BD5179" w14:textId="7C7A9187" w:rsidR="00F42533" w:rsidRPr="001A7D85" w:rsidRDefault="00F42533" w:rsidP="00F42533">
      <w:pPr>
        <w:spacing w:after="140"/>
        <w:rPr>
          <w:rFonts w:ascii="Arial Nova" w:hAnsi="Arial Nova"/>
          <w:b/>
        </w:rPr>
      </w:pPr>
      <w:r w:rsidRPr="001A7D85">
        <w:rPr>
          <w:rFonts w:ascii="Arial Nova" w:hAnsi="Arial Nova"/>
          <w:b/>
        </w:rPr>
        <w:t>Databases and sources searched</w:t>
      </w:r>
      <w:r w:rsidR="00FC0063">
        <w:rPr>
          <w:rFonts w:ascii="Arial Nova" w:hAnsi="Arial Nova"/>
          <w:b/>
        </w:rPr>
        <w:t>:</w:t>
      </w:r>
    </w:p>
    <w:p w14:paraId="33EB4D26" w14:textId="77777777" w:rsidR="00F42533" w:rsidRPr="00390CD6" w:rsidRDefault="00F42533" w:rsidP="00F42533">
      <w:pPr>
        <w:pStyle w:val="ListParagraph"/>
        <w:widowControl/>
        <w:numPr>
          <w:ilvl w:val="0"/>
          <w:numId w:val="101"/>
        </w:numPr>
        <w:autoSpaceDE/>
        <w:autoSpaceDN/>
        <w:spacing w:after="80" w:line="360" w:lineRule="auto"/>
        <w:contextualSpacing/>
        <w:jc w:val="both"/>
        <w:rPr>
          <w:rFonts w:ascii="Arial Nova" w:hAnsi="Arial Nova"/>
        </w:rPr>
      </w:pPr>
      <w:r w:rsidRPr="00390CD6">
        <w:rPr>
          <w:rFonts w:ascii="Arial Nova" w:hAnsi="Arial Nova"/>
        </w:rPr>
        <w:t>PubMed</w:t>
      </w:r>
    </w:p>
    <w:p w14:paraId="64FB7B81" w14:textId="77777777" w:rsidR="00F42533" w:rsidRPr="00390CD6" w:rsidRDefault="00F42533" w:rsidP="00F42533">
      <w:pPr>
        <w:pStyle w:val="ListParagraph"/>
        <w:widowControl/>
        <w:numPr>
          <w:ilvl w:val="0"/>
          <w:numId w:val="101"/>
        </w:numPr>
        <w:autoSpaceDE/>
        <w:autoSpaceDN/>
        <w:spacing w:after="80" w:line="360" w:lineRule="auto"/>
        <w:contextualSpacing/>
        <w:jc w:val="both"/>
        <w:rPr>
          <w:rFonts w:ascii="Arial Nova" w:hAnsi="Arial Nova"/>
        </w:rPr>
      </w:pPr>
      <w:r w:rsidRPr="00390CD6">
        <w:rPr>
          <w:rFonts w:ascii="Arial Nova" w:hAnsi="Arial Nova"/>
        </w:rPr>
        <w:t>CINAHL</w:t>
      </w:r>
    </w:p>
    <w:p w14:paraId="1EBDE665" w14:textId="77777777" w:rsidR="00F42533" w:rsidRPr="00390CD6" w:rsidRDefault="00F42533" w:rsidP="00F42533">
      <w:pPr>
        <w:pStyle w:val="ListParagraph"/>
        <w:widowControl/>
        <w:numPr>
          <w:ilvl w:val="0"/>
          <w:numId w:val="101"/>
        </w:numPr>
        <w:autoSpaceDE/>
        <w:autoSpaceDN/>
        <w:spacing w:after="80" w:line="360" w:lineRule="auto"/>
        <w:contextualSpacing/>
        <w:jc w:val="both"/>
        <w:rPr>
          <w:rFonts w:ascii="Arial Nova" w:hAnsi="Arial Nova"/>
        </w:rPr>
      </w:pPr>
      <w:r w:rsidRPr="00390CD6">
        <w:rPr>
          <w:rFonts w:ascii="Arial Nova" w:hAnsi="Arial Nova"/>
        </w:rPr>
        <w:t>Google Scholar</w:t>
      </w:r>
    </w:p>
    <w:p w14:paraId="763C850F" w14:textId="77777777" w:rsidR="00F42533" w:rsidRPr="00390CD6" w:rsidRDefault="00F42533" w:rsidP="00F42533">
      <w:pPr>
        <w:pStyle w:val="ListParagraph"/>
        <w:widowControl/>
        <w:numPr>
          <w:ilvl w:val="0"/>
          <w:numId w:val="101"/>
        </w:numPr>
        <w:autoSpaceDE/>
        <w:autoSpaceDN/>
        <w:spacing w:after="80" w:line="360" w:lineRule="auto"/>
        <w:contextualSpacing/>
        <w:jc w:val="both"/>
        <w:rPr>
          <w:rFonts w:ascii="Arial Nova" w:hAnsi="Arial Nova"/>
        </w:rPr>
      </w:pPr>
      <w:r w:rsidRPr="00390CD6">
        <w:rPr>
          <w:rFonts w:ascii="Arial Nova" w:hAnsi="Arial Nova"/>
        </w:rPr>
        <w:t>University library discovery service and online repositories</w:t>
      </w:r>
    </w:p>
    <w:p w14:paraId="0AC97E86" w14:textId="77777777" w:rsidR="00F42533" w:rsidRPr="00390CD6" w:rsidRDefault="00F42533" w:rsidP="00F42533">
      <w:pPr>
        <w:pStyle w:val="ListParagraph"/>
        <w:widowControl/>
        <w:numPr>
          <w:ilvl w:val="0"/>
          <w:numId w:val="101"/>
        </w:numPr>
        <w:autoSpaceDE/>
        <w:autoSpaceDN/>
        <w:spacing w:after="80" w:line="360" w:lineRule="auto"/>
        <w:contextualSpacing/>
        <w:jc w:val="both"/>
        <w:rPr>
          <w:rFonts w:ascii="Arial Nova" w:hAnsi="Arial Nova"/>
        </w:rPr>
      </w:pPr>
      <w:r w:rsidRPr="00390CD6">
        <w:rPr>
          <w:rFonts w:ascii="Arial Nova" w:hAnsi="Arial Nova"/>
        </w:rPr>
        <w:t>GOV.UK</w:t>
      </w:r>
    </w:p>
    <w:p w14:paraId="6F0787B6" w14:textId="77777777" w:rsidR="00F42533" w:rsidRPr="00390CD6" w:rsidRDefault="00F42533" w:rsidP="00F42533">
      <w:pPr>
        <w:pStyle w:val="ListParagraph"/>
        <w:widowControl/>
        <w:numPr>
          <w:ilvl w:val="0"/>
          <w:numId w:val="101"/>
        </w:numPr>
        <w:autoSpaceDE/>
        <w:autoSpaceDN/>
        <w:spacing w:after="80" w:line="360" w:lineRule="auto"/>
        <w:contextualSpacing/>
        <w:jc w:val="both"/>
        <w:rPr>
          <w:rFonts w:ascii="Arial Nova" w:hAnsi="Arial Nova"/>
        </w:rPr>
      </w:pPr>
      <w:r w:rsidRPr="00390CD6">
        <w:rPr>
          <w:rFonts w:ascii="Arial Nova" w:hAnsi="Arial Nova"/>
        </w:rPr>
        <w:t>NHS website</w:t>
      </w:r>
    </w:p>
    <w:p w14:paraId="0EEE3154" w14:textId="77777777" w:rsidR="00F42533" w:rsidRPr="00390CD6" w:rsidRDefault="00F42533" w:rsidP="00F42533">
      <w:pPr>
        <w:pStyle w:val="ListParagraph"/>
        <w:widowControl/>
        <w:numPr>
          <w:ilvl w:val="0"/>
          <w:numId w:val="101"/>
        </w:numPr>
        <w:autoSpaceDE/>
        <w:autoSpaceDN/>
        <w:spacing w:after="80" w:line="360" w:lineRule="auto"/>
        <w:contextualSpacing/>
        <w:jc w:val="both"/>
        <w:rPr>
          <w:rFonts w:ascii="Arial Nova" w:hAnsi="Arial Nova"/>
        </w:rPr>
      </w:pPr>
      <w:r w:rsidRPr="00390CD6">
        <w:rPr>
          <w:rFonts w:ascii="Arial Nova" w:hAnsi="Arial Nova"/>
        </w:rPr>
        <w:t>NICE</w:t>
      </w:r>
    </w:p>
    <w:p w14:paraId="62E71FAE" w14:textId="77777777" w:rsidR="00F42533" w:rsidRPr="00390CD6" w:rsidRDefault="00F42533" w:rsidP="00F42533">
      <w:pPr>
        <w:pStyle w:val="ListParagraph"/>
        <w:widowControl/>
        <w:numPr>
          <w:ilvl w:val="0"/>
          <w:numId w:val="101"/>
        </w:numPr>
        <w:autoSpaceDE/>
        <w:autoSpaceDN/>
        <w:spacing w:after="80" w:line="360" w:lineRule="auto"/>
        <w:contextualSpacing/>
        <w:jc w:val="both"/>
        <w:rPr>
          <w:rFonts w:ascii="Arial Nova" w:hAnsi="Arial Nova"/>
        </w:rPr>
      </w:pPr>
      <w:r w:rsidRPr="00390CD6">
        <w:rPr>
          <w:rFonts w:ascii="Arial Nova" w:hAnsi="Arial Nova"/>
        </w:rPr>
        <w:t>MHRA</w:t>
      </w:r>
    </w:p>
    <w:p w14:paraId="57B750F1" w14:textId="052DEFBE" w:rsidR="00F42533" w:rsidRPr="001A7D85" w:rsidRDefault="00F42533" w:rsidP="00F42533">
      <w:pPr>
        <w:spacing w:after="140"/>
        <w:rPr>
          <w:rFonts w:ascii="Arial Nova" w:hAnsi="Arial Nova"/>
          <w:b/>
        </w:rPr>
      </w:pPr>
      <w:r w:rsidRPr="001A7D85">
        <w:rPr>
          <w:rFonts w:ascii="Arial Nova" w:hAnsi="Arial Nova"/>
          <w:b/>
        </w:rPr>
        <w:t>Core search terms</w:t>
      </w:r>
      <w:r w:rsidR="00FC0063">
        <w:rPr>
          <w:rFonts w:ascii="Arial Nova" w:hAnsi="Arial Nova"/>
          <w:b/>
        </w:rPr>
        <w:t>:</w:t>
      </w:r>
    </w:p>
    <w:p w14:paraId="2EA91B9F" w14:textId="77777777" w:rsidR="00F42533" w:rsidRPr="00390CD6" w:rsidRDefault="00F42533" w:rsidP="00F42533">
      <w:pPr>
        <w:pStyle w:val="ListParagraph"/>
        <w:widowControl/>
        <w:numPr>
          <w:ilvl w:val="0"/>
          <w:numId w:val="102"/>
        </w:numPr>
        <w:autoSpaceDE/>
        <w:autoSpaceDN/>
        <w:spacing w:after="80" w:line="360" w:lineRule="auto"/>
        <w:contextualSpacing/>
        <w:jc w:val="both"/>
        <w:rPr>
          <w:rFonts w:ascii="Arial Nova" w:hAnsi="Arial Nova"/>
        </w:rPr>
      </w:pPr>
      <w:r w:rsidRPr="00390CD6">
        <w:rPr>
          <w:rFonts w:ascii="Arial Nova" w:hAnsi="Arial Nova"/>
        </w:rPr>
        <w:t>” Phage therapy”</w:t>
      </w:r>
    </w:p>
    <w:p w14:paraId="28957615" w14:textId="77777777" w:rsidR="00F42533" w:rsidRPr="00390CD6" w:rsidRDefault="00F42533" w:rsidP="00F42533">
      <w:pPr>
        <w:pStyle w:val="ListParagraph"/>
        <w:widowControl/>
        <w:numPr>
          <w:ilvl w:val="0"/>
          <w:numId w:val="102"/>
        </w:numPr>
        <w:autoSpaceDE/>
        <w:autoSpaceDN/>
        <w:spacing w:after="80" w:line="360" w:lineRule="auto"/>
        <w:contextualSpacing/>
        <w:jc w:val="both"/>
        <w:rPr>
          <w:rFonts w:ascii="Arial Nova" w:hAnsi="Arial Nova"/>
        </w:rPr>
      </w:pPr>
      <w:r w:rsidRPr="00390CD6">
        <w:rPr>
          <w:rFonts w:ascii="Arial Nova" w:hAnsi="Arial Nova"/>
        </w:rPr>
        <w:t>” bacteriophage”</w:t>
      </w:r>
    </w:p>
    <w:p w14:paraId="08DFDCDF" w14:textId="77777777" w:rsidR="00F42533" w:rsidRPr="00390CD6" w:rsidRDefault="00F42533" w:rsidP="00F42533">
      <w:pPr>
        <w:pStyle w:val="ListParagraph"/>
        <w:widowControl/>
        <w:numPr>
          <w:ilvl w:val="0"/>
          <w:numId w:val="102"/>
        </w:numPr>
        <w:autoSpaceDE/>
        <w:autoSpaceDN/>
        <w:spacing w:after="80" w:line="360" w:lineRule="auto"/>
        <w:contextualSpacing/>
        <w:jc w:val="both"/>
        <w:rPr>
          <w:rFonts w:ascii="Arial Nova" w:hAnsi="Arial Nova"/>
        </w:rPr>
      </w:pPr>
      <w:r w:rsidRPr="00390CD6">
        <w:rPr>
          <w:rFonts w:ascii="Arial Nova" w:hAnsi="Arial Nova"/>
        </w:rPr>
        <w:t>” Antimicrobial resistance”</w:t>
      </w:r>
    </w:p>
    <w:p w14:paraId="0F29174E" w14:textId="77777777" w:rsidR="00F42533" w:rsidRPr="00390CD6" w:rsidRDefault="00F42533" w:rsidP="00F42533">
      <w:pPr>
        <w:pStyle w:val="ListParagraph"/>
        <w:widowControl/>
        <w:numPr>
          <w:ilvl w:val="0"/>
          <w:numId w:val="102"/>
        </w:numPr>
        <w:autoSpaceDE/>
        <w:autoSpaceDN/>
        <w:spacing w:after="80" w:line="360" w:lineRule="auto"/>
        <w:contextualSpacing/>
        <w:jc w:val="both"/>
        <w:rPr>
          <w:rFonts w:ascii="Arial Nova" w:hAnsi="Arial Nova"/>
        </w:rPr>
      </w:pPr>
      <w:r w:rsidRPr="00390CD6">
        <w:rPr>
          <w:rFonts w:ascii="Arial Nova" w:hAnsi="Arial Nova"/>
        </w:rPr>
        <w:t>” Antibiotic resistance”</w:t>
      </w:r>
    </w:p>
    <w:p w14:paraId="366FB8F8" w14:textId="77777777" w:rsidR="00F42533" w:rsidRPr="00390CD6" w:rsidRDefault="00F42533" w:rsidP="00F42533">
      <w:pPr>
        <w:pStyle w:val="ListParagraph"/>
        <w:widowControl/>
        <w:numPr>
          <w:ilvl w:val="0"/>
          <w:numId w:val="102"/>
        </w:numPr>
        <w:autoSpaceDE/>
        <w:autoSpaceDN/>
        <w:spacing w:after="80" w:line="360" w:lineRule="auto"/>
        <w:contextualSpacing/>
        <w:jc w:val="both"/>
        <w:rPr>
          <w:rFonts w:ascii="Arial Nova" w:hAnsi="Arial Nova"/>
        </w:rPr>
      </w:pPr>
      <w:r w:rsidRPr="00390CD6">
        <w:rPr>
          <w:rFonts w:ascii="Arial Nova" w:hAnsi="Arial Nova"/>
        </w:rPr>
        <w:t>”UK healthcare”</w:t>
      </w:r>
    </w:p>
    <w:p w14:paraId="7717CD52" w14:textId="77777777" w:rsidR="00F42533" w:rsidRPr="00390CD6" w:rsidRDefault="00F42533" w:rsidP="00F42533">
      <w:pPr>
        <w:pStyle w:val="ListParagraph"/>
        <w:widowControl/>
        <w:numPr>
          <w:ilvl w:val="0"/>
          <w:numId w:val="102"/>
        </w:numPr>
        <w:autoSpaceDE/>
        <w:autoSpaceDN/>
        <w:spacing w:after="80" w:line="360" w:lineRule="auto"/>
        <w:contextualSpacing/>
        <w:jc w:val="both"/>
        <w:rPr>
          <w:rFonts w:ascii="Arial Nova" w:hAnsi="Arial Nova"/>
        </w:rPr>
      </w:pPr>
      <w:r w:rsidRPr="00390CD6">
        <w:rPr>
          <w:rFonts w:ascii="Arial Nova" w:hAnsi="Arial Nova"/>
        </w:rPr>
        <w:t>” Nursing practice”</w:t>
      </w:r>
    </w:p>
    <w:p w14:paraId="672CAAB6" w14:textId="77777777" w:rsidR="00F42533" w:rsidRPr="00390CD6" w:rsidRDefault="00F42533" w:rsidP="00F42533">
      <w:pPr>
        <w:pStyle w:val="ListParagraph"/>
        <w:widowControl/>
        <w:numPr>
          <w:ilvl w:val="0"/>
          <w:numId w:val="102"/>
        </w:numPr>
        <w:autoSpaceDE/>
        <w:autoSpaceDN/>
        <w:spacing w:after="80" w:line="360" w:lineRule="auto"/>
        <w:contextualSpacing/>
        <w:jc w:val="both"/>
        <w:rPr>
          <w:rFonts w:ascii="Arial Nova" w:hAnsi="Arial Nova"/>
        </w:rPr>
      </w:pPr>
      <w:r w:rsidRPr="00390CD6">
        <w:rPr>
          <w:rFonts w:ascii="Arial Nova" w:hAnsi="Arial Nova"/>
        </w:rPr>
        <w:t>” MHRA regulation”</w:t>
      </w:r>
    </w:p>
    <w:p w14:paraId="3C051AD4" w14:textId="77777777" w:rsidR="001638F8" w:rsidRDefault="001638F8" w:rsidP="008E71C0">
      <w:pPr>
        <w:spacing w:after="140"/>
        <w:rPr>
          <w:rFonts w:ascii="Arial Nova" w:hAnsi="Arial Nova"/>
          <w:b/>
        </w:rPr>
      </w:pPr>
    </w:p>
    <w:p w14:paraId="61E56BEE" w14:textId="77777777" w:rsidR="001638F8" w:rsidRDefault="001638F8" w:rsidP="008E71C0">
      <w:pPr>
        <w:spacing w:after="140"/>
        <w:rPr>
          <w:rFonts w:ascii="Arial Nova" w:hAnsi="Arial Nova"/>
          <w:b/>
        </w:rPr>
      </w:pPr>
    </w:p>
    <w:p w14:paraId="4458D126" w14:textId="77777777" w:rsidR="001638F8" w:rsidRDefault="001638F8" w:rsidP="008E71C0">
      <w:pPr>
        <w:spacing w:after="140"/>
        <w:rPr>
          <w:rFonts w:ascii="Arial Nova" w:hAnsi="Arial Nova"/>
          <w:b/>
        </w:rPr>
      </w:pPr>
    </w:p>
    <w:p w14:paraId="66659196" w14:textId="77777777" w:rsidR="00B83A90" w:rsidRDefault="00B83A90" w:rsidP="008E71C0">
      <w:pPr>
        <w:spacing w:after="140"/>
        <w:rPr>
          <w:rFonts w:ascii="Arial Nova" w:hAnsi="Arial Nova"/>
          <w:b/>
        </w:rPr>
      </w:pPr>
    </w:p>
    <w:p w14:paraId="4A015FB6" w14:textId="77777777" w:rsidR="00B83A90" w:rsidRDefault="00B83A90" w:rsidP="008E71C0">
      <w:pPr>
        <w:spacing w:after="140"/>
        <w:rPr>
          <w:rFonts w:ascii="Arial Nova" w:hAnsi="Arial Nova"/>
          <w:b/>
        </w:rPr>
      </w:pPr>
    </w:p>
    <w:p w14:paraId="6A1FDEFF" w14:textId="77777777" w:rsidR="00B83A90" w:rsidRDefault="00B83A90" w:rsidP="008E71C0">
      <w:pPr>
        <w:spacing w:after="140"/>
        <w:rPr>
          <w:rFonts w:ascii="Arial Nova" w:hAnsi="Arial Nova"/>
          <w:b/>
        </w:rPr>
      </w:pPr>
    </w:p>
    <w:p w14:paraId="0FEB35FC" w14:textId="77777777" w:rsidR="00B83A90" w:rsidRDefault="00B83A90" w:rsidP="008E71C0">
      <w:pPr>
        <w:spacing w:after="140"/>
        <w:rPr>
          <w:rFonts w:ascii="Arial Nova" w:hAnsi="Arial Nova"/>
          <w:b/>
        </w:rPr>
      </w:pPr>
    </w:p>
    <w:p w14:paraId="29568150" w14:textId="77777777" w:rsidR="00B83A90" w:rsidRDefault="00B83A90" w:rsidP="008E71C0">
      <w:pPr>
        <w:spacing w:after="140"/>
        <w:rPr>
          <w:rFonts w:ascii="Arial Nova" w:hAnsi="Arial Nova"/>
          <w:b/>
        </w:rPr>
      </w:pPr>
    </w:p>
    <w:p w14:paraId="31333858" w14:textId="77777777" w:rsidR="00B83A90" w:rsidRDefault="00B83A90" w:rsidP="008E71C0">
      <w:pPr>
        <w:spacing w:after="140"/>
        <w:rPr>
          <w:rFonts w:ascii="Arial Nova" w:hAnsi="Arial Nova"/>
          <w:b/>
        </w:rPr>
      </w:pPr>
    </w:p>
    <w:p w14:paraId="37E360E5" w14:textId="76ABA058" w:rsidR="008E71C0" w:rsidRDefault="008E71C0" w:rsidP="008E71C0">
      <w:pPr>
        <w:spacing w:after="140"/>
        <w:rPr>
          <w:rFonts w:ascii="Arial Nova" w:hAnsi="Arial Nova"/>
          <w:b/>
        </w:rPr>
      </w:pPr>
      <w:r w:rsidRPr="008E71C0">
        <w:rPr>
          <w:rFonts w:ascii="Arial Nova" w:hAnsi="Arial Nova"/>
          <w:b/>
        </w:rPr>
        <w:lastRenderedPageBreak/>
        <w:t>Boolean search combinations used</w:t>
      </w:r>
      <w:r w:rsidR="00CD68D2">
        <w:rPr>
          <w:rFonts w:ascii="Arial Nova" w:hAnsi="Arial Nova"/>
          <w:b/>
        </w:rPr>
        <w:t>:</w:t>
      </w:r>
    </w:p>
    <w:tbl>
      <w:tblPr>
        <w:tblStyle w:val="GridTable4-Accent1"/>
        <w:tblW w:w="9229" w:type="dxa"/>
        <w:tblLook w:val="04A0" w:firstRow="1" w:lastRow="0" w:firstColumn="1" w:lastColumn="0" w:noHBand="0" w:noVBand="1"/>
      </w:tblPr>
      <w:tblGrid>
        <w:gridCol w:w="3076"/>
        <w:gridCol w:w="3076"/>
        <w:gridCol w:w="3077"/>
      </w:tblGrid>
      <w:tr w:rsidR="001638F8" w14:paraId="77550CC9" w14:textId="77777777" w:rsidTr="00A005D7">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076" w:type="dxa"/>
          </w:tcPr>
          <w:p w14:paraId="71AF9946" w14:textId="7CBEED64" w:rsidR="001638F8" w:rsidRPr="0021700D" w:rsidRDefault="00916494" w:rsidP="008E71C0">
            <w:pPr>
              <w:spacing w:after="140"/>
              <w:rPr>
                <w:rFonts w:ascii="Arial Nova" w:hAnsi="Arial Nova"/>
                <w:bCs w:val="0"/>
              </w:rPr>
            </w:pPr>
            <w:r w:rsidRPr="0021700D">
              <w:rPr>
                <w:rFonts w:ascii="Arial Nova" w:hAnsi="Arial Nova"/>
              </w:rPr>
              <w:t>Boolean operator</w:t>
            </w:r>
          </w:p>
        </w:tc>
        <w:tc>
          <w:tcPr>
            <w:tcW w:w="3076" w:type="dxa"/>
          </w:tcPr>
          <w:p w14:paraId="7898164D" w14:textId="51822819" w:rsidR="001638F8" w:rsidRPr="0021700D" w:rsidRDefault="00B32066" w:rsidP="008E71C0">
            <w:pPr>
              <w:spacing w:after="140"/>
              <w:cnfStyle w:val="100000000000" w:firstRow="1" w:lastRow="0" w:firstColumn="0" w:lastColumn="0" w:oddVBand="0" w:evenVBand="0" w:oddHBand="0" w:evenHBand="0" w:firstRowFirstColumn="0" w:firstRowLastColumn="0" w:lastRowFirstColumn="0" w:lastRowLastColumn="0"/>
              <w:rPr>
                <w:rFonts w:ascii="Arial Nova" w:hAnsi="Arial Nova"/>
                <w:bCs w:val="0"/>
              </w:rPr>
            </w:pPr>
            <w:r w:rsidRPr="0021700D">
              <w:rPr>
                <w:rFonts w:ascii="Arial Nova" w:hAnsi="Arial Nova"/>
              </w:rPr>
              <w:t>Example search string</w:t>
            </w:r>
          </w:p>
        </w:tc>
        <w:tc>
          <w:tcPr>
            <w:tcW w:w="3077" w:type="dxa"/>
          </w:tcPr>
          <w:p w14:paraId="7D9C7C2F" w14:textId="026E9287" w:rsidR="001638F8" w:rsidRPr="0021700D" w:rsidRDefault="0021700D" w:rsidP="008E71C0">
            <w:pPr>
              <w:spacing w:after="140"/>
              <w:cnfStyle w:val="100000000000" w:firstRow="1" w:lastRow="0" w:firstColumn="0" w:lastColumn="0" w:oddVBand="0" w:evenVBand="0" w:oddHBand="0" w:evenHBand="0" w:firstRowFirstColumn="0" w:firstRowLastColumn="0" w:lastRowFirstColumn="0" w:lastRowLastColumn="0"/>
              <w:rPr>
                <w:rFonts w:ascii="Arial Nova" w:hAnsi="Arial Nova"/>
                <w:bCs w:val="0"/>
              </w:rPr>
            </w:pPr>
            <w:r w:rsidRPr="0021700D">
              <w:rPr>
                <w:rFonts w:ascii="Arial Nova" w:hAnsi="Arial Nova"/>
              </w:rPr>
              <w:t>Purpose</w:t>
            </w:r>
          </w:p>
        </w:tc>
      </w:tr>
      <w:tr w:rsidR="004F306F" w14:paraId="4F26D319" w14:textId="77777777" w:rsidTr="00A005D7">
        <w:trPr>
          <w:cnfStyle w:val="000000100000" w:firstRow="0" w:lastRow="0" w:firstColumn="0" w:lastColumn="0" w:oddVBand="0" w:evenVBand="0" w:oddHBand="1" w:evenHBand="0" w:firstRowFirstColumn="0" w:firstRowLastColumn="0" w:lastRowFirstColumn="0" w:lastRowLastColumn="0"/>
          <w:trHeight w:val="1000"/>
        </w:trPr>
        <w:tc>
          <w:tcPr>
            <w:cnfStyle w:val="001000000000" w:firstRow="0" w:lastRow="0" w:firstColumn="1" w:lastColumn="0" w:oddVBand="0" w:evenVBand="0" w:oddHBand="0" w:evenHBand="0" w:firstRowFirstColumn="0" w:firstRowLastColumn="0" w:lastRowFirstColumn="0" w:lastRowLastColumn="0"/>
            <w:tcW w:w="3076" w:type="dxa"/>
          </w:tcPr>
          <w:p w14:paraId="14D862A6" w14:textId="6B9871B0" w:rsidR="004F306F" w:rsidRPr="009B1976" w:rsidRDefault="004F306F" w:rsidP="004F306F">
            <w:pPr>
              <w:spacing w:after="140"/>
              <w:rPr>
                <w:rFonts w:ascii="Arial Nova" w:hAnsi="Arial Nova"/>
                <w:bCs w:val="0"/>
              </w:rPr>
            </w:pPr>
            <w:r w:rsidRPr="009B1976">
              <w:rPr>
                <w:rFonts w:ascii="Arial Nova" w:hAnsi="Arial Nova"/>
                <w:bCs w:val="0"/>
              </w:rPr>
              <w:t>AND</w:t>
            </w:r>
          </w:p>
        </w:tc>
        <w:tc>
          <w:tcPr>
            <w:tcW w:w="3076" w:type="dxa"/>
          </w:tcPr>
          <w:p w14:paraId="4C4D35DF" w14:textId="4C31499F" w:rsidR="004F306F" w:rsidRPr="004F306F" w:rsidRDefault="004F306F" w:rsidP="004F306F">
            <w:pPr>
              <w:spacing w:after="140"/>
              <w:jc w:val="left"/>
              <w:cnfStyle w:val="000000100000" w:firstRow="0" w:lastRow="0" w:firstColumn="0" w:lastColumn="0" w:oddVBand="0" w:evenVBand="0" w:oddHBand="1" w:evenHBand="0" w:firstRowFirstColumn="0" w:firstRowLastColumn="0" w:lastRowFirstColumn="0" w:lastRowLastColumn="0"/>
              <w:rPr>
                <w:rFonts w:ascii="Arial Nova" w:hAnsi="Arial Nova"/>
                <w:bCs/>
              </w:rPr>
            </w:pPr>
            <w:r w:rsidRPr="004F306F">
              <w:rPr>
                <w:rFonts w:ascii="Arial Nova" w:hAnsi="Arial Nova"/>
              </w:rPr>
              <w:t>” Phag</w:t>
            </w:r>
            <w:r w:rsidRPr="004F306F">
              <w:rPr>
                <w:rFonts w:ascii="Arial Nova" w:eastAsiaTheme="minorHAnsi" w:hAnsi="Arial Nova"/>
                <w:kern w:val="0"/>
                <w:lang w:eastAsia="en-US"/>
                <w14:ligatures w14:val="none"/>
              </w:rPr>
              <w:t>e</w:t>
            </w:r>
            <w:r w:rsidRPr="004F306F">
              <w:rPr>
                <w:rFonts w:ascii="Arial Nova" w:hAnsi="Arial Nova"/>
              </w:rPr>
              <w:t xml:space="preserve"> therapy” AND” United Kingdom”</w:t>
            </w:r>
          </w:p>
        </w:tc>
        <w:tc>
          <w:tcPr>
            <w:tcW w:w="3077" w:type="dxa"/>
          </w:tcPr>
          <w:p w14:paraId="4918955C" w14:textId="67ACCDBA" w:rsidR="004F306F" w:rsidRPr="004F306F" w:rsidRDefault="004F306F" w:rsidP="00B61C18">
            <w:pPr>
              <w:spacing w:after="140"/>
              <w:jc w:val="left"/>
              <w:cnfStyle w:val="000000100000" w:firstRow="0" w:lastRow="0" w:firstColumn="0" w:lastColumn="0" w:oddVBand="0" w:evenVBand="0" w:oddHBand="1" w:evenHBand="0" w:firstRowFirstColumn="0" w:firstRowLastColumn="0" w:lastRowFirstColumn="0" w:lastRowLastColumn="0"/>
              <w:rPr>
                <w:rFonts w:ascii="Arial Nova" w:hAnsi="Arial Nova"/>
                <w:bCs/>
              </w:rPr>
            </w:pPr>
            <w:r w:rsidRPr="004F306F">
              <w:rPr>
                <w:rFonts w:ascii="Arial Nova" w:hAnsi="Arial Nova"/>
              </w:rPr>
              <w:t>Combine concepts</w:t>
            </w:r>
            <w:r w:rsidR="00B61C18">
              <w:rPr>
                <w:rFonts w:ascii="Arial Nova" w:hAnsi="Arial Nova"/>
              </w:rPr>
              <w:t xml:space="preserve">. </w:t>
            </w:r>
            <w:r w:rsidR="00B61C18">
              <w:rPr>
                <w:rFonts w:ascii="Arial Nova" w:hAnsi="Arial Nova"/>
                <w:sz w:val="20"/>
              </w:rPr>
              <w:t>Combine core concept with national context.</w:t>
            </w:r>
          </w:p>
        </w:tc>
      </w:tr>
      <w:tr w:rsidR="004F306F" w14:paraId="6A381175" w14:textId="77777777" w:rsidTr="00A005D7">
        <w:trPr>
          <w:trHeight w:val="1000"/>
        </w:trPr>
        <w:tc>
          <w:tcPr>
            <w:cnfStyle w:val="001000000000" w:firstRow="0" w:lastRow="0" w:firstColumn="1" w:lastColumn="0" w:oddVBand="0" w:evenVBand="0" w:oddHBand="0" w:evenHBand="0" w:firstRowFirstColumn="0" w:firstRowLastColumn="0" w:lastRowFirstColumn="0" w:lastRowLastColumn="0"/>
            <w:tcW w:w="3076" w:type="dxa"/>
          </w:tcPr>
          <w:p w14:paraId="1F7D3668" w14:textId="236ACA86" w:rsidR="004F306F" w:rsidRPr="009B1976" w:rsidRDefault="004F306F" w:rsidP="004F306F">
            <w:pPr>
              <w:spacing w:after="140"/>
              <w:rPr>
                <w:rFonts w:ascii="Arial Nova" w:hAnsi="Arial Nova"/>
                <w:bCs w:val="0"/>
              </w:rPr>
            </w:pPr>
            <w:r w:rsidRPr="009B1976">
              <w:rPr>
                <w:rFonts w:ascii="Arial Nova" w:hAnsi="Arial Nova"/>
                <w:bCs w:val="0"/>
              </w:rPr>
              <w:t>OR</w:t>
            </w:r>
          </w:p>
        </w:tc>
        <w:tc>
          <w:tcPr>
            <w:tcW w:w="3076" w:type="dxa"/>
          </w:tcPr>
          <w:p w14:paraId="219D02D5" w14:textId="3363A608" w:rsidR="004F306F" w:rsidRPr="004F306F" w:rsidRDefault="004F306F" w:rsidP="004F306F">
            <w:pPr>
              <w:spacing w:after="140"/>
              <w:jc w:val="left"/>
              <w:cnfStyle w:val="000000000000" w:firstRow="0" w:lastRow="0" w:firstColumn="0" w:lastColumn="0" w:oddVBand="0" w:evenVBand="0" w:oddHBand="0" w:evenHBand="0" w:firstRowFirstColumn="0" w:firstRowLastColumn="0" w:lastRowFirstColumn="0" w:lastRowLastColumn="0"/>
              <w:rPr>
                <w:rFonts w:ascii="Arial Nova" w:hAnsi="Arial Nova"/>
                <w:bCs/>
              </w:rPr>
            </w:pPr>
            <w:r w:rsidRPr="004F306F">
              <w:rPr>
                <w:rFonts w:ascii="Arial Nova" w:hAnsi="Arial Nova"/>
              </w:rPr>
              <w:t>” phag</w:t>
            </w:r>
            <w:r w:rsidRPr="004F306F">
              <w:rPr>
                <w:rFonts w:ascii="Arial Nova" w:eastAsiaTheme="minorHAnsi" w:hAnsi="Arial Nova"/>
                <w:kern w:val="0"/>
                <w:lang w:eastAsia="en-US"/>
                <w14:ligatures w14:val="none"/>
              </w:rPr>
              <w:t>e</w:t>
            </w:r>
            <w:r w:rsidRPr="004F306F">
              <w:rPr>
                <w:rFonts w:ascii="Arial Nova" w:hAnsi="Arial Nova"/>
              </w:rPr>
              <w:t>” OR” bacteriophage”</w:t>
            </w:r>
          </w:p>
        </w:tc>
        <w:tc>
          <w:tcPr>
            <w:tcW w:w="3077" w:type="dxa"/>
          </w:tcPr>
          <w:p w14:paraId="1F82710F" w14:textId="7DAA9928" w:rsidR="004F306F" w:rsidRPr="004F306F" w:rsidRDefault="004F306F" w:rsidP="00BD53EB">
            <w:pPr>
              <w:spacing w:after="140"/>
              <w:jc w:val="left"/>
              <w:cnfStyle w:val="000000000000" w:firstRow="0" w:lastRow="0" w:firstColumn="0" w:lastColumn="0" w:oddVBand="0" w:evenVBand="0" w:oddHBand="0" w:evenHBand="0" w:firstRowFirstColumn="0" w:firstRowLastColumn="0" w:lastRowFirstColumn="0" w:lastRowLastColumn="0"/>
              <w:rPr>
                <w:rFonts w:ascii="Arial Nova" w:hAnsi="Arial Nova"/>
                <w:bCs/>
              </w:rPr>
            </w:pPr>
            <w:r w:rsidRPr="004F306F">
              <w:rPr>
                <w:rFonts w:ascii="Arial Nova" w:hAnsi="Arial Nova"/>
              </w:rPr>
              <w:t>Capture synonyms</w:t>
            </w:r>
            <w:r w:rsidR="00BD53EB">
              <w:rPr>
                <w:rFonts w:ascii="Arial Nova" w:hAnsi="Arial Nova"/>
              </w:rPr>
              <w:t xml:space="preserve">. </w:t>
            </w:r>
            <w:r w:rsidR="00BD53EB">
              <w:rPr>
                <w:rFonts w:ascii="Arial Nova" w:hAnsi="Arial Nova"/>
                <w:sz w:val="20"/>
              </w:rPr>
              <w:t>Capture synonymous terminology.</w:t>
            </w:r>
          </w:p>
        </w:tc>
      </w:tr>
      <w:tr w:rsidR="004F306F" w14:paraId="1B2976AF" w14:textId="77777777" w:rsidTr="00A005D7">
        <w:trPr>
          <w:cnfStyle w:val="000000100000" w:firstRow="0" w:lastRow="0" w:firstColumn="0" w:lastColumn="0" w:oddVBand="0" w:evenVBand="0" w:oddHBand="1" w:evenHBand="0" w:firstRowFirstColumn="0" w:firstRowLastColumn="0" w:lastRowFirstColumn="0" w:lastRowLastColumn="0"/>
          <w:trHeight w:val="1000"/>
        </w:trPr>
        <w:tc>
          <w:tcPr>
            <w:cnfStyle w:val="001000000000" w:firstRow="0" w:lastRow="0" w:firstColumn="1" w:lastColumn="0" w:oddVBand="0" w:evenVBand="0" w:oddHBand="0" w:evenHBand="0" w:firstRowFirstColumn="0" w:firstRowLastColumn="0" w:lastRowFirstColumn="0" w:lastRowLastColumn="0"/>
            <w:tcW w:w="3076" w:type="dxa"/>
          </w:tcPr>
          <w:p w14:paraId="04029A83" w14:textId="12D3B820" w:rsidR="00917E4C" w:rsidRPr="009B1976" w:rsidRDefault="004F306F" w:rsidP="004F306F">
            <w:pPr>
              <w:spacing w:after="140"/>
              <w:rPr>
                <w:rFonts w:ascii="Arial Nova" w:hAnsi="Arial Nova"/>
                <w:bCs w:val="0"/>
              </w:rPr>
            </w:pPr>
            <w:r w:rsidRPr="009B1976">
              <w:rPr>
                <w:rFonts w:ascii="Arial Nova" w:hAnsi="Arial Nova"/>
                <w:bCs w:val="0"/>
              </w:rPr>
              <w:t>NOT</w:t>
            </w:r>
          </w:p>
        </w:tc>
        <w:tc>
          <w:tcPr>
            <w:tcW w:w="3076" w:type="dxa"/>
          </w:tcPr>
          <w:p w14:paraId="72EE415E" w14:textId="164EA906" w:rsidR="004F306F" w:rsidRPr="004F306F" w:rsidRDefault="004F306F" w:rsidP="004F306F">
            <w:pPr>
              <w:spacing w:after="140"/>
              <w:jc w:val="left"/>
              <w:cnfStyle w:val="000000100000" w:firstRow="0" w:lastRow="0" w:firstColumn="0" w:lastColumn="0" w:oddVBand="0" w:evenVBand="0" w:oddHBand="1" w:evenHBand="0" w:firstRowFirstColumn="0" w:firstRowLastColumn="0" w:lastRowFirstColumn="0" w:lastRowLastColumn="0"/>
              <w:rPr>
                <w:rFonts w:ascii="Arial Nova" w:hAnsi="Arial Nova"/>
                <w:bCs/>
              </w:rPr>
            </w:pPr>
            <w:r w:rsidRPr="004F306F">
              <w:rPr>
                <w:rFonts w:ascii="Arial Nova" w:hAnsi="Arial Nova"/>
              </w:rPr>
              <w:t>” Phag</w:t>
            </w:r>
            <w:r w:rsidRPr="004F306F">
              <w:rPr>
                <w:rFonts w:ascii="Arial Nova" w:eastAsiaTheme="minorHAnsi" w:hAnsi="Arial Nova"/>
                <w:kern w:val="0"/>
                <w:lang w:eastAsia="en-US"/>
                <w14:ligatures w14:val="none"/>
              </w:rPr>
              <w:t>e</w:t>
            </w:r>
            <w:r w:rsidRPr="004F306F">
              <w:rPr>
                <w:rFonts w:ascii="Arial Nova" w:hAnsi="Arial Nova"/>
              </w:rPr>
              <w:t xml:space="preserve"> therapy” NOT” veterinary”</w:t>
            </w:r>
          </w:p>
        </w:tc>
        <w:tc>
          <w:tcPr>
            <w:tcW w:w="3077" w:type="dxa"/>
          </w:tcPr>
          <w:p w14:paraId="394EB2AD" w14:textId="043704DA" w:rsidR="004F306F" w:rsidRPr="004F306F" w:rsidRDefault="004F306F" w:rsidP="00AD4051">
            <w:pPr>
              <w:spacing w:after="140"/>
              <w:jc w:val="left"/>
              <w:cnfStyle w:val="000000100000" w:firstRow="0" w:lastRow="0" w:firstColumn="0" w:lastColumn="0" w:oddVBand="0" w:evenVBand="0" w:oddHBand="1" w:evenHBand="0" w:firstRowFirstColumn="0" w:firstRowLastColumn="0" w:lastRowFirstColumn="0" w:lastRowLastColumn="0"/>
              <w:rPr>
                <w:rFonts w:ascii="Arial Nova" w:hAnsi="Arial Nova"/>
                <w:bCs/>
              </w:rPr>
            </w:pPr>
            <w:r w:rsidRPr="004F306F">
              <w:rPr>
                <w:rFonts w:ascii="Arial Nova" w:hAnsi="Arial Nova"/>
              </w:rPr>
              <w:t>Exclude irrelevant results</w:t>
            </w:r>
            <w:r w:rsidR="00AD4051">
              <w:rPr>
                <w:rFonts w:ascii="Arial Nova" w:hAnsi="Arial Nova"/>
              </w:rPr>
              <w:t>.</w:t>
            </w:r>
            <w:r w:rsidR="0096050B">
              <w:rPr>
                <w:rFonts w:ascii="Arial Nova" w:hAnsi="Arial Nova"/>
              </w:rPr>
              <w:t xml:space="preserve"> </w:t>
            </w:r>
            <w:r w:rsidR="0091071F">
              <w:rPr>
                <w:rFonts w:ascii="Arial Nova" w:hAnsi="Arial Nova"/>
                <w:sz w:val="20"/>
              </w:rPr>
              <w:t>Exclude non-human healthcare applications</w:t>
            </w:r>
            <w:r w:rsidR="00AD4051">
              <w:rPr>
                <w:rFonts w:ascii="Arial Nova" w:hAnsi="Arial Nova"/>
                <w:sz w:val="20"/>
              </w:rPr>
              <w:t>.</w:t>
            </w:r>
          </w:p>
        </w:tc>
      </w:tr>
      <w:tr w:rsidR="00C35021" w14:paraId="2DF590A0" w14:textId="77777777" w:rsidTr="00A005D7">
        <w:trPr>
          <w:trHeight w:val="1000"/>
        </w:trPr>
        <w:tc>
          <w:tcPr>
            <w:cnfStyle w:val="001000000000" w:firstRow="0" w:lastRow="0" w:firstColumn="1" w:lastColumn="0" w:oddVBand="0" w:evenVBand="0" w:oddHBand="0" w:evenHBand="0" w:firstRowFirstColumn="0" w:firstRowLastColumn="0" w:lastRowFirstColumn="0" w:lastRowLastColumn="0"/>
            <w:tcW w:w="3076" w:type="dxa"/>
          </w:tcPr>
          <w:p w14:paraId="0C289FA8" w14:textId="3CEB3623" w:rsidR="00C35021" w:rsidRPr="004F13A5" w:rsidRDefault="004628A9" w:rsidP="004F306F">
            <w:pPr>
              <w:spacing w:after="140"/>
              <w:rPr>
                <w:rFonts w:ascii="Arial Nova" w:hAnsi="Arial Nova"/>
                <w:bCs w:val="0"/>
              </w:rPr>
            </w:pPr>
            <w:r w:rsidRPr="004F13A5">
              <w:rPr>
                <w:rFonts w:ascii="Arial Nova" w:hAnsi="Arial Nova"/>
                <w:bCs w:val="0"/>
                <w:sz w:val="20"/>
              </w:rPr>
              <w:t>AND</w:t>
            </w:r>
          </w:p>
        </w:tc>
        <w:tc>
          <w:tcPr>
            <w:tcW w:w="3076" w:type="dxa"/>
          </w:tcPr>
          <w:p w14:paraId="0D81B21F" w14:textId="28F72D09" w:rsidR="00C35021" w:rsidRPr="004F306F" w:rsidRDefault="00277DBC" w:rsidP="004F306F">
            <w:pPr>
              <w:spacing w:after="140"/>
              <w:jc w:val="left"/>
              <w:cnfStyle w:val="000000000000" w:firstRow="0" w:lastRow="0" w:firstColumn="0" w:lastColumn="0" w:oddVBand="0" w:evenVBand="0" w:oddHBand="0" w:evenHBand="0" w:firstRowFirstColumn="0" w:firstRowLastColumn="0" w:lastRowFirstColumn="0" w:lastRowLastColumn="0"/>
              <w:rPr>
                <w:rFonts w:ascii="Arial Nova" w:hAnsi="Arial Nova"/>
              </w:rPr>
            </w:pPr>
            <w:r>
              <w:rPr>
                <w:rFonts w:ascii="Arial Nova" w:hAnsi="Arial Nova"/>
                <w:sz w:val="20"/>
              </w:rPr>
              <w:t>"</w:t>
            </w:r>
            <w:r w:rsidR="004F13A5">
              <w:rPr>
                <w:rFonts w:ascii="Arial Nova" w:hAnsi="Arial Nova"/>
                <w:sz w:val="20"/>
              </w:rPr>
              <w:t>Antimicrobial</w:t>
            </w:r>
            <w:r>
              <w:rPr>
                <w:rFonts w:ascii="Arial Nova" w:hAnsi="Arial Nova"/>
                <w:sz w:val="20"/>
              </w:rPr>
              <w:t xml:space="preserve"> stewardship" AND "nursing"</w:t>
            </w:r>
          </w:p>
        </w:tc>
        <w:tc>
          <w:tcPr>
            <w:tcW w:w="3077" w:type="dxa"/>
          </w:tcPr>
          <w:p w14:paraId="439B0AAE" w14:textId="4179B70F" w:rsidR="00C35021" w:rsidRPr="004F306F" w:rsidRDefault="004F13A5" w:rsidP="004F13A5">
            <w:pPr>
              <w:spacing w:after="140"/>
              <w:jc w:val="left"/>
              <w:cnfStyle w:val="000000000000" w:firstRow="0" w:lastRow="0" w:firstColumn="0" w:lastColumn="0" w:oddVBand="0" w:evenVBand="0" w:oddHBand="0" w:evenHBand="0" w:firstRowFirstColumn="0" w:firstRowLastColumn="0" w:lastRowFirstColumn="0" w:lastRowLastColumn="0"/>
              <w:rPr>
                <w:rFonts w:ascii="Arial Nova" w:hAnsi="Arial Nova"/>
              </w:rPr>
            </w:pPr>
            <w:r>
              <w:rPr>
                <w:rFonts w:ascii="Arial Nova" w:hAnsi="Arial Nova"/>
                <w:sz w:val="20"/>
              </w:rPr>
              <w:t>Identify literature relevant to Theme 3</w:t>
            </w:r>
          </w:p>
        </w:tc>
      </w:tr>
    </w:tbl>
    <w:p w14:paraId="69DD60A8" w14:textId="77777777" w:rsidR="00917E4C" w:rsidRPr="001638F8" w:rsidRDefault="00917E4C" w:rsidP="008E71C0">
      <w:pPr>
        <w:spacing w:after="140"/>
        <w:rPr>
          <w:rFonts w:ascii="Arial Nova" w:hAnsi="Arial Nova"/>
          <w:bCs/>
        </w:rPr>
      </w:pPr>
    </w:p>
    <w:p w14:paraId="3BDA932E" w14:textId="0A0F439A" w:rsidR="00946B0E" w:rsidRDefault="00946B0E" w:rsidP="00946B0E">
      <w:pPr>
        <w:spacing w:after="140"/>
        <w:rPr>
          <w:rFonts w:ascii="Arial Nova" w:hAnsi="Arial Nova"/>
          <w:b/>
        </w:rPr>
      </w:pPr>
      <w:r>
        <w:rPr>
          <w:rFonts w:ascii="Arial Nova" w:hAnsi="Arial Nova"/>
          <w:b/>
        </w:rPr>
        <w:t>Filters applied:</w:t>
      </w:r>
    </w:p>
    <w:p w14:paraId="4B4D22DA" w14:textId="77777777" w:rsidR="00946B0E" w:rsidRPr="00586B3B" w:rsidRDefault="00946B0E" w:rsidP="00946B0E">
      <w:pPr>
        <w:pStyle w:val="ListParagraph"/>
        <w:widowControl/>
        <w:numPr>
          <w:ilvl w:val="0"/>
          <w:numId w:val="103"/>
        </w:numPr>
        <w:autoSpaceDE/>
        <w:autoSpaceDN/>
        <w:spacing w:after="80" w:line="360" w:lineRule="auto"/>
        <w:contextualSpacing/>
        <w:jc w:val="both"/>
        <w:rPr>
          <w:rFonts w:ascii="Arial Nova" w:hAnsi="Arial Nova"/>
        </w:rPr>
      </w:pPr>
      <w:r w:rsidRPr="00586B3B">
        <w:rPr>
          <w:rFonts w:ascii="Arial Nova" w:hAnsi="Arial Nova"/>
        </w:rPr>
        <w:t>Publication date: generally, within the last 10 years, with historical exceptions retained for background context (see Chapter 2)</w:t>
      </w:r>
    </w:p>
    <w:p w14:paraId="693EE88C" w14:textId="77777777" w:rsidR="00946B0E" w:rsidRPr="00586B3B" w:rsidRDefault="00946B0E" w:rsidP="00946B0E">
      <w:pPr>
        <w:pStyle w:val="ListParagraph"/>
        <w:widowControl/>
        <w:numPr>
          <w:ilvl w:val="0"/>
          <w:numId w:val="103"/>
        </w:numPr>
        <w:autoSpaceDE/>
        <w:autoSpaceDN/>
        <w:spacing w:after="80" w:line="360" w:lineRule="auto"/>
        <w:contextualSpacing/>
        <w:jc w:val="both"/>
        <w:rPr>
          <w:rFonts w:ascii="Arial Nova" w:hAnsi="Arial Nova"/>
        </w:rPr>
      </w:pPr>
      <w:r w:rsidRPr="00586B3B">
        <w:rPr>
          <w:rFonts w:ascii="Arial Nova" w:hAnsi="Arial Nova"/>
        </w:rPr>
        <w:t>Peer-reviewed status (for academic sources)</w:t>
      </w:r>
    </w:p>
    <w:p w14:paraId="2D6C3D85" w14:textId="77777777" w:rsidR="00946B0E" w:rsidRPr="00586B3B" w:rsidRDefault="00946B0E" w:rsidP="00946B0E">
      <w:pPr>
        <w:pStyle w:val="ListParagraph"/>
        <w:widowControl/>
        <w:numPr>
          <w:ilvl w:val="0"/>
          <w:numId w:val="103"/>
        </w:numPr>
        <w:autoSpaceDE/>
        <w:autoSpaceDN/>
        <w:spacing w:after="80" w:line="360" w:lineRule="auto"/>
        <w:contextualSpacing/>
        <w:jc w:val="both"/>
        <w:rPr>
          <w:rFonts w:ascii="Arial Nova" w:hAnsi="Arial Nova"/>
        </w:rPr>
      </w:pPr>
      <w:r w:rsidRPr="00586B3B">
        <w:rPr>
          <w:rFonts w:ascii="Arial Nova" w:hAnsi="Arial Nova"/>
        </w:rPr>
        <w:t>English language</w:t>
      </w:r>
    </w:p>
    <w:p w14:paraId="2C80D80E" w14:textId="77777777" w:rsidR="00946B0E" w:rsidRDefault="00946B0E" w:rsidP="00946B0E">
      <w:pPr>
        <w:pStyle w:val="ListParagraph"/>
        <w:widowControl/>
        <w:numPr>
          <w:ilvl w:val="0"/>
          <w:numId w:val="103"/>
        </w:numPr>
        <w:autoSpaceDE/>
        <w:autoSpaceDN/>
        <w:spacing w:after="80" w:line="360" w:lineRule="auto"/>
        <w:contextualSpacing/>
        <w:jc w:val="both"/>
        <w:rPr>
          <w:rFonts w:ascii="Arial Nova" w:hAnsi="Arial Nova"/>
        </w:rPr>
      </w:pPr>
      <w:r w:rsidRPr="00586B3B">
        <w:rPr>
          <w:rFonts w:ascii="Arial Nova" w:hAnsi="Arial Nova"/>
        </w:rPr>
        <w:t>UK focus, where possible, for policy and regulatory sources</w:t>
      </w:r>
    </w:p>
    <w:p w14:paraId="5A9A3B27" w14:textId="77777777" w:rsidR="00524DE9" w:rsidRDefault="00524DE9" w:rsidP="00524DE9">
      <w:pPr>
        <w:spacing w:after="80"/>
        <w:contextualSpacing/>
        <w:rPr>
          <w:rFonts w:ascii="Arial Nova" w:hAnsi="Arial Nova"/>
        </w:rPr>
      </w:pPr>
    </w:p>
    <w:p w14:paraId="7AE28426" w14:textId="77777777" w:rsidR="00524DE9" w:rsidRPr="00524DE9" w:rsidRDefault="00524DE9" w:rsidP="00524DE9">
      <w:pPr>
        <w:spacing w:after="80"/>
        <w:contextualSpacing/>
        <w:rPr>
          <w:rFonts w:ascii="Arial Nova" w:hAnsi="Arial Nova"/>
        </w:rPr>
      </w:pPr>
    </w:p>
    <w:p w14:paraId="2E07DEF3" w14:textId="77777777" w:rsidR="00475581" w:rsidRDefault="00475581" w:rsidP="00082152">
      <w:pPr>
        <w:spacing w:after="140"/>
        <w:rPr>
          <w:rFonts w:ascii="Arial Nova" w:hAnsi="Arial Nova"/>
          <w:b/>
        </w:rPr>
      </w:pPr>
    </w:p>
    <w:p w14:paraId="5F7325F8" w14:textId="77777777" w:rsidR="00475581" w:rsidRDefault="00475581" w:rsidP="00082152">
      <w:pPr>
        <w:spacing w:after="140"/>
        <w:rPr>
          <w:rFonts w:ascii="Arial Nova" w:hAnsi="Arial Nova"/>
          <w:b/>
        </w:rPr>
      </w:pPr>
    </w:p>
    <w:p w14:paraId="781C3FC5" w14:textId="77777777" w:rsidR="00475581" w:rsidRDefault="00475581" w:rsidP="00082152">
      <w:pPr>
        <w:spacing w:after="140"/>
        <w:rPr>
          <w:rFonts w:ascii="Arial Nova" w:hAnsi="Arial Nova"/>
          <w:b/>
        </w:rPr>
      </w:pPr>
    </w:p>
    <w:p w14:paraId="6F9B86E2" w14:textId="77777777" w:rsidR="00475581" w:rsidRDefault="00475581" w:rsidP="00082152">
      <w:pPr>
        <w:spacing w:after="140"/>
        <w:rPr>
          <w:rFonts w:ascii="Arial Nova" w:hAnsi="Arial Nova"/>
          <w:b/>
        </w:rPr>
      </w:pPr>
    </w:p>
    <w:p w14:paraId="5D5C9B3C" w14:textId="77777777" w:rsidR="00475581" w:rsidRDefault="00475581" w:rsidP="00082152">
      <w:pPr>
        <w:spacing w:after="140"/>
        <w:rPr>
          <w:rFonts w:ascii="Arial Nova" w:hAnsi="Arial Nova"/>
          <w:b/>
        </w:rPr>
      </w:pPr>
    </w:p>
    <w:p w14:paraId="6E155CD5" w14:textId="461AB667" w:rsidR="00082152" w:rsidRPr="00082152" w:rsidRDefault="00844A32" w:rsidP="00082152">
      <w:pPr>
        <w:spacing w:after="140"/>
        <w:rPr>
          <w:rFonts w:ascii="Arial Nova" w:hAnsi="Arial Nova"/>
          <w:b/>
        </w:rPr>
      </w:pPr>
      <w:r>
        <w:rPr>
          <w:rFonts w:ascii="Arial Nova" w:hAnsi="Arial Nova"/>
          <w:b/>
        </w:rPr>
        <w:t xml:space="preserve">6.2.2. </w:t>
      </w:r>
      <w:r w:rsidR="00082152" w:rsidRPr="00082152">
        <w:rPr>
          <w:rFonts w:ascii="Arial Nova" w:hAnsi="Arial Nova"/>
          <w:b/>
        </w:rPr>
        <w:t>Appendix B – Glossary of Specialist Terms</w:t>
      </w:r>
      <w:r w:rsidR="00082152">
        <w:rPr>
          <w:rFonts w:ascii="Arial Nova" w:hAnsi="Arial Nova"/>
          <w:b/>
        </w:rPr>
        <w:t>.</w:t>
      </w:r>
    </w:p>
    <w:p w14:paraId="03CD1928" w14:textId="449742FA" w:rsidR="00F14D80" w:rsidRDefault="00082152" w:rsidP="00082152">
      <w:pPr>
        <w:spacing w:after="140"/>
        <w:rPr>
          <w:rFonts w:ascii="Arial Nova" w:hAnsi="Arial Nova"/>
          <w:bCs/>
        </w:rPr>
      </w:pPr>
      <w:r w:rsidRPr="00082152">
        <w:rPr>
          <w:rFonts w:ascii="Arial Nova" w:hAnsi="Arial Nova"/>
          <w:bCs/>
        </w:rPr>
        <w:t>The following glossary reproduces and expands upon the key definitions introduced in Chapter 1 (Section 1.2), for ease of reference.</w:t>
      </w:r>
    </w:p>
    <w:p w14:paraId="78977C63" w14:textId="77777777" w:rsidR="00767EB4" w:rsidRDefault="00767EB4" w:rsidP="00082152">
      <w:pPr>
        <w:spacing w:after="140"/>
        <w:rPr>
          <w:rFonts w:ascii="Arial Nova" w:hAnsi="Arial Nova"/>
          <w:bCs/>
        </w:rPr>
      </w:pPr>
    </w:p>
    <w:tbl>
      <w:tblPr>
        <w:tblStyle w:val="GridTable5Dark-Accent5"/>
        <w:tblW w:w="0" w:type="auto"/>
        <w:tblLook w:val="04A0" w:firstRow="1" w:lastRow="0" w:firstColumn="1" w:lastColumn="0" w:noHBand="0" w:noVBand="1"/>
      </w:tblPr>
      <w:tblGrid>
        <w:gridCol w:w="4508"/>
        <w:gridCol w:w="4508"/>
      </w:tblGrid>
      <w:tr w:rsidR="005315CF" w14:paraId="735E0150" w14:textId="77777777" w:rsidTr="004D4B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BADBC07" w14:textId="1E8D2315" w:rsidR="005315CF" w:rsidRPr="00B03AC6" w:rsidRDefault="005315CF" w:rsidP="005315CF">
            <w:pPr>
              <w:spacing w:after="140"/>
              <w:rPr>
                <w:rFonts w:ascii="Arial Nova" w:hAnsi="Arial Nova"/>
                <w:bCs w:val="0"/>
                <w:sz w:val="18"/>
                <w:szCs w:val="18"/>
              </w:rPr>
            </w:pPr>
            <w:r w:rsidRPr="00B03AC6">
              <w:rPr>
                <w:rFonts w:ascii="Arial Nova" w:hAnsi="Arial Nova"/>
                <w:sz w:val="18"/>
                <w:szCs w:val="18"/>
              </w:rPr>
              <w:t>Term</w:t>
            </w:r>
          </w:p>
        </w:tc>
        <w:tc>
          <w:tcPr>
            <w:tcW w:w="4508" w:type="dxa"/>
          </w:tcPr>
          <w:p w14:paraId="63133826" w14:textId="2787AEAD" w:rsidR="005315CF" w:rsidRPr="00B03AC6" w:rsidRDefault="005315CF" w:rsidP="005315CF">
            <w:pPr>
              <w:spacing w:after="140"/>
              <w:cnfStyle w:val="100000000000" w:firstRow="1" w:lastRow="0" w:firstColumn="0" w:lastColumn="0" w:oddVBand="0" w:evenVBand="0" w:oddHBand="0" w:evenHBand="0" w:firstRowFirstColumn="0" w:firstRowLastColumn="0" w:lastRowFirstColumn="0" w:lastRowLastColumn="0"/>
              <w:rPr>
                <w:rFonts w:ascii="Arial Nova" w:hAnsi="Arial Nova"/>
                <w:bCs w:val="0"/>
                <w:sz w:val="18"/>
                <w:szCs w:val="18"/>
              </w:rPr>
            </w:pPr>
            <w:r w:rsidRPr="00B03AC6">
              <w:rPr>
                <w:rFonts w:ascii="Arial Nova" w:hAnsi="Arial Nova"/>
                <w:sz w:val="18"/>
                <w:szCs w:val="18"/>
              </w:rPr>
              <w:t>Definition</w:t>
            </w:r>
          </w:p>
        </w:tc>
      </w:tr>
      <w:tr w:rsidR="005315CF" w14:paraId="67EC65EF" w14:textId="77777777" w:rsidTr="004D4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8654F66" w14:textId="1B44F8B8" w:rsidR="005315CF" w:rsidRPr="00B03AC6" w:rsidRDefault="005315CF" w:rsidP="005315CF">
            <w:pPr>
              <w:spacing w:after="140"/>
              <w:rPr>
                <w:rFonts w:ascii="Arial Nova" w:hAnsi="Arial Nova"/>
                <w:bCs w:val="0"/>
                <w:color w:val="auto"/>
                <w:sz w:val="18"/>
                <w:szCs w:val="18"/>
              </w:rPr>
            </w:pPr>
            <w:r w:rsidRPr="00B03AC6">
              <w:rPr>
                <w:rFonts w:ascii="Arial Nova" w:hAnsi="Arial Nova"/>
                <w:b w:val="0"/>
                <w:color w:val="auto"/>
                <w:sz w:val="18"/>
                <w:szCs w:val="18"/>
              </w:rPr>
              <w:t>Bacteriophage (phage)</w:t>
            </w:r>
          </w:p>
        </w:tc>
        <w:tc>
          <w:tcPr>
            <w:tcW w:w="4508" w:type="dxa"/>
          </w:tcPr>
          <w:p w14:paraId="61A3E746" w14:textId="40066477" w:rsidR="005315CF" w:rsidRPr="00B03AC6" w:rsidRDefault="005315CF" w:rsidP="000850CE">
            <w:pPr>
              <w:spacing w:after="140"/>
              <w:jc w:val="left"/>
              <w:cnfStyle w:val="000000100000" w:firstRow="0" w:lastRow="0" w:firstColumn="0" w:lastColumn="0" w:oddVBand="0" w:evenVBand="0" w:oddHBand="1" w:evenHBand="0" w:firstRowFirstColumn="0" w:firstRowLastColumn="0" w:lastRowFirstColumn="0" w:lastRowLastColumn="0"/>
              <w:rPr>
                <w:rFonts w:ascii="Arial Nova" w:hAnsi="Arial Nova"/>
                <w:bCs/>
                <w:sz w:val="18"/>
                <w:szCs w:val="18"/>
              </w:rPr>
            </w:pPr>
            <w:r w:rsidRPr="00B03AC6">
              <w:rPr>
                <w:rFonts w:ascii="Arial Nova" w:hAnsi="Arial Nova"/>
                <w:sz w:val="18"/>
                <w:szCs w:val="18"/>
              </w:rPr>
              <w:t>A virus that specifically infects and destroys bacteria, without harming human cells (GOV.UK, 2025).</w:t>
            </w:r>
          </w:p>
        </w:tc>
      </w:tr>
      <w:tr w:rsidR="005315CF" w14:paraId="6E548F89" w14:textId="77777777" w:rsidTr="004D4BF9">
        <w:tc>
          <w:tcPr>
            <w:cnfStyle w:val="001000000000" w:firstRow="0" w:lastRow="0" w:firstColumn="1" w:lastColumn="0" w:oddVBand="0" w:evenVBand="0" w:oddHBand="0" w:evenHBand="0" w:firstRowFirstColumn="0" w:firstRowLastColumn="0" w:lastRowFirstColumn="0" w:lastRowLastColumn="0"/>
            <w:tcW w:w="4508" w:type="dxa"/>
          </w:tcPr>
          <w:p w14:paraId="730F652D" w14:textId="5048F6DB" w:rsidR="005315CF" w:rsidRPr="00B03AC6" w:rsidRDefault="005315CF" w:rsidP="005315CF">
            <w:pPr>
              <w:spacing w:after="140"/>
              <w:rPr>
                <w:rFonts w:ascii="Arial Nova" w:hAnsi="Arial Nova"/>
                <w:bCs w:val="0"/>
                <w:color w:val="auto"/>
                <w:sz w:val="18"/>
                <w:szCs w:val="18"/>
              </w:rPr>
            </w:pPr>
            <w:r w:rsidRPr="00B03AC6">
              <w:rPr>
                <w:rFonts w:ascii="Arial Nova" w:hAnsi="Arial Nova"/>
                <w:b w:val="0"/>
                <w:color w:val="auto"/>
                <w:sz w:val="18"/>
                <w:szCs w:val="18"/>
              </w:rPr>
              <w:t>Phage therapy</w:t>
            </w:r>
          </w:p>
        </w:tc>
        <w:tc>
          <w:tcPr>
            <w:tcW w:w="4508" w:type="dxa"/>
          </w:tcPr>
          <w:p w14:paraId="30A96A02" w14:textId="1A33104B" w:rsidR="005315CF" w:rsidRPr="00B03AC6" w:rsidRDefault="005315CF" w:rsidP="005315CF">
            <w:pPr>
              <w:spacing w:after="140"/>
              <w:cnfStyle w:val="000000000000" w:firstRow="0" w:lastRow="0" w:firstColumn="0" w:lastColumn="0" w:oddVBand="0" w:evenVBand="0" w:oddHBand="0" w:evenHBand="0" w:firstRowFirstColumn="0" w:firstRowLastColumn="0" w:lastRowFirstColumn="0" w:lastRowLastColumn="0"/>
              <w:rPr>
                <w:rFonts w:ascii="Arial Nova" w:hAnsi="Arial Nova"/>
                <w:bCs/>
                <w:sz w:val="18"/>
                <w:szCs w:val="18"/>
              </w:rPr>
            </w:pPr>
            <w:r w:rsidRPr="00B03AC6">
              <w:rPr>
                <w:rFonts w:ascii="Arial Nova" w:hAnsi="Arial Nova"/>
                <w:sz w:val="18"/>
                <w:szCs w:val="18"/>
              </w:rPr>
              <w:t>The therapeutic use of bacteriophages to treat bacterial infections, often as an alternative or adjunct to antibiotics (Kortright et al., 2019).</w:t>
            </w:r>
          </w:p>
        </w:tc>
      </w:tr>
      <w:tr w:rsidR="005315CF" w14:paraId="0F782AB6" w14:textId="77777777" w:rsidTr="004D4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D137F8B" w14:textId="3404D3D4" w:rsidR="005315CF" w:rsidRPr="00B03AC6" w:rsidRDefault="005315CF" w:rsidP="005315CF">
            <w:pPr>
              <w:spacing w:after="140"/>
              <w:rPr>
                <w:rFonts w:ascii="Arial Nova" w:hAnsi="Arial Nova"/>
                <w:bCs w:val="0"/>
                <w:color w:val="auto"/>
                <w:sz w:val="18"/>
                <w:szCs w:val="18"/>
              </w:rPr>
            </w:pPr>
            <w:r w:rsidRPr="00B03AC6">
              <w:rPr>
                <w:rFonts w:ascii="Arial Nova" w:hAnsi="Arial Nova"/>
                <w:b w:val="0"/>
                <w:color w:val="auto"/>
                <w:sz w:val="18"/>
                <w:szCs w:val="18"/>
              </w:rPr>
              <w:t>Antimicrobial resistance (AMR)</w:t>
            </w:r>
          </w:p>
        </w:tc>
        <w:tc>
          <w:tcPr>
            <w:tcW w:w="4508" w:type="dxa"/>
          </w:tcPr>
          <w:p w14:paraId="3010CC3E" w14:textId="383F49E7" w:rsidR="005315CF" w:rsidRPr="00B03AC6" w:rsidRDefault="005315CF" w:rsidP="005315CF">
            <w:pPr>
              <w:spacing w:after="140"/>
              <w:cnfStyle w:val="000000100000" w:firstRow="0" w:lastRow="0" w:firstColumn="0" w:lastColumn="0" w:oddVBand="0" w:evenVBand="0" w:oddHBand="1" w:evenHBand="0" w:firstRowFirstColumn="0" w:firstRowLastColumn="0" w:lastRowFirstColumn="0" w:lastRowLastColumn="0"/>
              <w:rPr>
                <w:rFonts w:ascii="Arial Nova" w:hAnsi="Arial Nova"/>
                <w:bCs/>
                <w:sz w:val="18"/>
                <w:szCs w:val="18"/>
              </w:rPr>
            </w:pPr>
            <w:r w:rsidRPr="00B03AC6">
              <w:rPr>
                <w:rFonts w:ascii="Arial Nova" w:hAnsi="Arial Nova"/>
                <w:sz w:val="18"/>
                <w:szCs w:val="18"/>
              </w:rPr>
              <w:t>The ability of microorganisms to survive exposure to drugs that would normally kill them or stop their growth, making infections harder to treat (World Health Organization, 2025).</w:t>
            </w:r>
          </w:p>
        </w:tc>
      </w:tr>
      <w:tr w:rsidR="005315CF" w14:paraId="454F9AD1" w14:textId="77777777" w:rsidTr="004D4BF9">
        <w:tc>
          <w:tcPr>
            <w:cnfStyle w:val="001000000000" w:firstRow="0" w:lastRow="0" w:firstColumn="1" w:lastColumn="0" w:oddVBand="0" w:evenVBand="0" w:oddHBand="0" w:evenHBand="0" w:firstRowFirstColumn="0" w:firstRowLastColumn="0" w:lastRowFirstColumn="0" w:lastRowLastColumn="0"/>
            <w:tcW w:w="4508" w:type="dxa"/>
          </w:tcPr>
          <w:p w14:paraId="100B46D6" w14:textId="6F02ED3F" w:rsidR="005315CF" w:rsidRPr="00B03AC6" w:rsidRDefault="005315CF" w:rsidP="005315CF">
            <w:pPr>
              <w:spacing w:after="140"/>
              <w:rPr>
                <w:rFonts w:ascii="Arial Nova" w:hAnsi="Arial Nova"/>
                <w:bCs w:val="0"/>
                <w:color w:val="auto"/>
                <w:sz w:val="18"/>
                <w:szCs w:val="18"/>
              </w:rPr>
            </w:pPr>
            <w:r w:rsidRPr="00B03AC6">
              <w:rPr>
                <w:rFonts w:ascii="Arial Nova" w:hAnsi="Arial Nova"/>
                <w:b w:val="0"/>
                <w:color w:val="auto"/>
                <w:sz w:val="18"/>
                <w:szCs w:val="18"/>
              </w:rPr>
              <w:t>Unlicensed medicine</w:t>
            </w:r>
          </w:p>
        </w:tc>
        <w:tc>
          <w:tcPr>
            <w:tcW w:w="4508" w:type="dxa"/>
          </w:tcPr>
          <w:p w14:paraId="1BA9347F" w14:textId="5E546AEB" w:rsidR="005315CF" w:rsidRPr="00B03AC6" w:rsidRDefault="005315CF" w:rsidP="005315CF">
            <w:pPr>
              <w:spacing w:after="140"/>
              <w:cnfStyle w:val="000000000000" w:firstRow="0" w:lastRow="0" w:firstColumn="0" w:lastColumn="0" w:oddVBand="0" w:evenVBand="0" w:oddHBand="0" w:evenHBand="0" w:firstRowFirstColumn="0" w:firstRowLastColumn="0" w:lastRowFirstColumn="0" w:lastRowLastColumn="0"/>
              <w:rPr>
                <w:rFonts w:ascii="Arial Nova" w:hAnsi="Arial Nova"/>
                <w:bCs/>
                <w:sz w:val="18"/>
                <w:szCs w:val="18"/>
              </w:rPr>
            </w:pPr>
            <w:r w:rsidRPr="00B03AC6">
              <w:rPr>
                <w:rFonts w:ascii="Arial Nova" w:hAnsi="Arial Nova"/>
                <w:sz w:val="18"/>
                <w:szCs w:val="18"/>
              </w:rPr>
              <w:t>A medicinal product not licensed for general use in the UK, but which may be supplied to treat an individual patient under specific regulatory conditions (Steele et al., 2022).</w:t>
            </w:r>
          </w:p>
        </w:tc>
      </w:tr>
      <w:tr w:rsidR="005315CF" w14:paraId="1F6370C7" w14:textId="77777777" w:rsidTr="004D4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67C4756" w14:textId="67969BE6" w:rsidR="005315CF" w:rsidRPr="00B03AC6" w:rsidRDefault="005315CF" w:rsidP="005315CF">
            <w:pPr>
              <w:spacing w:after="140"/>
              <w:rPr>
                <w:rFonts w:ascii="Arial Nova" w:hAnsi="Arial Nova"/>
                <w:bCs w:val="0"/>
                <w:color w:val="auto"/>
                <w:sz w:val="18"/>
                <w:szCs w:val="18"/>
              </w:rPr>
            </w:pPr>
            <w:r w:rsidRPr="00B03AC6">
              <w:rPr>
                <w:rFonts w:ascii="Arial Nova" w:hAnsi="Arial Nova"/>
                <w:b w:val="0"/>
                <w:color w:val="auto"/>
                <w:sz w:val="18"/>
                <w:szCs w:val="18"/>
              </w:rPr>
              <w:t>Compassionate use</w:t>
            </w:r>
          </w:p>
        </w:tc>
        <w:tc>
          <w:tcPr>
            <w:tcW w:w="4508" w:type="dxa"/>
          </w:tcPr>
          <w:p w14:paraId="38C958E1" w14:textId="17E7C14A" w:rsidR="005315CF" w:rsidRPr="00B03AC6" w:rsidRDefault="005315CF" w:rsidP="005315CF">
            <w:pPr>
              <w:spacing w:after="140"/>
              <w:cnfStyle w:val="000000100000" w:firstRow="0" w:lastRow="0" w:firstColumn="0" w:lastColumn="0" w:oddVBand="0" w:evenVBand="0" w:oddHBand="1" w:evenHBand="0" w:firstRowFirstColumn="0" w:firstRowLastColumn="0" w:lastRowFirstColumn="0" w:lastRowLastColumn="0"/>
              <w:rPr>
                <w:rFonts w:ascii="Arial Nova" w:hAnsi="Arial Nova"/>
                <w:bCs/>
                <w:sz w:val="18"/>
                <w:szCs w:val="18"/>
              </w:rPr>
            </w:pPr>
            <w:r w:rsidRPr="00B03AC6">
              <w:rPr>
                <w:rFonts w:ascii="Arial Nova" w:hAnsi="Arial Nova"/>
                <w:sz w:val="18"/>
                <w:szCs w:val="18"/>
              </w:rPr>
              <w:t>The use of an unapproved or unlicensed treatment where conventional options have failed, and no alternative is available (Steele et al., 2022).</w:t>
            </w:r>
          </w:p>
        </w:tc>
      </w:tr>
      <w:tr w:rsidR="005315CF" w14:paraId="7FED60DB" w14:textId="77777777" w:rsidTr="004D4BF9">
        <w:tc>
          <w:tcPr>
            <w:cnfStyle w:val="001000000000" w:firstRow="0" w:lastRow="0" w:firstColumn="1" w:lastColumn="0" w:oddVBand="0" w:evenVBand="0" w:oddHBand="0" w:evenHBand="0" w:firstRowFirstColumn="0" w:firstRowLastColumn="0" w:lastRowFirstColumn="0" w:lastRowLastColumn="0"/>
            <w:tcW w:w="4508" w:type="dxa"/>
          </w:tcPr>
          <w:p w14:paraId="47EAD860" w14:textId="30EEFB97" w:rsidR="005315CF" w:rsidRPr="00B03AC6" w:rsidRDefault="005315CF" w:rsidP="005315CF">
            <w:pPr>
              <w:spacing w:after="140"/>
              <w:rPr>
                <w:rFonts w:ascii="Arial Nova" w:hAnsi="Arial Nova"/>
                <w:bCs w:val="0"/>
                <w:color w:val="auto"/>
                <w:sz w:val="18"/>
                <w:szCs w:val="18"/>
              </w:rPr>
            </w:pPr>
            <w:r w:rsidRPr="00B03AC6">
              <w:rPr>
                <w:rFonts w:ascii="Arial Nova" w:hAnsi="Arial Nova"/>
                <w:b w:val="0"/>
                <w:color w:val="auto"/>
                <w:sz w:val="18"/>
                <w:szCs w:val="18"/>
              </w:rPr>
              <w:t>Good Manufacturing Practice (GMP)</w:t>
            </w:r>
          </w:p>
        </w:tc>
        <w:tc>
          <w:tcPr>
            <w:tcW w:w="4508" w:type="dxa"/>
          </w:tcPr>
          <w:p w14:paraId="177BB577" w14:textId="5B36A32D" w:rsidR="005315CF" w:rsidRPr="00B03AC6" w:rsidRDefault="005315CF" w:rsidP="005315CF">
            <w:pPr>
              <w:spacing w:after="140"/>
              <w:cnfStyle w:val="000000000000" w:firstRow="0" w:lastRow="0" w:firstColumn="0" w:lastColumn="0" w:oddVBand="0" w:evenVBand="0" w:oddHBand="0" w:evenHBand="0" w:firstRowFirstColumn="0" w:firstRowLastColumn="0" w:lastRowFirstColumn="0" w:lastRowLastColumn="0"/>
              <w:rPr>
                <w:rFonts w:ascii="Arial Nova" w:hAnsi="Arial Nova"/>
                <w:bCs/>
                <w:sz w:val="18"/>
                <w:szCs w:val="18"/>
              </w:rPr>
            </w:pPr>
            <w:r w:rsidRPr="00B03AC6">
              <w:rPr>
                <w:rFonts w:ascii="Arial Nova" w:hAnsi="Arial Nova"/>
                <w:sz w:val="18"/>
                <w:szCs w:val="18"/>
              </w:rPr>
              <w:t>A quality assurance system ensuring medicines are consistently produced and controlled to appropriate standards (MHRA, 2025).</w:t>
            </w:r>
          </w:p>
        </w:tc>
      </w:tr>
      <w:tr w:rsidR="005315CF" w14:paraId="02EB2FF1" w14:textId="77777777" w:rsidTr="004D4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EB3C2A9" w14:textId="5A1ECE96" w:rsidR="005315CF" w:rsidRPr="00B03AC6" w:rsidRDefault="005315CF" w:rsidP="005315CF">
            <w:pPr>
              <w:spacing w:after="140"/>
              <w:rPr>
                <w:rFonts w:ascii="Arial Nova" w:hAnsi="Arial Nova"/>
                <w:bCs w:val="0"/>
                <w:color w:val="auto"/>
                <w:sz w:val="18"/>
                <w:szCs w:val="18"/>
              </w:rPr>
            </w:pPr>
            <w:r w:rsidRPr="00B03AC6">
              <w:rPr>
                <w:rFonts w:ascii="Arial Nova" w:hAnsi="Arial Nova"/>
                <w:b w:val="0"/>
                <w:color w:val="auto"/>
                <w:sz w:val="18"/>
                <w:szCs w:val="18"/>
              </w:rPr>
              <w:t>Lytic phage</w:t>
            </w:r>
          </w:p>
        </w:tc>
        <w:tc>
          <w:tcPr>
            <w:tcW w:w="4508" w:type="dxa"/>
          </w:tcPr>
          <w:p w14:paraId="013FAD62" w14:textId="6AE83724" w:rsidR="005315CF" w:rsidRPr="00B03AC6" w:rsidRDefault="005315CF" w:rsidP="005315CF">
            <w:pPr>
              <w:spacing w:after="140"/>
              <w:cnfStyle w:val="000000100000" w:firstRow="0" w:lastRow="0" w:firstColumn="0" w:lastColumn="0" w:oddVBand="0" w:evenVBand="0" w:oddHBand="1" w:evenHBand="0" w:firstRowFirstColumn="0" w:firstRowLastColumn="0" w:lastRowFirstColumn="0" w:lastRowLastColumn="0"/>
              <w:rPr>
                <w:rFonts w:ascii="Arial Nova" w:hAnsi="Arial Nova"/>
                <w:bCs/>
                <w:sz w:val="18"/>
                <w:szCs w:val="18"/>
              </w:rPr>
            </w:pPr>
            <w:r w:rsidRPr="00B03AC6">
              <w:rPr>
                <w:rFonts w:ascii="Arial Nova" w:hAnsi="Arial Nova"/>
                <w:sz w:val="18"/>
                <w:szCs w:val="18"/>
              </w:rPr>
              <w:t>A bacteriophage that infects a bacterial cell, replicates inside it, and causes the cell to burst (lyse), releasing new phage particles (Loh et al., 2021).</w:t>
            </w:r>
          </w:p>
        </w:tc>
      </w:tr>
      <w:tr w:rsidR="005315CF" w14:paraId="0973B034" w14:textId="77777777" w:rsidTr="004D4BF9">
        <w:tc>
          <w:tcPr>
            <w:cnfStyle w:val="001000000000" w:firstRow="0" w:lastRow="0" w:firstColumn="1" w:lastColumn="0" w:oddVBand="0" w:evenVBand="0" w:oddHBand="0" w:evenHBand="0" w:firstRowFirstColumn="0" w:firstRowLastColumn="0" w:lastRowFirstColumn="0" w:lastRowLastColumn="0"/>
            <w:tcW w:w="4508" w:type="dxa"/>
          </w:tcPr>
          <w:p w14:paraId="7CA93889" w14:textId="69985A6F" w:rsidR="005315CF" w:rsidRPr="00B03AC6" w:rsidRDefault="005315CF" w:rsidP="005315CF">
            <w:pPr>
              <w:spacing w:after="140"/>
              <w:rPr>
                <w:rFonts w:ascii="Arial Nova" w:hAnsi="Arial Nova"/>
                <w:bCs w:val="0"/>
                <w:color w:val="auto"/>
                <w:sz w:val="18"/>
                <w:szCs w:val="18"/>
              </w:rPr>
            </w:pPr>
            <w:r w:rsidRPr="00B03AC6">
              <w:rPr>
                <w:rFonts w:ascii="Arial Nova" w:hAnsi="Arial Nova"/>
                <w:b w:val="0"/>
                <w:color w:val="auto"/>
                <w:sz w:val="18"/>
                <w:szCs w:val="18"/>
              </w:rPr>
              <w:t>Antimicrobial stewardship</w:t>
            </w:r>
          </w:p>
        </w:tc>
        <w:tc>
          <w:tcPr>
            <w:tcW w:w="4508" w:type="dxa"/>
          </w:tcPr>
          <w:p w14:paraId="02EAEC30" w14:textId="14D245FE" w:rsidR="005315CF" w:rsidRPr="00B03AC6" w:rsidRDefault="005315CF" w:rsidP="005315CF">
            <w:pPr>
              <w:spacing w:after="140"/>
              <w:cnfStyle w:val="000000000000" w:firstRow="0" w:lastRow="0" w:firstColumn="0" w:lastColumn="0" w:oddVBand="0" w:evenVBand="0" w:oddHBand="0" w:evenHBand="0" w:firstRowFirstColumn="0" w:firstRowLastColumn="0" w:lastRowFirstColumn="0" w:lastRowLastColumn="0"/>
              <w:rPr>
                <w:rFonts w:ascii="Arial Nova" w:hAnsi="Arial Nova"/>
                <w:bCs/>
                <w:sz w:val="18"/>
                <w:szCs w:val="18"/>
              </w:rPr>
            </w:pPr>
            <w:r w:rsidRPr="00B03AC6">
              <w:rPr>
                <w:rFonts w:ascii="Arial Nova" w:hAnsi="Arial Nova"/>
                <w:sz w:val="18"/>
                <w:szCs w:val="18"/>
              </w:rPr>
              <w:t>A coordinated set of actions across healthcare systems designed to promote the responsible use of antimicrobials, ensuring they remain effective for future generations.</w:t>
            </w:r>
          </w:p>
        </w:tc>
      </w:tr>
      <w:tr w:rsidR="005315CF" w14:paraId="7CC0F4B0" w14:textId="77777777" w:rsidTr="004D4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9F323FD" w14:textId="61D3E9CD" w:rsidR="005315CF" w:rsidRPr="00B03AC6" w:rsidRDefault="005315CF" w:rsidP="005315CF">
            <w:pPr>
              <w:spacing w:after="140"/>
              <w:rPr>
                <w:rFonts w:ascii="Arial Nova" w:hAnsi="Arial Nova"/>
                <w:bCs w:val="0"/>
                <w:color w:val="auto"/>
                <w:sz w:val="18"/>
                <w:szCs w:val="18"/>
              </w:rPr>
            </w:pPr>
            <w:r w:rsidRPr="00B03AC6">
              <w:rPr>
                <w:rFonts w:ascii="Arial Nova" w:hAnsi="Arial Nova"/>
                <w:b w:val="0"/>
                <w:color w:val="auto"/>
                <w:sz w:val="18"/>
                <w:szCs w:val="18"/>
              </w:rPr>
              <w:t>One Health</w:t>
            </w:r>
          </w:p>
        </w:tc>
        <w:tc>
          <w:tcPr>
            <w:tcW w:w="4508" w:type="dxa"/>
          </w:tcPr>
          <w:p w14:paraId="1FB84F25" w14:textId="19BD5715" w:rsidR="005315CF" w:rsidRPr="00B03AC6" w:rsidRDefault="005315CF" w:rsidP="005315CF">
            <w:pPr>
              <w:spacing w:after="140"/>
              <w:cnfStyle w:val="000000100000" w:firstRow="0" w:lastRow="0" w:firstColumn="0" w:lastColumn="0" w:oddVBand="0" w:evenVBand="0" w:oddHBand="1" w:evenHBand="0" w:firstRowFirstColumn="0" w:firstRowLastColumn="0" w:lastRowFirstColumn="0" w:lastRowLastColumn="0"/>
              <w:rPr>
                <w:rFonts w:ascii="Arial Nova" w:hAnsi="Arial Nova"/>
                <w:bCs/>
                <w:sz w:val="18"/>
                <w:szCs w:val="18"/>
              </w:rPr>
            </w:pPr>
            <w:r w:rsidRPr="00B03AC6">
              <w:rPr>
                <w:rFonts w:ascii="Arial Nova" w:hAnsi="Arial Nova"/>
                <w:sz w:val="18"/>
                <w:szCs w:val="18"/>
              </w:rPr>
              <w:t>A framework that recognises antimicrobial resistance as a challenge requiring coordinated action across human, animal and environmental health sectors (WOAH, 2024).</w:t>
            </w:r>
          </w:p>
        </w:tc>
      </w:tr>
      <w:tr w:rsidR="00512774" w14:paraId="5BADF237" w14:textId="77777777" w:rsidTr="004D4BF9">
        <w:tc>
          <w:tcPr>
            <w:cnfStyle w:val="001000000000" w:firstRow="0" w:lastRow="0" w:firstColumn="1" w:lastColumn="0" w:oddVBand="0" w:evenVBand="0" w:oddHBand="0" w:evenHBand="0" w:firstRowFirstColumn="0" w:firstRowLastColumn="0" w:lastRowFirstColumn="0" w:lastRowLastColumn="0"/>
            <w:tcW w:w="4508" w:type="dxa"/>
          </w:tcPr>
          <w:p w14:paraId="0149F775" w14:textId="420AD392" w:rsidR="00512774" w:rsidRPr="00B03AC6" w:rsidRDefault="00512774" w:rsidP="00512774">
            <w:pPr>
              <w:spacing w:after="140"/>
              <w:rPr>
                <w:rFonts w:ascii="Arial Nova" w:hAnsi="Arial Nova"/>
                <w:sz w:val="18"/>
                <w:szCs w:val="18"/>
              </w:rPr>
            </w:pPr>
            <w:r w:rsidRPr="00512774">
              <w:rPr>
                <w:rFonts w:ascii="Arial Nova" w:hAnsi="Arial Nova"/>
                <w:b w:val="0"/>
                <w:color w:val="auto"/>
                <w:sz w:val="20"/>
              </w:rPr>
              <w:t>Magistral preparation</w:t>
            </w:r>
          </w:p>
        </w:tc>
        <w:tc>
          <w:tcPr>
            <w:tcW w:w="4508" w:type="dxa"/>
          </w:tcPr>
          <w:p w14:paraId="0DA7066B" w14:textId="34635D75" w:rsidR="00512774" w:rsidRPr="00512774" w:rsidRDefault="00512774" w:rsidP="00512774">
            <w:pPr>
              <w:spacing w:after="140"/>
              <w:jc w:val="left"/>
              <w:cnfStyle w:val="000000000000" w:firstRow="0" w:lastRow="0" w:firstColumn="0" w:lastColumn="0" w:oddVBand="0" w:evenVBand="0" w:oddHBand="0" w:evenHBand="0" w:firstRowFirstColumn="0" w:firstRowLastColumn="0" w:lastRowFirstColumn="0" w:lastRowLastColumn="0"/>
              <w:rPr>
                <w:rFonts w:ascii="Arial Nova" w:hAnsi="Arial Nova"/>
                <w:sz w:val="18"/>
                <w:szCs w:val="18"/>
              </w:rPr>
            </w:pPr>
            <w:r w:rsidRPr="00512774">
              <w:rPr>
                <w:rFonts w:ascii="Arial Nova" w:hAnsi="Arial Nova"/>
                <w:sz w:val="18"/>
                <w:szCs w:val="18"/>
              </w:rPr>
              <w:t>A pharmacist-prepared, individually tailored medicinal product made to an individual physician's prescription, used in Belgium's phage therapy framework (Phage Directory, 2018).</w:t>
            </w:r>
          </w:p>
        </w:tc>
      </w:tr>
    </w:tbl>
    <w:p w14:paraId="7A2306B8" w14:textId="77777777" w:rsidR="00AD042E" w:rsidRDefault="00AD042E" w:rsidP="006D632F">
      <w:pPr>
        <w:spacing w:after="200"/>
        <w:rPr>
          <w:rFonts w:ascii="Arial Nova" w:hAnsi="Arial Nova"/>
          <w:b/>
        </w:rPr>
      </w:pPr>
    </w:p>
    <w:p w14:paraId="355AFE95" w14:textId="5A57225F" w:rsidR="006D632F" w:rsidRPr="002F16A0" w:rsidRDefault="00CC7A8C" w:rsidP="006D632F">
      <w:pPr>
        <w:spacing w:after="200"/>
      </w:pPr>
      <w:r w:rsidRPr="00CC7A8C">
        <w:rPr>
          <w:rFonts w:ascii="Arial Nova" w:hAnsi="Arial Nova"/>
          <w:b/>
        </w:rPr>
        <w:lastRenderedPageBreak/>
        <w:t>6.2.3</w:t>
      </w:r>
      <w:r>
        <w:rPr>
          <w:rFonts w:ascii="Arial Nova" w:hAnsi="Arial Nova"/>
          <w:b/>
        </w:rPr>
        <w:t xml:space="preserve"> </w:t>
      </w:r>
      <w:r w:rsidR="006D632F" w:rsidRPr="002F16A0">
        <w:rPr>
          <w:rFonts w:ascii="Arial Nova" w:hAnsi="Arial Nova"/>
          <w:b/>
        </w:rPr>
        <w:t xml:space="preserve">Appendix </w:t>
      </w:r>
      <w:r w:rsidR="006D632F">
        <w:rPr>
          <w:rFonts w:ascii="Arial Nova" w:hAnsi="Arial Nova"/>
          <w:b/>
        </w:rPr>
        <w:t>C</w:t>
      </w:r>
      <w:r w:rsidR="006D632F" w:rsidRPr="002F16A0">
        <w:rPr>
          <w:rFonts w:ascii="Arial Nova" w:hAnsi="Arial Nova"/>
          <w:b/>
        </w:rPr>
        <w:t xml:space="preserve"> – Thematic Coding Framework (Results Summary Table)</w:t>
      </w:r>
      <w:r w:rsidR="00F93F1B">
        <w:rPr>
          <w:rFonts w:ascii="Arial Nova" w:hAnsi="Arial Nova"/>
          <w:b/>
        </w:rPr>
        <w:t>.</w:t>
      </w:r>
    </w:p>
    <w:p w14:paraId="7EE56EA5" w14:textId="77777777" w:rsidR="006D632F" w:rsidRDefault="006D632F" w:rsidP="006D632F">
      <w:pPr>
        <w:spacing w:after="200"/>
        <w:rPr>
          <w:rFonts w:ascii="Arial Nova" w:hAnsi="Arial Nova"/>
        </w:rPr>
      </w:pPr>
      <w:r w:rsidRPr="002F16A0">
        <w:rPr>
          <w:rFonts w:ascii="Arial Nova" w:hAnsi="Arial Nova"/>
        </w:rPr>
        <w:t>This table summarises the three themes generated through the thematic analysis described in Chapter 3, following Braun and Clarke's (2006) six-phase framework, and presents the initial codes and representative sources that informed the findings discussed in Chapter 4.</w:t>
      </w:r>
    </w:p>
    <w:p w14:paraId="118CA90C" w14:textId="77777777" w:rsidR="00F14D29" w:rsidRDefault="00F14D29" w:rsidP="006D632F">
      <w:pPr>
        <w:spacing w:after="200"/>
        <w:rPr>
          <w:rFonts w:ascii="Arial Nova" w:hAnsi="Arial Nova"/>
        </w:rPr>
      </w:pPr>
    </w:p>
    <w:tbl>
      <w:tblPr>
        <w:tblStyle w:val="GridTable5Dark-Accent5"/>
        <w:tblW w:w="0" w:type="auto"/>
        <w:tblLook w:val="04A0" w:firstRow="1" w:lastRow="0" w:firstColumn="1" w:lastColumn="0" w:noHBand="0" w:noVBand="1"/>
      </w:tblPr>
      <w:tblGrid>
        <w:gridCol w:w="2254"/>
        <w:gridCol w:w="2254"/>
        <w:gridCol w:w="2254"/>
        <w:gridCol w:w="2254"/>
      </w:tblGrid>
      <w:tr w:rsidR="000444C0" w14:paraId="2BF7E74D" w14:textId="77777777" w:rsidTr="004755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97F3F17" w14:textId="0731AD89" w:rsidR="000444C0" w:rsidRPr="00F14D29" w:rsidRDefault="000444C0" w:rsidP="000444C0">
            <w:pPr>
              <w:spacing w:after="200"/>
              <w:rPr>
                <w:sz w:val="18"/>
                <w:szCs w:val="18"/>
              </w:rPr>
            </w:pPr>
            <w:r w:rsidRPr="00F14D29">
              <w:rPr>
                <w:rFonts w:ascii="Arial Nova" w:hAnsi="Arial Nova"/>
                <w:sz w:val="18"/>
                <w:szCs w:val="18"/>
              </w:rPr>
              <w:t>Theme</w:t>
            </w:r>
          </w:p>
        </w:tc>
        <w:tc>
          <w:tcPr>
            <w:tcW w:w="2254" w:type="dxa"/>
          </w:tcPr>
          <w:p w14:paraId="61A41771" w14:textId="17DB0E54" w:rsidR="000444C0" w:rsidRPr="00F14D29" w:rsidRDefault="000444C0" w:rsidP="000444C0">
            <w:pPr>
              <w:spacing w:after="200"/>
              <w:cnfStyle w:val="100000000000" w:firstRow="1" w:lastRow="0" w:firstColumn="0" w:lastColumn="0" w:oddVBand="0" w:evenVBand="0" w:oddHBand="0" w:evenHBand="0" w:firstRowFirstColumn="0" w:firstRowLastColumn="0" w:lastRowFirstColumn="0" w:lastRowLastColumn="0"/>
              <w:rPr>
                <w:sz w:val="18"/>
                <w:szCs w:val="18"/>
              </w:rPr>
            </w:pPr>
            <w:r w:rsidRPr="00F14D29">
              <w:rPr>
                <w:rFonts w:ascii="Arial Nova" w:hAnsi="Arial Nova"/>
                <w:sz w:val="18"/>
                <w:szCs w:val="18"/>
              </w:rPr>
              <w:t>Initial Codes</w:t>
            </w:r>
          </w:p>
        </w:tc>
        <w:tc>
          <w:tcPr>
            <w:tcW w:w="2254" w:type="dxa"/>
          </w:tcPr>
          <w:p w14:paraId="6F242BD4" w14:textId="49C170C6" w:rsidR="000444C0" w:rsidRPr="00F14D29" w:rsidRDefault="000444C0" w:rsidP="000444C0">
            <w:pPr>
              <w:spacing w:after="200"/>
              <w:cnfStyle w:val="100000000000" w:firstRow="1" w:lastRow="0" w:firstColumn="0" w:lastColumn="0" w:oddVBand="0" w:evenVBand="0" w:oddHBand="0" w:evenHBand="0" w:firstRowFirstColumn="0" w:firstRowLastColumn="0" w:lastRowFirstColumn="0" w:lastRowLastColumn="0"/>
              <w:rPr>
                <w:sz w:val="18"/>
                <w:szCs w:val="18"/>
              </w:rPr>
            </w:pPr>
            <w:r w:rsidRPr="00F14D29">
              <w:rPr>
                <w:rFonts w:ascii="Arial Nova" w:hAnsi="Arial Nova"/>
                <w:sz w:val="18"/>
                <w:szCs w:val="18"/>
              </w:rPr>
              <w:t>Description</w:t>
            </w:r>
          </w:p>
        </w:tc>
        <w:tc>
          <w:tcPr>
            <w:tcW w:w="2254" w:type="dxa"/>
          </w:tcPr>
          <w:p w14:paraId="59B265CA" w14:textId="1D1047FB" w:rsidR="000444C0" w:rsidRPr="00F14D29" w:rsidRDefault="000444C0" w:rsidP="000444C0">
            <w:pPr>
              <w:spacing w:after="200"/>
              <w:cnfStyle w:val="100000000000" w:firstRow="1" w:lastRow="0" w:firstColumn="0" w:lastColumn="0" w:oddVBand="0" w:evenVBand="0" w:oddHBand="0" w:evenHBand="0" w:firstRowFirstColumn="0" w:firstRowLastColumn="0" w:lastRowFirstColumn="0" w:lastRowLastColumn="0"/>
              <w:rPr>
                <w:sz w:val="18"/>
                <w:szCs w:val="18"/>
              </w:rPr>
            </w:pPr>
            <w:r w:rsidRPr="00F14D29">
              <w:rPr>
                <w:rFonts w:ascii="Arial Nova" w:hAnsi="Arial Nova"/>
                <w:sz w:val="18"/>
                <w:szCs w:val="18"/>
              </w:rPr>
              <w:t>Representative Sources</w:t>
            </w:r>
          </w:p>
        </w:tc>
      </w:tr>
      <w:tr w:rsidR="006743AD" w14:paraId="297814F6" w14:textId="77777777" w:rsidTr="00475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071448B" w14:textId="0E5FBAB3" w:rsidR="006743AD" w:rsidRPr="00F14D29" w:rsidRDefault="006743AD" w:rsidP="00AA4438">
            <w:pPr>
              <w:spacing w:after="200"/>
              <w:jc w:val="left"/>
              <w:rPr>
                <w:sz w:val="18"/>
                <w:szCs w:val="18"/>
              </w:rPr>
            </w:pPr>
            <w:r w:rsidRPr="00F14D29">
              <w:rPr>
                <w:rFonts w:ascii="Arial Nova" w:hAnsi="Arial Nova"/>
                <w:b w:val="0"/>
                <w:sz w:val="18"/>
                <w:szCs w:val="18"/>
              </w:rPr>
              <w:t>Theme 1: Regulatory and legal barriers</w:t>
            </w:r>
          </w:p>
        </w:tc>
        <w:tc>
          <w:tcPr>
            <w:tcW w:w="2254" w:type="dxa"/>
          </w:tcPr>
          <w:p w14:paraId="745F84F3" w14:textId="4097CDEA" w:rsidR="00AB65D8" w:rsidRPr="00AB65D8" w:rsidRDefault="006743AD" w:rsidP="00AA4438">
            <w:pPr>
              <w:spacing w:after="200"/>
              <w:jc w:val="left"/>
              <w:cnfStyle w:val="000000100000" w:firstRow="0" w:lastRow="0" w:firstColumn="0" w:lastColumn="0" w:oddVBand="0" w:evenVBand="0" w:oddHBand="1" w:evenHBand="0" w:firstRowFirstColumn="0" w:firstRowLastColumn="0" w:lastRowFirstColumn="0" w:lastRowLastColumn="0"/>
              <w:rPr>
                <w:rFonts w:ascii="Arial Nova" w:hAnsi="Arial Nova"/>
                <w:sz w:val="18"/>
                <w:szCs w:val="18"/>
              </w:rPr>
            </w:pPr>
            <w:r w:rsidRPr="00F14D29">
              <w:rPr>
                <w:rFonts w:ascii="Arial Nova" w:hAnsi="Arial Nova"/>
                <w:sz w:val="18"/>
                <w:szCs w:val="18"/>
              </w:rPr>
              <w:t>Unlicensed status; compassionate use; MHRA notification; fragmented access</w:t>
            </w:r>
            <w:r w:rsidR="00AB65D8">
              <w:rPr>
                <w:rFonts w:ascii="Arial Nova" w:hAnsi="Arial Nova"/>
                <w:sz w:val="18"/>
                <w:szCs w:val="18"/>
              </w:rPr>
              <w:t xml:space="preserve"> </w:t>
            </w:r>
            <w:r w:rsidR="00AB65D8" w:rsidRPr="00AB65D8">
              <w:rPr>
                <w:rFonts w:ascii="Arial Nova" w:hAnsi="Arial Nova"/>
                <w:sz w:val="18"/>
                <w:szCs w:val="18"/>
              </w:rPr>
              <w:t>“Regulatory barrier”, “specials route”, “unlicensed medicine”</w:t>
            </w:r>
          </w:p>
        </w:tc>
        <w:tc>
          <w:tcPr>
            <w:tcW w:w="2254" w:type="dxa"/>
          </w:tcPr>
          <w:p w14:paraId="0F7C532B" w14:textId="107F0E30" w:rsidR="006743AD" w:rsidRPr="00F14D29" w:rsidRDefault="006743AD" w:rsidP="00AA4438">
            <w:pPr>
              <w:spacing w:after="200"/>
              <w:jc w:val="left"/>
              <w:cnfStyle w:val="000000100000" w:firstRow="0" w:lastRow="0" w:firstColumn="0" w:lastColumn="0" w:oddVBand="0" w:evenVBand="0" w:oddHBand="1" w:evenHBand="0" w:firstRowFirstColumn="0" w:firstRowLastColumn="0" w:lastRowFirstColumn="0" w:lastRowLastColumn="0"/>
              <w:rPr>
                <w:sz w:val="18"/>
                <w:szCs w:val="18"/>
              </w:rPr>
            </w:pPr>
            <w:r w:rsidRPr="00F14D29">
              <w:rPr>
                <w:rFonts w:ascii="Arial Nova" w:hAnsi="Arial Nova"/>
                <w:sz w:val="18"/>
                <w:szCs w:val="18"/>
              </w:rPr>
              <w:t>Explores how phage therapy's status as an unlicensed biological medicine restricts routine access in the UK, and how new MHRA guidance may begin to address this.</w:t>
            </w:r>
          </w:p>
        </w:tc>
        <w:tc>
          <w:tcPr>
            <w:tcW w:w="2254" w:type="dxa"/>
          </w:tcPr>
          <w:p w14:paraId="2F8F59E3" w14:textId="754FFA63" w:rsidR="006743AD" w:rsidRPr="00F14D29" w:rsidRDefault="006743AD" w:rsidP="00AA4438">
            <w:pPr>
              <w:spacing w:after="200"/>
              <w:jc w:val="left"/>
              <w:cnfStyle w:val="000000100000" w:firstRow="0" w:lastRow="0" w:firstColumn="0" w:lastColumn="0" w:oddVBand="0" w:evenVBand="0" w:oddHBand="1" w:evenHBand="0" w:firstRowFirstColumn="0" w:firstRowLastColumn="0" w:lastRowFirstColumn="0" w:lastRowLastColumn="0"/>
              <w:rPr>
                <w:sz w:val="18"/>
                <w:szCs w:val="18"/>
              </w:rPr>
            </w:pPr>
            <w:r w:rsidRPr="00F14D29">
              <w:rPr>
                <w:rFonts w:ascii="Arial Nova" w:hAnsi="Arial Nova"/>
                <w:sz w:val="18"/>
                <w:szCs w:val="18"/>
              </w:rPr>
              <w:t>Steele et al. (2022); GOV.UK (2025a); MHRA (2025); House of Commons Science, Innovation and Technology Committee (2023)</w:t>
            </w:r>
          </w:p>
        </w:tc>
      </w:tr>
      <w:tr w:rsidR="00627582" w14:paraId="2A8FC2FB" w14:textId="77777777" w:rsidTr="00475581">
        <w:tc>
          <w:tcPr>
            <w:cnfStyle w:val="001000000000" w:firstRow="0" w:lastRow="0" w:firstColumn="1" w:lastColumn="0" w:oddVBand="0" w:evenVBand="0" w:oddHBand="0" w:evenHBand="0" w:firstRowFirstColumn="0" w:firstRowLastColumn="0" w:lastRowFirstColumn="0" w:lastRowLastColumn="0"/>
            <w:tcW w:w="2254" w:type="dxa"/>
          </w:tcPr>
          <w:p w14:paraId="7EC8DD62" w14:textId="64761B5C" w:rsidR="00627582" w:rsidRPr="00F14D29" w:rsidRDefault="00627582" w:rsidP="00AA4438">
            <w:pPr>
              <w:spacing w:after="200"/>
              <w:jc w:val="left"/>
              <w:rPr>
                <w:sz w:val="18"/>
                <w:szCs w:val="18"/>
              </w:rPr>
            </w:pPr>
            <w:r w:rsidRPr="00F14D29">
              <w:rPr>
                <w:rFonts w:ascii="Arial Nova" w:hAnsi="Arial Nova"/>
                <w:b w:val="0"/>
                <w:sz w:val="18"/>
                <w:szCs w:val="18"/>
              </w:rPr>
              <w:t>Theme 2: Scientific and clinical evidence gaps</w:t>
            </w:r>
          </w:p>
        </w:tc>
        <w:tc>
          <w:tcPr>
            <w:tcW w:w="2254" w:type="dxa"/>
          </w:tcPr>
          <w:p w14:paraId="7AE1E565" w14:textId="5C471B3B" w:rsidR="00627582" w:rsidRPr="00716AF5" w:rsidRDefault="00627582" w:rsidP="00AA4438">
            <w:pPr>
              <w:spacing w:after="200"/>
              <w:jc w:val="left"/>
              <w:cnfStyle w:val="000000000000" w:firstRow="0" w:lastRow="0" w:firstColumn="0" w:lastColumn="0" w:oddVBand="0" w:evenVBand="0" w:oddHBand="0" w:evenHBand="0" w:firstRowFirstColumn="0" w:firstRowLastColumn="0" w:lastRowFirstColumn="0" w:lastRowLastColumn="0"/>
              <w:rPr>
                <w:sz w:val="18"/>
                <w:szCs w:val="18"/>
              </w:rPr>
            </w:pPr>
            <w:r w:rsidRPr="00716AF5">
              <w:rPr>
                <w:rFonts w:ascii="Arial Nova" w:hAnsi="Arial Nova"/>
                <w:sz w:val="18"/>
                <w:szCs w:val="18"/>
              </w:rPr>
              <w:t>Limited trials; personalised treatment; GMP supply; evidence uncertainty</w:t>
            </w:r>
            <w:r w:rsidR="00AB65D8" w:rsidRPr="00716AF5">
              <w:rPr>
                <w:rFonts w:ascii="Arial Nova" w:hAnsi="Arial Nova"/>
                <w:sz w:val="18"/>
                <w:szCs w:val="18"/>
              </w:rPr>
              <w:t xml:space="preserve"> </w:t>
            </w:r>
            <w:r w:rsidR="00716AF5" w:rsidRPr="00716AF5">
              <w:rPr>
                <w:rFonts w:ascii="Arial Nova" w:hAnsi="Arial Nova"/>
                <w:sz w:val="18"/>
                <w:szCs w:val="18"/>
              </w:rPr>
              <w:t>“Clinical evidence gap”, “case report”, “RCT”</w:t>
            </w:r>
          </w:p>
        </w:tc>
        <w:tc>
          <w:tcPr>
            <w:tcW w:w="2254" w:type="dxa"/>
          </w:tcPr>
          <w:p w14:paraId="472A4A01" w14:textId="233AFC80" w:rsidR="00627582" w:rsidRPr="00F14D29" w:rsidRDefault="00627582" w:rsidP="00AA4438">
            <w:pPr>
              <w:spacing w:after="200"/>
              <w:jc w:val="left"/>
              <w:cnfStyle w:val="000000000000" w:firstRow="0" w:lastRow="0" w:firstColumn="0" w:lastColumn="0" w:oddVBand="0" w:evenVBand="0" w:oddHBand="0" w:evenHBand="0" w:firstRowFirstColumn="0" w:firstRowLastColumn="0" w:lastRowFirstColumn="0" w:lastRowLastColumn="0"/>
              <w:rPr>
                <w:sz w:val="18"/>
                <w:szCs w:val="18"/>
              </w:rPr>
            </w:pPr>
            <w:r w:rsidRPr="00F14D29">
              <w:rPr>
                <w:rFonts w:ascii="Arial Nova" w:hAnsi="Arial Nova"/>
                <w:sz w:val="18"/>
                <w:szCs w:val="18"/>
              </w:rPr>
              <w:t>Considers the limited large-scale clinical trial evidence for phage therapy, and the practical challenges of generating standardised evidence for a highly personalised treatment.</w:t>
            </w:r>
          </w:p>
        </w:tc>
        <w:tc>
          <w:tcPr>
            <w:tcW w:w="2254" w:type="dxa"/>
          </w:tcPr>
          <w:p w14:paraId="08A8F3EA" w14:textId="77777777" w:rsidR="00D72F0E" w:rsidRDefault="00627582" w:rsidP="00AA4438">
            <w:pPr>
              <w:spacing w:after="200"/>
              <w:jc w:val="left"/>
              <w:cnfStyle w:val="000000000000" w:firstRow="0" w:lastRow="0" w:firstColumn="0" w:lastColumn="0" w:oddVBand="0" w:evenVBand="0" w:oddHBand="0" w:evenHBand="0" w:firstRowFirstColumn="0" w:firstRowLastColumn="0" w:lastRowFirstColumn="0" w:lastRowLastColumn="0"/>
              <w:rPr>
                <w:rFonts w:ascii="Arial Nova" w:hAnsi="Arial Nova"/>
                <w:sz w:val="18"/>
                <w:szCs w:val="18"/>
              </w:rPr>
            </w:pPr>
            <w:r w:rsidRPr="00F14D29">
              <w:rPr>
                <w:rFonts w:ascii="Arial Nova" w:hAnsi="Arial Nova"/>
                <w:sz w:val="18"/>
                <w:szCs w:val="18"/>
              </w:rPr>
              <w:t>Uyttebroek et al. (2022); Loh et al. (2021); Pirnay and Kutter (2021)</w:t>
            </w:r>
          </w:p>
          <w:p w14:paraId="3C65DB02" w14:textId="1306D869" w:rsidR="00627582" w:rsidRPr="00D72F0E" w:rsidRDefault="00E15AF0" w:rsidP="00AA4438">
            <w:pPr>
              <w:spacing w:after="200"/>
              <w:jc w:val="left"/>
              <w:cnfStyle w:val="000000000000" w:firstRow="0" w:lastRow="0" w:firstColumn="0" w:lastColumn="0" w:oddVBand="0" w:evenVBand="0" w:oddHBand="0" w:evenHBand="0" w:firstRowFirstColumn="0" w:firstRowLastColumn="0" w:lastRowFirstColumn="0" w:lastRowLastColumn="0"/>
              <w:rPr>
                <w:rFonts w:ascii="Arial Nova" w:hAnsi="Arial Nova"/>
                <w:sz w:val="18"/>
                <w:szCs w:val="18"/>
              </w:rPr>
            </w:pPr>
            <w:r>
              <w:rPr>
                <w:rFonts w:ascii="Arial Nova" w:hAnsi="Arial Nova"/>
                <w:sz w:val="18"/>
                <w:szCs w:val="18"/>
              </w:rPr>
              <w:t xml:space="preserve"> </w:t>
            </w:r>
            <w:r w:rsidRPr="00E15AF0">
              <w:rPr>
                <w:rFonts w:ascii="Arial Nova" w:hAnsi="Arial Nova"/>
                <w:sz w:val="18"/>
                <w:szCs w:val="18"/>
              </w:rPr>
              <w:t>El Haddad et al. (2019); Schooley et al. (2017);</w:t>
            </w:r>
          </w:p>
        </w:tc>
      </w:tr>
      <w:tr w:rsidR="00AA4438" w14:paraId="26CC507F" w14:textId="77777777" w:rsidTr="00475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837D632" w14:textId="7FFA9C05" w:rsidR="00AA4438" w:rsidRPr="00F14D29" w:rsidRDefault="00AA4438" w:rsidP="00AA4438">
            <w:pPr>
              <w:spacing w:after="200"/>
              <w:jc w:val="left"/>
              <w:rPr>
                <w:sz w:val="18"/>
                <w:szCs w:val="18"/>
              </w:rPr>
            </w:pPr>
            <w:r w:rsidRPr="00F14D29">
              <w:rPr>
                <w:rFonts w:ascii="Arial Nova" w:hAnsi="Arial Nova"/>
                <w:b w:val="0"/>
                <w:sz w:val="18"/>
                <w:szCs w:val="18"/>
              </w:rPr>
              <w:t>Theme 3: Nursing practice and public health role</w:t>
            </w:r>
          </w:p>
        </w:tc>
        <w:tc>
          <w:tcPr>
            <w:tcW w:w="2254" w:type="dxa"/>
          </w:tcPr>
          <w:p w14:paraId="41213327" w14:textId="6208AA8A" w:rsidR="00AA4438" w:rsidRPr="00F14D29" w:rsidRDefault="00AA4438" w:rsidP="00AA4438">
            <w:pPr>
              <w:spacing w:after="200"/>
              <w:jc w:val="left"/>
              <w:cnfStyle w:val="000000100000" w:firstRow="0" w:lastRow="0" w:firstColumn="0" w:lastColumn="0" w:oddVBand="0" w:evenVBand="0" w:oddHBand="1" w:evenHBand="0" w:firstRowFirstColumn="0" w:firstRowLastColumn="0" w:lastRowFirstColumn="0" w:lastRowLastColumn="0"/>
              <w:rPr>
                <w:sz w:val="18"/>
                <w:szCs w:val="18"/>
              </w:rPr>
            </w:pPr>
            <w:r w:rsidRPr="00F14D29">
              <w:rPr>
                <w:rFonts w:ascii="Arial Nova" w:hAnsi="Arial Nova"/>
                <w:sz w:val="18"/>
                <w:szCs w:val="18"/>
              </w:rPr>
              <w:t>Stewardship awareness; nurse education gap; role clarity; public health advocacy</w:t>
            </w:r>
            <w:r w:rsidR="00716AF5">
              <w:rPr>
                <w:rFonts w:ascii="Arial Nova" w:hAnsi="Arial Nova"/>
                <w:sz w:val="18"/>
                <w:szCs w:val="18"/>
              </w:rPr>
              <w:t xml:space="preserve"> </w:t>
            </w:r>
            <w:r w:rsidR="00586454" w:rsidRPr="00586454">
              <w:rPr>
                <w:rFonts w:ascii="Arial Nova" w:hAnsi="Arial Nova"/>
                <w:sz w:val="18"/>
                <w:szCs w:val="18"/>
              </w:rPr>
              <w:t xml:space="preserve">“Nursing </w:t>
            </w:r>
            <w:r w:rsidR="003C10D1" w:rsidRPr="00586454">
              <w:rPr>
                <w:rFonts w:ascii="Arial Nova" w:hAnsi="Arial Nova"/>
                <w:sz w:val="18"/>
                <w:szCs w:val="18"/>
              </w:rPr>
              <w:t>awareness”, “stewardship</w:t>
            </w:r>
            <w:r w:rsidR="00586454" w:rsidRPr="00586454">
              <w:rPr>
                <w:rFonts w:ascii="Arial Nova" w:hAnsi="Arial Nova"/>
                <w:sz w:val="18"/>
                <w:szCs w:val="18"/>
              </w:rPr>
              <w:t>”, “education gap”</w:t>
            </w:r>
          </w:p>
        </w:tc>
        <w:tc>
          <w:tcPr>
            <w:tcW w:w="2254" w:type="dxa"/>
          </w:tcPr>
          <w:p w14:paraId="31B423BB" w14:textId="5E6B8E56" w:rsidR="00AA4438" w:rsidRPr="00F14D29" w:rsidRDefault="00AA4438" w:rsidP="00AA4438">
            <w:pPr>
              <w:spacing w:after="200"/>
              <w:jc w:val="left"/>
              <w:cnfStyle w:val="000000100000" w:firstRow="0" w:lastRow="0" w:firstColumn="0" w:lastColumn="0" w:oddVBand="0" w:evenVBand="0" w:oddHBand="1" w:evenHBand="0" w:firstRowFirstColumn="0" w:firstRowLastColumn="0" w:lastRowFirstColumn="0" w:lastRowLastColumn="0"/>
              <w:rPr>
                <w:sz w:val="18"/>
                <w:szCs w:val="18"/>
              </w:rPr>
            </w:pPr>
            <w:r w:rsidRPr="00F14D29">
              <w:rPr>
                <w:rFonts w:ascii="Arial Nova" w:hAnsi="Arial Nova"/>
                <w:sz w:val="18"/>
                <w:szCs w:val="18"/>
              </w:rPr>
              <w:t>Examines nurses' potential contribution to antimicrobial stewardship and the current gaps in awareness, training and role clarity regarding phage therapy.</w:t>
            </w:r>
          </w:p>
        </w:tc>
        <w:tc>
          <w:tcPr>
            <w:tcW w:w="2254" w:type="dxa"/>
          </w:tcPr>
          <w:p w14:paraId="66CB7820" w14:textId="362EAC11" w:rsidR="00AA4438" w:rsidRPr="008B495A" w:rsidRDefault="00AA4438" w:rsidP="00AA4438">
            <w:pPr>
              <w:spacing w:after="200"/>
              <w:jc w:val="left"/>
              <w:cnfStyle w:val="000000100000" w:firstRow="0" w:lastRow="0" w:firstColumn="0" w:lastColumn="0" w:oddVBand="0" w:evenVBand="0" w:oddHBand="1" w:evenHBand="0" w:firstRowFirstColumn="0" w:firstRowLastColumn="0" w:lastRowFirstColumn="0" w:lastRowLastColumn="0"/>
              <w:rPr>
                <w:rFonts w:ascii="Arial Nova" w:hAnsi="Arial Nova"/>
                <w:sz w:val="18"/>
                <w:szCs w:val="18"/>
              </w:rPr>
            </w:pPr>
            <w:r w:rsidRPr="00F14D29">
              <w:rPr>
                <w:rFonts w:ascii="Arial Nova" w:hAnsi="Arial Nova"/>
                <w:sz w:val="18"/>
                <w:szCs w:val="18"/>
              </w:rPr>
              <w:t>Gotterson, Buising and Manias (2021); Padigos, Ritchie and Lim (2020); van Huizen et al. (2021); Weeks et al. (2026</w:t>
            </w:r>
            <w:r w:rsidR="008B495A" w:rsidRPr="00F14D29">
              <w:rPr>
                <w:rFonts w:ascii="Arial Nova" w:hAnsi="Arial Nova"/>
                <w:sz w:val="18"/>
                <w:szCs w:val="18"/>
              </w:rPr>
              <w:t>)</w:t>
            </w:r>
            <w:r w:rsidR="008B495A">
              <w:rPr>
                <w:rFonts w:ascii="Arial Nova" w:hAnsi="Arial Nova"/>
                <w:sz w:val="18"/>
                <w:szCs w:val="18"/>
              </w:rPr>
              <w:t xml:space="preserve"> </w:t>
            </w:r>
            <w:r w:rsidR="008B495A" w:rsidRPr="008B495A">
              <w:rPr>
                <w:rFonts w:ascii="Arial Nova" w:hAnsi="Arial Nova"/>
                <w:sz w:val="18"/>
                <w:szCs w:val="18"/>
              </w:rPr>
              <w:t>Royal</w:t>
            </w:r>
            <w:r w:rsidR="00F951E8" w:rsidRPr="008B495A">
              <w:rPr>
                <w:rFonts w:ascii="Arial Nova" w:hAnsi="Arial Nova"/>
                <w:sz w:val="18"/>
                <w:szCs w:val="18"/>
              </w:rPr>
              <w:t xml:space="preserve"> College of Nursing (2014, 2023)</w:t>
            </w:r>
          </w:p>
        </w:tc>
      </w:tr>
    </w:tbl>
    <w:p w14:paraId="70BB03D7" w14:textId="42D2ABF3" w:rsidR="00DE4E77" w:rsidRDefault="00DE4E77" w:rsidP="00082152">
      <w:pPr>
        <w:spacing w:after="140"/>
        <w:rPr>
          <w:b/>
        </w:rPr>
      </w:pPr>
    </w:p>
    <w:p w14:paraId="4F35A3C2" w14:textId="77777777" w:rsidR="00F14D29" w:rsidRDefault="00F14D29" w:rsidP="00697323">
      <w:pPr>
        <w:spacing w:after="140"/>
        <w:rPr>
          <w:rFonts w:ascii="Arial Nova" w:hAnsi="Arial Nova"/>
          <w:b/>
        </w:rPr>
      </w:pPr>
    </w:p>
    <w:p w14:paraId="17DB829A" w14:textId="77777777" w:rsidR="00F14D29" w:rsidRDefault="00F14D29" w:rsidP="00697323">
      <w:pPr>
        <w:spacing w:after="140"/>
        <w:rPr>
          <w:rFonts w:ascii="Arial Nova" w:hAnsi="Arial Nova"/>
          <w:b/>
        </w:rPr>
      </w:pPr>
    </w:p>
    <w:p w14:paraId="12E1B0E7" w14:textId="77777777" w:rsidR="00F14D29" w:rsidRDefault="00F14D29" w:rsidP="00697323">
      <w:pPr>
        <w:spacing w:after="140"/>
        <w:rPr>
          <w:rFonts w:ascii="Arial Nova" w:hAnsi="Arial Nova"/>
          <w:b/>
        </w:rPr>
      </w:pPr>
    </w:p>
    <w:p w14:paraId="46F0A946" w14:textId="77777777" w:rsidR="00F14D29" w:rsidRDefault="00F14D29" w:rsidP="00697323">
      <w:pPr>
        <w:spacing w:after="140"/>
        <w:rPr>
          <w:rFonts w:ascii="Arial Nova" w:hAnsi="Arial Nova"/>
          <w:b/>
        </w:rPr>
      </w:pPr>
    </w:p>
    <w:p w14:paraId="20030C66" w14:textId="774C589E" w:rsidR="00697323" w:rsidRDefault="009825AD" w:rsidP="00697323">
      <w:pPr>
        <w:spacing w:after="140"/>
        <w:rPr>
          <w:rFonts w:ascii="Arial Nova" w:hAnsi="Arial Nova"/>
          <w:b/>
        </w:rPr>
      </w:pPr>
      <w:r w:rsidRPr="009825AD">
        <w:rPr>
          <w:rFonts w:ascii="Arial Nova" w:hAnsi="Arial Nova"/>
          <w:b/>
        </w:rPr>
        <w:lastRenderedPageBreak/>
        <w:t>6.2.4</w:t>
      </w:r>
      <w:r>
        <w:rPr>
          <w:rFonts w:ascii="Arial Nova" w:hAnsi="Arial Nova"/>
          <w:b/>
        </w:rPr>
        <w:t xml:space="preserve"> </w:t>
      </w:r>
      <w:r w:rsidR="00697323" w:rsidRPr="00697323">
        <w:rPr>
          <w:rFonts w:ascii="Arial Nova" w:hAnsi="Arial Nova"/>
          <w:b/>
        </w:rPr>
        <w:t>Appendix D – Source Tracking Table</w:t>
      </w:r>
      <w:r w:rsidR="00511CA6">
        <w:rPr>
          <w:rFonts w:ascii="Arial Nova" w:hAnsi="Arial Nova"/>
          <w:b/>
        </w:rPr>
        <w:t>.</w:t>
      </w:r>
    </w:p>
    <w:p w14:paraId="2FFF6A84" w14:textId="6F19E457" w:rsidR="00697323" w:rsidRPr="00697323" w:rsidRDefault="00697323" w:rsidP="00697323">
      <w:pPr>
        <w:spacing w:after="140"/>
        <w:rPr>
          <w:rFonts w:ascii="Arial Nova" w:hAnsi="Arial Nova"/>
          <w:bCs/>
        </w:rPr>
      </w:pPr>
      <w:r w:rsidRPr="00697323">
        <w:rPr>
          <w:rFonts w:ascii="Arial Nova" w:hAnsi="Arial Nova"/>
          <w:bCs/>
        </w:rPr>
        <w:t>(Referred to in Section 3.3)</w:t>
      </w:r>
    </w:p>
    <w:p w14:paraId="31875C86" w14:textId="74A60C09" w:rsidR="009825AD" w:rsidRDefault="00697323" w:rsidP="00697323">
      <w:pPr>
        <w:spacing w:after="140"/>
        <w:rPr>
          <w:rFonts w:ascii="Arial Nova" w:hAnsi="Arial Nova"/>
          <w:bCs/>
        </w:rPr>
      </w:pPr>
      <w:r w:rsidRPr="00697323">
        <w:rPr>
          <w:rFonts w:ascii="Arial Nova" w:hAnsi="Arial Nova"/>
          <w:bCs/>
        </w:rPr>
        <w:t>The table below reproduces the format of the source tracking sheet used to record and manage the literature reviewed for this dissertation, recording each article’s title, author, year, database and a summary of relevance. This is shown here as a representative extract.</w:t>
      </w:r>
    </w:p>
    <w:p w14:paraId="49CBD1F7" w14:textId="77777777" w:rsidR="00BC0690" w:rsidRDefault="00BC0690" w:rsidP="00697323">
      <w:pPr>
        <w:spacing w:after="140"/>
        <w:rPr>
          <w:rFonts w:ascii="Arial Nova" w:hAnsi="Arial Nova"/>
          <w:bCs/>
        </w:rPr>
      </w:pPr>
    </w:p>
    <w:tbl>
      <w:tblPr>
        <w:tblStyle w:val="GridTable4-Accent5"/>
        <w:tblW w:w="0" w:type="auto"/>
        <w:tblLook w:val="04A0" w:firstRow="1" w:lastRow="0" w:firstColumn="1" w:lastColumn="0" w:noHBand="0" w:noVBand="1"/>
      </w:tblPr>
      <w:tblGrid>
        <w:gridCol w:w="2254"/>
        <w:gridCol w:w="2254"/>
        <w:gridCol w:w="2254"/>
        <w:gridCol w:w="2254"/>
      </w:tblGrid>
      <w:tr w:rsidR="005F467C" w14:paraId="08A01601" w14:textId="77777777" w:rsidTr="00660A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E5455E0" w14:textId="71762990" w:rsidR="005F467C" w:rsidRPr="00F14D29" w:rsidRDefault="005F467C" w:rsidP="005F467C">
            <w:pPr>
              <w:spacing w:after="140"/>
              <w:jc w:val="left"/>
              <w:rPr>
                <w:rFonts w:ascii="Arial Nova" w:hAnsi="Arial Nova"/>
                <w:bCs w:val="0"/>
                <w:sz w:val="18"/>
                <w:szCs w:val="18"/>
              </w:rPr>
            </w:pPr>
            <w:r w:rsidRPr="00F14D29">
              <w:rPr>
                <w:rFonts w:ascii="Arial Nova" w:hAnsi="Arial Nova"/>
                <w:color w:val="auto"/>
                <w:sz w:val="18"/>
                <w:szCs w:val="18"/>
              </w:rPr>
              <w:t>Title</w:t>
            </w:r>
          </w:p>
        </w:tc>
        <w:tc>
          <w:tcPr>
            <w:tcW w:w="2254" w:type="dxa"/>
          </w:tcPr>
          <w:p w14:paraId="646F5FEB" w14:textId="5D2572C5" w:rsidR="005F467C" w:rsidRPr="00F14D29" w:rsidRDefault="005F467C" w:rsidP="005F467C">
            <w:pPr>
              <w:spacing w:after="140"/>
              <w:jc w:val="left"/>
              <w:cnfStyle w:val="100000000000" w:firstRow="1" w:lastRow="0" w:firstColumn="0" w:lastColumn="0" w:oddVBand="0" w:evenVBand="0" w:oddHBand="0" w:evenHBand="0" w:firstRowFirstColumn="0" w:firstRowLastColumn="0" w:lastRowFirstColumn="0" w:lastRowLastColumn="0"/>
              <w:rPr>
                <w:rFonts w:ascii="Arial Nova" w:hAnsi="Arial Nova"/>
                <w:bCs w:val="0"/>
                <w:sz w:val="18"/>
                <w:szCs w:val="18"/>
              </w:rPr>
            </w:pPr>
            <w:r w:rsidRPr="00F14D29">
              <w:rPr>
                <w:rFonts w:ascii="Arial Nova" w:hAnsi="Arial Nova"/>
                <w:color w:val="auto"/>
                <w:sz w:val="18"/>
                <w:szCs w:val="18"/>
              </w:rPr>
              <w:t>Author(s) / Year</w:t>
            </w:r>
          </w:p>
        </w:tc>
        <w:tc>
          <w:tcPr>
            <w:tcW w:w="2254" w:type="dxa"/>
          </w:tcPr>
          <w:p w14:paraId="1FBFA9A4" w14:textId="00B0DA58" w:rsidR="005F467C" w:rsidRPr="00F14D29" w:rsidRDefault="005F467C" w:rsidP="005F467C">
            <w:pPr>
              <w:spacing w:after="140"/>
              <w:jc w:val="left"/>
              <w:cnfStyle w:val="100000000000" w:firstRow="1" w:lastRow="0" w:firstColumn="0" w:lastColumn="0" w:oddVBand="0" w:evenVBand="0" w:oddHBand="0" w:evenHBand="0" w:firstRowFirstColumn="0" w:firstRowLastColumn="0" w:lastRowFirstColumn="0" w:lastRowLastColumn="0"/>
              <w:rPr>
                <w:rFonts w:ascii="Arial Nova" w:hAnsi="Arial Nova"/>
                <w:bCs w:val="0"/>
                <w:sz w:val="18"/>
                <w:szCs w:val="18"/>
              </w:rPr>
            </w:pPr>
            <w:r w:rsidRPr="00F14D29">
              <w:rPr>
                <w:rFonts w:ascii="Arial Nova" w:hAnsi="Arial Nova"/>
                <w:color w:val="auto"/>
                <w:sz w:val="18"/>
                <w:szCs w:val="18"/>
              </w:rPr>
              <w:t>Database</w:t>
            </w:r>
          </w:p>
        </w:tc>
        <w:tc>
          <w:tcPr>
            <w:tcW w:w="2254" w:type="dxa"/>
          </w:tcPr>
          <w:p w14:paraId="16DBC84E" w14:textId="1BB50F3A" w:rsidR="005F467C" w:rsidRPr="00F14D29" w:rsidRDefault="005F467C" w:rsidP="005F467C">
            <w:pPr>
              <w:spacing w:after="140"/>
              <w:jc w:val="left"/>
              <w:cnfStyle w:val="100000000000" w:firstRow="1" w:lastRow="0" w:firstColumn="0" w:lastColumn="0" w:oddVBand="0" w:evenVBand="0" w:oddHBand="0" w:evenHBand="0" w:firstRowFirstColumn="0" w:firstRowLastColumn="0" w:lastRowFirstColumn="0" w:lastRowLastColumn="0"/>
              <w:rPr>
                <w:rFonts w:ascii="Arial Nova" w:hAnsi="Arial Nova"/>
                <w:bCs w:val="0"/>
                <w:sz w:val="18"/>
                <w:szCs w:val="18"/>
              </w:rPr>
            </w:pPr>
            <w:r w:rsidRPr="00F14D29">
              <w:rPr>
                <w:rFonts w:ascii="Arial Nova" w:hAnsi="Arial Nova"/>
                <w:color w:val="auto"/>
                <w:sz w:val="18"/>
                <w:szCs w:val="18"/>
              </w:rPr>
              <w:t>Summary of relevance</w:t>
            </w:r>
          </w:p>
        </w:tc>
      </w:tr>
      <w:tr w:rsidR="005F467C" w14:paraId="319EFC0F" w14:textId="77777777" w:rsidTr="00660A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078EAA6" w14:textId="0C15F2D3" w:rsidR="005F467C" w:rsidRPr="00F14D29" w:rsidRDefault="005F467C" w:rsidP="005F467C">
            <w:pPr>
              <w:spacing w:after="140"/>
              <w:jc w:val="left"/>
              <w:rPr>
                <w:rFonts w:ascii="Arial Nova" w:hAnsi="Arial Nova"/>
                <w:bCs w:val="0"/>
                <w:sz w:val="18"/>
                <w:szCs w:val="18"/>
              </w:rPr>
            </w:pPr>
            <w:r w:rsidRPr="00F14D29">
              <w:rPr>
                <w:rFonts w:ascii="Arial Nova" w:hAnsi="Arial Nova"/>
                <w:sz w:val="18"/>
                <w:szCs w:val="18"/>
              </w:rPr>
              <w:t>Phage therapy: a renewed approach to combat antibiotic-resistant bacteria</w:t>
            </w:r>
          </w:p>
        </w:tc>
        <w:tc>
          <w:tcPr>
            <w:tcW w:w="2254" w:type="dxa"/>
          </w:tcPr>
          <w:p w14:paraId="39CEA451" w14:textId="411143F5" w:rsidR="005F467C" w:rsidRPr="00F14D29" w:rsidRDefault="005F467C" w:rsidP="005F467C">
            <w:pPr>
              <w:spacing w:after="140"/>
              <w:jc w:val="left"/>
              <w:cnfStyle w:val="000000100000" w:firstRow="0" w:lastRow="0" w:firstColumn="0" w:lastColumn="0" w:oddVBand="0" w:evenVBand="0" w:oddHBand="1" w:evenHBand="0" w:firstRowFirstColumn="0" w:firstRowLastColumn="0" w:lastRowFirstColumn="0" w:lastRowLastColumn="0"/>
              <w:rPr>
                <w:rFonts w:ascii="Arial Nova" w:hAnsi="Arial Nova"/>
                <w:bCs/>
                <w:sz w:val="18"/>
                <w:szCs w:val="18"/>
              </w:rPr>
            </w:pPr>
            <w:r w:rsidRPr="00F14D29">
              <w:rPr>
                <w:rFonts w:ascii="Arial Nova" w:hAnsi="Arial Nova"/>
                <w:sz w:val="18"/>
                <w:szCs w:val="18"/>
              </w:rPr>
              <w:t>Kortright et al., 2019</w:t>
            </w:r>
          </w:p>
        </w:tc>
        <w:tc>
          <w:tcPr>
            <w:tcW w:w="2254" w:type="dxa"/>
          </w:tcPr>
          <w:p w14:paraId="4782923D" w14:textId="4E68F225" w:rsidR="005F467C" w:rsidRPr="00F14D29" w:rsidRDefault="005F467C" w:rsidP="005F467C">
            <w:pPr>
              <w:spacing w:after="140"/>
              <w:jc w:val="left"/>
              <w:cnfStyle w:val="000000100000" w:firstRow="0" w:lastRow="0" w:firstColumn="0" w:lastColumn="0" w:oddVBand="0" w:evenVBand="0" w:oddHBand="1" w:evenHBand="0" w:firstRowFirstColumn="0" w:firstRowLastColumn="0" w:lastRowFirstColumn="0" w:lastRowLastColumn="0"/>
              <w:rPr>
                <w:rFonts w:ascii="Arial Nova" w:hAnsi="Arial Nova"/>
                <w:bCs/>
                <w:sz w:val="18"/>
                <w:szCs w:val="18"/>
              </w:rPr>
            </w:pPr>
            <w:r w:rsidRPr="00F14D29">
              <w:rPr>
                <w:rFonts w:ascii="Arial Nova" w:hAnsi="Arial Nova"/>
                <w:sz w:val="18"/>
                <w:szCs w:val="18"/>
              </w:rPr>
              <w:t>PubMed</w:t>
            </w:r>
          </w:p>
        </w:tc>
        <w:tc>
          <w:tcPr>
            <w:tcW w:w="2254" w:type="dxa"/>
          </w:tcPr>
          <w:p w14:paraId="77311928" w14:textId="2B1E5966" w:rsidR="005F467C" w:rsidRPr="00F14D29" w:rsidRDefault="005F467C" w:rsidP="005F467C">
            <w:pPr>
              <w:spacing w:after="140"/>
              <w:jc w:val="left"/>
              <w:cnfStyle w:val="000000100000" w:firstRow="0" w:lastRow="0" w:firstColumn="0" w:lastColumn="0" w:oddVBand="0" w:evenVBand="0" w:oddHBand="1" w:evenHBand="0" w:firstRowFirstColumn="0" w:firstRowLastColumn="0" w:lastRowFirstColumn="0" w:lastRowLastColumn="0"/>
              <w:rPr>
                <w:rFonts w:ascii="Arial Nova" w:hAnsi="Arial Nova"/>
                <w:bCs/>
                <w:sz w:val="18"/>
                <w:szCs w:val="18"/>
              </w:rPr>
            </w:pPr>
            <w:r w:rsidRPr="00F14D29">
              <w:rPr>
                <w:rFonts w:ascii="Arial Nova" w:hAnsi="Arial Nova"/>
                <w:sz w:val="18"/>
                <w:szCs w:val="18"/>
              </w:rPr>
              <w:t>Core scientific mechanism and history of phage therapy</w:t>
            </w:r>
          </w:p>
        </w:tc>
      </w:tr>
      <w:tr w:rsidR="005F467C" w14:paraId="6E4D8AFC" w14:textId="77777777" w:rsidTr="00660A42">
        <w:tc>
          <w:tcPr>
            <w:cnfStyle w:val="001000000000" w:firstRow="0" w:lastRow="0" w:firstColumn="1" w:lastColumn="0" w:oddVBand="0" w:evenVBand="0" w:oddHBand="0" w:evenHBand="0" w:firstRowFirstColumn="0" w:firstRowLastColumn="0" w:lastRowFirstColumn="0" w:lastRowLastColumn="0"/>
            <w:tcW w:w="2254" w:type="dxa"/>
          </w:tcPr>
          <w:p w14:paraId="3B388DE9" w14:textId="46585D5E" w:rsidR="005F467C" w:rsidRPr="00F14D29" w:rsidRDefault="005F467C" w:rsidP="005F467C">
            <w:pPr>
              <w:spacing w:after="140"/>
              <w:jc w:val="left"/>
              <w:rPr>
                <w:rFonts w:ascii="Arial Nova" w:hAnsi="Arial Nova"/>
                <w:bCs w:val="0"/>
                <w:sz w:val="18"/>
                <w:szCs w:val="18"/>
              </w:rPr>
            </w:pPr>
            <w:r w:rsidRPr="00F14D29">
              <w:rPr>
                <w:rFonts w:ascii="Arial Nova" w:hAnsi="Arial Nova"/>
                <w:sz w:val="18"/>
                <w:szCs w:val="18"/>
              </w:rPr>
              <w:t>Safety and efficacy of phage therapy in difficult-to-treat infections: a systematic review</w:t>
            </w:r>
          </w:p>
        </w:tc>
        <w:tc>
          <w:tcPr>
            <w:tcW w:w="2254" w:type="dxa"/>
          </w:tcPr>
          <w:p w14:paraId="03A901E9" w14:textId="4702CBA5" w:rsidR="005F467C" w:rsidRPr="00F14D29" w:rsidRDefault="005F467C" w:rsidP="005F467C">
            <w:pPr>
              <w:spacing w:after="140"/>
              <w:jc w:val="left"/>
              <w:cnfStyle w:val="000000000000" w:firstRow="0" w:lastRow="0" w:firstColumn="0" w:lastColumn="0" w:oddVBand="0" w:evenVBand="0" w:oddHBand="0" w:evenHBand="0" w:firstRowFirstColumn="0" w:firstRowLastColumn="0" w:lastRowFirstColumn="0" w:lastRowLastColumn="0"/>
              <w:rPr>
                <w:rFonts w:ascii="Arial Nova" w:hAnsi="Arial Nova"/>
                <w:bCs/>
                <w:sz w:val="18"/>
                <w:szCs w:val="18"/>
              </w:rPr>
            </w:pPr>
            <w:r w:rsidRPr="00F14D29">
              <w:rPr>
                <w:rFonts w:ascii="Arial Nova" w:hAnsi="Arial Nova"/>
                <w:sz w:val="18"/>
                <w:szCs w:val="18"/>
              </w:rPr>
              <w:t>Uyttebroek et al., 2022</w:t>
            </w:r>
          </w:p>
        </w:tc>
        <w:tc>
          <w:tcPr>
            <w:tcW w:w="2254" w:type="dxa"/>
          </w:tcPr>
          <w:p w14:paraId="05BAE818" w14:textId="514B5361" w:rsidR="005F467C" w:rsidRPr="00F14D29" w:rsidRDefault="005F467C" w:rsidP="005F467C">
            <w:pPr>
              <w:spacing w:after="140"/>
              <w:jc w:val="left"/>
              <w:cnfStyle w:val="000000000000" w:firstRow="0" w:lastRow="0" w:firstColumn="0" w:lastColumn="0" w:oddVBand="0" w:evenVBand="0" w:oddHBand="0" w:evenHBand="0" w:firstRowFirstColumn="0" w:firstRowLastColumn="0" w:lastRowFirstColumn="0" w:lastRowLastColumn="0"/>
              <w:rPr>
                <w:rFonts w:ascii="Arial Nova" w:hAnsi="Arial Nova"/>
                <w:bCs/>
                <w:sz w:val="18"/>
                <w:szCs w:val="18"/>
              </w:rPr>
            </w:pPr>
            <w:r w:rsidRPr="00F14D29">
              <w:rPr>
                <w:rFonts w:ascii="Arial Nova" w:hAnsi="Arial Nova"/>
                <w:sz w:val="18"/>
                <w:szCs w:val="18"/>
              </w:rPr>
              <w:t>PubMed / Lancet</w:t>
            </w:r>
          </w:p>
        </w:tc>
        <w:tc>
          <w:tcPr>
            <w:tcW w:w="2254" w:type="dxa"/>
          </w:tcPr>
          <w:p w14:paraId="6E6686C8" w14:textId="51CA934B" w:rsidR="005F467C" w:rsidRPr="00F14D29" w:rsidRDefault="005F467C" w:rsidP="005F467C">
            <w:pPr>
              <w:spacing w:after="140"/>
              <w:jc w:val="left"/>
              <w:cnfStyle w:val="000000000000" w:firstRow="0" w:lastRow="0" w:firstColumn="0" w:lastColumn="0" w:oddVBand="0" w:evenVBand="0" w:oddHBand="0" w:evenHBand="0" w:firstRowFirstColumn="0" w:firstRowLastColumn="0" w:lastRowFirstColumn="0" w:lastRowLastColumn="0"/>
              <w:rPr>
                <w:rFonts w:ascii="Arial Nova" w:hAnsi="Arial Nova"/>
                <w:bCs/>
                <w:sz w:val="18"/>
                <w:szCs w:val="18"/>
              </w:rPr>
            </w:pPr>
            <w:r w:rsidRPr="00F14D29">
              <w:rPr>
                <w:rFonts w:ascii="Arial Nova" w:hAnsi="Arial Nova"/>
                <w:sz w:val="18"/>
                <w:szCs w:val="18"/>
              </w:rPr>
              <w:t>Clinical evidence gap (Theme 2)</w:t>
            </w:r>
          </w:p>
        </w:tc>
      </w:tr>
      <w:tr w:rsidR="005F467C" w14:paraId="1CA4ED0E" w14:textId="77777777" w:rsidTr="00660A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FD9C7C7" w14:textId="63818307" w:rsidR="005F467C" w:rsidRPr="00F14D29" w:rsidRDefault="005F467C" w:rsidP="005F467C">
            <w:pPr>
              <w:spacing w:after="140"/>
              <w:jc w:val="left"/>
              <w:rPr>
                <w:rFonts w:ascii="Arial Nova" w:hAnsi="Arial Nova"/>
                <w:bCs w:val="0"/>
                <w:sz w:val="18"/>
                <w:szCs w:val="18"/>
              </w:rPr>
            </w:pPr>
            <w:r w:rsidRPr="00F14D29">
              <w:rPr>
                <w:rFonts w:ascii="Arial Nova" w:hAnsi="Arial Nova"/>
                <w:sz w:val="18"/>
                <w:szCs w:val="18"/>
              </w:rPr>
              <w:t>Nurse role and contribution to antimicrobial stewardship: an integrative review</w:t>
            </w:r>
          </w:p>
        </w:tc>
        <w:tc>
          <w:tcPr>
            <w:tcW w:w="2254" w:type="dxa"/>
          </w:tcPr>
          <w:p w14:paraId="50D1FC3A" w14:textId="7A8C9B20" w:rsidR="005F467C" w:rsidRPr="00F14D29" w:rsidRDefault="005F467C" w:rsidP="005F467C">
            <w:pPr>
              <w:spacing w:after="140"/>
              <w:jc w:val="left"/>
              <w:cnfStyle w:val="000000100000" w:firstRow="0" w:lastRow="0" w:firstColumn="0" w:lastColumn="0" w:oddVBand="0" w:evenVBand="0" w:oddHBand="1" w:evenHBand="0" w:firstRowFirstColumn="0" w:firstRowLastColumn="0" w:lastRowFirstColumn="0" w:lastRowLastColumn="0"/>
              <w:rPr>
                <w:rFonts w:ascii="Arial Nova" w:hAnsi="Arial Nova"/>
                <w:bCs/>
                <w:sz w:val="18"/>
                <w:szCs w:val="18"/>
              </w:rPr>
            </w:pPr>
            <w:r w:rsidRPr="00F14D29">
              <w:rPr>
                <w:rFonts w:ascii="Arial Nova" w:hAnsi="Arial Nova"/>
                <w:sz w:val="18"/>
                <w:szCs w:val="18"/>
              </w:rPr>
              <w:t>Gotterson, Buising and Manias, 2021</w:t>
            </w:r>
          </w:p>
        </w:tc>
        <w:tc>
          <w:tcPr>
            <w:tcW w:w="2254" w:type="dxa"/>
          </w:tcPr>
          <w:p w14:paraId="22C61C3B" w14:textId="7F2816ED" w:rsidR="005F467C" w:rsidRPr="00F14D29" w:rsidRDefault="005F467C" w:rsidP="005F467C">
            <w:pPr>
              <w:spacing w:after="140"/>
              <w:jc w:val="left"/>
              <w:cnfStyle w:val="000000100000" w:firstRow="0" w:lastRow="0" w:firstColumn="0" w:lastColumn="0" w:oddVBand="0" w:evenVBand="0" w:oddHBand="1" w:evenHBand="0" w:firstRowFirstColumn="0" w:firstRowLastColumn="0" w:lastRowFirstColumn="0" w:lastRowLastColumn="0"/>
              <w:rPr>
                <w:rFonts w:ascii="Arial Nova" w:hAnsi="Arial Nova"/>
                <w:bCs/>
                <w:sz w:val="18"/>
                <w:szCs w:val="18"/>
              </w:rPr>
            </w:pPr>
            <w:r w:rsidRPr="00F14D29">
              <w:rPr>
                <w:rFonts w:ascii="Arial Nova" w:hAnsi="Arial Nova"/>
                <w:sz w:val="18"/>
                <w:szCs w:val="18"/>
              </w:rPr>
              <w:t>CINAHL</w:t>
            </w:r>
          </w:p>
        </w:tc>
        <w:tc>
          <w:tcPr>
            <w:tcW w:w="2254" w:type="dxa"/>
          </w:tcPr>
          <w:p w14:paraId="2535D123" w14:textId="40048F7D" w:rsidR="005F467C" w:rsidRPr="00F14D29" w:rsidRDefault="005F467C" w:rsidP="005F467C">
            <w:pPr>
              <w:spacing w:after="140"/>
              <w:jc w:val="left"/>
              <w:cnfStyle w:val="000000100000" w:firstRow="0" w:lastRow="0" w:firstColumn="0" w:lastColumn="0" w:oddVBand="0" w:evenVBand="0" w:oddHBand="1" w:evenHBand="0" w:firstRowFirstColumn="0" w:firstRowLastColumn="0" w:lastRowFirstColumn="0" w:lastRowLastColumn="0"/>
              <w:rPr>
                <w:rFonts w:ascii="Arial Nova" w:hAnsi="Arial Nova"/>
                <w:bCs/>
                <w:sz w:val="18"/>
                <w:szCs w:val="18"/>
              </w:rPr>
            </w:pPr>
            <w:r w:rsidRPr="00F14D29">
              <w:rPr>
                <w:rFonts w:ascii="Arial Nova" w:hAnsi="Arial Nova"/>
                <w:sz w:val="18"/>
                <w:szCs w:val="18"/>
              </w:rPr>
              <w:t>Nursing role in stewardship (Theme 3)</w:t>
            </w:r>
          </w:p>
        </w:tc>
      </w:tr>
      <w:tr w:rsidR="005F467C" w14:paraId="48A7BED7" w14:textId="77777777" w:rsidTr="00660A42">
        <w:tc>
          <w:tcPr>
            <w:cnfStyle w:val="001000000000" w:firstRow="0" w:lastRow="0" w:firstColumn="1" w:lastColumn="0" w:oddVBand="0" w:evenVBand="0" w:oddHBand="0" w:evenHBand="0" w:firstRowFirstColumn="0" w:firstRowLastColumn="0" w:lastRowFirstColumn="0" w:lastRowLastColumn="0"/>
            <w:tcW w:w="2254" w:type="dxa"/>
          </w:tcPr>
          <w:p w14:paraId="7E26F48B" w14:textId="0A017EF6" w:rsidR="005F467C" w:rsidRPr="00F14D29" w:rsidRDefault="005F467C" w:rsidP="005F467C">
            <w:pPr>
              <w:spacing w:after="140"/>
              <w:jc w:val="left"/>
              <w:rPr>
                <w:rFonts w:ascii="Arial Nova" w:hAnsi="Arial Nova"/>
                <w:bCs w:val="0"/>
                <w:sz w:val="18"/>
                <w:szCs w:val="18"/>
              </w:rPr>
            </w:pPr>
            <w:r w:rsidRPr="00F14D29">
              <w:rPr>
                <w:rFonts w:ascii="Arial Nova" w:hAnsi="Arial Nova"/>
                <w:sz w:val="18"/>
                <w:szCs w:val="18"/>
              </w:rPr>
              <w:t>Enhancing nurses’ future role in antimicrobial stewardship</w:t>
            </w:r>
          </w:p>
        </w:tc>
        <w:tc>
          <w:tcPr>
            <w:tcW w:w="2254" w:type="dxa"/>
          </w:tcPr>
          <w:p w14:paraId="37807D1F" w14:textId="767060F5" w:rsidR="005F467C" w:rsidRPr="00F14D29" w:rsidRDefault="005F467C" w:rsidP="005F467C">
            <w:pPr>
              <w:spacing w:after="140"/>
              <w:jc w:val="left"/>
              <w:cnfStyle w:val="000000000000" w:firstRow="0" w:lastRow="0" w:firstColumn="0" w:lastColumn="0" w:oddVBand="0" w:evenVBand="0" w:oddHBand="0" w:evenHBand="0" w:firstRowFirstColumn="0" w:firstRowLastColumn="0" w:lastRowFirstColumn="0" w:lastRowLastColumn="0"/>
              <w:rPr>
                <w:rFonts w:ascii="Arial Nova" w:hAnsi="Arial Nova"/>
                <w:bCs/>
                <w:sz w:val="18"/>
                <w:szCs w:val="18"/>
              </w:rPr>
            </w:pPr>
            <w:r w:rsidRPr="00F14D29">
              <w:rPr>
                <w:rFonts w:ascii="Arial Nova" w:hAnsi="Arial Nova"/>
                <w:sz w:val="18"/>
                <w:szCs w:val="18"/>
              </w:rPr>
              <w:t>Padigos, Ritchie and Lim, 2020</w:t>
            </w:r>
          </w:p>
        </w:tc>
        <w:tc>
          <w:tcPr>
            <w:tcW w:w="2254" w:type="dxa"/>
          </w:tcPr>
          <w:p w14:paraId="574CD538" w14:textId="50447CAE" w:rsidR="005F467C" w:rsidRPr="00F14D29" w:rsidRDefault="005F467C" w:rsidP="005F467C">
            <w:pPr>
              <w:spacing w:after="140"/>
              <w:jc w:val="left"/>
              <w:cnfStyle w:val="000000000000" w:firstRow="0" w:lastRow="0" w:firstColumn="0" w:lastColumn="0" w:oddVBand="0" w:evenVBand="0" w:oddHBand="0" w:evenHBand="0" w:firstRowFirstColumn="0" w:firstRowLastColumn="0" w:lastRowFirstColumn="0" w:lastRowLastColumn="0"/>
              <w:rPr>
                <w:rFonts w:ascii="Arial Nova" w:hAnsi="Arial Nova"/>
                <w:bCs/>
                <w:sz w:val="18"/>
                <w:szCs w:val="18"/>
              </w:rPr>
            </w:pPr>
            <w:r w:rsidRPr="00F14D29">
              <w:rPr>
                <w:rFonts w:ascii="Arial Nova" w:hAnsi="Arial Nova"/>
                <w:sz w:val="18"/>
                <w:szCs w:val="18"/>
              </w:rPr>
              <w:t>CINAHL</w:t>
            </w:r>
          </w:p>
        </w:tc>
        <w:tc>
          <w:tcPr>
            <w:tcW w:w="2254" w:type="dxa"/>
          </w:tcPr>
          <w:p w14:paraId="399C9FB5" w14:textId="6E700BC8" w:rsidR="005F467C" w:rsidRPr="00F14D29" w:rsidRDefault="005F467C" w:rsidP="005F467C">
            <w:pPr>
              <w:spacing w:after="140"/>
              <w:jc w:val="left"/>
              <w:cnfStyle w:val="000000000000" w:firstRow="0" w:lastRow="0" w:firstColumn="0" w:lastColumn="0" w:oddVBand="0" w:evenVBand="0" w:oddHBand="0" w:evenHBand="0" w:firstRowFirstColumn="0" w:firstRowLastColumn="0" w:lastRowFirstColumn="0" w:lastRowLastColumn="0"/>
              <w:rPr>
                <w:rFonts w:ascii="Arial Nova" w:hAnsi="Arial Nova"/>
                <w:bCs/>
                <w:sz w:val="18"/>
                <w:szCs w:val="18"/>
              </w:rPr>
            </w:pPr>
            <w:r w:rsidRPr="00F14D29">
              <w:rPr>
                <w:rFonts w:ascii="Arial Nova" w:hAnsi="Arial Nova"/>
                <w:sz w:val="18"/>
                <w:szCs w:val="18"/>
              </w:rPr>
              <w:t>Nursing education gap (Theme 3)</w:t>
            </w:r>
          </w:p>
        </w:tc>
      </w:tr>
      <w:tr w:rsidR="005F467C" w14:paraId="127104EB" w14:textId="77777777" w:rsidTr="00660A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6512102" w14:textId="5B80D910" w:rsidR="005F467C" w:rsidRPr="00F14D29" w:rsidRDefault="005F467C" w:rsidP="005F467C">
            <w:pPr>
              <w:spacing w:after="140"/>
              <w:jc w:val="left"/>
              <w:rPr>
                <w:rFonts w:ascii="Arial Nova" w:hAnsi="Arial Nova"/>
                <w:bCs w:val="0"/>
                <w:sz w:val="18"/>
                <w:szCs w:val="18"/>
              </w:rPr>
            </w:pPr>
            <w:r w:rsidRPr="00F14D29">
              <w:rPr>
                <w:rFonts w:ascii="Arial Nova" w:hAnsi="Arial Nova"/>
                <w:sz w:val="18"/>
                <w:szCs w:val="18"/>
              </w:rPr>
              <w:t>Regulatory Considerations for Therapeutic Use of Bacteriophages in the UK</w:t>
            </w:r>
          </w:p>
        </w:tc>
        <w:tc>
          <w:tcPr>
            <w:tcW w:w="2254" w:type="dxa"/>
          </w:tcPr>
          <w:p w14:paraId="516C40F0" w14:textId="791419BE" w:rsidR="005F467C" w:rsidRPr="00F14D29" w:rsidRDefault="005F467C" w:rsidP="005F467C">
            <w:pPr>
              <w:spacing w:after="140"/>
              <w:jc w:val="left"/>
              <w:cnfStyle w:val="000000100000" w:firstRow="0" w:lastRow="0" w:firstColumn="0" w:lastColumn="0" w:oddVBand="0" w:evenVBand="0" w:oddHBand="1" w:evenHBand="0" w:firstRowFirstColumn="0" w:firstRowLastColumn="0" w:lastRowFirstColumn="0" w:lastRowLastColumn="0"/>
              <w:rPr>
                <w:rFonts w:ascii="Arial Nova" w:hAnsi="Arial Nova"/>
                <w:bCs/>
                <w:sz w:val="18"/>
                <w:szCs w:val="18"/>
              </w:rPr>
            </w:pPr>
            <w:r w:rsidRPr="00F14D29">
              <w:rPr>
                <w:rFonts w:ascii="Arial Nova" w:hAnsi="Arial Nova"/>
                <w:sz w:val="18"/>
                <w:szCs w:val="18"/>
              </w:rPr>
              <w:t>MHRA, 2025</w:t>
            </w:r>
          </w:p>
        </w:tc>
        <w:tc>
          <w:tcPr>
            <w:tcW w:w="2254" w:type="dxa"/>
          </w:tcPr>
          <w:p w14:paraId="410410A7" w14:textId="132C938C" w:rsidR="005F467C" w:rsidRPr="00F14D29" w:rsidRDefault="005F467C" w:rsidP="005F467C">
            <w:pPr>
              <w:spacing w:after="140"/>
              <w:jc w:val="left"/>
              <w:cnfStyle w:val="000000100000" w:firstRow="0" w:lastRow="0" w:firstColumn="0" w:lastColumn="0" w:oddVBand="0" w:evenVBand="0" w:oddHBand="1" w:evenHBand="0" w:firstRowFirstColumn="0" w:firstRowLastColumn="0" w:lastRowFirstColumn="0" w:lastRowLastColumn="0"/>
              <w:rPr>
                <w:rFonts w:ascii="Arial Nova" w:hAnsi="Arial Nova"/>
                <w:bCs/>
                <w:sz w:val="18"/>
                <w:szCs w:val="18"/>
              </w:rPr>
            </w:pPr>
            <w:r w:rsidRPr="00F14D29">
              <w:rPr>
                <w:rFonts w:ascii="Arial Nova" w:hAnsi="Arial Nova"/>
                <w:sz w:val="18"/>
                <w:szCs w:val="18"/>
              </w:rPr>
              <w:t>GOV.UK</w:t>
            </w:r>
          </w:p>
        </w:tc>
        <w:tc>
          <w:tcPr>
            <w:tcW w:w="2254" w:type="dxa"/>
          </w:tcPr>
          <w:p w14:paraId="53FFABDC" w14:textId="30252FB6" w:rsidR="005F467C" w:rsidRPr="00F14D29" w:rsidRDefault="005F467C" w:rsidP="005F467C">
            <w:pPr>
              <w:spacing w:after="140"/>
              <w:jc w:val="left"/>
              <w:cnfStyle w:val="000000100000" w:firstRow="0" w:lastRow="0" w:firstColumn="0" w:lastColumn="0" w:oddVBand="0" w:evenVBand="0" w:oddHBand="1" w:evenHBand="0" w:firstRowFirstColumn="0" w:firstRowLastColumn="0" w:lastRowFirstColumn="0" w:lastRowLastColumn="0"/>
              <w:rPr>
                <w:rFonts w:ascii="Arial Nova" w:hAnsi="Arial Nova"/>
                <w:bCs/>
                <w:sz w:val="18"/>
                <w:szCs w:val="18"/>
              </w:rPr>
            </w:pPr>
            <w:r w:rsidRPr="00F14D29">
              <w:rPr>
                <w:rFonts w:ascii="Arial Nova" w:hAnsi="Arial Nova"/>
                <w:sz w:val="18"/>
                <w:szCs w:val="18"/>
              </w:rPr>
              <w:t>UK regulatory pathway (Theme 1)</w:t>
            </w:r>
          </w:p>
        </w:tc>
      </w:tr>
    </w:tbl>
    <w:p w14:paraId="7A401ACC" w14:textId="77777777" w:rsidR="00511CA6" w:rsidRPr="00697323" w:rsidRDefault="00511CA6" w:rsidP="00697323">
      <w:pPr>
        <w:spacing w:after="140"/>
        <w:rPr>
          <w:rFonts w:ascii="Arial Nova" w:hAnsi="Arial Nova"/>
          <w:bCs/>
        </w:rPr>
      </w:pPr>
    </w:p>
    <w:p w14:paraId="73EF47DB" w14:textId="77777777" w:rsidR="007A653C" w:rsidRDefault="007A653C" w:rsidP="00F42533">
      <w:pPr>
        <w:rPr>
          <w:rFonts w:ascii="Arial Nova" w:hAnsi="Arial Nova"/>
          <w:b/>
          <w:bCs/>
        </w:rPr>
      </w:pPr>
    </w:p>
    <w:p w14:paraId="6EE818F7" w14:textId="77777777" w:rsidR="007A653C" w:rsidRDefault="007A653C" w:rsidP="00F42533">
      <w:pPr>
        <w:rPr>
          <w:rFonts w:ascii="Arial Nova" w:hAnsi="Arial Nova"/>
          <w:b/>
          <w:bCs/>
        </w:rPr>
      </w:pPr>
    </w:p>
    <w:p w14:paraId="307B2F3E" w14:textId="77777777" w:rsidR="00222156" w:rsidRDefault="00222156" w:rsidP="00F42533">
      <w:pPr>
        <w:rPr>
          <w:rFonts w:ascii="Arial Nova" w:hAnsi="Arial Nova"/>
          <w:b/>
          <w:bCs/>
        </w:rPr>
      </w:pPr>
    </w:p>
    <w:p w14:paraId="379E05EC" w14:textId="003FF3DE" w:rsidR="00F42533" w:rsidRPr="004F02AB" w:rsidRDefault="004F02AB" w:rsidP="00F42533">
      <w:pPr>
        <w:rPr>
          <w:rFonts w:ascii="Arial Nova" w:hAnsi="Arial Nova"/>
          <w:b/>
          <w:bCs/>
        </w:rPr>
      </w:pPr>
      <w:r w:rsidRPr="004F02AB">
        <w:rPr>
          <w:rFonts w:ascii="Arial Nova" w:hAnsi="Arial Nova"/>
          <w:b/>
          <w:bCs/>
        </w:rPr>
        <w:lastRenderedPageBreak/>
        <w:t>6.2.5.</w:t>
      </w:r>
      <w:r>
        <w:rPr>
          <w:rFonts w:ascii="Arial Nova" w:hAnsi="Arial Nova"/>
          <w:b/>
          <w:bCs/>
        </w:rPr>
        <w:t xml:space="preserve"> </w:t>
      </w:r>
      <w:r w:rsidR="007A653C" w:rsidRPr="007A653C">
        <w:rPr>
          <w:rFonts w:ascii="Arial Nova" w:hAnsi="Arial Nova"/>
          <w:b/>
          <w:bCs/>
        </w:rPr>
        <w:t>Appendix E – Glossary of Specialist Terms.</w:t>
      </w:r>
    </w:p>
    <w:p w14:paraId="5E02AF15" w14:textId="63884053" w:rsidR="00621776" w:rsidRPr="005304D6" w:rsidRDefault="00621776" w:rsidP="005304D6">
      <w:pPr>
        <w:rPr>
          <w:rFonts w:ascii="Arial Nova" w:hAnsi="Arial Nova"/>
        </w:rPr>
      </w:pPr>
    </w:p>
    <w:tbl>
      <w:tblPr>
        <w:tblStyle w:val="GridTable5Dark-Accent3"/>
        <w:tblW w:w="10632" w:type="dxa"/>
        <w:tblInd w:w="-998" w:type="dxa"/>
        <w:tblLook w:val="04A0" w:firstRow="1" w:lastRow="0" w:firstColumn="1" w:lastColumn="0" w:noHBand="0" w:noVBand="1"/>
      </w:tblPr>
      <w:tblGrid>
        <w:gridCol w:w="2553"/>
        <w:gridCol w:w="8079"/>
      </w:tblGrid>
      <w:tr w:rsidR="0076795D" w14:paraId="5C700305" w14:textId="77777777" w:rsidTr="00E80465">
        <w:trPr>
          <w:cnfStyle w:val="100000000000" w:firstRow="1" w:lastRow="0" w:firstColumn="0" w:lastColumn="0" w:oddVBand="0" w:evenVBand="0" w:oddHBand="0" w:evenHBand="0" w:firstRowFirstColumn="0" w:firstRowLastColumn="0" w:lastRowFirstColumn="0" w:lastRowLastColumn="0"/>
          <w:trHeight w:val="715"/>
        </w:trPr>
        <w:tc>
          <w:tcPr>
            <w:cnfStyle w:val="001000000000" w:firstRow="0" w:lastRow="0" w:firstColumn="1" w:lastColumn="0" w:oddVBand="0" w:evenVBand="0" w:oddHBand="0" w:evenHBand="0" w:firstRowFirstColumn="0" w:firstRowLastColumn="0" w:lastRowFirstColumn="0" w:lastRowLastColumn="0"/>
            <w:tcW w:w="2553" w:type="dxa"/>
          </w:tcPr>
          <w:p w14:paraId="0C386FDF" w14:textId="6CD4E03B" w:rsidR="0076795D" w:rsidRPr="00E80465" w:rsidRDefault="0076795D" w:rsidP="0076795D">
            <w:pPr>
              <w:rPr>
                <w:rFonts w:ascii="Arial Nova" w:hAnsi="Arial Nova"/>
              </w:rPr>
            </w:pPr>
            <w:r w:rsidRPr="00E80465">
              <w:rPr>
                <w:rFonts w:ascii="Arial Nova" w:hAnsi="Arial Nova"/>
              </w:rPr>
              <w:t>Term</w:t>
            </w:r>
          </w:p>
        </w:tc>
        <w:tc>
          <w:tcPr>
            <w:tcW w:w="8079" w:type="dxa"/>
          </w:tcPr>
          <w:p w14:paraId="04B572E5" w14:textId="7B769868" w:rsidR="0076795D" w:rsidRPr="00E80465" w:rsidRDefault="0076795D" w:rsidP="0076795D">
            <w:pPr>
              <w:cnfStyle w:val="100000000000" w:firstRow="1" w:lastRow="0" w:firstColumn="0" w:lastColumn="0" w:oddVBand="0" w:evenVBand="0" w:oddHBand="0" w:evenHBand="0" w:firstRowFirstColumn="0" w:firstRowLastColumn="0" w:lastRowFirstColumn="0" w:lastRowLastColumn="0"/>
              <w:rPr>
                <w:rFonts w:ascii="Arial Nova" w:hAnsi="Arial Nova"/>
              </w:rPr>
            </w:pPr>
            <w:r w:rsidRPr="00E80465">
              <w:rPr>
                <w:rFonts w:ascii="Arial Nova" w:hAnsi="Arial Nova"/>
              </w:rPr>
              <w:t>Definition</w:t>
            </w:r>
          </w:p>
        </w:tc>
      </w:tr>
      <w:tr w:rsidR="0076795D" w14:paraId="2FA56DEC" w14:textId="77777777" w:rsidTr="00E804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tcPr>
          <w:p w14:paraId="483690C1" w14:textId="3DAB3457" w:rsidR="0076795D" w:rsidRDefault="0076795D" w:rsidP="0076795D">
            <w:pPr>
              <w:rPr>
                <w:rFonts w:ascii="Arial Nova" w:hAnsi="Arial Nova"/>
              </w:rPr>
            </w:pPr>
            <w:r>
              <w:rPr>
                <w:rFonts w:ascii="Arial Nova" w:hAnsi="Arial Nova"/>
                <w:sz w:val="18"/>
                <w:szCs w:val="18"/>
              </w:rPr>
              <w:t>AMR</w:t>
            </w:r>
          </w:p>
        </w:tc>
        <w:tc>
          <w:tcPr>
            <w:tcW w:w="8079" w:type="dxa"/>
          </w:tcPr>
          <w:p w14:paraId="013D4C51" w14:textId="0FC1BA48" w:rsidR="0076795D" w:rsidRDefault="0076795D" w:rsidP="0076795D">
            <w:pPr>
              <w:cnfStyle w:val="000000100000" w:firstRow="0" w:lastRow="0" w:firstColumn="0" w:lastColumn="0" w:oddVBand="0" w:evenVBand="0" w:oddHBand="1" w:evenHBand="0" w:firstRowFirstColumn="0" w:firstRowLastColumn="0" w:lastRowFirstColumn="0" w:lastRowLastColumn="0"/>
              <w:rPr>
                <w:rFonts w:ascii="Arial Nova" w:hAnsi="Arial Nova"/>
              </w:rPr>
            </w:pPr>
            <w:r>
              <w:rPr>
                <w:rFonts w:ascii="Arial Nova" w:hAnsi="Arial Nova"/>
                <w:sz w:val="18"/>
                <w:szCs w:val="18"/>
              </w:rPr>
              <w:t>Antimicrobial resistance – the ability of microorganisms to survive exposure to drugs that would normally kill them or stop their growth.</w:t>
            </w:r>
          </w:p>
        </w:tc>
      </w:tr>
      <w:tr w:rsidR="0076795D" w14:paraId="6137BDC0" w14:textId="77777777" w:rsidTr="00222156">
        <w:trPr>
          <w:trHeight w:val="464"/>
        </w:trPr>
        <w:tc>
          <w:tcPr>
            <w:cnfStyle w:val="001000000000" w:firstRow="0" w:lastRow="0" w:firstColumn="1" w:lastColumn="0" w:oddVBand="0" w:evenVBand="0" w:oddHBand="0" w:evenHBand="0" w:firstRowFirstColumn="0" w:firstRowLastColumn="0" w:lastRowFirstColumn="0" w:lastRowLastColumn="0"/>
            <w:tcW w:w="2553" w:type="dxa"/>
          </w:tcPr>
          <w:p w14:paraId="6D4CEF3A" w14:textId="6C03BFA6" w:rsidR="0076795D" w:rsidRDefault="0076795D" w:rsidP="0076795D">
            <w:pPr>
              <w:rPr>
                <w:rFonts w:ascii="Arial Nova" w:hAnsi="Arial Nova"/>
              </w:rPr>
            </w:pPr>
            <w:r>
              <w:rPr>
                <w:rFonts w:ascii="Arial Nova" w:hAnsi="Arial Nova"/>
                <w:sz w:val="18"/>
                <w:szCs w:val="18"/>
              </w:rPr>
              <w:t>Bacteriophage (phage)</w:t>
            </w:r>
          </w:p>
        </w:tc>
        <w:tc>
          <w:tcPr>
            <w:tcW w:w="8079" w:type="dxa"/>
          </w:tcPr>
          <w:p w14:paraId="76BCDEE2" w14:textId="1614103C" w:rsidR="0076795D" w:rsidRDefault="0076795D" w:rsidP="0076795D">
            <w:pPr>
              <w:cnfStyle w:val="000000000000" w:firstRow="0" w:lastRow="0" w:firstColumn="0" w:lastColumn="0" w:oddVBand="0" w:evenVBand="0" w:oddHBand="0" w:evenHBand="0" w:firstRowFirstColumn="0" w:firstRowLastColumn="0" w:lastRowFirstColumn="0" w:lastRowLastColumn="0"/>
              <w:rPr>
                <w:rFonts w:ascii="Arial Nova" w:hAnsi="Arial Nova"/>
              </w:rPr>
            </w:pPr>
            <w:r>
              <w:rPr>
                <w:rFonts w:ascii="Arial Nova" w:hAnsi="Arial Nova"/>
                <w:sz w:val="18"/>
                <w:szCs w:val="18"/>
              </w:rPr>
              <w:t>A virus that specifically infects and destroys bacteria, without harming human cells.</w:t>
            </w:r>
          </w:p>
        </w:tc>
      </w:tr>
      <w:tr w:rsidR="0076795D" w14:paraId="390C2BA1" w14:textId="77777777" w:rsidTr="00E804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tcPr>
          <w:p w14:paraId="28DA33AC" w14:textId="66DC3F89" w:rsidR="0076795D" w:rsidRDefault="0076795D" w:rsidP="0076795D">
            <w:pPr>
              <w:rPr>
                <w:rFonts w:ascii="Arial Nova" w:hAnsi="Arial Nova"/>
              </w:rPr>
            </w:pPr>
            <w:r>
              <w:rPr>
                <w:rFonts w:ascii="Arial Nova" w:hAnsi="Arial Nova"/>
                <w:sz w:val="18"/>
                <w:szCs w:val="18"/>
              </w:rPr>
              <w:t>Compassionate use</w:t>
            </w:r>
          </w:p>
        </w:tc>
        <w:tc>
          <w:tcPr>
            <w:tcW w:w="8079" w:type="dxa"/>
          </w:tcPr>
          <w:p w14:paraId="52AD2A9F" w14:textId="1ABF8A7E" w:rsidR="0076795D" w:rsidRDefault="0076795D" w:rsidP="0076795D">
            <w:pPr>
              <w:cnfStyle w:val="000000100000" w:firstRow="0" w:lastRow="0" w:firstColumn="0" w:lastColumn="0" w:oddVBand="0" w:evenVBand="0" w:oddHBand="1" w:evenHBand="0" w:firstRowFirstColumn="0" w:firstRowLastColumn="0" w:lastRowFirstColumn="0" w:lastRowLastColumn="0"/>
              <w:rPr>
                <w:rFonts w:ascii="Arial Nova" w:hAnsi="Arial Nova"/>
              </w:rPr>
            </w:pPr>
            <w:r>
              <w:rPr>
                <w:rFonts w:ascii="Arial Nova" w:hAnsi="Arial Nova"/>
                <w:sz w:val="18"/>
                <w:szCs w:val="18"/>
              </w:rPr>
              <w:t>The use of an unapproved or unlicensed treatment where conventional options have failed and no alternative is available.</w:t>
            </w:r>
          </w:p>
        </w:tc>
      </w:tr>
      <w:tr w:rsidR="0076795D" w14:paraId="017000B6" w14:textId="77777777" w:rsidTr="00E80465">
        <w:tc>
          <w:tcPr>
            <w:cnfStyle w:val="001000000000" w:firstRow="0" w:lastRow="0" w:firstColumn="1" w:lastColumn="0" w:oddVBand="0" w:evenVBand="0" w:oddHBand="0" w:evenHBand="0" w:firstRowFirstColumn="0" w:firstRowLastColumn="0" w:lastRowFirstColumn="0" w:lastRowLastColumn="0"/>
            <w:tcW w:w="2553" w:type="dxa"/>
          </w:tcPr>
          <w:p w14:paraId="4236EC5E" w14:textId="2A7E4AE7" w:rsidR="0076795D" w:rsidRDefault="0076795D" w:rsidP="0076795D">
            <w:pPr>
              <w:rPr>
                <w:rFonts w:ascii="Arial Nova" w:hAnsi="Arial Nova"/>
              </w:rPr>
            </w:pPr>
            <w:r>
              <w:rPr>
                <w:rFonts w:ascii="Arial Nova" w:hAnsi="Arial Nova"/>
                <w:sz w:val="18"/>
                <w:szCs w:val="18"/>
              </w:rPr>
              <w:t>CRAAP test</w:t>
            </w:r>
          </w:p>
        </w:tc>
        <w:tc>
          <w:tcPr>
            <w:tcW w:w="8079" w:type="dxa"/>
          </w:tcPr>
          <w:p w14:paraId="3DC19060" w14:textId="4130BC32" w:rsidR="0076795D" w:rsidRDefault="0076795D" w:rsidP="0076795D">
            <w:pPr>
              <w:cnfStyle w:val="000000000000" w:firstRow="0" w:lastRow="0" w:firstColumn="0" w:lastColumn="0" w:oddVBand="0" w:evenVBand="0" w:oddHBand="0" w:evenHBand="0" w:firstRowFirstColumn="0" w:firstRowLastColumn="0" w:lastRowFirstColumn="0" w:lastRowLastColumn="0"/>
              <w:rPr>
                <w:rFonts w:ascii="Arial Nova" w:hAnsi="Arial Nova"/>
              </w:rPr>
            </w:pPr>
            <w:r>
              <w:rPr>
                <w:rFonts w:ascii="Arial Nova" w:hAnsi="Arial Nova"/>
                <w:sz w:val="18"/>
                <w:szCs w:val="18"/>
              </w:rPr>
              <w:t>A source-evaluation framework assessing Currency, Relevance, Authority, Accuracy and Purpose (Blakeslee, 2004).</w:t>
            </w:r>
          </w:p>
        </w:tc>
      </w:tr>
      <w:tr w:rsidR="0076795D" w14:paraId="610E6F93" w14:textId="77777777" w:rsidTr="00E804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tcPr>
          <w:p w14:paraId="289A060D" w14:textId="4A0C5B7B" w:rsidR="0076795D" w:rsidRDefault="0076795D" w:rsidP="0076795D">
            <w:pPr>
              <w:rPr>
                <w:rFonts w:ascii="Arial Nova" w:hAnsi="Arial Nova"/>
              </w:rPr>
            </w:pPr>
            <w:r>
              <w:rPr>
                <w:rFonts w:ascii="Arial Nova" w:hAnsi="Arial Nova"/>
                <w:sz w:val="18"/>
                <w:szCs w:val="18"/>
              </w:rPr>
              <w:t>GMP</w:t>
            </w:r>
          </w:p>
        </w:tc>
        <w:tc>
          <w:tcPr>
            <w:tcW w:w="8079" w:type="dxa"/>
          </w:tcPr>
          <w:p w14:paraId="653B1933" w14:textId="05B09B64" w:rsidR="0076795D" w:rsidRDefault="0076795D" w:rsidP="0076795D">
            <w:pPr>
              <w:cnfStyle w:val="000000100000" w:firstRow="0" w:lastRow="0" w:firstColumn="0" w:lastColumn="0" w:oddVBand="0" w:evenVBand="0" w:oddHBand="1" w:evenHBand="0" w:firstRowFirstColumn="0" w:firstRowLastColumn="0" w:lastRowFirstColumn="0" w:lastRowLastColumn="0"/>
              <w:rPr>
                <w:rFonts w:ascii="Arial Nova" w:hAnsi="Arial Nova"/>
              </w:rPr>
            </w:pPr>
            <w:r>
              <w:rPr>
                <w:rFonts w:ascii="Arial Nova" w:hAnsi="Arial Nova"/>
                <w:sz w:val="18"/>
                <w:szCs w:val="18"/>
              </w:rPr>
              <w:t>Good Manufacturing Practice – a quality assurance system ensuring medicines are consistently produced and controlled to appropriate standards.</w:t>
            </w:r>
          </w:p>
        </w:tc>
      </w:tr>
      <w:tr w:rsidR="0076795D" w14:paraId="3BB37403" w14:textId="77777777" w:rsidTr="00222156">
        <w:trPr>
          <w:trHeight w:val="699"/>
        </w:trPr>
        <w:tc>
          <w:tcPr>
            <w:cnfStyle w:val="001000000000" w:firstRow="0" w:lastRow="0" w:firstColumn="1" w:lastColumn="0" w:oddVBand="0" w:evenVBand="0" w:oddHBand="0" w:evenHBand="0" w:firstRowFirstColumn="0" w:firstRowLastColumn="0" w:lastRowFirstColumn="0" w:lastRowLastColumn="0"/>
            <w:tcW w:w="2553" w:type="dxa"/>
          </w:tcPr>
          <w:p w14:paraId="7A2B569F" w14:textId="571E562C" w:rsidR="0076795D" w:rsidRDefault="0076795D" w:rsidP="0076795D">
            <w:pPr>
              <w:rPr>
                <w:rFonts w:ascii="Arial Nova" w:hAnsi="Arial Nova"/>
              </w:rPr>
            </w:pPr>
            <w:r>
              <w:rPr>
                <w:rFonts w:ascii="Arial Nova" w:hAnsi="Arial Nova"/>
                <w:sz w:val="18"/>
                <w:szCs w:val="18"/>
              </w:rPr>
              <w:t>Lytic phage</w:t>
            </w:r>
          </w:p>
        </w:tc>
        <w:tc>
          <w:tcPr>
            <w:tcW w:w="8079" w:type="dxa"/>
          </w:tcPr>
          <w:p w14:paraId="2BF75E56" w14:textId="6345FAE8" w:rsidR="0076795D" w:rsidRDefault="0076795D" w:rsidP="0076795D">
            <w:pPr>
              <w:cnfStyle w:val="000000000000" w:firstRow="0" w:lastRow="0" w:firstColumn="0" w:lastColumn="0" w:oddVBand="0" w:evenVBand="0" w:oddHBand="0" w:evenHBand="0" w:firstRowFirstColumn="0" w:firstRowLastColumn="0" w:lastRowFirstColumn="0" w:lastRowLastColumn="0"/>
              <w:rPr>
                <w:rFonts w:ascii="Arial Nova" w:hAnsi="Arial Nova"/>
              </w:rPr>
            </w:pPr>
            <w:r>
              <w:rPr>
                <w:rFonts w:ascii="Arial Nova" w:hAnsi="Arial Nova"/>
                <w:sz w:val="18"/>
                <w:szCs w:val="18"/>
              </w:rPr>
              <w:t>A bacteriophage that infects a bacterial cell, replicates inside it and causes the cell to lyse (burst).</w:t>
            </w:r>
          </w:p>
        </w:tc>
      </w:tr>
      <w:tr w:rsidR="0076795D" w14:paraId="329E0380" w14:textId="77777777" w:rsidTr="00E804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tcPr>
          <w:p w14:paraId="5B515BC9" w14:textId="41DCC3AE" w:rsidR="0076795D" w:rsidRDefault="0076795D" w:rsidP="0076795D">
            <w:pPr>
              <w:rPr>
                <w:rFonts w:ascii="Arial Nova" w:hAnsi="Arial Nova"/>
              </w:rPr>
            </w:pPr>
            <w:r>
              <w:rPr>
                <w:rFonts w:ascii="Arial Nova" w:hAnsi="Arial Nova"/>
                <w:sz w:val="18"/>
                <w:szCs w:val="18"/>
              </w:rPr>
              <w:t>Lysogenic phage</w:t>
            </w:r>
          </w:p>
        </w:tc>
        <w:tc>
          <w:tcPr>
            <w:tcW w:w="8079" w:type="dxa"/>
          </w:tcPr>
          <w:p w14:paraId="25C6CE21" w14:textId="0EB77D3C" w:rsidR="0076795D" w:rsidRDefault="0076795D" w:rsidP="0076795D">
            <w:pPr>
              <w:cnfStyle w:val="000000100000" w:firstRow="0" w:lastRow="0" w:firstColumn="0" w:lastColumn="0" w:oddVBand="0" w:evenVBand="0" w:oddHBand="1" w:evenHBand="0" w:firstRowFirstColumn="0" w:firstRowLastColumn="0" w:lastRowFirstColumn="0" w:lastRowLastColumn="0"/>
              <w:rPr>
                <w:rFonts w:ascii="Arial Nova" w:hAnsi="Arial Nova"/>
              </w:rPr>
            </w:pPr>
            <w:r>
              <w:rPr>
                <w:rFonts w:ascii="Arial Nova" w:hAnsi="Arial Nova"/>
                <w:sz w:val="18"/>
                <w:szCs w:val="18"/>
              </w:rPr>
              <w:t>A bacteriophage that inserts its genetic material into the host bacterium’s chromosome without immediately destroying it.</w:t>
            </w:r>
          </w:p>
        </w:tc>
      </w:tr>
      <w:tr w:rsidR="0076795D" w14:paraId="71AF6577" w14:textId="77777777" w:rsidTr="00DF2536">
        <w:trPr>
          <w:trHeight w:val="463"/>
        </w:trPr>
        <w:tc>
          <w:tcPr>
            <w:cnfStyle w:val="001000000000" w:firstRow="0" w:lastRow="0" w:firstColumn="1" w:lastColumn="0" w:oddVBand="0" w:evenVBand="0" w:oddHBand="0" w:evenHBand="0" w:firstRowFirstColumn="0" w:firstRowLastColumn="0" w:lastRowFirstColumn="0" w:lastRowLastColumn="0"/>
            <w:tcW w:w="2553" w:type="dxa"/>
          </w:tcPr>
          <w:p w14:paraId="3155E435" w14:textId="4D4BC10D" w:rsidR="0076795D" w:rsidRDefault="0076795D" w:rsidP="0076795D">
            <w:pPr>
              <w:rPr>
                <w:rFonts w:ascii="Arial Nova" w:hAnsi="Arial Nova"/>
              </w:rPr>
            </w:pPr>
            <w:r>
              <w:rPr>
                <w:rFonts w:ascii="Arial Nova" w:hAnsi="Arial Nova"/>
                <w:sz w:val="18"/>
                <w:szCs w:val="18"/>
              </w:rPr>
              <w:t>MHRA</w:t>
            </w:r>
          </w:p>
        </w:tc>
        <w:tc>
          <w:tcPr>
            <w:tcW w:w="8079" w:type="dxa"/>
          </w:tcPr>
          <w:p w14:paraId="4479B60D" w14:textId="304C304E" w:rsidR="0076795D" w:rsidRDefault="0076795D" w:rsidP="0076795D">
            <w:pPr>
              <w:cnfStyle w:val="000000000000" w:firstRow="0" w:lastRow="0" w:firstColumn="0" w:lastColumn="0" w:oddVBand="0" w:evenVBand="0" w:oddHBand="0" w:evenHBand="0" w:firstRowFirstColumn="0" w:firstRowLastColumn="0" w:lastRowFirstColumn="0" w:lastRowLastColumn="0"/>
              <w:rPr>
                <w:rFonts w:ascii="Arial Nova" w:hAnsi="Arial Nova"/>
              </w:rPr>
            </w:pPr>
            <w:r>
              <w:rPr>
                <w:rFonts w:ascii="Arial Nova" w:hAnsi="Arial Nova"/>
                <w:sz w:val="18"/>
                <w:szCs w:val="18"/>
              </w:rPr>
              <w:t>Medicines and Healthcare products Regulatory Agency.</w:t>
            </w:r>
          </w:p>
        </w:tc>
      </w:tr>
      <w:tr w:rsidR="0076795D" w14:paraId="30F2EC53" w14:textId="77777777" w:rsidTr="00DF2536">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2553" w:type="dxa"/>
          </w:tcPr>
          <w:p w14:paraId="4E0EE4D2" w14:textId="6E39FD91" w:rsidR="0076795D" w:rsidRDefault="0076795D" w:rsidP="0076795D">
            <w:pPr>
              <w:rPr>
                <w:rFonts w:ascii="Arial Nova" w:hAnsi="Arial Nova"/>
              </w:rPr>
            </w:pPr>
            <w:r>
              <w:rPr>
                <w:rFonts w:ascii="Arial Nova" w:hAnsi="Arial Nova"/>
                <w:sz w:val="18"/>
                <w:szCs w:val="18"/>
              </w:rPr>
              <w:t>NICE</w:t>
            </w:r>
          </w:p>
        </w:tc>
        <w:tc>
          <w:tcPr>
            <w:tcW w:w="8079" w:type="dxa"/>
          </w:tcPr>
          <w:p w14:paraId="1E8B6CB6" w14:textId="75E5DB14" w:rsidR="0076795D" w:rsidRDefault="0076795D" w:rsidP="0076795D">
            <w:pPr>
              <w:cnfStyle w:val="000000100000" w:firstRow="0" w:lastRow="0" w:firstColumn="0" w:lastColumn="0" w:oddVBand="0" w:evenVBand="0" w:oddHBand="1" w:evenHBand="0" w:firstRowFirstColumn="0" w:firstRowLastColumn="0" w:lastRowFirstColumn="0" w:lastRowLastColumn="0"/>
              <w:rPr>
                <w:rFonts w:ascii="Arial Nova" w:hAnsi="Arial Nova"/>
              </w:rPr>
            </w:pPr>
            <w:r>
              <w:rPr>
                <w:rFonts w:ascii="Arial Nova" w:hAnsi="Arial Nova"/>
                <w:sz w:val="18"/>
                <w:szCs w:val="18"/>
              </w:rPr>
              <w:t>National Institute for Health and Care Excellence.</w:t>
            </w:r>
          </w:p>
        </w:tc>
      </w:tr>
      <w:tr w:rsidR="0076795D" w14:paraId="2FBBD944" w14:textId="77777777" w:rsidTr="00E80465">
        <w:tc>
          <w:tcPr>
            <w:cnfStyle w:val="001000000000" w:firstRow="0" w:lastRow="0" w:firstColumn="1" w:lastColumn="0" w:oddVBand="0" w:evenVBand="0" w:oddHBand="0" w:evenHBand="0" w:firstRowFirstColumn="0" w:firstRowLastColumn="0" w:lastRowFirstColumn="0" w:lastRowLastColumn="0"/>
            <w:tcW w:w="2553" w:type="dxa"/>
          </w:tcPr>
          <w:p w14:paraId="4132D75F" w14:textId="41C18874" w:rsidR="0076795D" w:rsidRDefault="0076795D" w:rsidP="0076795D">
            <w:pPr>
              <w:rPr>
                <w:rFonts w:ascii="Arial Nova" w:hAnsi="Arial Nova"/>
              </w:rPr>
            </w:pPr>
            <w:r>
              <w:rPr>
                <w:rFonts w:ascii="Arial Nova" w:hAnsi="Arial Nova"/>
                <w:sz w:val="18"/>
                <w:szCs w:val="18"/>
              </w:rPr>
              <w:t>One Health</w:t>
            </w:r>
          </w:p>
        </w:tc>
        <w:tc>
          <w:tcPr>
            <w:tcW w:w="8079" w:type="dxa"/>
          </w:tcPr>
          <w:p w14:paraId="3EC59BD4" w14:textId="0E1277B1" w:rsidR="0076795D" w:rsidRDefault="0076795D" w:rsidP="0076795D">
            <w:pPr>
              <w:cnfStyle w:val="000000000000" w:firstRow="0" w:lastRow="0" w:firstColumn="0" w:lastColumn="0" w:oddVBand="0" w:evenVBand="0" w:oddHBand="0" w:evenHBand="0" w:firstRowFirstColumn="0" w:firstRowLastColumn="0" w:lastRowFirstColumn="0" w:lastRowLastColumn="0"/>
              <w:rPr>
                <w:rFonts w:ascii="Arial Nova" w:hAnsi="Arial Nova"/>
              </w:rPr>
            </w:pPr>
            <w:r>
              <w:rPr>
                <w:rFonts w:ascii="Arial Nova" w:hAnsi="Arial Nova"/>
                <w:sz w:val="18"/>
                <w:szCs w:val="18"/>
              </w:rPr>
              <w:t>An approach recognising that human, animal, plant and environmental health are interconnected, requiring coordinated action across sectors to tackle AMR.</w:t>
            </w:r>
          </w:p>
        </w:tc>
      </w:tr>
      <w:tr w:rsidR="0076795D" w14:paraId="7D8ED91C" w14:textId="77777777" w:rsidTr="00E804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tcPr>
          <w:p w14:paraId="387ADAA3" w14:textId="389CAFD2" w:rsidR="0076795D" w:rsidRDefault="0076795D" w:rsidP="0076795D">
            <w:pPr>
              <w:rPr>
                <w:rFonts w:ascii="Arial Nova" w:hAnsi="Arial Nova"/>
              </w:rPr>
            </w:pPr>
            <w:r>
              <w:rPr>
                <w:rFonts w:ascii="Arial Nova" w:hAnsi="Arial Nova"/>
                <w:sz w:val="18"/>
                <w:szCs w:val="18"/>
              </w:rPr>
              <w:t>Phage therapy</w:t>
            </w:r>
          </w:p>
        </w:tc>
        <w:tc>
          <w:tcPr>
            <w:tcW w:w="8079" w:type="dxa"/>
          </w:tcPr>
          <w:p w14:paraId="1EA1FA77" w14:textId="75868AA7" w:rsidR="0076795D" w:rsidRDefault="0076795D" w:rsidP="0076795D">
            <w:pPr>
              <w:cnfStyle w:val="000000100000" w:firstRow="0" w:lastRow="0" w:firstColumn="0" w:lastColumn="0" w:oddVBand="0" w:evenVBand="0" w:oddHBand="1" w:evenHBand="0" w:firstRowFirstColumn="0" w:firstRowLastColumn="0" w:lastRowFirstColumn="0" w:lastRowLastColumn="0"/>
              <w:rPr>
                <w:rFonts w:ascii="Arial Nova" w:hAnsi="Arial Nova"/>
              </w:rPr>
            </w:pPr>
            <w:r>
              <w:rPr>
                <w:rFonts w:ascii="Arial Nova" w:hAnsi="Arial Nova"/>
                <w:sz w:val="18"/>
                <w:szCs w:val="18"/>
              </w:rPr>
              <w:t>The therapeutic use of bacteriophages to treat bacterial infections, often as an alternative or adjunct to antibiotics.</w:t>
            </w:r>
          </w:p>
        </w:tc>
      </w:tr>
      <w:tr w:rsidR="0076795D" w14:paraId="70F13231" w14:textId="77777777" w:rsidTr="00E80465">
        <w:tc>
          <w:tcPr>
            <w:cnfStyle w:val="001000000000" w:firstRow="0" w:lastRow="0" w:firstColumn="1" w:lastColumn="0" w:oddVBand="0" w:evenVBand="0" w:oddHBand="0" w:evenHBand="0" w:firstRowFirstColumn="0" w:firstRowLastColumn="0" w:lastRowFirstColumn="0" w:lastRowLastColumn="0"/>
            <w:tcW w:w="2553" w:type="dxa"/>
          </w:tcPr>
          <w:p w14:paraId="5D45F7C9" w14:textId="6E11D16B" w:rsidR="0076795D" w:rsidRDefault="0076795D" w:rsidP="0076795D">
            <w:pPr>
              <w:rPr>
                <w:rFonts w:ascii="Arial Nova" w:hAnsi="Arial Nova"/>
              </w:rPr>
            </w:pPr>
            <w:r>
              <w:rPr>
                <w:rFonts w:ascii="Arial Nova" w:hAnsi="Arial Nova"/>
                <w:sz w:val="18"/>
                <w:szCs w:val="18"/>
              </w:rPr>
              <w:t>Specials</w:t>
            </w:r>
          </w:p>
        </w:tc>
        <w:tc>
          <w:tcPr>
            <w:tcW w:w="8079" w:type="dxa"/>
          </w:tcPr>
          <w:p w14:paraId="76FDF2E7" w14:textId="45822234" w:rsidR="0076795D" w:rsidRDefault="0076795D" w:rsidP="0076795D">
            <w:pPr>
              <w:cnfStyle w:val="000000000000" w:firstRow="0" w:lastRow="0" w:firstColumn="0" w:lastColumn="0" w:oddVBand="0" w:evenVBand="0" w:oddHBand="0" w:evenHBand="0" w:firstRowFirstColumn="0" w:firstRowLastColumn="0" w:lastRowFirstColumn="0" w:lastRowLastColumn="0"/>
              <w:rPr>
                <w:rFonts w:ascii="Arial Nova" w:hAnsi="Arial Nova"/>
              </w:rPr>
            </w:pPr>
            <w:r>
              <w:rPr>
                <w:rFonts w:ascii="Arial Nova" w:hAnsi="Arial Nova"/>
                <w:sz w:val="18"/>
                <w:szCs w:val="18"/>
              </w:rPr>
              <w:t>Unlicensed medicinal products supplied to meet the special clinical needs of an individual patient under the Human Medicines Regulations 2012.</w:t>
            </w:r>
          </w:p>
        </w:tc>
      </w:tr>
      <w:tr w:rsidR="0076795D" w14:paraId="7A5E8024" w14:textId="77777777" w:rsidTr="00E804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tcPr>
          <w:p w14:paraId="35C3E971" w14:textId="3C9BF6AC" w:rsidR="0076795D" w:rsidRDefault="0076795D" w:rsidP="0076795D">
            <w:pPr>
              <w:rPr>
                <w:rFonts w:ascii="Arial Nova" w:hAnsi="Arial Nova"/>
              </w:rPr>
            </w:pPr>
            <w:r>
              <w:rPr>
                <w:rFonts w:ascii="Arial Nova" w:hAnsi="Arial Nova"/>
                <w:sz w:val="18"/>
                <w:szCs w:val="18"/>
              </w:rPr>
              <w:t>Unlicensed medicine</w:t>
            </w:r>
          </w:p>
        </w:tc>
        <w:tc>
          <w:tcPr>
            <w:tcW w:w="8079" w:type="dxa"/>
          </w:tcPr>
          <w:p w14:paraId="04D3094F" w14:textId="2C66F058" w:rsidR="0076795D" w:rsidRDefault="0076795D" w:rsidP="0076795D">
            <w:pPr>
              <w:cnfStyle w:val="000000100000" w:firstRow="0" w:lastRow="0" w:firstColumn="0" w:lastColumn="0" w:oddVBand="0" w:evenVBand="0" w:oddHBand="1" w:evenHBand="0" w:firstRowFirstColumn="0" w:firstRowLastColumn="0" w:lastRowFirstColumn="0" w:lastRowLastColumn="0"/>
              <w:rPr>
                <w:rFonts w:ascii="Arial Nova" w:hAnsi="Arial Nova"/>
              </w:rPr>
            </w:pPr>
            <w:r>
              <w:rPr>
                <w:rFonts w:ascii="Arial Nova" w:hAnsi="Arial Nova"/>
                <w:sz w:val="18"/>
                <w:szCs w:val="18"/>
              </w:rPr>
              <w:t>A medicinal product not licensed for general use in the UK, but which may be supplied to treat an individual patient under specific regulatory conditions.</w:t>
            </w:r>
          </w:p>
        </w:tc>
      </w:tr>
      <w:tr w:rsidR="0076795D" w14:paraId="34384415" w14:textId="77777777" w:rsidTr="00DF2536">
        <w:trPr>
          <w:trHeight w:val="601"/>
        </w:trPr>
        <w:tc>
          <w:tcPr>
            <w:cnfStyle w:val="001000000000" w:firstRow="0" w:lastRow="0" w:firstColumn="1" w:lastColumn="0" w:oddVBand="0" w:evenVBand="0" w:oddHBand="0" w:evenHBand="0" w:firstRowFirstColumn="0" w:firstRowLastColumn="0" w:lastRowFirstColumn="0" w:lastRowLastColumn="0"/>
            <w:tcW w:w="2553" w:type="dxa"/>
          </w:tcPr>
          <w:p w14:paraId="50D9F274" w14:textId="4653079D" w:rsidR="0076795D" w:rsidRDefault="0076795D" w:rsidP="0076795D">
            <w:pPr>
              <w:rPr>
                <w:rFonts w:ascii="Arial Nova" w:hAnsi="Arial Nova"/>
              </w:rPr>
            </w:pPr>
            <w:r>
              <w:rPr>
                <w:rFonts w:ascii="Arial Nova" w:hAnsi="Arial Nova"/>
                <w:sz w:val="18"/>
                <w:szCs w:val="18"/>
              </w:rPr>
              <w:t>WOAH</w:t>
            </w:r>
          </w:p>
        </w:tc>
        <w:tc>
          <w:tcPr>
            <w:tcW w:w="8079" w:type="dxa"/>
          </w:tcPr>
          <w:p w14:paraId="55EFEC45" w14:textId="041F3671" w:rsidR="0076795D" w:rsidRDefault="0076795D" w:rsidP="0076795D">
            <w:pPr>
              <w:cnfStyle w:val="000000000000" w:firstRow="0" w:lastRow="0" w:firstColumn="0" w:lastColumn="0" w:oddVBand="0" w:evenVBand="0" w:oddHBand="0" w:evenHBand="0" w:firstRowFirstColumn="0" w:firstRowLastColumn="0" w:lastRowFirstColumn="0" w:lastRowLastColumn="0"/>
              <w:rPr>
                <w:rFonts w:ascii="Arial Nova" w:hAnsi="Arial Nova"/>
              </w:rPr>
            </w:pPr>
            <w:r>
              <w:rPr>
                <w:rFonts w:ascii="Arial Nova" w:hAnsi="Arial Nova"/>
                <w:sz w:val="18"/>
                <w:szCs w:val="18"/>
              </w:rPr>
              <w:t>World Organisation for Animal Health.</w:t>
            </w:r>
          </w:p>
        </w:tc>
      </w:tr>
    </w:tbl>
    <w:p w14:paraId="14CC7027" w14:textId="77777777" w:rsidR="005304D6" w:rsidRPr="00AC76CE" w:rsidRDefault="005304D6" w:rsidP="00621776">
      <w:pPr>
        <w:rPr>
          <w:rFonts w:ascii="Arial Nova" w:hAnsi="Arial Nova"/>
        </w:rPr>
      </w:pPr>
    </w:p>
    <w:p w14:paraId="21030624" w14:textId="77777777" w:rsidR="00312B0E" w:rsidRDefault="00312B0E" w:rsidP="008C38C3"/>
    <w:p w14:paraId="4165E382" w14:textId="77777777" w:rsidR="00312B0E" w:rsidRDefault="00312B0E" w:rsidP="008C38C3"/>
    <w:p w14:paraId="3047A241" w14:textId="77777777" w:rsidR="00312B0E" w:rsidRDefault="00312B0E" w:rsidP="008C38C3"/>
    <w:p w14:paraId="756D029F" w14:textId="77777777" w:rsidR="00312B0E" w:rsidRDefault="00312B0E" w:rsidP="008C38C3"/>
    <w:p w14:paraId="1709B01B" w14:textId="77777777" w:rsidR="00312B0E" w:rsidRDefault="00312B0E" w:rsidP="008C38C3"/>
    <w:p w14:paraId="62060354" w14:textId="77777777" w:rsidR="009C3D77" w:rsidRPr="009C3D77" w:rsidRDefault="00312B0E" w:rsidP="009C3D77">
      <w:pPr>
        <w:rPr>
          <w:rFonts w:ascii="Arial Nova" w:hAnsi="Arial Nova"/>
          <w:b/>
          <w:bCs/>
        </w:rPr>
      </w:pPr>
      <w:r w:rsidRPr="00312B0E">
        <w:rPr>
          <w:rFonts w:ascii="Arial Nova" w:hAnsi="Arial Nova"/>
          <w:b/>
          <w:bCs/>
        </w:rPr>
        <w:lastRenderedPageBreak/>
        <w:t>6.2.6.</w:t>
      </w:r>
      <w:r w:rsidR="00D25CB0">
        <w:rPr>
          <w:rFonts w:ascii="Arial Nova" w:hAnsi="Arial Nova"/>
          <w:b/>
          <w:bCs/>
        </w:rPr>
        <w:t xml:space="preserve"> </w:t>
      </w:r>
      <w:r w:rsidR="009C3D77" w:rsidRPr="009C3D77">
        <w:rPr>
          <w:rFonts w:ascii="Arial Nova" w:hAnsi="Arial Nova"/>
          <w:b/>
          <w:bCs/>
        </w:rPr>
        <w:t>Appendix F – UWTSD Code of Ethical Practice</w:t>
      </w:r>
    </w:p>
    <w:p w14:paraId="1BBA9B70" w14:textId="77777777" w:rsidR="009C3D77" w:rsidRPr="009C3D77" w:rsidRDefault="009C3D77" w:rsidP="009C3D77">
      <w:pPr>
        <w:rPr>
          <w:rFonts w:ascii="Arial Nova" w:hAnsi="Arial Nova"/>
        </w:rPr>
      </w:pPr>
      <w:r w:rsidRPr="009C3D77">
        <w:rPr>
          <w:rFonts w:ascii="Arial Nova" w:hAnsi="Arial Nova"/>
        </w:rPr>
        <w:t>As stated in Chapter 3 (Section 3.7), this dissertation is based entirely on secondary research, and no primary data were collected from human participants. This appendix confirms the ethical framework followed in conducting this research.</w:t>
      </w:r>
    </w:p>
    <w:p w14:paraId="70C7CA0C" w14:textId="42C0D8F1" w:rsidR="008C38C3" w:rsidRPr="009C3D77" w:rsidRDefault="009C3D77" w:rsidP="009C3D77">
      <w:pPr>
        <w:rPr>
          <w:rFonts w:ascii="Arial Nova" w:hAnsi="Arial Nova"/>
        </w:rPr>
      </w:pPr>
      <w:r w:rsidRPr="009C3D77">
        <w:rPr>
          <w:rFonts w:ascii="Arial Nova" w:hAnsi="Arial Nova"/>
        </w:rPr>
        <w:t>This dissertation was conducted in accordance with the University of Wales Trinity Saint David's Code of Ethical Practice for research. As no primary data collection involving human participants took place, formal ethical approval was not required. Nonetheless, the principles of the Code, including honesty, integrity, transparency, and respect for the intellectual property of others, were upheld throughout, including through accurate Harvard referencing of all sources, fair representation of authors' arguments, and a balanced, unbiased approach to selecting and presenting literature (Aveyard, 2019)</w:t>
      </w:r>
      <w:r w:rsidR="00772E8F">
        <w:rPr>
          <w:rFonts w:ascii="Arial Nova" w:hAnsi="Arial Nova"/>
        </w:rPr>
        <w:t>.</w:t>
      </w:r>
    </w:p>
    <w:sectPr w:rsidR="008C38C3" w:rsidRPr="009C3D77">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63BA2" w14:textId="77777777" w:rsidR="00AF5535" w:rsidRPr="00DF08BC" w:rsidRDefault="00AF5535" w:rsidP="00211184">
      <w:pPr>
        <w:spacing w:after="0" w:line="240" w:lineRule="auto"/>
      </w:pPr>
      <w:r w:rsidRPr="00DF08BC">
        <w:separator/>
      </w:r>
    </w:p>
  </w:endnote>
  <w:endnote w:type="continuationSeparator" w:id="0">
    <w:p w14:paraId="0E587FCC" w14:textId="77777777" w:rsidR="00AF5535" w:rsidRPr="00DF08BC" w:rsidRDefault="00AF5535" w:rsidP="00211184">
      <w:pPr>
        <w:spacing w:after="0" w:line="240" w:lineRule="auto"/>
      </w:pPr>
      <w:r w:rsidRPr="00DF08B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Nova">
    <w:charset w:val="00"/>
    <w:family w:val="swiss"/>
    <w:pitch w:val="variable"/>
    <w:sig w:usb0="0000028F"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Content>
      <w:p w14:paraId="6B91657E" w14:textId="7B55D7C1" w:rsidR="002865F5" w:rsidRPr="00DF08BC" w:rsidRDefault="002865F5">
        <w:pPr>
          <w:pStyle w:val="Footer"/>
          <w:jc w:val="center"/>
        </w:pPr>
        <w:r w:rsidRPr="00DF08BC">
          <w:fldChar w:fldCharType="begin"/>
        </w:r>
        <w:r w:rsidRPr="00DF08BC">
          <w:instrText xml:space="preserve"> PAGE   \* MERGEFORMAT </w:instrText>
        </w:r>
        <w:r w:rsidRPr="00DF08BC">
          <w:fldChar w:fldCharType="separate"/>
        </w:r>
        <w:r w:rsidRPr="00DF08BC">
          <w:t>2</w:t>
        </w:r>
        <w:r w:rsidRPr="00DF08BC">
          <w:fldChar w:fldCharType="end"/>
        </w:r>
      </w:p>
    </w:sdtContent>
  </w:sdt>
  <w:p w14:paraId="2DC1A861" w14:textId="77777777" w:rsidR="00211184" w:rsidRPr="00DF08BC"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F208E" w14:textId="77777777" w:rsidR="00AF5535" w:rsidRPr="00DF08BC" w:rsidRDefault="00AF5535" w:rsidP="00211184">
      <w:pPr>
        <w:spacing w:after="0" w:line="240" w:lineRule="auto"/>
      </w:pPr>
      <w:r w:rsidRPr="00DF08BC">
        <w:separator/>
      </w:r>
    </w:p>
  </w:footnote>
  <w:footnote w:type="continuationSeparator" w:id="0">
    <w:p w14:paraId="6B4520EC" w14:textId="77777777" w:rsidR="00AF5535" w:rsidRPr="00DF08BC" w:rsidRDefault="00AF5535" w:rsidP="00211184">
      <w:pPr>
        <w:spacing w:after="0" w:line="240" w:lineRule="auto"/>
      </w:pPr>
      <w:r w:rsidRPr="00DF08B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2A2D32C8"/>
    <w:multiLevelType w:val="multilevel"/>
    <w:tmpl w:val="A04E3E0E"/>
    <w:lvl w:ilvl="0">
      <w:start w:val="1"/>
      <w:numFmt w:val="decimal"/>
      <w:lvlText w:val="%1"/>
      <w:lvlJc w:val="left"/>
      <w:pPr>
        <w:ind w:left="360" w:hanging="360"/>
      </w:pPr>
      <w:rPr>
        <w:rFonts w:cs="Arial" w:hint="default"/>
        <w:sz w:val="24"/>
      </w:rPr>
    </w:lvl>
    <w:lvl w:ilvl="1">
      <w:start w:val="3"/>
      <w:numFmt w:val="decimal"/>
      <w:lvlText w:val="%1.%2"/>
      <w:lvlJc w:val="left"/>
      <w:pPr>
        <w:ind w:left="360" w:hanging="360"/>
      </w:pPr>
      <w:rPr>
        <w:rFonts w:cs="Arial" w:hint="default"/>
        <w:sz w:val="24"/>
      </w:rPr>
    </w:lvl>
    <w:lvl w:ilvl="2">
      <w:start w:val="1"/>
      <w:numFmt w:val="decimal"/>
      <w:lvlText w:val="%1.%2.%3"/>
      <w:lvlJc w:val="left"/>
      <w:pPr>
        <w:ind w:left="720" w:hanging="720"/>
      </w:pPr>
      <w:rPr>
        <w:rFonts w:cs="Arial" w:hint="default"/>
        <w:sz w:val="24"/>
      </w:rPr>
    </w:lvl>
    <w:lvl w:ilvl="3">
      <w:start w:val="1"/>
      <w:numFmt w:val="decimal"/>
      <w:lvlText w:val="%1.%2.%3.%4"/>
      <w:lvlJc w:val="left"/>
      <w:pPr>
        <w:ind w:left="720" w:hanging="720"/>
      </w:pPr>
      <w:rPr>
        <w:rFonts w:cs="Arial" w:hint="default"/>
        <w:sz w:val="24"/>
      </w:rPr>
    </w:lvl>
    <w:lvl w:ilvl="4">
      <w:start w:val="1"/>
      <w:numFmt w:val="decimal"/>
      <w:lvlText w:val="%1.%2.%3.%4.%5"/>
      <w:lvlJc w:val="left"/>
      <w:pPr>
        <w:ind w:left="1080" w:hanging="1080"/>
      </w:pPr>
      <w:rPr>
        <w:rFonts w:cs="Arial" w:hint="default"/>
        <w:sz w:val="24"/>
      </w:rPr>
    </w:lvl>
    <w:lvl w:ilvl="5">
      <w:start w:val="1"/>
      <w:numFmt w:val="decimal"/>
      <w:lvlText w:val="%1.%2.%3.%4.%5.%6"/>
      <w:lvlJc w:val="left"/>
      <w:pPr>
        <w:ind w:left="1080" w:hanging="1080"/>
      </w:pPr>
      <w:rPr>
        <w:rFonts w:cs="Arial" w:hint="default"/>
        <w:sz w:val="24"/>
      </w:rPr>
    </w:lvl>
    <w:lvl w:ilvl="6">
      <w:start w:val="1"/>
      <w:numFmt w:val="decimal"/>
      <w:lvlText w:val="%1.%2.%3.%4.%5.%6.%7"/>
      <w:lvlJc w:val="left"/>
      <w:pPr>
        <w:ind w:left="1440" w:hanging="1440"/>
      </w:pPr>
      <w:rPr>
        <w:rFonts w:cs="Arial" w:hint="default"/>
        <w:sz w:val="24"/>
      </w:rPr>
    </w:lvl>
    <w:lvl w:ilvl="7">
      <w:start w:val="1"/>
      <w:numFmt w:val="decimal"/>
      <w:lvlText w:val="%1.%2.%3.%4.%5.%6.%7.%8"/>
      <w:lvlJc w:val="left"/>
      <w:pPr>
        <w:ind w:left="1440" w:hanging="1440"/>
      </w:pPr>
      <w:rPr>
        <w:rFonts w:cs="Arial" w:hint="default"/>
        <w:sz w:val="24"/>
      </w:rPr>
    </w:lvl>
    <w:lvl w:ilvl="8">
      <w:start w:val="1"/>
      <w:numFmt w:val="decimal"/>
      <w:lvlText w:val="%1.%2.%3.%4.%5.%6.%7.%8.%9"/>
      <w:lvlJc w:val="left"/>
      <w:pPr>
        <w:ind w:left="1800" w:hanging="1800"/>
      </w:pPr>
      <w:rPr>
        <w:rFonts w:cs="Arial" w:hint="default"/>
        <w:sz w:val="24"/>
      </w:rPr>
    </w:lvl>
  </w:abstractNum>
  <w:abstractNum w:abstractNumId="29"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3F0F5148"/>
    <w:multiLevelType w:val="hybridMultilevel"/>
    <w:tmpl w:val="F3FA7AC4"/>
    <w:lvl w:ilvl="0" w:tplc="2D56A8C8">
      <w:start w:val="6"/>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7"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1" w15:restartNumberingAfterBreak="0">
    <w:nsid w:val="551840EC"/>
    <w:multiLevelType w:val="hybridMultilevel"/>
    <w:tmpl w:val="9C2488C6"/>
    <w:lvl w:ilvl="0" w:tplc="2D56A8C8">
      <w:start w:val="6"/>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0"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4"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3"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5"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6"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8"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9" w15:restartNumberingAfterBreak="0">
    <w:nsid w:val="7AF96F25"/>
    <w:multiLevelType w:val="hybridMultilevel"/>
    <w:tmpl w:val="48F8B4D0"/>
    <w:lvl w:ilvl="0" w:tplc="2D56A8C8">
      <w:start w:val="6"/>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93"/>
  </w:num>
  <w:num w:numId="2" w16cid:durableId="1500121260">
    <w:abstractNumId w:val="53"/>
  </w:num>
  <w:num w:numId="3" w16cid:durableId="438111508">
    <w:abstractNumId w:val="86"/>
  </w:num>
  <w:num w:numId="4" w16cid:durableId="106121269">
    <w:abstractNumId w:val="15"/>
  </w:num>
  <w:num w:numId="5" w16cid:durableId="1859468656">
    <w:abstractNumId w:val="98"/>
  </w:num>
  <w:num w:numId="6" w16cid:durableId="1173763238">
    <w:abstractNumId w:val="65"/>
  </w:num>
  <w:num w:numId="7" w16cid:durableId="515197422">
    <w:abstractNumId w:val="44"/>
  </w:num>
  <w:num w:numId="8" w16cid:durableId="676225712">
    <w:abstractNumId w:val="89"/>
  </w:num>
  <w:num w:numId="9" w16cid:durableId="654647421">
    <w:abstractNumId w:val="64"/>
  </w:num>
  <w:num w:numId="10" w16cid:durableId="972827862">
    <w:abstractNumId w:val="67"/>
  </w:num>
  <w:num w:numId="11" w16cid:durableId="73359902">
    <w:abstractNumId w:val="42"/>
  </w:num>
  <w:num w:numId="12" w16cid:durableId="1233615214">
    <w:abstractNumId w:val="9"/>
  </w:num>
  <w:num w:numId="13" w16cid:durableId="1037585576">
    <w:abstractNumId w:val="95"/>
  </w:num>
  <w:num w:numId="14" w16cid:durableId="1454127918">
    <w:abstractNumId w:val="80"/>
  </w:num>
  <w:num w:numId="15" w16cid:durableId="820851363">
    <w:abstractNumId w:val="2"/>
  </w:num>
  <w:num w:numId="16" w16cid:durableId="776406381">
    <w:abstractNumId w:val="8"/>
  </w:num>
  <w:num w:numId="17" w16cid:durableId="2003772795">
    <w:abstractNumId w:val="100"/>
  </w:num>
  <w:num w:numId="18" w16cid:durableId="471214588">
    <w:abstractNumId w:val="7"/>
  </w:num>
  <w:num w:numId="19" w16cid:durableId="1919750537">
    <w:abstractNumId w:val="91"/>
  </w:num>
  <w:num w:numId="20" w16cid:durableId="1917666381">
    <w:abstractNumId w:val="4"/>
  </w:num>
  <w:num w:numId="21" w16cid:durableId="881479433">
    <w:abstractNumId w:val="68"/>
  </w:num>
  <w:num w:numId="22" w16cid:durableId="164788852">
    <w:abstractNumId w:val="72"/>
  </w:num>
  <w:num w:numId="23" w16cid:durableId="735323509">
    <w:abstractNumId w:val="13"/>
  </w:num>
  <w:num w:numId="24" w16cid:durableId="1000431254">
    <w:abstractNumId w:val="41"/>
  </w:num>
  <w:num w:numId="25" w16cid:durableId="434404662">
    <w:abstractNumId w:val="20"/>
  </w:num>
  <w:num w:numId="26" w16cid:durableId="792409853">
    <w:abstractNumId w:val="51"/>
  </w:num>
  <w:num w:numId="27" w16cid:durableId="70469880">
    <w:abstractNumId w:val="55"/>
  </w:num>
  <w:num w:numId="28" w16cid:durableId="1255548974">
    <w:abstractNumId w:val="48"/>
  </w:num>
  <w:num w:numId="29" w16cid:durableId="509951972">
    <w:abstractNumId w:val="34"/>
  </w:num>
  <w:num w:numId="30" w16cid:durableId="1491873496">
    <w:abstractNumId w:val="59"/>
  </w:num>
  <w:num w:numId="31" w16cid:durableId="1277179892">
    <w:abstractNumId w:val="71"/>
  </w:num>
  <w:num w:numId="32" w16cid:durableId="1137721610">
    <w:abstractNumId w:val="56"/>
  </w:num>
  <w:num w:numId="33" w16cid:durableId="1569337486">
    <w:abstractNumId w:val="101"/>
  </w:num>
  <w:num w:numId="34" w16cid:durableId="1771851078">
    <w:abstractNumId w:val="5"/>
  </w:num>
  <w:num w:numId="35" w16cid:durableId="1096747610">
    <w:abstractNumId w:val="19"/>
  </w:num>
  <w:num w:numId="36" w16cid:durableId="1853105471">
    <w:abstractNumId w:val="81"/>
  </w:num>
  <w:num w:numId="37" w16cid:durableId="2016615092">
    <w:abstractNumId w:val="52"/>
  </w:num>
  <w:num w:numId="38" w16cid:durableId="439030946">
    <w:abstractNumId w:val="69"/>
  </w:num>
  <w:num w:numId="39" w16cid:durableId="315690756">
    <w:abstractNumId w:val="35"/>
  </w:num>
  <w:num w:numId="40" w16cid:durableId="1252278660">
    <w:abstractNumId w:val="11"/>
  </w:num>
  <w:num w:numId="41" w16cid:durableId="1719351677">
    <w:abstractNumId w:val="75"/>
  </w:num>
  <w:num w:numId="42" w16cid:durableId="1107427397">
    <w:abstractNumId w:val="22"/>
  </w:num>
  <w:num w:numId="43" w16cid:durableId="371266753">
    <w:abstractNumId w:val="70"/>
  </w:num>
  <w:num w:numId="44" w16cid:durableId="491869272">
    <w:abstractNumId w:val="27"/>
  </w:num>
  <w:num w:numId="45" w16cid:durableId="1351251430">
    <w:abstractNumId w:val="73"/>
  </w:num>
  <w:num w:numId="46" w16cid:durableId="1368607436">
    <w:abstractNumId w:val="92"/>
  </w:num>
  <w:num w:numId="47" w16cid:durableId="1588029100">
    <w:abstractNumId w:val="97"/>
  </w:num>
  <w:num w:numId="48" w16cid:durableId="415832180">
    <w:abstractNumId w:val="87"/>
  </w:num>
  <w:num w:numId="49" w16cid:durableId="1178735139">
    <w:abstractNumId w:val="43"/>
  </w:num>
  <w:num w:numId="50" w16cid:durableId="721834200">
    <w:abstractNumId w:val="54"/>
  </w:num>
  <w:num w:numId="51" w16cid:durableId="686251813">
    <w:abstractNumId w:val="1"/>
  </w:num>
  <w:num w:numId="52" w16cid:durableId="1960641414">
    <w:abstractNumId w:val="12"/>
  </w:num>
  <w:num w:numId="53" w16cid:durableId="39089564">
    <w:abstractNumId w:val="47"/>
  </w:num>
  <w:num w:numId="54" w16cid:durableId="1192718157">
    <w:abstractNumId w:val="18"/>
  </w:num>
  <w:num w:numId="55" w16cid:durableId="1777825955">
    <w:abstractNumId w:val="76"/>
  </w:num>
  <w:num w:numId="56" w16cid:durableId="286199487">
    <w:abstractNumId w:val="24"/>
  </w:num>
  <w:num w:numId="57" w16cid:durableId="1119490663">
    <w:abstractNumId w:val="58"/>
  </w:num>
  <w:num w:numId="58" w16cid:durableId="1353922786">
    <w:abstractNumId w:val="31"/>
  </w:num>
  <w:num w:numId="59" w16cid:durableId="492723980">
    <w:abstractNumId w:val="63"/>
  </w:num>
  <w:num w:numId="60" w16cid:durableId="526941613">
    <w:abstractNumId w:val="32"/>
  </w:num>
  <w:num w:numId="61" w16cid:durableId="320043301">
    <w:abstractNumId w:val="60"/>
  </w:num>
  <w:num w:numId="62" w16cid:durableId="2037610982">
    <w:abstractNumId w:val="6"/>
  </w:num>
  <w:num w:numId="63" w16cid:durableId="1079794559">
    <w:abstractNumId w:val="38"/>
  </w:num>
  <w:num w:numId="64" w16cid:durableId="503403534">
    <w:abstractNumId w:val="33"/>
  </w:num>
  <w:num w:numId="65" w16cid:durableId="194734275">
    <w:abstractNumId w:val="10"/>
  </w:num>
  <w:num w:numId="66" w16cid:durableId="424033359">
    <w:abstractNumId w:val="46"/>
  </w:num>
  <w:num w:numId="67" w16cid:durableId="1335066293">
    <w:abstractNumId w:val="83"/>
  </w:num>
  <w:num w:numId="68" w16cid:durableId="662587085">
    <w:abstractNumId w:val="36"/>
  </w:num>
  <w:num w:numId="69" w16cid:durableId="2071072074">
    <w:abstractNumId w:val="79"/>
  </w:num>
  <w:num w:numId="70" w16cid:durableId="1573662111">
    <w:abstractNumId w:val="94"/>
  </w:num>
  <w:num w:numId="71" w16cid:durableId="131678057">
    <w:abstractNumId w:val="88"/>
  </w:num>
  <w:num w:numId="72" w16cid:durableId="99565733">
    <w:abstractNumId w:val="26"/>
  </w:num>
  <w:num w:numId="73" w16cid:durableId="1810784339">
    <w:abstractNumId w:val="66"/>
  </w:num>
  <w:num w:numId="74" w16cid:durableId="1491748033">
    <w:abstractNumId w:val="78"/>
  </w:num>
  <w:num w:numId="75" w16cid:durableId="670565925">
    <w:abstractNumId w:val="17"/>
  </w:num>
  <w:num w:numId="76" w16cid:durableId="211696971">
    <w:abstractNumId w:val="25"/>
  </w:num>
  <w:num w:numId="77" w16cid:durableId="1773429901">
    <w:abstractNumId w:val="40"/>
  </w:num>
  <w:num w:numId="78" w16cid:durableId="804733676">
    <w:abstractNumId w:val="29"/>
  </w:num>
  <w:num w:numId="79" w16cid:durableId="488864096">
    <w:abstractNumId w:val="84"/>
  </w:num>
  <w:num w:numId="80" w16cid:durableId="1599749197">
    <w:abstractNumId w:val="39"/>
  </w:num>
  <w:num w:numId="81" w16cid:durableId="1726679607">
    <w:abstractNumId w:val="21"/>
  </w:num>
  <w:num w:numId="82" w16cid:durableId="1630209448">
    <w:abstractNumId w:val="49"/>
  </w:num>
  <w:num w:numId="83" w16cid:durableId="928663234">
    <w:abstractNumId w:val="62"/>
  </w:num>
  <w:num w:numId="84" w16cid:durableId="2017072952">
    <w:abstractNumId w:val="74"/>
  </w:num>
  <w:num w:numId="85" w16cid:durableId="58405484">
    <w:abstractNumId w:val="30"/>
  </w:num>
  <w:num w:numId="86" w16cid:durableId="1817530714">
    <w:abstractNumId w:val="14"/>
  </w:num>
  <w:num w:numId="87" w16cid:durableId="2141336387">
    <w:abstractNumId w:val="57"/>
  </w:num>
  <w:num w:numId="88" w16cid:durableId="1325282792">
    <w:abstractNumId w:val="3"/>
  </w:num>
  <w:num w:numId="89" w16cid:durableId="1319654748">
    <w:abstractNumId w:val="77"/>
  </w:num>
  <w:num w:numId="90" w16cid:durableId="556555801">
    <w:abstractNumId w:val="0"/>
  </w:num>
  <w:num w:numId="91" w16cid:durableId="1903828627">
    <w:abstractNumId w:val="16"/>
  </w:num>
  <w:num w:numId="92" w16cid:durableId="281425930">
    <w:abstractNumId w:val="50"/>
  </w:num>
  <w:num w:numId="93" w16cid:durableId="1491553762">
    <w:abstractNumId w:val="37"/>
  </w:num>
  <w:num w:numId="94" w16cid:durableId="965625632">
    <w:abstractNumId w:val="82"/>
  </w:num>
  <w:num w:numId="95" w16cid:durableId="1481145624">
    <w:abstractNumId w:val="102"/>
  </w:num>
  <w:num w:numId="96" w16cid:durableId="29957555">
    <w:abstractNumId w:val="96"/>
  </w:num>
  <w:num w:numId="97" w16cid:durableId="1042821728">
    <w:abstractNumId w:val="85"/>
  </w:num>
  <w:num w:numId="98" w16cid:durableId="633143735">
    <w:abstractNumId w:val="90"/>
  </w:num>
  <w:num w:numId="99" w16cid:durableId="1100951892">
    <w:abstractNumId w:val="23"/>
  </w:num>
  <w:num w:numId="100" w16cid:durableId="18512348">
    <w:abstractNumId w:val="28"/>
  </w:num>
  <w:num w:numId="101" w16cid:durableId="1911889359">
    <w:abstractNumId w:val="61"/>
  </w:num>
  <w:num w:numId="102" w16cid:durableId="881673872">
    <w:abstractNumId w:val="45"/>
  </w:num>
  <w:num w:numId="103" w16cid:durableId="2072191384">
    <w:abstractNumId w:val="99"/>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12CAB"/>
    <w:rsid w:val="00020567"/>
    <w:rsid w:val="00023BF2"/>
    <w:rsid w:val="000264A2"/>
    <w:rsid w:val="0003127D"/>
    <w:rsid w:val="000347F6"/>
    <w:rsid w:val="000400E4"/>
    <w:rsid w:val="000444C0"/>
    <w:rsid w:val="00050166"/>
    <w:rsid w:val="000560D9"/>
    <w:rsid w:val="00063B4C"/>
    <w:rsid w:val="000647E8"/>
    <w:rsid w:val="000655D0"/>
    <w:rsid w:val="000700FF"/>
    <w:rsid w:val="0007690B"/>
    <w:rsid w:val="00082152"/>
    <w:rsid w:val="000834CF"/>
    <w:rsid w:val="000850CE"/>
    <w:rsid w:val="000B263C"/>
    <w:rsid w:val="000C104A"/>
    <w:rsid w:val="000C3B26"/>
    <w:rsid w:val="000C3DF8"/>
    <w:rsid w:val="000C5622"/>
    <w:rsid w:val="000D05D8"/>
    <w:rsid w:val="000D0641"/>
    <w:rsid w:val="000D2B00"/>
    <w:rsid w:val="000E37A0"/>
    <w:rsid w:val="000E3EC3"/>
    <w:rsid w:val="000F1769"/>
    <w:rsid w:val="00111ACA"/>
    <w:rsid w:val="001149E4"/>
    <w:rsid w:val="00115778"/>
    <w:rsid w:val="00117750"/>
    <w:rsid w:val="00120218"/>
    <w:rsid w:val="00123372"/>
    <w:rsid w:val="00127C9F"/>
    <w:rsid w:val="00131685"/>
    <w:rsid w:val="001601E6"/>
    <w:rsid w:val="00162330"/>
    <w:rsid w:val="001638F8"/>
    <w:rsid w:val="00166A24"/>
    <w:rsid w:val="001751D3"/>
    <w:rsid w:val="00176460"/>
    <w:rsid w:val="0018220F"/>
    <w:rsid w:val="001841F9"/>
    <w:rsid w:val="001842A6"/>
    <w:rsid w:val="00186D14"/>
    <w:rsid w:val="00186FB7"/>
    <w:rsid w:val="00195D20"/>
    <w:rsid w:val="001A0A1B"/>
    <w:rsid w:val="001A47A6"/>
    <w:rsid w:val="001B2318"/>
    <w:rsid w:val="001C3AF6"/>
    <w:rsid w:val="001D1485"/>
    <w:rsid w:val="001D4B0A"/>
    <w:rsid w:val="001D54D8"/>
    <w:rsid w:val="001D727D"/>
    <w:rsid w:val="001F0555"/>
    <w:rsid w:val="001F19A6"/>
    <w:rsid w:val="001F5A39"/>
    <w:rsid w:val="001F5D42"/>
    <w:rsid w:val="0020590F"/>
    <w:rsid w:val="00211184"/>
    <w:rsid w:val="0021364B"/>
    <w:rsid w:val="00215B99"/>
    <w:rsid w:val="0021700D"/>
    <w:rsid w:val="00222156"/>
    <w:rsid w:val="00226BB4"/>
    <w:rsid w:val="002278D5"/>
    <w:rsid w:val="00235755"/>
    <w:rsid w:val="00236AF9"/>
    <w:rsid w:val="00243A18"/>
    <w:rsid w:val="002449A6"/>
    <w:rsid w:val="0024538D"/>
    <w:rsid w:val="0025020C"/>
    <w:rsid w:val="0025166A"/>
    <w:rsid w:val="00256951"/>
    <w:rsid w:val="00265729"/>
    <w:rsid w:val="00272211"/>
    <w:rsid w:val="00277DBC"/>
    <w:rsid w:val="00280D52"/>
    <w:rsid w:val="00281BEE"/>
    <w:rsid w:val="0028636A"/>
    <w:rsid w:val="002865F5"/>
    <w:rsid w:val="00286E69"/>
    <w:rsid w:val="00292A36"/>
    <w:rsid w:val="002947F4"/>
    <w:rsid w:val="00294A74"/>
    <w:rsid w:val="002953DD"/>
    <w:rsid w:val="002A6502"/>
    <w:rsid w:val="002B1567"/>
    <w:rsid w:val="002B4924"/>
    <w:rsid w:val="002B583A"/>
    <w:rsid w:val="002C2107"/>
    <w:rsid w:val="002C67AC"/>
    <w:rsid w:val="002D46D7"/>
    <w:rsid w:val="002D49B5"/>
    <w:rsid w:val="002D5790"/>
    <w:rsid w:val="002D64A3"/>
    <w:rsid w:val="002E60A2"/>
    <w:rsid w:val="002E77E9"/>
    <w:rsid w:val="002F5CED"/>
    <w:rsid w:val="002F5E53"/>
    <w:rsid w:val="00300AE3"/>
    <w:rsid w:val="00306CFA"/>
    <w:rsid w:val="00312A5A"/>
    <w:rsid w:val="00312B0E"/>
    <w:rsid w:val="0031320F"/>
    <w:rsid w:val="003135AD"/>
    <w:rsid w:val="00321BE4"/>
    <w:rsid w:val="00324271"/>
    <w:rsid w:val="00331C8F"/>
    <w:rsid w:val="00337E5C"/>
    <w:rsid w:val="00343E9B"/>
    <w:rsid w:val="0034689D"/>
    <w:rsid w:val="00350F75"/>
    <w:rsid w:val="00390F6B"/>
    <w:rsid w:val="003911AE"/>
    <w:rsid w:val="00392F43"/>
    <w:rsid w:val="00393F39"/>
    <w:rsid w:val="0039646B"/>
    <w:rsid w:val="003A13BC"/>
    <w:rsid w:val="003A30C7"/>
    <w:rsid w:val="003A66FD"/>
    <w:rsid w:val="003B1E32"/>
    <w:rsid w:val="003C10D1"/>
    <w:rsid w:val="003D6DEB"/>
    <w:rsid w:val="003D7F8B"/>
    <w:rsid w:val="003E158D"/>
    <w:rsid w:val="003E33BE"/>
    <w:rsid w:val="003F3F28"/>
    <w:rsid w:val="003F3F7E"/>
    <w:rsid w:val="003F45E1"/>
    <w:rsid w:val="003F62F2"/>
    <w:rsid w:val="00415A74"/>
    <w:rsid w:val="00426C26"/>
    <w:rsid w:val="00452322"/>
    <w:rsid w:val="00461B85"/>
    <w:rsid w:val="004628A9"/>
    <w:rsid w:val="00467686"/>
    <w:rsid w:val="004705E6"/>
    <w:rsid w:val="00475581"/>
    <w:rsid w:val="004812A3"/>
    <w:rsid w:val="00483621"/>
    <w:rsid w:val="00486126"/>
    <w:rsid w:val="00492178"/>
    <w:rsid w:val="004A115B"/>
    <w:rsid w:val="004B28BD"/>
    <w:rsid w:val="004B28F4"/>
    <w:rsid w:val="004C19BD"/>
    <w:rsid w:val="004C5CB8"/>
    <w:rsid w:val="004C6112"/>
    <w:rsid w:val="004D04B4"/>
    <w:rsid w:val="004D18C5"/>
    <w:rsid w:val="004D4021"/>
    <w:rsid w:val="004D4BF9"/>
    <w:rsid w:val="004D6E42"/>
    <w:rsid w:val="004E3BFA"/>
    <w:rsid w:val="004F02AB"/>
    <w:rsid w:val="004F13A5"/>
    <w:rsid w:val="004F306F"/>
    <w:rsid w:val="005018C1"/>
    <w:rsid w:val="0050201E"/>
    <w:rsid w:val="005033E4"/>
    <w:rsid w:val="005119DE"/>
    <w:rsid w:val="00511CA6"/>
    <w:rsid w:val="00512774"/>
    <w:rsid w:val="00513BA7"/>
    <w:rsid w:val="00521D4C"/>
    <w:rsid w:val="00524DE9"/>
    <w:rsid w:val="005304D6"/>
    <w:rsid w:val="00530F99"/>
    <w:rsid w:val="005315CF"/>
    <w:rsid w:val="005417F3"/>
    <w:rsid w:val="005446BF"/>
    <w:rsid w:val="0055147E"/>
    <w:rsid w:val="00554C01"/>
    <w:rsid w:val="00555DBA"/>
    <w:rsid w:val="00567515"/>
    <w:rsid w:val="00570321"/>
    <w:rsid w:val="00571D57"/>
    <w:rsid w:val="00573274"/>
    <w:rsid w:val="00586454"/>
    <w:rsid w:val="00594B8D"/>
    <w:rsid w:val="00596E50"/>
    <w:rsid w:val="005A366B"/>
    <w:rsid w:val="005B3C4B"/>
    <w:rsid w:val="005B3EDE"/>
    <w:rsid w:val="005B6E67"/>
    <w:rsid w:val="005C05F6"/>
    <w:rsid w:val="005C1C88"/>
    <w:rsid w:val="005C5E80"/>
    <w:rsid w:val="005D79E9"/>
    <w:rsid w:val="005D7A1E"/>
    <w:rsid w:val="005E1650"/>
    <w:rsid w:val="005E542B"/>
    <w:rsid w:val="005E6B47"/>
    <w:rsid w:val="005F467C"/>
    <w:rsid w:val="00600A23"/>
    <w:rsid w:val="006041C7"/>
    <w:rsid w:val="00604A87"/>
    <w:rsid w:val="00610678"/>
    <w:rsid w:val="00621776"/>
    <w:rsid w:val="00621872"/>
    <w:rsid w:val="006239F1"/>
    <w:rsid w:val="00627582"/>
    <w:rsid w:val="00636D9A"/>
    <w:rsid w:val="006446CC"/>
    <w:rsid w:val="00646FFE"/>
    <w:rsid w:val="00651F4D"/>
    <w:rsid w:val="00660A42"/>
    <w:rsid w:val="00662DF4"/>
    <w:rsid w:val="006736B3"/>
    <w:rsid w:val="006743AD"/>
    <w:rsid w:val="0067465E"/>
    <w:rsid w:val="00676922"/>
    <w:rsid w:val="006917EC"/>
    <w:rsid w:val="006964D9"/>
    <w:rsid w:val="00697323"/>
    <w:rsid w:val="006A3F0D"/>
    <w:rsid w:val="006A4515"/>
    <w:rsid w:val="006A63F7"/>
    <w:rsid w:val="006B2437"/>
    <w:rsid w:val="006B6E5A"/>
    <w:rsid w:val="006C31F7"/>
    <w:rsid w:val="006C78AA"/>
    <w:rsid w:val="006D632F"/>
    <w:rsid w:val="006D7E84"/>
    <w:rsid w:val="006E7AD1"/>
    <w:rsid w:val="006F04D4"/>
    <w:rsid w:val="006F3898"/>
    <w:rsid w:val="006F4AB2"/>
    <w:rsid w:val="00700D8F"/>
    <w:rsid w:val="007063BA"/>
    <w:rsid w:val="00711E2F"/>
    <w:rsid w:val="00716AF5"/>
    <w:rsid w:val="007262D5"/>
    <w:rsid w:val="00730C3C"/>
    <w:rsid w:val="0073102D"/>
    <w:rsid w:val="0073280B"/>
    <w:rsid w:val="00740555"/>
    <w:rsid w:val="00750B5B"/>
    <w:rsid w:val="007632BD"/>
    <w:rsid w:val="0076795D"/>
    <w:rsid w:val="00767EB4"/>
    <w:rsid w:val="0077163A"/>
    <w:rsid w:val="007722BE"/>
    <w:rsid w:val="00772E8F"/>
    <w:rsid w:val="00773638"/>
    <w:rsid w:val="00774DC8"/>
    <w:rsid w:val="0078032E"/>
    <w:rsid w:val="00782289"/>
    <w:rsid w:val="007852D1"/>
    <w:rsid w:val="00785752"/>
    <w:rsid w:val="00787F89"/>
    <w:rsid w:val="00792D4A"/>
    <w:rsid w:val="00793E9E"/>
    <w:rsid w:val="007A0083"/>
    <w:rsid w:val="007A59C8"/>
    <w:rsid w:val="007A653C"/>
    <w:rsid w:val="007A712E"/>
    <w:rsid w:val="007B0DAE"/>
    <w:rsid w:val="007B149A"/>
    <w:rsid w:val="007B2D19"/>
    <w:rsid w:val="007B4343"/>
    <w:rsid w:val="007C1C14"/>
    <w:rsid w:val="007C246B"/>
    <w:rsid w:val="007C413B"/>
    <w:rsid w:val="007C685B"/>
    <w:rsid w:val="007D7543"/>
    <w:rsid w:val="007E7922"/>
    <w:rsid w:val="007F5870"/>
    <w:rsid w:val="007F7847"/>
    <w:rsid w:val="00803772"/>
    <w:rsid w:val="00804B94"/>
    <w:rsid w:val="00807B11"/>
    <w:rsid w:val="00813975"/>
    <w:rsid w:val="008219F5"/>
    <w:rsid w:val="0082760D"/>
    <w:rsid w:val="00831A22"/>
    <w:rsid w:val="0083744B"/>
    <w:rsid w:val="00837D4A"/>
    <w:rsid w:val="00843747"/>
    <w:rsid w:val="00844A32"/>
    <w:rsid w:val="00851986"/>
    <w:rsid w:val="008614BE"/>
    <w:rsid w:val="00872572"/>
    <w:rsid w:val="00873640"/>
    <w:rsid w:val="00876566"/>
    <w:rsid w:val="00880437"/>
    <w:rsid w:val="00880B2D"/>
    <w:rsid w:val="00882796"/>
    <w:rsid w:val="00883AB0"/>
    <w:rsid w:val="008919DD"/>
    <w:rsid w:val="00894108"/>
    <w:rsid w:val="008A062E"/>
    <w:rsid w:val="008B0F67"/>
    <w:rsid w:val="008B1DFA"/>
    <w:rsid w:val="008B2C5C"/>
    <w:rsid w:val="008B495A"/>
    <w:rsid w:val="008B7B0C"/>
    <w:rsid w:val="008C38C3"/>
    <w:rsid w:val="008C6E72"/>
    <w:rsid w:val="008D0016"/>
    <w:rsid w:val="008D1C0C"/>
    <w:rsid w:val="008D6F0F"/>
    <w:rsid w:val="008E29C2"/>
    <w:rsid w:val="008E71C0"/>
    <w:rsid w:val="008E7B2E"/>
    <w:rsid w:val="008F376F"/>
    <w:rsid w:val="00902B58"/>
    <w:rsid w:val="00903D2D"/>
    <w:rsid w:val="0091071F"/>
    <w:rsid w:val="00911111"/>
    <w:rsid w:val="00914406"/>
    <w:rsid w:val="0091485F"/>
    <w:rsid w:val="00916494"/>
    <w:rsid w:val="00916814"/>
    <w:rsid w:val="00917E4C"/>
    <w:rsid w:val="00922A07"/>
    <w:rsid w:val="00933E77"/>
    <w:rsid w:val="00946B0E"/>
    <w:rsid w:val="00953648"/>
    <w:rsid w:val="0096050B"/>
    <w:rsid w:val="009671CC"/>
    <w:rsid w:val="009825AD"/>
    <w:rsid w:val="00982AD2"/>
    <w:rsid w:val="00990DE6"/>
    <w:rsid w:val="00991A30"/>
    <w:rsid w:val="00995444"/>
    <w:rsid w:val="009A1D05"/>
    <w:rsid w:val="009B1976"/>
    <w:rsid w:val="009C1EBC"/>
    <w:rsid w:val="009C3D77"/>
    <w:rsid w:val="009C40BF"/>
    <w:rsid w:val="009C458E"/>
    <w:rsid w:val="009C493C"/>
    <w:rsid w:val="009C7315"/>
    <w:rsid w:val="009D06C5"/>
    <w:rsid w:val="009D534C"/>
    <w:rsid w:val="009D6332"/>
    <w:rsid w:val="009D728C"/>
    <w:rsid w:val="009E0342"/>
    <w:rsid w:val="009E5B14"/>
    <w:rsid w:val="009F0A4F"/>
    <w:rsid w:val="00A005D7"/>
    <w:rsid w:val="00A052F1"/>
    <w:rsid w:val="00A24583"/>
    <w:rsid w:val="00A31160"/>
    <w:rsid w:val="00A42C9D"/>
    <w:rsid w:val="00A44143"/>
    <w:rsid w:val="00A46F1C"/>
    <w:rsid w:val="00A540DC"/>
    <w:rsid w:val="00A5588D"/>
    <w:rsid w:val="00A67986"/>
    <w:rsid w:val="00A760DD"/>
    <w:rsid w:val="00A77CB1"/>
    <w:rsid w:val="00A80883"/>
    <w:rsid w:val="00A82845"/>
    <w:rsid w:val="00A85D3D"/>
    <w:rsid w:val="00A90A7A"/>
    <w:rsid w:val="00A96AD5"/>
    <w:rsid w:val="00AA437C"/>
    <w:rsid w:val="00AA4438"/>
    <w:rsid w:val="00AA53F9"/>
    <w:rsid w:val="00AB1083"/>
    <w:rsid w:val="00AB182D"/>
    <w:rsid w:val="00AB3736"/>
    <w:rsid w:val="00AB65D8"/>
    <w:rsid w:val="00AB78F0"/>
    <w:rsid w:val="00AC0F95"/>
    <w:rsid w:val="00AC1B58"/>
    <w:rsid w:val="00AC70DD"/>
    <w:rsid w:val="00AC76CE"/>
    <w:rsid w:val="00AD042E"/>
    <w:rsid w:val="00AD4051"/>
    <w:rsid w:val="00AD43C8"/>
    <w:rsid w:val="00AD7A26"/>
    <w:rsid w:val="00AE3898"/>
    <w:rsid w:val="00AF5535"/>
    <w:rsid w:val="00B01396"/>
    <w:rsid w:val="00B025DD"/>
    <w:rsid w:val="00B03AC6"/>
    <w:rsid w:val="00B07459"/>
    <w:rsid w:val="00B078A8"/>
    <w:rsid w:val="00B145B2"/>
    <w:rsid w:val="00B1518E"/>
    <w:rsid w:val="00B22331"/>
    <w:rsid w:val="00B2418B"/>
    <w:rsid w:val="00B24D99"/>
    <w:rsid w:val="00B26170"/>
    <w:rsid w:val="00B26973"/>
    <w:rsid w:val="00B32066"/>
    <w:rsid w:val="00B34E7C"/>
    <w:rsid w:val="00B41770"/>
    <w:rsid w:val="00B418B7"/>
    <w:rsid w:val="00B42CC4"/>
    <w:rsid w:val="00B44E44"/>
    <w:rsid w:val="00B575E2"/>
    <w:rsid w:val="00B57CDD"/>
    <w:rsid w:val="00B6082C"/>
    <w:rsid w:val="00B61C18"/>
    <w:rsid w:val="00B66BC0"/>
    <w:rsid w:val="00B6707E"/>
    <w:rsid w:val="00B7073C"/>
    <w:rsid w:val="00B72B18"/>
    <w:rsid w:val="00B73D7E"/>
    <w:rsid w:val="00B7443D"/>
    <w:rsid w:val="00B81F2E"/>
    <w:rsid w:val="00B82222"/>
    <w:rsid w:val="00B83A90"/>
    <w:rsid w:val="00B8474A"/>
    <w:rsid w:val="00B858A1"/>
    <w:rsid w:val="00B8777A"/>
    <w:rsid w:val="00B949D0"/>
    <w:rsid w:val="00B95C97"/>
    <w:rsid w:val="00BA04FD"/>
    <w:rsid w:val="00BA1ED3"/>
    <w:rsid w:val="00BA2A27"/>
    <w:rsid w:val="00BA6146"/>
    <w:rsid w:val="00BA77E8"/>
    <w:rsid w:val="00BB65AC"/>
    <w:rsid w:val="00BC0690"/>
    <w:rsid w:val="00BC7126"/>
    <w:rsid w:val="00BD2909"/>
    <w:rsid w:val="00BD53EB"/>
    <w:rsid w:val="00BE0CB8"/>
    <w:rsid w:val="00BE3A34"/>
    <w:rsid w:val="00BE4278"/>
    <w:rsid w:val="00C00310"/>
    <w:rsid w:val="00C006E9"/>
    <w:rsid w:val="00C0159F"/>
    <w:rsid w:val="00C0210A"/>
    <w:rsid w:val="00C028A2"/>
    <w:rsid w:val="00C03359"/>
    <w:rsid w:val="00C06176"/>
    <w:rsid w:val="00C07FEA"/>
    <w:rsid w:val="00C17A49"/>
    <w:rsid w:val="00C2143A"/>
    <w:rsid w:val="00C23468"/>
    <w:rsid w:val="00C35021"/>
    <w:rsid w:val="00C40573"/>
    <w:rsid w:val="00C5244F"/>
    <w:rsid w:val="00C5644C"/>
    <w:rsid w:val="00C57BE2"/>
    <w:rsid w:val="00C57FE0"/>
    <w:rsid w:val="00C6108F"/>
    <w:rsid w:val="00C635A6"/>
    <w:rsid w:val="00C91479"/>
    <w:rsid w:val="00C91A65"/>
    <w:rsid w:val="00CB1384"/>
    <w:rsid w:val="00CB1C1F"/>
    <w:rsid w:val="00CB3AF6"/>
    <w:rsid w:val="00CB3C13"/>
    <w:rsid w:val="00CB5543"/>
    <w:rsid w:val="00CC204E"/>
    <w:rsid w:val="00CC508B"/>
    <w:rsid w:val="00CC7A8C"/>
    <w:rsid w:val="00CD0FFB"/>
    <w:rsid w:val="00CD16F5"/>
    <w:rsid w:val="00CD68D2"/>
    <w:rsid w:val="00CD7CCD"/>
    <w:rsid w:val="00CE3FD1"/>
    <w:rsid w:val="00CE620E"/>
    <w:rsid w:val="00CE6CAF"/>
    <w:rsid w:val="00CF1ED5"/>
    <w:rsid w:val="00CF5695"/>
    <w:rsid w:val="00D051C6"/>
    <w:rsid w:val="00D06AEA"/>
    <w:rsid w:val="00D117EE"/>
    <w:rsid w:val="00D13A82"/>
    <w:rsid w:val="00D13DB7"/>
    <w:rsid w:val="00D25CB0"/>
    <w:rsid w:val="00D27A83"/>
    <w:rsid w:val="00D33DD0"/>
    <w:rsid w:val="00D35147"/>
    <w:rsid w:val="00D4130C"/>
    <w:rsid w:val="00D41F8A"/>
    <w:rsid w:val="00D52179"/>
    <w:rsid w:val="00D53B41"/>
    <w:rsid w:val="00D56638"/>
    <w:rsid w:val="00D57C6B"/>
    <w:rsid w:val="00D6005A"/>
    <w:rsid w:val="00D66B7D"/>
    <w:rsid w:val="00D721C1"/>
    <w:rsid w:val="00D72F0E"/>
    <w:rsid w:val="00D80ED4"/>
    <w:rsid w:val="00D85CF8"/>
    <w:rsid w:val="00D86BAD"/>
    <w:rsid w:val="00D97A37"/>
    <w:rsid w:val="00DA56E5"/>
    <w:rsid w:val="00DA6AAA"/>
    <w:rsid w:val="00DB529D"/>
    <w:rsid w:val="00DB71AC"/>
    <w:rsid w:val="00DC00D1"/>
    <w:rsid w:val="00DD02A4"/>
    <w:rsid w:val="00DD0CB8"/>
    <w:rsid w:val="00DE125E"/>
    <w:rsid w:val="00DE1A02"/>
    <w:rsid w:val="00DE3EDA"/>
    <w:rsid w:val="00DE4E77"/>
    <w:rsid w:val="00DF08BC"/>
    <w:rsid w:val="00DF16FA"/>
    <w:rsid w:val="00DF2536"/>
    <w:rsid w:val="00E03D1C"/>
    <w:rsid w:val="00E05C6C"/>
    <w:rsid w:val="00E12740"/>
    <w:rsid w:val="00E15387"/>
    <w:rsid w:val="00E157E1"/>
    <w:rsid w:val="00E15AF0"/>
    <w:rsid w:val="00E2182C"/>
    <w:rsid w:val="00E2686A"/>
    <w:rsid w:val="00E325CF"/>
    <w:rsid w:val="00E328C3"/>
    <w:rsid w:val="00E40B0D"/>
    <w:rsid w:val="00E50E6C"/>
    <w:rsid w:val="00E54F52"/>
    <w:rsid w:val="00E55CDD"/>
    <w:rsid w:val="00E57E47"/>
    <w:rsid w:val="00E60460"/>
    <w:rsid w:val="00E611FF"/>
    <w:rsid w:val="00E67C59"/>
    <w:rsid w:val="00E71420"/>
    <w:rsid w:val="00E80465"/>
    <w:rsid w:val="00E842BA"/>
    <w:rsid w:val="00E9008D"/>
    <w:rsid w:val="00E94DA0"/>
    <w:rsid w:val="00EA24DF"/>
    <w:rsid w:val="00EA2553"/>
    <w:rsid w:val="00EA5CC3"/>
    <w:rsid w:val="00EA62B7"/>
    <w:rsid w:val="00EB1744"/>
    <w:rsid w:val="00EB50ED"/>
    <w:rsid w:val="00EC3A60"/>
    <w:rsid w:val="00ED564D"/>
    <w:rsid w:val="00ED71FB"/>
    <w:rsid w:val="00EE0C2F"/>
    <w:rsid w:val="00EF6341"/>
    <w:rsid w:val="00F03A7F"/>
    <w:rsid w:val="00F0560A"/>
    <w:rsid w:val="00F10054"/>
    <w:rsid w:val="00F127DD"/>
    <w:rsid w:val="00F14D29"/>
    <w:rsid w:val="00F14D80"/>
    <w:rsid w:val="00F1528F"/>
    <w:rsid w:val="00F158D7"/>
    <w:rsid w:val="00F20EE5"/>
    <w:rsid w:val="00F33632"/>
    <w:rsid w:val="00F3393E"/>
    <w:rsid w:val="00F3524E"/>
    <w:rsid w:val="00F42533"/>
    <w:rsid w:val="00F44833"/>
    <w:rsid w:val="00F53D74"/>
    <w:rsid w:val="00F543E7"/>
    <w:rsid w:val="00F544B0"/>
    <w:rsid w:val="00F567A3"/>
    <w:rsid w:val="00F578FA"/>
    <w:rsid w:val="00F62653"/>
    <w:rsid w:val="00F657E3"/>
    <w:rsid w:val="00F67C87"/>
    <w:rsid w:val="00F71747"/>
    <w:rsid w:val="00F7580B"/>
    <w:rsid w:val="00F84C23"/>
    <w:rsid w:val="00F91140"/>
    <w:rsid w:val="00F93F1B"/>
    <w:rsid w:val="00F951E8"/>
    <w:rsid w:val="00F956C8"/>
    <w:rsid w:val="00FC0063"/>
    <w:rsid w:val="00FD3DE0"/>
    <w:rsid w:val="00FD46C3"/>
    <w:rsid w:val="00FD7729"/>
    <w:rsid w:val="00FD7A79"/>
    <w:rsid w:val="00FD7C22"/>
    <w:rsid w:val="00FE46A6"/>
    <w:rsid w:val="00FE5C58"/>
    <w:rsid w:val="00FE679D"/>
    <w:rsid w:val="00FE6CC6"/>
    <w:rsid w:val="00FE7B63"/>
    <w:rsid w:val="00FF34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table" w:styleId="GridTable4-Accent1">
    <w:name w:val="Grid Table 4 Accent 1"/>
    <w:basedOn w:val="TableNormal"/>
    <w:uiPriority w:val="49"/>
    <w:rsid w:val="00A005D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B8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5">
    <w:name w:val="Grid Table 5 Dark Accent 5"/>
    <w:basedOn w:val="TableNormal"/>
    <w:uiPriority w:val="50"/>
    <w:rsid w:val="004D4BF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5">
    <w:name w:val="Grid Table 4 Accent 5"/>
    <w:basedOn w:val="TableNormal"/>
    <w:uiPriority w:val="49"/>
    <w:rsid w:val="00660A4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3">
    <w:name w:val="Grid Table 5 Dark Accent 3"/>
    <w:basedOn w:val="TableNormal"/>
    <w:uiPriority w:val="50"/>
    <w:rsid w:val="00E804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mmittees.parliament.uk/writtenevidence/116244/html/" TargetMode="External"/><Relationship Id="rId18" Type="http://schemas.openxmlformats.org/officeDocument/2006/relationships/hyperlink" Target="https://www.nice.org.uk/guidance/ng63" TargetMode="External"/><Relationship Id="rId26" Type="http://schemas.openxmlformats.org/officeDocument/2006/relationships/hyperlink" Target="https://www.who.int/news-room/fact-sheets/detail/antimicrobial-resistance" TargetMode="External"/><Relationship Id="rId3" Type="http://schemas.openxmlformats.org/officeDocument/2006/relationships/styles" Target="styles.xml"/><Relationship Id="rId21" Type="http://schemas.openxmlformats.org/officeDocument/2006/relationships/hyperlink" Target="https://amr-review.org/sites/default/files/160518_Final%20paper_with%20cover.pdf" TargetMode="External"/><Relationship Id="rId7" Type="http://schemas.openxmlformats.org/officeDocument/2006/relationships/endnotes" Target="endnotes.xml"/><Relationship Id="rId12" Type="http://schemas.openxmlformats.org/officeDocument/2006/relationships/hyperlink" Target="https://www.gov.uk/government/publications/uk-5-year-action-plan-for-antimicrobial-resistance-2024-to-2029" TargetMode="External"/><Relationship Id="rId17" Type="http://schemas.openxmlformats.org/officeDocument/2006/relationships/hyperlink" Target="https://www.gov.uk/government/publications/regulatory-considerations-for-therapeutic-use-of-bacteriophages-in-the-uk" TargetMode="External"/><Relationship Id="rId25" Type="http://schemas.openxmlformats.org/officeDocument/2006/relationships/hyperlink" Target="https://www.who.int/publications/i/item/9789240093461" TargetMode="External"/><Relationship Id="rId2" Type="http://schemas.openxmlformats.org/officeDocument/2006/relationships/numbering" Target="numbering.xml"/><Relationship Id="rId16" Type="http://schemas.openxmlformats.org/officeDocument/2006/relationships/hyperlink" Target="https://www.gov.uk/government/publications/supply-unlicensed-medicinal-products-specials" TargetMode="External"/><Relationship Id="rId20" Type="http://schemas.openxmlformats.org/officeDocument/2006/relationships/hyperlink" Target="https://www.england.nhs.uk/ourwork/prevention/antimicrobial-resistance-am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38/srep26717" TargetMode="External"/><Relationship Id="rId24" Type="http://schemas.openxmlformats.org/officeDocument/2006/relationships/hyperlink" Target="https://iris.who.int/server/api/core/bitstreams/1a487887-e162-46a0-8aef-802907c66070/content" TargetMode="External"/><Relationship Id="rId5" Type="http://schemas.openxmlformats.org/officeDocument/2006/relationships/webSettings" Target="webSettings.xml"/><Relationship Id="rId15" Type="http://schemas.openxmlformats.org/officeDocument/2006/relationships/hyperlink" Target="https://publications.parliament.uk/pa/cm5804/cmselect/cmsctech/328/report.html" TargetMode="External"/><Relationship Id="rId23" Type="http://schemas.openxmlformats.org/officeDocument/2006/relationships/hyperlink" Target="https://www.gov.uk/government/publications/english-surveillance-programme-antimicrobial-utilisation-and-resistance-espaur-report" TargetMode="External"/><Relationship Id="rId28" Type="http://schemas.openxmlformats.org/officeDocument/2006/relationships/hyperlink" Target="https://www.woah.org/en/what-we-do/global-initiatives/antimicrobial-resistance/" TargetMode="External"/><Relationship Id="rId10" Type="http://schemas.openxmlformats.org/officeDocument/2006/relationships/hyperlink" Target="https://www.britishjournalofnursing.com/content/focus/the-nurses-pivotal-role-in-antimicrobial-stewardship-addressing-the-global-challenge-of-antimicrobial-resistance" TargetMode="External"/><Relationship Id="rId19" Type="http://schemas.openxmlformats.org/officeDocument/2006/relationships/hyperlink" Target="https://www.england.nhs.uk/publication/nhs-long-term-workforce-plan/"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ontent.scirp.org/pdf/jss_2021091414022640.pdf" TargetMode="External"/><Relationship Id="rId14" Type="http://schemas.openxmlformats.org/officeDocument/2006/relationships/hyperlink" Target="https://www.gov.uk/government/news/helping-bring-phage-medicines-to-uk-patients-guidance-for-industry" TargetMode="External"/><Relationship Id="rId22" Type="http://schemas.openxmlformats.org/officeDocument/2006/relationships/hyperlink" Target="https://www.rcn.org.uk/clinical-topics/Infection-prevention-and-control/antimicrobial-resistance" TargetMode="External"/><Relationship Id="rId27" Type="http://schemas.openxmlformats.org/officeDocument/2006/relationships/hyperlink" Target="https://www.woah.org/en/woah-members-adopt-the-updated-global-action-plan-on-antimicrobial-resistanc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1721</TotalTime>
  <Pages>49</Pages>
  <Words>14660</Words>
  <Characters>83564</Characters>
  <Application>Microsoft Office Word</Application>
  <DocSecurity>0</DocSecurity>
  <Lines>696</Lines>
  <Paragraphs>196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Kinga Starczewska (2312239)</cp:lastModifiedBy>
  <cp:revision>424</cp:revision>
  <dcterms:created xsi:type="dcterms:W3CDTF">2026-07-13T17:22:00Z</dcterms:created>
  <dcterms:modified xsi:type="dcterms:W3CDTF">2026-07-24T18:13:00Z</dcterms:modified>
</cp:coreProperties>
</file>