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ABF03" w14:textId="77777777" w:rsidR="00632992" w:rsidRPr="00916580" w:rsidRDefault="00632992" w:rsidP="00632992">
      <w:pPr>
        <w:spacing w:line="360" w:lineRule="auto"/>
        <w:rPr>
          <w:rFonts w:ascii="Arial" w:hAnsi="Arial" w:cs="Arial"/>
          <w:sz w:val="24"/>
          <w:szCs w:val="24"/>
          <w:lang w:val="en-US"/>
        </w:rPr>
      </w:pPr>
      <w:r w:rsidRPr="00916580">
        <w:rPr>
          <w:rFonts w:ascii="Arial" w:hAnsi="Arial" w:cs="Arial"/>
          <w:sz w:val="24"/>
          <w:szCs w:val="24"/>
          <w:lang w:val="en-US"/>
        </w:rPr>
        <w:t>The rational</w:t>
      </w:r>
      <w:bookmarkStart w:id="0" w:name="_GoBack"/>
      <w:bookmarkEnd w:id="0"/>
    </w:p>
    <w:p w14:paraId="452EAAC2" w14:textId="6628B6A8" w:rsidR="00632992" w:rsidRPr="00916580" w:rsidRDefault="00632992" w:rsidP="00632992">
      <w:pPr>
        <w:spacing w:line="360" w:lineRule="auto"/>
        <w:jc w:val="both"/>
        <w:rPr>
          <w:rFonts w:ascii="Arial" w:hAnsi="Arial" w:cs="Arial"/>
          <w:sz w:val="24"/>
          <w:szCs w:val="24"/>
          <w:lang w:val="en-US"/>
        </w:rPr>
      </w:pPr>
      <w:r w:rsidRPr="00916580">
        <w:rPr>
          <w:rFonts w:ascii="Arial" w:hAnsi="Arial" w:cs="Arial"/>
          <w:sz w:val="24"/>
          <w:szCs w:val="24"/>
          <w:lang w:val="en-US"/>
        </w:rPr>
        <w:t xml:space="preserve">At the heart of advocacy is the concept of independence. </w:t>
      </w:r>
      <w:proofErr w:type="gramStart"/>
      <w:r w:rsidRPr="00916580">
        <w:rPr>
          <w:rFonts w:ascii="Arial" w:hAnsi="Arial" w:cs="Arial"/>
          <w:sz w:val="24"/>
          <w:szCs w:val="24"/>
          <w:lang w:val="en-US"/>
        </w:rPr>
        <w:t>Everyone,</w:t>
      </w:r>
      <w:proofErr w:type="gramEnd"/>
      <w:r w:rsidRPr="00916580">
        <w:rPr>
          <w:rFonts w:ascii="Arial" w:hAnsi="Arial" w:cs="Arial"/>
          <w:sz w:val="24"/>
          <w:szCs w:val="24"/>
          <w:lang w:val="en-US"/>
        </w:rPr>
        <w:t xml:space="preserve"> should have the right to express their personal views and be able to make choices about their own lives. In </w:t>
      </w:r>
      <w:r w:rsidRPr="00916580">
        <w:rPr>
          <w:rFonts w:ascii="Arial" w:hAnsi="Arial" w:cs="Arial"/>
          <w:sz w:val="24"/>
          <w:szCs w:val="24"/>
          <w:lang w:val="en-US"/>
        </w:rPr>
        <w:t>environments</w:t>
      </w:r>
      <w:r w:rsidRPr="00916580">
        <w:rPr>
          <w:rFonts w:ascii="Arial" w:hAnsi="Arial" w:cs="Arial"/>
          <w:sz w:val="24"/>
          <w:szCs w:val="24"/>
          <w:lang w:val="en-US"/>
        </w:rPr>
        <w:t xml:space="preserve"> where an individual may need to approach care services or other services for support, they should have a right to their say in how these services are provided and managed. However, this can be difficult for some </w:t>
      </w:r>
      <w:proofErr w:type="spellStart"/>
      <w:r w:rsidRPr="00916580">
        <w:rPr>
          <w:rFonts w:ascii="Arial" w:hAnsi="Arial" w:cs="Arial"/>
          <w:sz w:val="24"/>
          <w:szCs w:val="24"/>
          <w:lang w:val="en-US"/>
        </w:rPr>
        <w:t>individual’s</w:t>
      </w:r>
      <w:proofErr w:type="spellEnd"/>
      <w:r w:rsidRPr="00916580">
        <w:rPr>
          <w:rFonts w:ascii="Arial" w:hAnsi="Arial" w:cs="Arial"/>
          <w:sz w:val="24"/>
          <w:szCs w:val="24"/>
          <w:lang w:val="en-US"/>
        </w:rPr>
        <w:t xml:space="preserve"> who may have problems with communicating or because of a disability or illness. In this instance, advocacy has been acknowledged as an important service which may assist individuals to work out what their needs </w:t>
      </w:r>
      <w:proofErr w:type="gramStart"/>
      <w:r w:rsidRPr="00916580">
        <w:rPr>
          <w:rFonts w:ascii="Arial" w:hAnsi="Arial" w:cs="Arial"/>
          <w:sz w:val="24"/>
          <w:szCs w:val="24"/>
          <w:lang w:val="en-US"/>
        </w:rPr>
        <w:t>are, and</w:t>
      </w:r>
      <w:proofErr w:type="gramEnd"/>
      <w:r w:rsidRPr="00916580">
        <w:rPr>
          <w:rFonts w:ascii="Arial" w:hAnsi="Arial" w:cs="Arial"/>
          <w:sz w:val="24"/>
          <w:szCs w:val="24"/>
          <w:lang w:val="en-US"/>
        </w:rPr>
        <w:t xml:space="preserve"> be able to communicate this information to the relevant service providers. This includes making sure that individuals know their rights and what options are available to them. But most importantly, advocacy can make sure the person feelings and wishes are taken seriously and considered in relation to their health and wellbeing. The support process only ends when the person is fully satisfied with the outcome (Age Concern Cardiff and the Vale of </w:t>
      </w:r>
      <w:proofErr w:type="spellStart"/>
      <w:r w:rsidRPr="00916580">
        <w:rPr>
          <w:rFonts w:ascii="Arial" w:hAnsi="Arial" w:cs="Arial"/>
          <w:sz w:val="24"/>
          <w:szCs w:val="24"/>
          <w:lang w:val="en-US"/>
        </w:rPr>
        <w:t>Glamorgan</w:t>
      </w:r>
      <w:proofErr w:type="spellEnd"/>
      <w:r w:rsidRPr="00916580">
        <w:rPr>
          <w:rFonts w:ascii="Arial" w:hAnsi="Arial" w:cs="Arial"/>
          <w:sz w:val="24"/>
          <w:szCs w:val="24"/>
          <w:lang w:val="en-US"/>
        </w:rPr>
        <w:t>, 2012).</w:t>
      </w:r>
    </w:p>
    <w:p w14:paraId="2A59B80F" w14:textId="1BB32178"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A portfolio of information has been created to support an independent advocate in their practice, this includes relevant current legislation, policy, guidelines for good practice, information regarding training opportunities and professional development and a case history to reflect on. For instance, the case of Winterbourne View hospital has been included as it is significant to the </w:t>
      </w:r>
      <w:r w:rsidRPr="00916580">
        <w:rPr>
          <w:rFonts w:ascii="Arial" w:hAnsi="Arial" w:cs="Arial"/>
          <w:sz w:val="24"/>
          <w:szCs w:val="24"/>
          <w:lang w:val="en-US"/>
        </w:rPr>
        <w:t>improvement</w:t>
      </w:r>
      <w:r w:rsidRPr="00916580">
        <w:rPr>
          <w:rFonts w:ascii="Arial" w:hAnsi="Arial" w:cs="Arial"/>
          <w:sz w:val="24"/>
          <w:szCs w:val="24"/>
          <w:lang w:val="en-US"/>
        </w:rPr>
        <w:t xml:space="preserve"> of care, legislation and policies in the UK (Department of Health, 2013). </w:t>
      </w:r>
    </w:p>
    <w:p w14:paraId="4EF6DA49" w14:textId="77777777" w:rsidR="00632992" w:rsidRPr="00916580" w:rsidRDefault="00632992" w:rsidP="00632992">
      <w:pPr>
        <w:spacing w:after="0" w:line="360" w:lineRule="auto"/>
        <w:jc w:val="both"/>
        <w:rPr>
          <w:rFonts w:ascii="Arial" w:hAnsi="Arial" w:cs="Arial"/>
          <w:sz w:val="24"/>
          <w:szCs w:val="24"/>
          <w:lang w:val="en-US"/>
        </w:rPr>
      </w:pPr>
    </w:p>
    <w:p w14:paraId="6F20FD41" w14:textId="168D376A"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According to the Department of Health (2015. a), as of April 2016, legislation to support independent advocacy, for example, the Social Services and Wellbeing Act (Wales) 2014 and the Care Act (England) 2014 was implemented to protect the care and support of vulnerable individuals (Welsh Government, 2015; 2019; The National Archives, no date). In response to this, the Joint Improvement Programme (JIP) was developed following the shocking abuse of people with severe learning disabilities at the Winterbourne View hospital (Cafe, 2012; National Health Service, 2012; 2013). The investigation led to the eventual prosecution of eleven members of staff and the closing of the </w:t>
      </w:r>
      <w:r>
        <w:rPr>
          <w:rFonts w:ascii="Arial" w:hAnsi="Arial" w:cs="Arial"/>
          <w:sz w:val="24"/>
          <w:szCs w:val="24"/>
          <w:lang w:val="en-US"/>
        </w:rPr>
        <w:t>hospital</w:t>
      </w:r>
      <w:r w:rsidRPr="00916580">
        <w:rPr>
          <w:rFonts w:ascii="Arial" w:hAnsi="Arial" w:cs="Arial"/>
          <w:sz w:val="24"/>
          <w:szCs w:val="24"/>
          <w:lang w:val="en-US"/>
        </w:rPr>
        <w:t xml:space="preserve"> (see, appendix 1, for case history). The JIP aim to support local communities to facilitate improved services for people with autism (with challenging behaviour), learning disabilities or a mental health condition; to essentially reduce the </w:t>
      </w:r>
      <w:r w:rsidRPr="00916580">
        <w:rPr>
          <w:rFonts w:ascii="Arial" w:hAnsi="Arial" w:cs="Arial"/>
          <w:sz w:val="24"/>
          <w:szCs w:val="24"/>
          <w:lang w:val="en-US"/>
        </w:rPr>
        <w:lastRenderedPageBreak/>
        <w:t>need for vulnerable people to go through assessments and into treatment units like Winterbourne View Hospital (Department of Health 2012). Furthermore, the Department of Health (2013) has argued that the care</w:t>
      </w:r>
      <w:r>
        <w:rPr>
          <w:rFonts w:ascii="Arial" w:hAnsi="Arial" w:cs="Arial"/>
          <w:sz w:val="24"/>
          <w:szCs w:val="24"/>
          <w:lang w:val="en-US"/>
        </w:rPr>
        <w:t xml:space="preserve"> and</w:t>
      </w:r>
      <w:r w:rsidRPr="00916580">
        <w:rPr>
          <w:rFonts w:ascii="Arial" w:hAnsi="Arial" w:cs="Arial"/>
          <w:sz w:val="24"/>
          <w:szCs w:val="24"/>
          <w:lang w:val="en-US"/>
        </w:rPr>
        <w:t xml:space="preserve"> planning process often excludes individuals with learning disabilities from being involved in their care plan. Good quality advocacy can empower individuals, but also help uncover possible abuse and neglect which might be </w:t>
      </w:r>
      <w:r w:rsidRPr="00916580">
        <w:rPr>
          <w:rFonts w:ascii="Arial" w:hAnsi="Arial" w:cs="Arial"/>
          <w:sz w:val="24"/>
          <w:szCs w:val="24"/>
          <w:lang w:val="en-US"/>
        </w:rPr>
        <w:t>happening</w:t>
      </w:r>
      <w:r w:rsidRPr="00916580">
        <w:rPr>
          <w:rFonts w:ascii="Arial" w:hAnsi="Arial" w:cs="Arial"/>
          <w:sz w:val="24"/>
          <w:szCs w:val="24"/>
          <w:lang w:val="en-US"/>
        </w:rPr>
        <w:t xml:space="preserve">. The advocacy duty will begin from the initial contact with the local authority and will continue to support the client through the assessment, planning and care process, as well as through the stages of safeguarding enquiry/review (see, appendix, 2). </w:t>
      </w:r>
    </w:p>
    <w:p w14:paraId="5FA0A58A" w14:textId="77777777" w:rsidR="00632992" w:rsidRPr="00916580" w:rsidRDefault="00632992" w:rsidP="00632992">
      <w:pPr>
        <w:spacing w:after="0" w:line="360" w:lineRule="auto"/>
        <w:jc w:val="both"/>
        <w:rPr>
          <w:rFonts w:ascii="Arial" w:hAnsi="Arial" w:cs="Arial"/>
          <w:sz w:val="24"/>
          <w:szCs w:val="24"/>
          <w:lang w:val="en-US"/>
        </w:rPr>
      </w:pPr>
    </w:p>
    <w:p w14:paraId="30FB93F2" w14:textId="77777777" w:rsidR="00632992" w:rsidRPr="00916580" w:rsidRDefault="00632992" w:rsidP="00632992">
      <w:pPr>
        <w:spacing w:line="360" w:lineRule="auto"/>
        <w:jc w:val="both"/>
        <w:rPr>
          <w:rFonts w:ascii="Arial" w:hAnsi="Arial" w:cs="Arial"/>
          <w:sz w:val="24"/>
          <w:szCs w:val="24"/>
          <w:lang w:val="en-US"/>
        </w:rPr>
      </w:pPr>
      <w:r w:rsidRPr="00916580">
        <w:rPr>
          <w:rFonts w:ascii="Arial" w:hAnsi="Arial" w:cs="Arial"/>
          <w:sz w:val="24"/>
          <w:szCs w:val="24"/>
          <w:lang w:val="en-US"/>
        </w:rPr>
        <w:t xml:space="preserve">To be able to support individuals, such as those neglected in the above case history, advocates will need to have a good understanding of the Mental Health Act 1983 (See appendix, 10, p.10). This piece of legislation supports the rights of people with mental health issues in England and Wales. For example, the Charity Mind (2013) provides an independent advocacy service to support and empower individuals with a mental health problem. Mind campaign to improve services for vulnerable individuals, raise social awareness and promote a greater understanding of mental health. Service users may benefit from support in relation to their rights in </w:t>
      </w:r>
      <w:proofErr w:type="gramStart"/>
      <w:r w:rsidRPr="00916580">
        <w:rPr>
          <w:rFonts w:ascii="Arial" w:hAnsi="Arial" w:cs="Arial"/>
          <w:sz w:val="24"/>
          <w:szCs w:val="24"/>
          <w:lang w:val="en-US"/>
        </w:rPr>
        <w:t>a number of</w:t>
      </w:r>
      <w:proofErr w:type="gramEnd"/>
      <w:r w:rsidRPr="00916580">
        <w:rPr>
          <w:rFonts w:ascii="Arial" w:hAnsi="Arial" w:cs="Arial"/>
          <w:sz w:val="24"/>
          <w:szCs w:val="24"/>
          <w:lang w:val="en-US"/>
        </w:rPr>
        <w:t xml:space="preserve"> ways, for example, treatment in hospital or in the community (see, appendix 10, p. 10). In the case of non-instructed advocacy and where the individual lacks capacity to make particular decisions for themselves, an independent mental capacity advocate may need to be included in the support process as they will have a sound knowledge of the framework of the Mental Capacity Act 2005 (see, appendix 10, p. 13 and appendix, 11, pp. 55-59). Their job will be to ensure that the individual has an opportunity to be included in decisions that are being made about them (</w:t>
      </w:r>
      <w:proofErr w:type="spellStart"/>
      <w:r w:rsidRPr="00916580">
        <w:rPr>
          <w:rFonts w:ascii="Arial" w:hAnsi="Arial" w:cs="Arial"/>
          <w:sz w:val="24"/>
          <w:szCs w:val="24"/>
          <w:lang w:val="en-US"/>
        </w:rPr>
        <w:t>Redley</w:t>
      </w:r>
      <w:proofErr w:type="spellEnd"/>
      <w:r w:rsidRPr="00916580">
        <w:rPr>
          <w:rFonts w:ascii="Arial" w:hAnsi="Arial" w:cs="Arial"/>
          <w:sz w:val="24"/>
          <w:szCs w:val="24"/>
          <w:lang w:val="en-US"/>
        </w:rPr>
        <w:t xml:space="preserve"> </w:t>
      </w:r>
      <w:r w:rsidRPr="00916580">
        <w:rPr>
          <w:rFonts w:ascii="Arial" w:hAnsi="Arial" w:cs="Arial"/>
          <w:i/>
          <w:iCs/>
          <w:sz w:val="24"/>
          <w:szCs w:val="24"/>
          <w:lang w:val="en-US"/>
        </w:rPr>
        <w:t>et al.</w:t>
      </w:r>
      <w:r w:rsidRPr="00916580">
        <w:rPr>
          <w:rFonts w:ascii="Arial" w:hAnsi="Arial" w:cs="Arial"/>
          <w:sz w:val="24"/>
          <w:szCs w:val="24"/>
          <w:lang w:val="en-US"/>
        </w:rPr>
        <w:t xml:space="preserve"> 2010; </w:t>
      </w:r>
      <w:proofErr w:type="spellStart"/>
      <w:r w:rsidRPr="00916580">
        <w:rPr>
          <w:rFonts w:ascii="Arial" w:hAnsi="Arial" w:cs="Arial"/>
          <w:sz w:val="24"/>
          <w:szCs w:val="24"/>
          <w:lang w:val="en-US"/>
        </w:rPr>
        <w:t>Samsi</w:t>
      </w:r>
      <w:proofErr w:type="spellEnd"/>
      <w:r w:rsidRPr="00916580">
        <w:rPr>
          <w:rFonts w:ascii="Arial" w:hAnsi="Arial" w:cs="Arial"/>
          <w:sz w:val="24"/>
          <w:szCs w:val="24"/>
          <w:lang w:val="en-US"/>
        </w:rPr>
        <w:t xml:space="preserve">, </w:t>
      </w:r>
      <w:proofErr w:type="spellStart"/>
      <w:r w:rsidRPr="00916580">
        <w:rPr>
          <w:rFonts w:ascii="Arial" w:hAnsi="Arial" w:cs="Arial"/>
          <w:sz w:val="24"/>
          <w:szCs w:val="24"/>
          <w:lang w:val="en-US"/>
        </w:rPr>
        <w:t>Manthorpe</w:t>
      </w:r>
      <w:proofErr w:type="spellEnd"/>
      <w:r w:rsidRPr="00916580">
        <w:rPr>
          <w:rFonts w:ascii="Arial" w:hAnsi="Arial" w:cs="Arial"/>
          <w:sz w:val="24"/>
          <w:szCs w:val="24"/>
          <w:lang w:val="en-US"/>
        </w:rPr>
        <w:t xml:space="preserve"> and Rapaport, 2011). Other legislation regarding duties and responsibilities of independent advocacy may fall under relevant human rights and equality legislation including the Equality Act 2010, Human Rights Act 1998; as well as </w:t>
      </w:r>
      <w:proofErr w:type="spellStart"/>
      <w:r w:rsidRPr="00916580">
        <w:rPr>
          <w:rFonts w:ascii="Arial" w:hAnsi="Arial" w:cs="Arial"/>
          <w:sz w:val="24"/>
          <w:szCs w:val="24"/>
          <w:lang w:val="en-US"/>
        </w:rPr>
        <w:t>relevent</w:t>
      </w:r>
      <w:proofErr w:type="spellEnd"/>
      <w:r w:rsidRPr="00916580">
        <w:rPr>
          <w:rFonts w:ascii="Arial" w:hAnsi="Arial" w:cs="Arial"/>
          <w:sz w:val="24"/>
          <w:szCs w:val="24"/>
          <w:lang w:val="en-US"/>
        </w:rPr>
        <w:t xml:space="preserve"> policies that promote </w:t>
      </w:r>
      <w:proofErr w:type="spellStart"/>
      <w:r w:rsidRPr="00916580">
        <w:rPr>
          <w:rFonts w:ascii="Arial" w:hAnsi="Arial" w:cs="Arial"/>
          <w:sz w:val="24"/>
          <w:szCs w:val="24"/>
          <w:lang w:val="en-US"/>
        </w:rPr>
        <w:t>personalisation</w:t>
      </w:r>
      <w:proofErr w:type="spellEnd"/>
      <w:r w:rsidRPr="00916580">
        <w:rPr>
          <w:rFonts w:ascii="Arial" w:hAnsi="Arial" w:cs="Arial"/>
          <w:sz w:val="24"/>
          <w:szCs w:val="24"/>
          <w:lang w:val="en-US"/>
        </w:rPr>
        <w:t xml:space="preserve"> and person-centered care and support (see, appendix 11, p. 36).</w:t>
      </w:r>
    </w:p>
    <w:p w14:paraId="3E678B92" w14:textId="77777777"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Local authorities now </w:t>
      </w:r>
      <w:proofErr w:type="gramStart"/>
      <w:r w:rsidRPr="00916580">
        <w:rPr>
          <w:rFonts w:ascii="Arial" w:hAnsi="Arial" w:cs="Arial"/>
          <w:sz w:val="24"/>
          <w:szCs w:val="24"/>
          <w:lang w:val="en-US"/>
        </w:rPr>
        <w:t>have to</w:t>
      </w:r>
      <w:proofErr w:type="gramEnd"/>
      <w:r w:rsidRPr="00916580">
        <w:rPr>
          <w:rFonts w:ascii="Arial" w:hAnsi="Arial" w:cs="Arial"/>
          <w:sz w:val="24"/>
          <w:szCs w:val="24"/>
          <w:lang w:val="en-US"/>
        </w:rPr>
        <w:t xml:space="preserve"> provide access to independent advocacy services for children and adults who meet the criteria for support in accordance with the Social Services and Well-being (Wales) Act 2014 (See, appendix 2). For instance, individuals </w:t>
      </w:r>
      <w:r w:rsidRPr="00916580">
        <w:rPr>
          <w:rFonts w:ascii="Arial" w:hAnsi="Arial" w:cs="Arial"/>
          <w:sz w:val="24"/>
          <w:szCs w:val="24"/>
          <w:lang w:val="en-US"/>
        </w:rPr>
        <w:lastRenderedPageBreak/>
        <w:t xml:space="preserve">who may find the management process of their own care and support too much of a challenge to face alone. In addition, some vulnerable individuals may not have an appropriate adult to support their individual needs, such as a family, friend or care provider. However, there will be instances when the different entitlements to statutory advocacy overlap, for example: </w:t>
      </w:r>
    </w:p>
    <w:p w14:paraId="25624605" w14:textId="77777777" w:rsidR="00632992" w:rsidRPr="00916580" w:rsidRDefault="00632992" w:rsidP="00632992">
      <w:pPr>
        <w:spacing w:after="0" w:line="240" w:lineRule="auto"/>
        <w:ind w:left="720" w:right="680"/>
        <w:jc w:val="both"/>
        <w:rPr>
          <w:rFonts w:ascii="Arial" w:hAnsi="Arial" w:cs="Arial"/>
          <w:sz w:val="24"/>
          <w:szCs w:val="24"/>
          <w:lang w:val="en-US"/>
        </w:rPr>
      </w:pPr>
      <w:r w:rsidRPr="00916580">
        <w:rPr>
          <w:rFonts w:ascii="Arial" w:hAnsi="Arial" w:cs="Arial"/>
          <w:sz w:val="24"/>
          <w:szCs w:val="24"/>
          <w:lang w:val="en-US"/>
        </w:rPr>
        <w:t>Section 130E of the Mental Health Act, section 332BB of the Education Act, or paragraph 6D of Schedule 17 to the Equality Act 2010, section 35 of the Mental Capacity Act 2005 and section 187 of the National Health Services (Wales) Act 2006 (see, appendix 11, p. 97).</w:t>
      </w:r>
    </w:p>
    <w:p w14:paraId="4624E976" w14:textId="77777777" w:rsidR="00632992" w:rsidRPr="00916580" w:rsidRDefault="00632992" w:rsidP="00632992">
      <w:pPr>
        <w:spacing w:after="0" w:line="360" w:lineRule="auto"/>
        <w:jc w:val="both"/>
        <w:rPr>
          <w:rFonts w:ascii="Arial" w:hAnsi="Arial" w:cs="Arial"/>
          <w:sz w:val="24"/>
          <w:szCs w:val="24"/>
          <w:lang w:val="en-US"/>
        </w:rPr>
      </w:pPr>
    </w:p>
    <w:p w14:paraId="111D1DD3" w14:textId="77777777"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When this happens, consideration should be given to facilitate the continuity of the service user’s support by </w:t>
      </w:r>
      <w:proofErr w:type="spellStart"/>
      <w:r w:rsidRPr="00916580">
        <w:rPr>
          <w:rFonts w:ascii="Arial" w:hAnsi="Arial" w:cs="Arial"/>
          <w:sz w:val="24"/>
          <w:szCs w:val="24"/>
          <w:lang w:val="en-US"/>
        </w:rPr>
        <w:t>minismising</w:t>
      </w:r>
      <w:proofErr w:type="spellEnd"/>
      <w:r w:rsidRPr="00916580">
        <w:rPr>
          <w:rFonts w:ascii="Arial" w:hAnsi="Arial" w:cs="Arial"/>
          <w:sz w:val="24"/>
          <w:szCs w:val="24"/>
          <w:lang w:val="en-US"/>
        </w:rPr>
        <w:t xml:space="preserve"> the need for the individual to have to relay their desired outcomes to different advocates. The most effective outcome would be if all parties concerned could agree a single advocate to support the individual (see, appendix 11, p. 97). According the Social Services and Wellbeing Act 2014, section 181(2), advocacy services is defined as: </w:t>
      </w:r>
    </w:p>
    <w:p w14:paraId="250DE5D8" w14:textId="77777777" w:rsidR="00632992" w:rsidRPr="00916580" w:rsidRDefault="00632992" w:rsidP="00632992">
      <w:pPr>
        <w:spacing w:after="0" w:line="240" w:lineRule="auto"/>
        <w:ind w:right="680"/>
        <w:jc w:val="both"/>
        <w:rPr>
          <w:rFonts w:ascii="Arial" w:hAnsi="Arial" w:cs="Arial"/>
          <w:sz w:val="24"/>
          <w:szCs w:val="24"/>
          <w:lang w:val="en-US"/>
        </w:rPr>
      </w:pPr>
      <w:r w:rsidRPr="00916580">
        <w:rPr>
          <w:rFonts w:ascii="Arial" w:hAnsi="Arial" w:cs="Arial"/>
          <w:sz w:val="24"/>
          <w:szCs w:val="24"/>
          <w:lang w:val="en-US"/>
        </w:rPr>
        <w:t xml:space="preserve">services which </w:t>
      </w:r>
      <w:proofErr w:type="gramStart"/>
      <w:r w:rsidRPr="00916580">
        <w:rPr>
          <w:rFonts w:ascii="Arial" w:hAnsi="Arial" w:cs="Arial"/>
          <w:sz w:val="24"/>
          <w:szCs w:val="24"/>
          <w:lang w:val="en-US"/>
        </w:rPr>
        <w:t>provide assistance</w:t>
      </w:r>
      <w:proofErr w:type="gramEnd"/>
      <w:r w:rsidRPr="00916580">
        <w:rPr>
          <w:rFonts w:ascii="Arial" w:hAnsi="Arial" w:cs="Arial"/>
          <w:sz w:val="24"/>
          <w:szCs w:val="24"/>
          <w:lang w:val="en-US"/>
        </w:rPr>
        <w:t xml:space="preserve"> (by way of representation or otherwise) to persons for purposes relating to their care and support and that independent advocacy is a service independent of the local authority and adheres to the Care Act 2014 (Care Council for Wales 2016, p. 13). </w:t>
      </w:r>
    </w:p>
    <w:p w14:paraId="2137602B" w14:textId="77777777" w:rsidR="00632992" w:rsidRPr="00916580" w:rsidRDefault="00632992" w:rsidP="00632992">
      <w:pPr>
        <w:spacing w:after="0" w:line="240" w:lineRule="auto"/>
        <w:ind w:left="720" w:right="680"/>
        <w:jc w:val="both"/>
        <w:rPr>
          <w:rFonts w:ascii="Arial" w:hAnsi="Arial" w:cs="Arial"/>
          <w:sz w:val="24"/>
          <w:szCs w:val="24"/>
          <w:lang w:val="en-US"/>
        </w:rPr>
      </w:pPr>
    </w:p>
    <w:p w14:paraId="64711D26" w14:textId="77777777"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The Advocacy code of practice (See, appendix, 3) which adheres to the Social Service and Wellbeing Act (Wales) adds: that independent advocacy safeguards vulnerable individuals whom may be at risk of discrimination and may also be difficult for services to support. Independent advocacy (see, appendix, 4) aims to empower vulnerable individual’s to be able to express their individual needs and to make informed decisions for themselves (Welsh Government, 2015). The concept of ’empowerment’ has become central to the practice and promotion of healthcare. Holcomb-McCoy and Brian (2010) argue that vulnerable individuals are at a significant risk of oppression and is a key consideration during the consultation process in regard of empowerment and advocacy. They define empowerment as: </w:t>
      </w:r>
    </w:p>
    <w:p w14:paraId="6278183D" w14:textId="77777777" w:rsidR="00632992" w:rsidRPr="00916580" w:rsidRDefault="00632992" w:rsidP="00632992">
      <w:pPr>
        <w:spacing w:after="0" w:line="240" w:lineRule="auto"/>
        <w:ind w:left="720" w:right="624"/>
        <w:jc w:val="both"/>
        <w:rPr>
          <w:rFonts w:ascii="Arial" w:hAnsi="Arial" w:cs="Arial"/>
          <w:sz w:val="24"/>
          <w:szCs w:val="24"/>
          <w:lang w:val="en-US"/>
        </w:rPr>
      </w:pPr>
      <w:r w:rsidRPr="00916580">
        <w:rPr>
          <w:rFonts w:ascii="Arial" w:hAnsi="Arial" w:cs="Arial"/>
          <w:sz w:val="24"/>
          <w:szCs w:val="24"/>
          <w:lang w:val="en-US"/>
        </w:rPr>
        <w:t>a process of increasing personal, interpersonal, or political power so that individuals, families, and communities can take action to improve their situations. It is a process that fosters power (i.e., the capacity to implement) in disenfranchised and powerless groups of people, for use in their own lives, in their communities, and in their society by acting on issues that they define as important Holcomb-McCoy and Brian (2010, p. 262).</w:t>
      </w:r>
    </w:p>
    <w:p w14:paraId="3446C968" w14:textId="77777777" w:rsidR="00632992" w:rsidRPr="00916580" w:rsidRDefault="00632992" w:rsidP="00632992">
      <w:pPr>
        <w:spacing w:after="0" w:line="240" w:lineRule="auto"/>
        <w:ind w:left="720" w:right="624"/>
        <w:jc w:val="both"/>
        <w:rPr>
          <w:rFonts w:ascii="Arial" w:hAnsi="Arial" w:cs="Arial"/>
          <w:sz w:val="24"/>
          <w:szCs w:val="24"/>
          <w:lang w:val="en-US"/>
        </w:rPr>
      </w:pPr>
    </w:p>
    <w:p w14:paraId="1AA96E2E" w14:textId="77777777" w:rsidR="00632992" w:rsidRPr="00916580" w:rsidRDefault="00632992" w:rsidP="00632992">
      <w:pPr>
        <w:spacing w:after="0" w:line="360" w:lineRule="auto"/>
        <w:jc w:val="both"/>
        <w:rPr>
          <w:rFonts w:ascii="Arial" w:hAnsi="Arial" w:cs="Arial"/>
          <w:sz w:val="24"/>
          <w:szCs w:val="24"/>
          <w:lang w:val="en-US"/>
        </w:rPr>
      </w:pPr>
    </w:p>
    <w:p w14:paraId="70F4948E" w14:textId="77777777"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The relationship between and advocate and their client will be primarily based on trust and empowerment and there must be no conflict of interest. An advocate places the individual at the centre of their own decision making and must acquire relevant training and skills to be able to identify the signs of abuse (see, appendix 11, p. 24). There are many tools that an advocate may use in their practice when supporting vulnerable people. For instance, </w:t>
      </w:r>
      <w:proofErr w:type="spellStart"/>
      <w:r w:rsidRPr="00916580">
        <w:rPr>
          <w:rFonts w:ascii="Arial" w:hAnsi="Arial" w:cs="Arial"/>
          <w:sz w:val="24"/>
          <w:szCs w:val="24"/>
          <w:lang w:val="en-US"/>
        </w:rPr>
        <w:t>Cattaneo</w:t>
      </w:r>
      <w:proofErr w:type="spellEnd"/>
      <w:r w:rsidRPr="00916580">
        <w:rPr>
          <w:rFonts w:ascii="Arial" w:hAnsi="Arial" w:cs="Arial"/>
          <w:sz w:val="24"/>
          <w:szCs w:val="24"/>
          <w:lang w:val="en-US"/>
        </w:rPr>
        <w:t xml:space="preserve"> and Chapman (2010, </w:t>
      </w:r>
      <w:r w:rsidRPr="00916580">
        <w:rPr>
          <w:rFonts w:ascii="Arial" w:hAnsi="Arial" w:cs="Arial"/>
          <w:i/>
          <w:iCs/>
          <w:sz w:val="24"/>
          <w:szCs w:val="24"/>
          <w:lang w:val="en-US"/>
        </w:rPr>
        <w:t>cited</w:t>
      </w:r>
      <w:r w:rsidRPr="00916580">
        <w:rPr>
          <w:rFonts w:ascii="Arial" w:hAnsi="Arial" w:cs="Arial"/>
          <w:sz w:val="24"/>
          <w:szCs w:val="24"/>
          <w:lang w:val="en-US"/>
        </w:rPr>
        <w:t xml:space="preserve"> in, </w:t>
      </w:r>
      <w:proofErr w:type="spellStart"/>
      <w:r w:rsidRPr="00916580">
        <w:rPr>
          <w:rFonts w:ascii="Arial" w:hAnsi="Arial" w:cs="Arial"/>
          <w:sz w:val="24"/>
          <w:szCs w:val="24"/>
          <w:lang w:val="en-US"/>
        </w:rPr>
        <w:t>Cattaneo</w:t>
      </w:r>
      <w:proofErr w:type="spellEnd"/>
      <w:r w:rsidRPr="00916580">
        <w:rPr>
          <w:rFonts w:ascii="Arial" w:hAnsi="Arial" w:cs="Arial"/>
          <w:sz w:val="24"/>
          <w:szCs w:val="24"/>
          <w:lang w:val="en-US"/>
        </w:rPr>
        <w:t xml:space="preserve"> and Goodman, 2013) uses the Empowerment Process Model to describe the empowerment building process. For example, when a person is experiencing a lack of power and autonomy in their current position; an advocate may support the individual to set goals to increase their power and </w:t>
      </w:r>
      <w:proofErr w:type="gramStart"/>
      <w:r w:rsidRPr="00916580">
        <w:rPr>
          <w:rFonts w:ascii="Arial" w:hAnsi="Arial" w:cs="Arial"/>
          <w:sz w:val="24"/>
          <w:szCs w:val="24"/>
          <w:lang w:val="en-US"/>
        </w:rPr>
        <w:t>take action</w:t>
      </w:r>
      <w:proofErr w:type="gramEnd"/>
      <w:r w:rsidRPr="00916580">
        <w:rPr>
          <w:rFonts w:ascii="Arial" w:hAnsi="Arial" w:cs="Arial"/>
          <w:sz w:val="24"/>
          <w:szCs w:val="24"/>
          <w:lang w:val="en-US"/>
        </w:rPr>
        <w:t xml:space="preserve"> themselves; this may help to build the individuals self-efficacy. During the advocacy support process, a relationship between the advocate and the client can be developed. This may further develop trust and confidence where the power and control are ultimately placed back into the hands of the individual (see, appendix, 11, p. 24). This process also aims to widen the individual’s knowledge, skills, local resources and support services, but ultimately supports the individual to be able to observe and reflect on the impact his or her actions may have in relation to changing the current situation (See, appendix 6). </w:t>
      </w:r>
    </w:p>
    <w:p w14:paraId="71F3EE1D" w14:textId="77777777" w:rsidR="00632992" w:rsidRPr="00916580" w:rsidRDefault="00632992" w:rsidP="00632992">
      <w:pPr>
        <w:spacing w:after="0" w:line="360" w:lineRule="auto"/>
        <w:jc w:val="both"/>
        <w:rPr>
          <w:rFonts w:ascii="Arial" w:hAnsi="Arial" w:cs="Arial"/>
          <w:sz w:val="24"/>
          <w:szCs w:val="24"/>
          <w:lang w:val="en-US"/>
        </w:rPr>
      </w:pPr>
    </w:p>
    <w:p w14:paraId="3602C958" w14:textId="77777777" w:rsidR="00632992" w:rsidRPr="00916580" w:rsidRDefault="00632992" w:rsidP="00632992">
      <w:pPr>
        <w:spacing w:after="0" w:line="360" w:lineRule="auto"/>
        <w:jc w:val="both"/>
        <w:rPr>
          <w:rFonts w:ascii="Arial" w:hAnsi="Arial" w:cs="Arial"/>
          <w:sz w:val="24"/>
          <w:szCs w:val="24"/>
          <w:lang w:val="en-US"/>
        </w:rPr>
      </w:pPr>
      <w:r w:rsidRPr="00916580">
        <w:rPr>
          <w:rFonts w:ascii="Arial" w:hAnsi="Arial" w:cs="Arial"/>
          <w:sz w:val="24"/>
          <w:szCs w:val="24"/>
          <w:lang w:val="en-US"/>
        </w:rPr>
        <w:t xml:space="preserve">There are national occupational standards for professional practitioners such as advocates to adhere to; these highlight the significance of developing good working practice. This entails promoting choice, wellbeing and protection of people. For instance, practice which maintains and evaluates systems to support and promote equality and diversity and individual’s rights in making sure personal choices are upheld in relation to their care and safety (see, appendix, 5). Furthermore, Rose (1990, p. 43) proposes that: </w:t>
      </w:r>
    </w:p>
    <w:p w14:paraId="23F303B8" w14:textId="77777777" w:rsidR="00632992" w:rsidRPr="00916580" w:rsidRDefault="00632992" w:rsidP="00632992">
      <w:pPr>
        <w:spacing w:after="0" w:line="240" w:lineRule="auto"/>
        <w:ind w:left="720" w:right="680"/>
        <w:jc w:val="both"/>
        <w:rPr>
          <w:rFonts w:ascii="Arial" w:hAnsi="Arial" w:cs="Arial"/>
          <w:sz w:val="24"/>
          <w:szCs w:val="24"/>
          <w:lang w:val="en-US"/>
        </w:rPr>
      </w:pPr>
      <w:r w:rsidRPr="00916580">
        <w:rPr>
          <w:rFonts w:ascii="Arial" w:hAnsi="Arial" w:cs="Arial"/>
          <w:sz w:val="24"/>
          <w:szCs w:val="24"/>
          <w:lang w:val="en-US"/>
        </w:rPr>
        <w:t>The advocacy/empowerment orientation to practice is an effort to combat the socially structured alienation, isolation, and poverty of substantive content available to understand ourselves and daily life.</w:t>
      </w:r>
    </w:p>
    <w:p w14:paraId="3CE28003" w14:textId="77777777" w:rsidR="00632992" w:rsidRPr="00916580" w:rsidRDefault="00632992" w:rsidP="00632992">
      <w:pPr>
        <w:spacing w:line="360" w:lineRule="auto"/>
        <w:jc w:val="both"/>
        <w:rPr>
          <w:rFonts w:ascii="Arial" w:hAnsi="Arial" w:cs="Arial"/>
          <w:sz w:val="24"/>
          <w:szCs w:val="24"/>
          <w:lang w:val="en-US"/>
        </w:rPr>
      </w:pPr>
    </w:p>
    <w:p w14:paraId="5855C895" w14:textId="5D5E919C" w:rsidR="00632992" w:rsidRPr="00916580" w:rsidRDefault="00632992" w:rsidP="00632992">
      <w:pPr>
        <w:spacing w:line="360" w:lineRule="auto"/>
        <w:jc w:val="both"/>
        <w:rPr>
          <w:rFonts w:ascii="Arial" w:hAnsi="Arial" w:cs="Arial"/>
          <w:sz w:val="24"/>
          <w:szCs w:val="24"/>
          <w:lang w:val="en-US"/>
        </w:rPr>
      </w:pPr>
      <w:r w:rsidRPr="00916580">
        <w:rPr>
          <w:rFonts w:ascii="Arial" w:hAnsi="Arial" w:cs="Arial"/>
          <w:sz w:val="24"/>
          <w:szCs w:val="24"/>
          <w:lang w:val="en-US"/>
        </w:rPr>
        <w:t xml:space="preserve">Rose (1990) also proposes that this approach to practice places the advocate/practitioner at the heart of addressing the oppressive structures which impact on vulnerable individual’s; the advocate in this case becomes more than a voice for the individual, but a driving force for social change. In addition, for social </w:t>
      </w:r>
      <w:r w:rsidRPr="00916580">
        <w:rPr>
          <w:rFonts w:ascii="Arial" w:hAnsi="Arial" w:cs="Arial"/>
          <w:sz w:val="24"/>
          <w:szCs w:val="24"/>
          <w:lang w:val="en-US"/>
        </w:rPr>
        <w:lastRenderedPageBreak/>
        <w:t xml:space="preserve">structures to continue to develop, transformation must take place in relation to both that which causes oppressive conditions and the ideologies which entrap individuals, rendering them defenseless. The fundamentals of advocacy values are rooted within power inequalities in society, for example, between state power that influences services and individual freedom of people using services (Ridley </w:t>
      </w:r>
      <w:r w:rsidRPr="00916580">
        <w:rPr>
          <w:rFonts w:ascii="Arial" w:hAnsi="Arial" w:cs="Arial"/>
          <w:i/>
          <w:iCs/>
          <w:sz w:val="24"/>
          <w:szCs w:val="24"/>
          <w:lang w:val="en-US"/>
        </w:rPr>
        <w:t>et al</w:t>
      </w:r>
      <w:r w:rsidRPr="00916580">
        <w:rPr>
          <w:rFonts w:ascii="Arial" w:hAnsi="Arial" w:cs="Arial"/>
          <w:sz w:val="24"/>
          <w:szCs w:val="24"/>
          <w:lang w:val="en-US"/>
        </w:rPr>
        <w:t xml:space="preserve">. 2015). Advocates will therefore need to have a sound understanding of relevant theories relating to power and oppression. There are </w:t>
      </w:r>
      <w:proofErr w:type="gramStart"/>
      <w:r w:rsidRPr="00916580">
        <w:rPr>
          <w:rFonts w:ascii="Arial" w:hAnsi="Arial" w:cs="Arial"/>
          <w:sz w:val="24"/>
          <w:szCs w:val="24"/>
          <w:lang w:val="en-US"/>
        </w:rPr>
        <w:t>a number of</w:t>
      </w:r>
      <w:proofErr w:type="gramEnd"/>
      <w:r w:rsidRPr="00916580">
        <w:rPr>
          <w:rFonts w:ascii="Arial" w:hAnsi="Arial" w:cs="Arial"/>
          <w:sz w:val="24"/>
          <w:szCs w:val="24"/>
          <w:lang w:val="en-US"/>
        </w:rPr>
        <w:t xml:space="preserve"> theoretical perspectives which support this concept, for example, Marx argued that societal inequalities are rooted in class struggles (social stratification) and the powers which control production (capitalism); such as business owners and those who work for the business owners. Marx believed that the very nature of capitalism lies at the heart of exploitation and oppression that generates inequality and disadvantage in society (</w:t>
      </w:r>
      <w:proofErr w:type="spellStart"/>
      <w:r w:rsidRPr="00916580">
        <w:rPr>
          <w:rFonts w:ascii="Arial" w:hAnsi="Arial" w:cs="Arial"/>
          <w:sz w:val="24"/>
          <w:szCs w:val="24"/>
          <w:lang w:val="en-US"/>
        </w:rPr>
        <w:t>Haralambos</w:t>
      </w:r>
      <w:proofErr w:type="spellEnd"/>
      <w:r w:rsidRPr="00916580">
        <w:rPr>
          <w:rFonts w:ascii="Arial" w:hAnsi="Arial" w:cs="Arial"/>
          <w:sz w:val="24"/>
          <w:szCs w:val="24"/>
          <w:lang w:val="en-US"/>
        </w:rPr>
        <w:t xml:space="preserve"> and </w:t>
      </w:r>
      <w:proofErr w:type="spellStart"/>
      <w:r w:rsidRPr="00916580">
        <w:rPr>
          <w:rFonts w:ascii="Arial" w:hAnsi="Arial" w:cs="Arial"/>
          <w:sz w:val="24"/>
          <w:szCs w:val="24"/>
          <w:lang w:val="en-US"/>
        </w:rPr>
        <w:t>Holborn</w:t>
      </w:r>
      <w:proofErr w:type="spellEnd"/>
      <w:r w:rsidRPr="00916580">
        <w:rPr>
          <w:rFonts w:ascii="Arial" w:hAnsi="Arial" w:cs="Arial"/>
          <w:sz w:val="24"/>
          <w:szCs w:val="24"/>
          <w:lang w:val="en-US"/>
        </w:rPr>
        <w:t xml:space="preserve">, 2008). Moreover, social justice perspectives have argued how sexist, racist and classist norms are engrained within conventional mental health theory and practice and the impact structural oppression can have on mental health and wellbeing of people affected (Smith, Chambers and </w:t>
      </w:r>
      <w:proofErr w:type="spellStart"/>
      <w:r w:rsidRPr="00916580">
        <w:rPr>
          <w:rFonts w:ascii="Arial" w:hAnsi="Arial" w:cs="Arial"/>
          <w:sz w:val="24"/>
          <w:szCs w:val="24"/>
          <w:lang w:val="en-US"/>
        </w:rPr>
        <w:t>Bratini</w:t>
      </w:r>
      <w:proofErr w:type="spellEnd"/>
      <w:r w:rsidRPr="00916580">
        <w:rPr>
          <w:rFonts w:ascii="Arial" w:hAnsi="Arial" w:cs="Arial"/>
          <w:sz w:val="24"/>
          <w:szCs w:val="24"/>
          <w:lang w:val="en-US"/>
        </w:rPr>
        <w:t xml:space="preserve">, 2009). In view of this, practitioners may need to develop socially just interventions </w:t>
      </w:r>
      <w:r w:rsidRPr="00916580">
        <w:rPr>
          <w:rFonts w:ascii="Arial" w:hAnsi="Arial" w:cs="Arial"/>
          <w:sz w:val="24"/>
          <w:szCs w:val="24"/>
          <w:lang w:val="en-US"/>
        </w:rPr>
        <w:t>regarding</w:t>
      </w:r>
      <w:r w:rsidRPr="00916580">
        <w:rPr>
          <w:rFonts w:ascii="Arial" w:hAnsi="Arial" w:cs="Arial"/>
          <w:sz w:val="24"/>
          <w:szCs w:val="24"/>
          <w:lang w:val="en-US"/>
        </w:rPr>
        <w:t xml:space="preserve"> their practice with clients from oppressed groups.</w:t>
      </w:r>
    </w:p>
    <w:p w14:paraId="6DFCDFA2" w14:textId="73098622" w:rsidR="00632992" w:rsidRPr="00916580" w:rsidRDefault="00632992" w:rsidP="00632992">
      <w:pPr>
        <w:spacing w:line="360" w:lineRule="auto"/>
        <w:jc w:val="both"/>
        <w:rPr>
          <w:rFonts w:ascii="Arial" w:hAnsi="Arial" w:cs="Arial"/>
          <w:sz w:val="24"/>
          <w:szCs w:val="24"/>
          <w:lang w:val="en-US"/>
        </w:rPr>
      </w:pPr>
      <w:r w:rsidRPr="00916580">
        <w:rPr>
          <w:rFonts w:ascii="Arial" w:hAnsi="Arial" w:cs="Arial"/>
          <w:sz w:val="24"/>
          <w:szCs w:val="24"/>
          <w:lang w:val="en-US"/>
        </w:rPr>
        <w:t xml:space="preserve">To achieve this, independent advocates may need to collaborate with a wide range of care and support services as well as other </w:t>
      </w:r>
      <w:proofErr w:type="spellStart"/>
      <w:r w:rsidRPr="00916580">
        <w:rPr>
          <w:rFonts w:ascii="Arial" w:hAnsi="Arial" w:cs="Arial"/>
          <w:sz w:val="24"/>
          <w:szCs w:val="24"/>
          <w:lang w:val="en-US"/>
        </w:rPr>
        <w:t>organisations</w:t>
      </w:r>
      <w:proofErr w:type="spellEnd"/>
      <w:r w:rsidRPr="00916580">
        <w:rPr>
          <w:rFonts w:ascii="Arial" w:hAnsi="Arial" w:cs="Arial"/>
          <w:sz w:val="24"/>
          <w:szCs w:val="24"/>
          <w:lang w:val="en-US"/>
        </w:rPr>
        <w:t xml:space="preserve"> that can deliver additional support for clients during the advocacy </w:t>
      </w:r>
      <w:proofErr w:type="gramStart"/>
      <w:r w:rsidRPr="00916580">
        <w:rPr>
          <w:rFonts w:ascii="Arial" w:hAnsi="Arial" w:cs="Arial"/>
          <w:sz w:val="24"/>
          <w:szCs w:val="24"/>
          <w:lang w:val="en-US"/>
        </w:rPr>
        <w:t>process, and</w:t>
      </w:r>
      <w:proofErr w:type="gramEnd"/>
      <w:r w:rsidRPr="00916580">
        <w:rPr>
          <w:rFonts w:ascii="Arial" w:hAnsi="Arial" w:cs="Arial"/>
          <w:sz w:val="24"/>
          <w:szCs w:val="24"/>
          <w:lang w:val="en-US"/>
        </w:rPr>
        <w:t xml:space="preserve"> understand the significance of using and maintaining systems throughout (see, appendix 7). In the case of the Winterbourne hospital it was emphasised how commissioners and council partners had neglected to develop the family support and prevention services. Other failings included ineffective performance management of Primary Care Trusts in the </w:t>
      </w:r>
      <w:proofErr w:type="spellStart"/>
      <w:r w:rsidRPr="00916580">
        <w:rPr>
          <w:rFonts w:ascii="Arial" w:hAnsi="Arial" w:cs="Arial"/>
          <w:sz w:val="24"/>
          <w:szCs w:val="24"/>
          <w:lang w:val="en-US"/>
        </w:rPr>
        <w:t>authorising</w:t>
      </w:r>
      <w:proofErr w:type="spellEnd"/>
      <w:r w:rsidRPr="00916580">
        <w:rPr>
          <w:rFonts w:ascii="Arial" w:hAnsi="Arial" w:cs="Arial"/>
          <w:sz w:val="24"/>
          <w:szCs w:val="24"/>
          <w:lang w:val="en-US"/>
        </w:rPr>
        <w:t xml:space="preserve"> of placements for this client group. The family support and prevention services play a key role in preventing vulnerable people from being placed into residential care such as that of Winterbourne View (see, appendix,1, p. 2).  National Occupational Standards (2015) highlight the importance of strategically coordinating networks and partnerships between formal and informal systems in relation to community development. </w:t>
      </w:r>
      <w:r w:rsidRPr="00916580">
        <w:rPr>
          <w:rFonts w:ascii="Arial" w:hAnsi="Arial" w:cs="Arial"/>
          <w:sz w:val="24"/>
          <w:szCs w:val="24"/>
          <w:lang w:val="en-US"/>
        </w:rPr>
        <w:t>Therefore</w:t>
      </w:r>
      <w:r w:rsidRPr="00916580">
        <w:rPr>
          <w:rFonts w:ascii="Arial" w:hAnsi="Arial" w:cs="Arial"/>
          <w:sz w:val="24"/>
          <w:szCs w:val="24"/>
          <w:lang w:val="en-US"/>
        </w:rPr>
        <w:t>, communities are strengthened through collective and collaborative actions which may support the care and wellbeing of vulnerable individuals (see, appendix 8).</w:t>
      </w:r>
    </w:p>
    <w:p w14:paraId="191C2C16" w14:textId="77777777" w:rsidR="00632992" w:rsidRPr="00916580" w:rsidRDefault="00632992" w:rsidP="00632992">
      <w:pPr>
        <w:spacing w:line="360" w:lineRule="auto"/>
        <w:jc w:val="both"/>
        <w:rPr>
          <w:rFonts w:ascii="Arial" w:hAnsi="Arial" w:cs="Arial"/>
          <w:sz w:val="24"/>
          <w:szCs w:val="24"/>
          <w:lang w:val="en-US"/>
        </w:rPr>
      </w:pPr>
      <w:r w:rsidRPr="00916580">
        <w:rPr>
          <w:rFonts w:ascii="Arial" w:hAnsi="Arial" w:cs="Arial"/>
          <w:sz w:val="24"/>
          <w:szCs w:val="24"/>
          <w:lang w:val="en-US"/>
        </w:rPr>
        <w:lastRenderedPageBreak/>
        <w:t xml:space="preserve">In response to the implementation of the Social Services and Well-being (Wales) Act 2014, the Care Council for Wales was asked to commission a national learning and development plan to strengthen and build on professional’s current knowledge and understanding of advocacy in Wales. An information learning hub was also developed so that all relevant </w:t>
      </w:r>
      <w:proofErr w:type="spellStart"/>
      <w:r w:rsidRPr="00916580">
        <w:rPr>
          <w:rFonts w:ascii="Arial" w:hAnsi="Arial" w:cs="Arial"/>
          <w:sz w:val="24"/>
          <w:szCs w:val="24"/>
          <w:lang w:val="en-US"/>
        </w:rPr>
        <w:t>organisations</w:t>
      </w:r>
      <w:proofErr w:type="spellEnd"/>
      <w:r w:rsidRPr="00916580">
        <w:rPr>
          <w:rFonts w:ascii="Arial" w:hAnsi="Arial" w:cs="Arial"/>
          <w:sz w:val="24"/>
          <w:szCs w:val="24"/>
          <w:lang w:val="en-US"/>
        </w:rPr>
        <w:t xml:space="preserve"> including advocates </w:t>
      </w:r>
      <w:proofErr w:type="gramStart"/>
      <w:r w:rsidRPr="00916580">
        <w:rPr>
          <w:rFonts w:ascii="Arial" w:hAnsi="Arial" w:cs="Arial"/>
          <w:sz w:val="24"/>
          <w:szCs w:val="24"/>
          <w:lang w:val="en-US"/>
        </w:rPr>
        <w:t>are able to</w:t>
      </w:r>
      <w:proofErr w:type="gramEnd"/>
      <w:r w:rsidRPr="00916580">
        <w:rPr>
          <w:rFonts w:ascii="Arial" w:hAnsi="Arial" w:cs="Arial"/>
          <w:sz w:val="24"/>
          <w:szCs w:val="24"/>
          <w:lang w:val="en-US"/>
        </w:rPr>
        <w:t xml:space="preserve"> access resources on the Act to assist them in their working practice (Social Care Wales, 2017). This service not only provides an extensive training module (see, appendix, 11) but provides updates to relevant information in relation to the Act. For instance, provides links to information about the Regulation and Inspection of Social Care (Wales) Act 2016 (Morgan, 2019). Although the ‘Independent Professional Advocacy’ training module is mainly aimed at informing individuals who work in social care and support services it may also support an independent advocate to effectively engage with these services. Furthermore, the above training module also provides links to key resources and other materials which may also support an independent advocate in their practice, including:  links to regulations, codes of practice and statutory guidance, UN Convention on the Rights of Disabled People, Welsh Government’s Framework for Action on Independent Living, Talking Points: Personal Outcomes Approach (2012) – Joint Improvement Team, Social Care Institute for Excellence (SCIE) Mental Capacity Act (MCA) resource, Human Rights Explained – The British Institute of Human Rights and an Advocate’s Guide to Independent Non-Instructed Advocacy (See, appendix 11, pp. 100-101). For this reason, information regarding these sources of information has not been included in the portfolio. </w:t>
      </w:r>
    </w:p>
    <w:p w14:paraId="68D40090" w14:textId="77777777" w:rsidR="00632992" w:rsidRPr="00DF4046" w:rsidRDefault="00632992" w:rsidP="00632992">
      <w:pPr>
        <w:spacing w:line="360" w:lineRule="auto"/>
        <w:jc w:val="both"/>
        <w:rPr>
          <w:rFonts w:ascii="Arial" w:hAnsi="Arial" w:cs="Arial"/>
          <w:sz w:val="24"/>
          <w:szCs w:val="24"/>
          <w:lang w:val="en-US"/>
        </w:rPr>
      </w:pPr>
      <w:r w:rsidRPr="00916580">
        <w:rPr>
          <w:rFonts w:ascii="Arial" w:hAnsi="Arial" w:cs="Arial"/>
          <w:sz w:val="24"/>
          <w:szCs w:val="24"/>
          <w:lang w:val="en-US"/>
        </w:rPr>
        <w:t xml:space="preserve">To conclude, the concept and relevance of reflective practice for independent advocacy will be briefly discussed. Russell (2005) proposes that many professional educationalists continue to pursue reflective practice as a significant element of professional training and development (see, appendix, 12). Hood (2007, </w:t>
      </w:r>
      <w:r w:rsidRPr="00916580">
        <w:rPr>
          <w:rFonts w:ascii="Arial" w:hAnsi="Arial" w:cs="Arial"/>
          <w:i/>
          <w:iCs/>
          <w:sz w:val="24"/>
          <w:szCs w:val="24"/>
          <w:lang w:val="en-US"/>
        </w:rPr>
        <w:t>cited</w:t>
      </w:r>
      <w:r w:rsidRPr="00916580">
        <w:rPr>
          <w:rFonts w:ascii="Arial" w:hAnsi="Arial" w:cs="Arial"/>
          <w:sz w:val="24"/>
          <w:szCs w:val="24"/>
          <w:lang w:val="en-US"/>
        </w:rPr>
        <w:t xml:space="preserve"> in Stonehouse, 2011) suggests that using a model of reflection may help to reinforce the process and help to build on thoughts and feelings. There are </w:t>
      </w:r>
      <w:proofErr w:type="gramStart"/>
      <w:r w:rsidRPr="00916580">
        <w:rPr>
          <w:rFonts w:ascii="Arial" w:hAnsi="Arial" w:cs="Arial"/>
          <w:sz w:val="24"/>
          <w:szCs w:val="24"/>
          <w:lang w:val="en-US"/>
        </w:rPr>
        <w:t>a number of</w:t>
      </w:r>
      <w:proofErr w:type="gramEnd"/>
      <w:r w:rsidRPr="00916580">
        <w:rPr>
          <w:rFonts w:ascii="Arial" w:hAnsi="Arial" w:cs="Arial"/>
          <w:sz w:val="24"/>
          <w:szCs w:val="24"/>
          <w:lang w:val="en-US"/>
        </w:rPr>
        <w:t xml:space="preserve"> models used to support reflective practice, for example, Kolb’s Experiential Learning Cycle (1984) and Gibbs Reflective Cycle (1988) (See, appendix, 12, p. 300). </w:t>
      </w:r>
      <w:proofErr w:type="spellStart"/>
      <w:r w:rsidRPr="00916580">
        <w:rPr>
          <w:rFonts w:ascii="Arial" w:hAnsi="Arial" w:cs="Arial"/>
          <w:sz w:val="24"/>
          <w:szCs w:val="24"/>
          <w:lang w:val="en-US"/>
        </w:rPr>
        <w:t>Bassot</w:t>
      </w:r>
      <w:proofErr w:type="spellEnd"/>
      <w:r w:rsidRPr="00916580">
        <w:rPr>
          <w:rFonts w:ascii="Arial" w:hAnsi="Arial" w:cs="Arial"/>
          <w:sz w:val="24"/>
          <w:szCs w:val="24"/>
          <w:lang w:val="en-US"/>
        </w:rPr>
        <w:t xml:space="preserve"> (2016) emphasis’s that critical reflection plays a significant role in professional practice. When an advocate, for instance approaches their work in a reflective way they may take more time to contemplate their practice at a deeper level including, questioning their </w:t>
      </w:r>
      <w:r w:rsidRPr="00916580">
        <w:rPr>
          <w:rFonts w:ascii="Arial" w:hAnsi="Arial" w:cs="Arial"/>
          <w:sz w:val="24"/>
          <w:szCs w:val="24"/>
          <w:lang w:val="en-US"/>
        </w:rPr>
        <w:lastRenderedPageBreak/>
        <w:t xml:space="preserve">approach and gaining greater self -awareness. Wheatley (2002 </w:t>
      </w:r>
      <w:r w:rsidRPr="00916580">
        <w:rPr>
          <w:rFonts w:ascii="Arial" w:hAnsi="Arial" w:cs="Arial"/>
          <w:i/>
          <w:iCs/>
          <w:sz w:val="24"/>
          <w:szCs w:val="24"/>
          <w:lang w:val="en-US"/>
        </w:rPr>
        <w:t>cited</w:t>
      </w:r>
      <w:r w:rsidRPr="00916580">
        <w:rPr>
          <w:rFonts w:ascii="Arial" w:hAnsi="Arial" w:cs="Arial"/>
          <w:sz w:val="24"/>
          <w:szCs w:val="24"/>
          <w:lang w:val="en-US"/>
        </w:rPr>
        <w:t xml:space="preserve"> in </w:t>
      </w:r>
      <w:proofErr w:type="spellStart"/>
      <w:r w:rsidRPr="00916580">
        <w:rPr>
          <w:rFonts w:ascii="Arial" w:hAnsi="Arial" w:cs="Arial"/>
          <w:sz w:val="24"/>
          <w:szCs w:val="24"/>
          <w:lang w:val="en-US"/>
        </w:rPr>
        <w:t>Bassot</w:t>
      </w:r>
      <w:proofErr w:type="spellEnd"/>
      <w:r w:rsidRPr="00916580">
        <w:rPr>
          <w:rFonts w:ascii="Arial" w:hAnsi="Arial" w:cs="Arial"/>
          <w:sz w:val="24"/>
          <w:szCs w:val="24"/>
          <w:lang w:val="en-US"/>
        </w:rPr>
        <w:t>, 2016, p. 1) claims that ‘without reflection, we go blindly on our own way, creating more unintended consequences, and failing to achieve anything useful.’</w:t>
      </w:r>
    </w:p>
    <w:p w14:paraId="0B724F70" w14:textId="77777777" w:rsidR="00632992" w:rsidRDefault="00632992"/>
    <w:sectPr w:rsidR="006329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992"/>
    <w:rsid w:val="001D33F4"/>
    <w:rsid w:val="00632992"/>
    <w:rsid w:val="00894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596E"/>
  <w15:chartTrackingRefBased/>
  <w15:docId w15:val="{CE2A36BE-977F-4D47-84E2-E180E71D8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9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2342</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Gale</dc:creator>
  <cp:keywords/>
  <dc:description/>
  <cp:lastModifiedBy>Autumn Gale</cp:lastModifiedBy>
  <cp:revision>2</cp:revision>
  <dcterms:created xsi:type="dcterms:W3CDTF">2019-07-22T21:01:00Z</dcterms:created>
  <dcterms:modified xsi:type="dcterms:W3CDTF">2019-07-22T21:01:00Z</dcterms:modified>
</cp:coreProperties>
</file>