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17832" w:rsidRDefault="006B16C9">
      <w:r>
        <w:t>PCDA – Assignment 1 – Student Number – 1922288 – Name – Kieron Gibbs</w:t>
      </w:r>
    </w:p>
    <w:p w:rsidR="006B16C9" w:rsidRDefault="006B16C9"/>
    <w:p w:rsidR="006B16C9" w:rsidRDefault="006B16C9" w:rsidP="006B16C9">
      <w:pPr>
        <w:rPr>
          <w:rFonts w:ascii="Arial" w:eastAsia="Times New Roman" w:hAnsi="Arial" w:cs="Arial"/>
          <w:lang w:eastAsia="en-GB"/>
        </w:rPr>
      </w:pPr>
      <w:r>
        <w:rPr>
          <w:rFonts w:ascii="Arial" w:eastAsia="Times New Roman" w:hAnsi="Arial" w:cs="Arial"/>
          <w:b/>
          <w:bCs/>
          <w:lang w:eastAsia="en-GB"/>
        </w:rPr>
        <w:t>Essay one t</w:t>
      </w:r>
      <w:r w:rsidRPr="00BC461A">
        <w:rPr>
          <w:rFonts w:ascii="Arial" w:eastAsia="Times New Roman" w:hAnsi="Arial" w:cs="Arial"/>
          <w:b/>
          <w:bCs/>
          <w:lang w:eastAsia="en-GB"/>
        </w:rPr>
        <w:t>itle:</w:t>
      </w:r>
    </w:p>
    <w:p w:rsidR="006B16C9" w:rsidRPr="008A27A7" w:rsidRDefault="006B16C9" w:rsidP="006B16C9">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rsidR="006B16C9" w:rsidRPr="00FC5F1E"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r w:rsidRPr="00BC461A">
        <w:rPr>
          <w:rFonts w:ascii="Arial" w:eastAsia="Times New Roman" w:hAnsi="Arial" w:cs="Arial"/>
          <w:i/>
          <w:iCs/>
          <w:lang w:eastAsia="en-GB"/>
        </w:rPr>
        <w:t xml:space="preserve">. </w:t>
      </w:r>
      <w:r w:rsidRPr="00FC5F1E">
        <w:rPr>
          <w:rFonts w:ascii="Arial" w:eastAsia="Times New Roman" w:hAnsi="Arial" w:cs="Arial"/>
          <w:i/>
          <w:iCs/>
          <w:lang w:eastAsia="en-GB"/>
        </w:rPr>
        <w:t xml:space="preserve">The </w:t>
      </w:r>
      <w:proofErr w:type="spellStart"/>
      <w:r w:rsidRPr="00FC5F1E">
        <w:rPr>
          <w:rFonts w:ascii="Arial" w:eastAsia="Times New Roman" w:hAnsi="Arial" w:cs="Arial"/>
          <w:i/>
          <w:iCs/>
          <w:lang w:eastAsia="en-GB"/>
        </w:rPr>
        <w:t>Peelian</w:t>
      </w:r>
      <w:proofErr w:type="spellEnd"/>
      <w:r w:rsidRPr="00FC5F1E">
        <w:rPr>
          <w:rFonts w:ascii="Arial" w:eastAsia="Times New Roman" w:hAnsi="Arial" w:cs="Arial"/>
          <w:i/>
          <w:iCs/>
          <w:lang w:eastAsia="en-GB"/>
        </w:rPr>
        <w:t xml:space="preserve"> model of modern policing presupposed the capacity of the police in the 19th-century England to win the trust and confidence of the majority of the population. Notably, the model is commonly referred to as ‘policing by consent’, being a long-standing philosophy of British policing. The philosophy of policing by consent has been widely viewed as essential to a democratic form of policing (Goldsmith, 2005), defined by the government; effective policing comes ‘not from fear but almost exclusively from public co-operation with the police, induced by them designedly by behaviour which secures and maintains for them the approval, respect and affection of the public’ (Criminal Justice Alliance, 2021). Essentially, where police legitimacy is undermined, or perceived as such, it can deter communities from seeking help as victims or witnesses of crime, generating a ‘wall of silence’ which in-turn impedes the ability of the police to solve crime (Criminal Justice Alliance, 2021). Independent bodies such as the IOPC and HMICFRS are in-place to restore and retain such police legitimacy, conducting investigations into police conduct, ranging from isolated cases to national systematic issues. Understanding the sheer scale of both attaining and maintaining policing to the highest standard, these organisations recognise a collaborative working environment is a necessity to achieve results efficiently and effectively (IOPC, 2018). Working in conjunction with the government, these bodies are consistently under expansion, thus highlighting their importance in safeguarding public safety, from the present day and beyond. </w:t>
      </w:r>
    </w:p>
    <w:p w:rsidR="006B16C9"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p>
    <w:p w:rsidR="006B16C9" w:rsidRPr="00FC5F1E"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r w:rsidRPr="00FC5F1E">
        <w:rPr>
          <w:rFonts w:ascii="Arial" w:eastAsia="Times New Roman" w:hAnsi="Arial" w:cs="Arial"/>
          <w:i/>
          <w:iCs/>
          <w:lang w:eastAsia="en-GB"/>
        </w:rPr>
        <w:t xml:space="preserve">The IOPC is the independent body that oversees the whole of the police complaints system, for the most serious isolated complaints, the police have to refer these cases to the IOPC (IOPC, 2021). In recent years, the organisation has experienced increased expansion; formally known as the IPCC, the independent body was renamed on the 8th of January 2018 from the Policing and Crime Act 2017. The change owed to the IPCC doubling in size since 2013, taking on six times as many investigations (IOPC, 2021). Such investigations are diverse with key areas including discrimination, corruption, and death (IOPC, 2021). Furthermore, such cases that arise are spontaneous in nature and difficult to predict, so while the IOPC investigates isolated incidents, the organisation simultaneously prioritise their efforts into preventative measures, such as the education of the police force with varied practices (IOPC, 2021).  </w:t>
      </w:r>
    </w:p>
    <w:p w:rsidR="006B16C9"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p>
    <w:p w:rsidR="006B16C9" w:rsidRPr="00FC5F1E"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r w:rsidRPr="00FC5F1E">
        <w:rPr>
          <w:rFonts w:ascii="Arial" w:eastAsia="Times New Roman" w:hAnsi="Arial" w:cs="Arial"/>
          <w:i/>
          <w:iCs/>
          <w:lang w:eastAsia="en-GB"/>
        </w:rPr>
        <w:t xml:space="preserve">Through the publication of the “learning the lessons magazines”, the IOPC shares key lessons learnt that were identified from previous investigations with a collaborative input from other bodies such as the College of Policing, NPCC, HMIFRCS and others (IOPC, 2018). Cross-referencing investigative data from multiple organisations ensures personnel are educated to the highest standards to prevent such instances from occurring in the future. Additionally, the IOPC reaffirms preventative measures with ‘learning recommendations’ to the police, either to individual officers or to all police </w:t>
      </w:r>
      <w:r w:rsidRPr="00FC5F1E">
        <w:rPr>
          <w:rFonts w:ascii="Arial" w:eastAsia="Times New Roman" w:hAnsi="Arial" w:cs="Arial"/>
          <w:i/>
          <w:iCs/>
          <w:lang w:eastAsia="en-GB"/>
        </w:rPr>
        <w:lastRenderedPageBreak/>
        <w:t xml:space="preserve">forces, recommendations can encompass improving practice, updating policy or changes to training (IOPC, 2018). The IOPC understands that a proportionate and effective regulatory and disciplinary system does not rely on waiting for policing to go wrong then acting after harms has occurred, instead focused on the reduction of risk initially (IOPC, 2018), thus safeguarding the public and generating a greater confidence in the police force itself. </w:t>
      </w:r>
    </w:p>
    <w:p w:rsidR="006B16C9"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p>
    <w:p w:rsidR="006B16C9" w:rsidRPr="00FC5F1E"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r w:rsidRPr="00FC5F1E">
        <w:rPr>
          <w:rFonts w:ascii="Arial" w:eastAsia="Times New Roman" w:hAnsi="Arial" w:cs="Arial"/>
          <w:i/>
          <w:iCs/>
          <w:lang w:eastAsia="en-GB"/>
        </w:rPr>
        <w:t>Whilst dealing with isolated cases of police conduct is of upmost importance, what cannot be neglected are concerns of conduct upon a national scale, matters which stem from a systematic source within the police, such matters are handled by the HMIFRCS (HMICFRS, 2021). Established in 1856, the independent body has since continued to establish police conduct to the highest standards, refining their practices to adapt the ever-evolving social climate of the nation (HMICFRS, 2021). HMIFRCS’ efforts do not go unnoticed, consistently garnering increasing responsibilities in safeguarding the nation, such was shown in October 2020 when the Home Secretary commissioned the HMFIRCS to inspect the effectiveness of the police in the manageme</w:t>
      </w:r>
      <w:r>
        <w:rPr>
          <w:rFonts w:ascii="Arial" w:eastAsia="Times New Roman" w:hAnsi="Arial" w:cs="Arial"/>
          <w:i/>
          <w:iCs/>
          <w:lang w:eastAsia="en-GB"/>
        </w:rPr>
        <w:t xml:space="preserve">nt of protests with respect to </w:t>
      </w:r>
      <w:r w:rsidRPr="00FC5F1E">
        <w:rPr>
          <w:rFonts w:ascii="Arial" w:eastAsia="Times New Roman" w:hAnsi="Arial" w:cs="Arial"/>
          <w:i/>
          <w:iCs/>
          <w:lang w:eastAsia="en-GB"/>
        </w:rPr>
        <w:t xml:space="preserve">the causes of Black Lives Matter and extinction rebellion (HMICFRS, 2021). From their findings, HMIFRCS suggested numerous improvements, an example would be that on a national, regional, and local basis, police should develop a stronger rationale for determining the number of personnel required to police protests (HMICFRS, 2021). HMIFRCS’ suggestion of improving police presence would influence protesters to convey their ideas in a safe manner that safeguards safety for both themselves and police, thus preserving the integrity of both parties, generating a positive perception from the public. </w:t>
      </w:r>
    </w:p>
    <w:p w:rsidR="006B16C9"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p>
    <w:p w:rsidR="006B16C9" w:rsidRPr="00FC5F1E"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r w:rsidRPr="00FC5F1E">
        <w:rPr>
          <w:rFonts w:ascii="Arial" w:eastAsia="Times New Roman" w:hAnsi="Arial" w:cs="Arial"/>
          <w:i/>
          <w:iCs/>
          <w:lang w:eastAsia="en-GB"/>
        </w:rPr>
        <w:t xml:space="preserve">Additionally, in other recent developments, the government tasked HMIFRCS with the administration of the super-complaints system, becoming operational on the 1st of November 2018. Differing from the individual complaints system handled by the IOPC, the super-complaint system enables designated organisations to raise broad or systematic issues that could affect public confidence in policing (IOPC, 2021). Most recently, the Criminal Justice Alliance launched a super-complaint into the “police use of stop and search powers” on the 18th of August 2021 stating their opinion on the ineffectiveness of section 60 with recommendations for reform (Criminal Justice Alliance, 2021). Super-complains are such, a catalyst for policing reform with a multitude of corrective actions that can be taken, depending on the specific parameters of a super-complaint. Such measures include a change of standards by the College of Policing, an inspection by the HMICFRS itself or a recommendation to change practice to one or more force. A triage committee comprising of the HMICFRS, IOPC and College of Policing are responsible for assessing super-complaints, thus deciding what action will be taken in response (IOPC, 2021). </w:t>
      </w:r>
    </w:p>
    <w:p w:rsidR="006B16C9"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p>
    <w:p w:rsidR="006B16C9" w:rsidRPr="00FC5F1E"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r w:rsidRPr="00FC5F1E">
        <w:rPr>
          <w:rFonts w:ascii="Arial" w:eastAsia="Times New Roman" w:hAnsi="Arial" w:cs="Arial"/>
          <w:i/>
          <w:iCs/>
          <w:lang w:eastAsia="en-GB"/>
        </w:rPr>
        <w:t xml:space="preserve">Concluding, for the adherence of the </w:t>
      </w:r>
      <w:proofErr w:type="spellStart"/>
      <w:r w:rsidRPr="00FC5F1E">
        <w:rPr>
          <w:rFonts w:ascii="Arial" w:eastAsia="Times New Roman" w:hAnsi="Arial" w:cs="Arial"/>
          <w:i/>
          <w:iCs/>
          <w:lang w:eastAsia="en-GB"/>
        </w:rPr>
        <w:t>Peelian</w:t>
      </w:r>
      <w:proofErr w:type="spellEnd"/>
      <w:r w:rsidRPr="00FC5F1E">
        <w:rPr>
          <w:rFonts w:ascii="Arial" w:eastAsia="Times New Roman" w:hAnsi="Arial" w:cs="Arial"/>
          <w:i/>
          <w:iCs/>
          <w:lang w:eastAsia="en-GB"/>
        </w:rPr>
        <w:t xml:space="preserve"> principle to be attained in a sustainable manner that promotes longevity, there is an absolute necessity for the independent bodies of the HMIFRCS and IOPC. The government recognises their necessity, enabling the HMIFRCS to investigate the handling of recent protests with recommendations for improvement (HMICFRS, 2021), this was further validated by HMFRICS’ recent acquisition of the super-complaints system in 2018, administering and subsequently resolving systematic police issues across the nation (IOPC, 2021). While organisations </w:t>
      </w:r>
      <w:r w:rsidRPr="00FC5F1E">
        <w:rPr>
          <w:rFonts w:ascii="Arial" w:eastAsia="Times New Roman" w:hAnsi="Arial" w:cs="Arial"/>
          <w:i/>
          <w:iCs/>
          <w:lang w:eastAsia="en-GB"/>
        </w:rPr>
        <w:lastRenderedPageBreak/>
        <w:t xml:space="preserve">such as the IOPC have a duty to improve the force through educational methods such as “learning the lessons magazines”, the body acknowledges they too have a duty for continual improvement in order to attain the </w:t>
      </w:r>
      <w:proofErr w:type="spellStart"/>
      <w:r w:rsidRPr="00FC5F1E">
        <w:rPr>
          <w:rFonts w:ascii="Arial" w:eastAsia="Times New Roman" w:hAnsi="Arial" w:cs="Arial"/>
          <w:i/>
          <w:iCs/>
          <w:lang w:eastAsia="en-GB"/>
        </w:rPr>
        <w:t>Peelian</w:t>
      </w:r>
      <w:proofErr w:type="spellEnd"/>
      <w:r w:rsidRPr="00FC5F1E">
        <w:rPr>
          <w:rFonts w:ascii="Arial" w:eastAsia="Times New Roman" w:hAnsi="Arial" w:cs="Arial"/>
          <w:i/>
          <w:iCs/>
          <w:lang w:eastAsia="en-GB"/>
        </w:rPr>
        <w:t xml:space="preserve"> principle with the police, represented by the continual improvement of the then bureaucratic and ineffective complaints system (IOPC, 2018). The positive influence of such work is highlighted in IOPC’s increasing expansion, doubling in size since 2013 (IOPC, 2021), such investment for growth highlights the upmost importance of the independent body for both the police and that of the public for the future. </w:t>
      </w:r>
    </w:p>
    <w:p w:rsidR="006B16C9" w:rsidRPr="00FC5F1E"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r w:rsidRPr="00FC5F1E">
        <w:rPr>
          <w:rFonts w:ascii="Arial" w:eastAsia="Times New Roman" w:hAnsi="Arial" w:cs="Arial"/>
          <w:i/>
          <w:iCs/>
          <w:lang w:eastAsia="en-GB"/>
        </w:rPr>
        <w:t xml:space="preserve">  </w:t>
      </w:r>
    </w:p>
    <w:p w:rsidR="006B16C9"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r w:rsidRPr="00FC5F1E">
        <w:rPr>
          <w:rFonts w:ascii="Arial" w:eastAsia="Times New Roman" w:hAnsi="Arial" w:cs="Arial"/>
          <w:i/>
          <w:iCs/>
          <w:lang w:eastAsia="en-GB"/>
        </w:rPr>
        <w:t>References</w:t>
      </w:r>
      <w:r>
        <w:rPr>
          <w:rFonts w:ascii="Arial" w:eastAsia="Times New Roman" w:hAnsi="Arial" w:cs="Arial"/>
          <w:i/>
          <w:iCs/>
          <w:lang w:eastAsia="en-GB"/>
        </w:rPr>
        <w:t>:</w:t>
      </w:r>
    </w:p>
    <w:p w:rsidR="006B16C9"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p>
    <w:p w:rsidR="006B16C9"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r w:rsidRPr="00FC5F1E">
        <w:rPr>
          <w:rFonts w:ascii="Arial" w:eastAsia="Times New Roman" w:hAnsi="Arial" w:cs="Arial"/>
          <w:i/>
          <w:iCs/>
          <w:lang w:eastAsia="en-GB"/>
        </w:rPr>
        <w:t xml:space="preserve"> Criminal Justice Alliance. (2021). </w:t>
      </w:r>
      <w:proofErr w:type="gramStart"/>
      <w:r w:rsidRPr="00FC5F1E">
        <w:rPr>
          <w:rFonts w:ascii="Arial" w:eastAsia="Times New Roman" w:hAnsi="Arial" w:cs="Arial"/>
          <w:i/>
          <w:iCs/>
          <w:lang w:eastAsia="en-GB"/>
        </w:rPr>
        <w:t>More</w:t>
      </w:r>
      <w:proofErr w:type="gramEnd"/>
      <w:r w:rsidRPr="00FC5F1E">
        <w:rPr>
          <w:rFonts w:ascii="Arial" w:eastAsia="Times New Roman" w:hAnsi="Arial" w:cs="Arial"/>
          <w:i/>
          <w:iCs/>
          <w:lang w:eastAsia="en-GB"/>
        </w:rPr>
        <w:t xml:space="preserve"> harm than good: CJA super-complaint. London: HM Inspectorate of Constabulary and Fire &amp; Rescue Services. </w:t>
      </w:r>
    </w:p>
    <w:p w:rsidR="006B16C9" w:rsidRPr="00FC5F1E"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p>
    <w:p w:rsidR="006B16C9"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r w:rsidRPr="00FC5F1E">
        <w:rPr>
          <w:rFonts w:ascii="Arial" w:eastAsia="Times New Roman" w:hAnsi="Arial" w:cs="Arial"/>
          <w:i/>
          <w:iCs/>
          <w:lang w:eastAsia="en-GB"/>
        </w:rPr>
        <w:t xml:space="preserve">Goldsmith, A. (2005). Police reform and the problem of trust. Theoretical Criminology, 452. </w:t>
      </w:r>
    </w:p>
    <w:p w:rsidR="006B16C9" w:rsidRPr="00FC5F1E"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p>
    <w:p w:rsidR="006B16C9"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r w:rsidRPr="00FC5F1E">
        <w:rPr>
          <w:rFonts w:ascii="Arial" w:eastAsia="Times New Roman" w:hAnsi="Arial" w:cs="Arial"/>
          <w:i/>
          <w:iCs/>
          <w:lang w:eastAsia="en-GB"/>
        </w:rPr>
        <w:t xml:space="preserve">HMICFRS. (2021). Getting the balance right? An inspection of how effectively the police deal with protests. London: HMICFRS. </w:t>
      </w:r>
    </w:p>
    <w:p w:rsidR="006B16C9" w:rsidRPr="00FC5F1E"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p>
    <w:p w:rsidR="006B16C9"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r w:rsidRPr="00FC5F1E">
        <w:rPr>
          <w:rFonts w:ascii="Arial" w:eastAsia="Times New Roman" w:hAnsi="Arial" w:cs="Arial"/>
          <w:i/>
          <w:iCs/>
          <w:lang w:eastAsia="en-GB"/>
        </w:rPr>
        <w:t xml:space="preserve">HMICFRS. (2021, September 19). Our role. Retrieved from HMICFRS: </w:t>
      </w:r>
      <w:hyperlink r:id="rId4" w:history="1">
        <w:r w:rsidRPr="00A42DB0">
          <w:rPr>
            <w:rStyle w:val="Hyperlink"/>
            <w:rFonts w:ascii="Arial" w:eastAsia="Times New Roman" w:hAnsi="Arial" w:cs="Arial"/>
            <w:i/>
            <w:iCs/>
            <w:lang w:eastAsia="en-GB"/>
          </w:rPr>
          <w:t>https://www.justiceinspectorates.gov.uk/hmicfrs/</w:t>
        </w:r>
      </w:hyperlink>
      <w:r w:rsidRPr="00FC5F1E">
        <w:rPr>
          <w:rFonts w:ascii="Arial" w:eastAsia="Times New Roman" w:hAnsi="Arial" w:cs="Arial"/>
          <w:i/>
          <w:iCs/>
          <w:lang w:eastAsia="en-GB"/>
        </w:rPr>
        <w:t xml:space="preserve"> </w:t>
      </w:r>
    </w:p>
    <w:p w:rsidR="006B16C9" w:rsidRPr="00FC5F1E"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p>
    <w:p w:rsidR="006B16C9"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r w:rsidRPr="00FC5F1E">
        <w:rPr>
          <w:rFonts w:ascii="Arial" w:eastAsia="Times New Roman" w:hAnsi="Arial" w:cs="Arial"/>
          <w:i/>
          <w:iCs/>
          <w:lang w:eastAsia="en-GB"/>
        </w:rPr>
        <w:t xml:space="preserve">HMICFRS. (2021, September 19). Policing protest reviews. Retrieved from HMICFRS: </w:t>
      </w:r>
      <w:hyperlink r:id="rId5" w:history="1">
        <w:r w:rsidRPr="00A42DB0">
          <w:rPr>
            <w:rStyle w:val="Hyperlink"/>
            <w:rFonts w:ascii="Arial" w:eastAsia="Times New Roman" w:hAnsi="Arial" w:cs="Arial"/>
            <w:i/>
            <w:iCs/>
            <w:lang w:eastAsia="en-GB"/>
          </w:rPr>
          <w:t>https://www.justiceinspectorates.gov.uk/hmicfrs/our-work/article/policing-protest-reviews/</w:t>
        </w:r>
      </w:hyperlink>
      <w:r w:rsidRPr="00FC5F1E">
        <w:rPr>
          <w:rFonts w:ascii="Arial" w:eastAsia="Times New Roman" w:hAnsi="Arial" w:cs="Arial"/>
          <w:i/>
          <w:iCs/>
          <w:lang w:eastAsia="en-GB"/>
        </w:rPr>
        <w:t xml:space="preserve"> </w:t>
      </w:r>
    </w:p>
    <w:p w:rsidR="006B16C9" w:rsidRPr="00FC5F1E"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p>
    <w:p w:rsidR="006B16C9"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r w:rsidRPr="00FC5F1E">
        <w:rPr>
          <w:rFonts w:ascii="Arial" w:eastAsia="Times New Roman" w:hAnsi="Arial" w:cs="Arial"/>
          <w:i/>
          <w:iCs/>
          <w:lang w:eastAsia="en-GB"/>
        </w:rPr>
        <w:t xml:space="preserve">HMICFRS. (2021, September 19). Who we are. Retrieved from HMICFRS: </w:t>
      </w:r>
      <w:hyperlink r:id="rId6" w:history="1">
        <w:r w:rsidRPr="00A42DB0">
          <w:rPr>
            <w:rStyle w:val="Hyperlink"/>
            <w:rFonts w:ascii="Arial" w:eastAsia="Times New Roman" w:hAnsi="Arial" w:cs="Arial"/>
            <w:i/>
            <w:iCs/>
            <w:lang w:eastAsia="en-GB"/>
          </w:rPr>
          <w:t>https://www.justiceinspectorates.gov.uk/hmicfrs/about-us/who-we-are/</w:t>
        </w:r>
      </w:hyperlink>
      <w:r w:rsidRPr="00FC5F1E">
        <w:rPr>
          <w:rFonts w:ascii="Arial" w:eastAsia="Times New Roman" w:hAnsi="Arial" w:cs="Arial"/>
          <w:i/>
          <w:iCs/>
          <w:lang w:eastAsia="en-GB"/>
        </w:rPr>
        <w:t xml:space="preserve"> </w:t>
      </w:r>
    </w:p>
    <w:p w:rsidR="006B16C9" w:rsidRPr="00FC5F1E"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p>
    <w:p w:rsidR="006B16C9"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r w:rsidRPr="00FC5F1E">
        <w:rPr>
          <w:rFonts w:ascii="Arial" w:eastAsia="Times New Roman" w:hAnsi="Arial" w:cs="Arial"/>
          <w:i/>
          <w:iCs/>
          <w:lang w:eastAsia="en-GB"/>
        </w:rPr>
        <w:t xml:space="preserve">IOPC. (2018). IOPC Learning Strategy 2018-22. London: IOPC. </w:t>
      </w:r>
    </w:p>
    <w:p w:rsidR="006B16C9" w:rsidRPr="00FC5F1E"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p>
    <w:p w:rsidR="006B16C9"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r w:rsidRPr="00FC5F1E">
        <w:rPr>
          <w:rFonts w:ascii="Arial" w:eastAsia="Times New Roman" w:hAnsi="Arial" w:cs="Arial"/>
          <w:i/>
          <w:iCs/>
          <w:lang w:eastAsia="en-GB"/>
        </w:rPr>
        <w:t xml:space="preserve">IOPC. (2021, September 16). Key areas of work. Retrieved from IOPC: </w:t>
      </w:r>
      <w:hyperlink r:id="rId7" w:history="1">
        <w:r w:rsidRPr="00A42DB0">
          <w:rPr>
            <w:rStyle w:val="Hyperlink"/>
            <w:rFonts w:ascii="Arial" w:eastAsia="Times New Roman" w:hAnsi="Arial" w:cs="Arial"/>
            <w:i/>
            <w:iCs/>
            <w:lang w:eastAsia="en-GB"/>
          </w:rPr>
          <w:t>https://www.policeconduct.gov.uk/research-and-learning/key-areas-work</w:t>
        </w:r>
      </w:hyperlink>
      <w:r w:rsidRPr="00FC5F1E">
        <w:rPr>
          <w:rFonts w:ascii="Arial" w:eastAsia="Times New Roman" w:hAnsi="Arial" w:cs="Arial"/>
          <w:i/>
          <w:iCs/>
          <w:lang w:eastAsia="en-GB"/>
        </w:rPr>
        <w:t xml:space="preserve"> </w:t>
      </w:r>
    </w:p>
    <w:p w:rsidR="006B16C9" w:rsidRPr="00FC5F1E"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p>
    <w:p w:rsidR="006B16C9"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r w:rsidRPr="00FC5F1E">
        <w:rPr>
          <w:rFonts w:ascii="Arial" w:eastAsia="Times New Roman" w:hAnsi="Arial" w:cs="Arial"/>
          <w:i/>
          <w:iCs/>
          <w:lang w:eastAsia="en-GB"/>
        </w:rPr>
        <w:t xml:space="preserve">IOPC. (2021, September 16). Learning and recommendations. Retrieved from IOPC: </w:t>
      </w:r>
      <w:hyperlink r:id="rId8" w:history="1">
        <w:r w:rsidRPr="00A42DB0">
          <w:rPr>
            <w:rStyle w:val="Hyperlink"/>
            <w:rFonts w:ascii="Arial" w:eastAsia="Times New Roman" w:hAnsi="Arial" w:cs="Arial"/>
            <w:i/>
            <w:iCs/>
            <w:lang w:eastAsia="en-GB"/>
          </w:rPr>
          <w:t>https://www.policeconduct.gov.uk/research-and-learning/learning-and-recommendations</w:t>
        </w:r>
      </w:hyperlink>
      <w:r w:rsidRPr="00FC5F1E">
        <w:rPr>
          <w:rFonts w:ascii="Arial" w:eastAsia="Times New Roman" w:hAnsi="Arial" w:cs="Arial"/>
          <w:i/>
          <w:iCs/>
          <w:lang w:eastAsia="en-GB"/>
        </w:rPr>
        <w:t xml:space="preserve"> </w:t>
      </w:r>
    </w:p>
    <w:p w:rsidR="006B16C9" w:rsidRPr="00FC5F1E"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p>
    <w:p w:rsidR="006B16C9"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r w:rsidRPr="00FC5F1E">
        <w:rPr>
          <w:rFonts w:ascii="Arial" w:eastAsia="Times New Roman" w:hAnsi="Arial" w:cs="Arial"/>
          <w:i/>
          <w:iCs/>
          <w:lang w:eastAsia="en-GB"/>
        </w:rPr>
        <w:t xml:space="preserve">IOPC. (2021, September 20). Super-complaints and working with other policing oversight bodies. Retrieved from IOPC: </w:t>
      </w:r>
      <w:hyperlink r:id="rId9" w:history="1">
        <w:r w:rsidRPr="00A42DB0">
          <w:rPr>
            <w:rStyle w:val="Hyperlink"/>
            <w:rFonts w:ascii="Arial" w:eastAsia="Times New Roman" w:hAnsi="Arial" w:cs="Arial"/>
            <w:i/>
            <w:iCs/>
            <w:lang w:eastAsia="en-GB"/>
          </w:rPr>
          <w:t>https://www.policeconduct.gov.uk/complaints-and-appeals/supercomplaints-and-working-other-policing-oversight-bodies</w:t>
        </w:r>
      </w:hyperlink>
      <w:r w:rsidRPr="00FC5F1E">
        <w:rPr>
          <w:rFonts w:ascii="Arial" w:eastAsia="Times New Roman" w:hAnsi="Arial" w:cs="Arial"/>
          <w:i/>
          <w:iCs/>
          <w:lang w:eastAsia="en-GB"/>
        </w:rPr>
        <w:t xml:space="preserve"> </w:t>
      </w:r>
    </w:p>
    <w:p w:rsidR="006B16C9" w:rsidRPr="00FC5F1E"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i/>
          <w:iCs/>
          <w:lang w:eastAsia="en-GB"/>
        </w:rPr>
      </w:pPr>
    </w:p>
    <w:p w:rsidR="006B16C9" w:rsidRPr="00BC461A" w:rsidRDefault="006B16C9" w:rsidP="006B16C9">
      <w:pPr>
        <w:pStyle w:val="ListParagraph"/>
        <w:overflowPunct w:val="0"/>
        <w:autoSpaceDE w:val="0"/>
        <w:autoSpaceDN w:val="0"/>
        <w:adjustRightInd w:val="0"/>
        <w:spacing w:before="240" w:after="0" w:line="276" w:lineRule="auto"/>
        <w:ind w:left="360"/>
        <w:textAlignment w:val="baseline"/>
        <w:rPr>
          <w:rFonts w:ascii="Arial" w:eastAsia="Times New Roman" w:hAnsi="Arial" w:cs="Arial"/>
          <w:b/>
          <w:sz w:val="24"/>
          <w:szCs w:val="24"/>
          <w:lang w:eastAsia="en-GB"/>
        </w:rPr>
      </w:pPr>
      <w:r w:rsidRPr="00FC5F1E">
        <w:rPr>
          <w:rFonts w:ascii="Arial" w:eastAsia="Times New Roman" w:hAnsi="Arial" w:cs="Arial"/>
          <w:i/>
          <w:iCs/>
          <w:lang w:eastAsia="en-GB"/>
        </w:rPr>
        <w:t xml:space="preserve">IOPC. (2021, September 15). Who we are. Retrieved from IOPC: </w:t>
      </w:r>
      <w:hyperlink r:id="rId10" w:history="1">
        <w:r w:rsidRPr="00FC5F1E">
          <w:rPr>
            <w:rStyle w:val="Hyperlink"/>
            <w:rFonts w:ascii="Arial" w:eastAsia="Times New Roman" w:hAnsi="Arial" w:cs="Arial"/>
            <w:i/>
            <w:iCs/>
            <w:lang w:eastAsia="en-GB"/>
          </w:rPr>
          <w:t>https://www.policeconduct.gov.uk/who-we-are</w:t>
        </w:r>
      </w:hyperlink>
    </w:p>
    <w:p w:rsidR="006B16C9" w:rsidRDefault="006B16C9" w:rsidP="006B16C9">
      <w:pPr>
        <w:overflowPunct w:val="0"/>
        <w:autoSpaceDE w:val="0"/>
        <w:autoSpaceDN w:val="0"/>
        <w:adjustRightInd w:val="0"/>
        <w:spacing w:before="240" w:after="0" w:line="240" w:lineRule="auto"/>
        <w:textAlignment w:val="baseline"/>
        <w:rPr>
          <w:rFonts w:ascii="Arial" w:eastAsia="Times New Roman" w:hAnsi="Arial" w:cs="Arial"/>
          <w:b/>
          <w:bCs/>
          <w:lang w:eastAsia="en-GB"/>
        </w:rPr>
      </w:pPr>
      <w:r>
        <w:rPr>
          <w:rFonts w:ascii="Arial" w:eastAsia="Times New Roman" w:hAnsi="Arial" w:cs="Arial"/>
          <w:b/>
          <w:bCs/>
          <w:lang w:eastAsia="en-GB"/>
        </w:rPr>
        <w:t>Word Count - 1092</w:t>
      </w:r>
    </w:p>
    <w:p w:rsidR="006B16C9" w:rsidRDefault="006B16C9" w:rsidP="006B16C9">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rsidR="006B16C9" w:rsidRDefault="006B16C9" w:rsidP="006B16C9">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lastRenderedPageBreak/>
        <w:t>Essay two t</w:t>
      </w:r>
      <w:r w:rsidRPr="00BC461A">
        <w:rPr>
          <w:rFonts w:ascii="Arial" w:eastAsia="Times New Roman" w:hAnsi="Arial" w:cs="Arial"/>
          <w:b/>
          <w:bCs/>
          <w:lang w:eastAsia="en-GB"/>
        </w:rPr>
        <w:t>itle:</w:t>
      </w:r>
      <w:r w:rsidRPr="0B4505FB">
        <w:rPr>
          <w:rFonts w:ascii="Arial" w:eastAsia="Times New Roman" w:hAnsi="Arial" w:cs="Arial"/>
          <w:lang w:eastAsia="en-GB"/>
        </w:rPr>
        <w:t xml:space="preserve"> </w:t>
      </w:r>
    </w:p>
    <w:p w:rsidR="006B16C9" w:rsidRDefault="006B16C9" w:rsidP="006B16C9">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Pr="008A27A7">
        <w:rPr>
          <w:rFonts w:ascii="Arial" w:eastAsia="Times New Roman" w:hAnsi="Arial" w:cs="Arial"/>
          <w:lang w:eastAsia="en-GB"/>
        </w:rPr>
        <w:t xml:space="preserve"> the ethical dimension of ‘real time’ operational decisions. (1000 words)</w:t>
      </w:r>
    </w:p>
    <w:p w:rsidR="006B16C9" w:rsidRPr="00FC5F1E" w:rsidRDefault="006B16C9" w:rsidP="006B16C9">
      <w:pPr>
        <w:overflowPunct w:val="0"/>
        <w:autoSpaceDE w:val="0"/>
        <w:autoSpaceDN w:val="0"/>
        <w:adjustRightInd w:val="0"/>
        <w:spacing w:before="240" w:after="0" w:line="276" w:lineRule="auto"/>
        <w:textAlignment w:val="baseline"/>
        <w:rPr>
          <w:rFonts w:ascii="Arial" w:eastAsia="Times New Roman" w:hAnsi="Arial" w:cs="Arial"/>
          <w:i/>
          <w:lang w:eastAsia="en-GB"/>
        </w:rPr>
      </w:pPr>
      <w:r w:rsidRPr="00FC5F1E">
        <w:rPr>
          <w:rFonts w:ascii="Arial" w:eastAsia="Times New Roman" w:hAnsi="Arial" w:cs="Arial"/>
          <w:i/>
          <w:lang w:eastAsia="en-GB"/>
        </w:rPr>
        <w:t xml:space="preserve">Ethical conduct comes from the values, beliefs, attitudes, and knowledge that guide the decisions of each individual (College of Policing, 2014). The significance of the ethical dimension of policing cannot be understated, with either its successful application, or conversely, its omission, generating both positive and negative implications, respectively. Everyone in policing has to make difficult decisions and complex choices every day of the week, due to recent technological advancements, the ethical nature of such decisions and choices are consistently under question (College of Policing, 2014). A study from the Home Office reaffirms this, stating that 68% of respondents of the public said they wouldn’t want to be in the position of a police officer or staff member when making decisions and 40% of those surveyed felt the challenges facing the police when making decisions were harder than they previously thought. The College of Policing recognises the challenge of attaining ethical policing, instilling reform across all areas of the police force with the publication of the Code of Ethics in 2014, under the Anti-Social Behaviour, Crime and Policing Act 2014 (College of Policing, 2021; Home Office, 2014). The Code aims to deliver the highest professional standards to 220,000 officers (Home Office, 2014), to promote a force that operates consistently under </w:t>
      </w:r>
      <w:proofErr w:type="spellStart"/>
      <w:r w:rsidRPr="00FC5F1E">
        <w:rPr>
          <w:rFonts w:ascii="Arial" w:eastAsia="Times New Roman" w:hAnsi="Arial" w:cs="Arial"/>
          <w:i/>
          <w:lang w:eastAsia="en-GB"/>
        </w:rPr>
        <w:t>Peelian</w:t>
      </w:r>
      <w:proofErr w:type="spellEnd"/>
      <w:r w:rsidRPr="00FC5F1E">
        <w:rPr>
          <w:rFonts w:ascii="Arial" w:eastAsia="Times New Roman" w:hAnsi="Arial" w:cs="Arial"/>
          <w:i/>
          <w:lang w:eastAsia="en-GB"/>
        </w:rPr>
        <w:t xml:space="preserve"> principles, and such, garnering public trust to ensure effective policing. </w:t>
      </w:r>
    </w:p>
    <w:p w:rsidR="006B16C9" w:rsidRPr="00FC5F1E" w:rsidRDefault="006B16C9" w:rsidP="006B16C9">
      <w:pPr>
        <w:overflowPunct w:val="0"/>
        <w:autoSpaceDE w:val="0"/>
        <w:autoSpaceDN w:val="0"/>
        <w:adjustRightInd w:val="0"/>
        <w:spacing w:before="240" w:after="0" w:line="276" w:lineRule="auto"/>
        <w:textAlignment w:val="baseline"/>
        <w:rPr>
          <w:rFonts w:ascii="Arial" w:eastAsia="Times New Roman" w:hAnsi="Arial" w:cs="Arial"/>
          <w:i/>
          <w:lang w:eastAsia="en-GB"/>
        </w:rPr>
      </w:pPr>
      <w:r w:rsidRPr="00FC5F1E">
        <w:rPr>
          <w:rFonts w:ascii="Arial" w:eastAsia="Times New Roman" w:hAnsi="Arial" w:cs="Arial"/>
          <w:i/>
          <w:lang w:eastAsia="en-GB"/>
        </w:rPr>
        <w:t xml:space="preserve">The significance of the ethical dimension of policing has demonstrated an increasing level of importance to the Home Office in recent years with a substantial expansion in reform. Recent examples include the increased powers of independent bodies, such as the IOPC and HMIFRCS (IOPC, 2018) and the previously mentioned publication of the Code of Ethics in 2014 (College of Policing, 2021). A precursor for ethical reform is attributed to current technological advancements, including social media. According to the Code of Ethics, policing is expected to consistently maintain the highest standards of each real-time decision. The Code’s high standards are quintessential to combat </w:t>
      </w:r>
      <w:proofErr w:type="gramStart"/>
      <w:r w:rsidRPr="00FC5F1E">
        <w:rPr>
          <w:rFonts w:ascii="Arial" w:eastAsia="Times New Roman" w:hAnsi="Arial" w:cs="Arial"/>
          <w:i/>
          <w:lang w:eastAsia="en-GB"/>
        </w:rPr>
        <w:t>the mitigate</w:t>
      </w:r>
      <w:proofErr w:type="gramEnd"/>
      <w:r w:rsidRPr="00FC5F1E">
        <w:rPr>
          <w:rFonts w:ascii="Arial" w:eastAsia="Times New Roman" w:hAnsi="Arial" w:cs="Arial"/>
          <w:i/>
          <w:lang w:eastAsia="en-GB"/>
        </w:rPr>
        <w:t xml:space="preserve"> the influence of social media, as users are able to obtain a preconceived perception of the police instantaneously with the exclusion of full context of a situation (College of Policing, 2014). If such perception on an officer’s ethical standards is deemed negative, public trust with respect to policing is hindered, jeopardising the effectiveness of the force.  </w:t>
      </w:r>
    </w:p>
    <w:p w:rsidR="006B16C9" w:rsidRPr="00FC5F1E" w:rsidRDefault="006B16C9" w:rsidP="006B16C9">
      <w:pPr>
        <w:overflowPunct w:val="0"/>
        <w:autoSpaceDE w:val="0"/>
        <w:autoSpaceDN w:val="0"/>
        <w:adjustRightInd w:val="0"/>
        <w:spacing w:before="240" w:after="0" w:line="276" w:lineRule="auto"/>
        <w:textAlignment w:val="baseline"/>
        <w:rPr>
          <w:rFonts w:ascii="Arial" w:eastAsia="Times New Roman" w:hAnsi="Arial" w:cs="Arial"/>
          <w:i/>
          <w:lang w:eastAsia="en-GB"/>
        </w:rPr>
      </w:pPr>
      <w:r w:rsidRPr="00FC5F1E">
        <w:rPr>
          <w:rFonts w:ascii="Arial" w:eastAsia="Times New Roman" w:hAnsi="Arial" w:cs="Arial"/>
          <w:i/>
          <w:lang w:eastAsia="en-GB"/>
        </w:rPr>
        <w:t xml:space="preserve">A recent example comprises of a super-complaint from the Criminal Justice Alliance, stating their concern regarding the ‘wall of silence’ in communities. Essentially, victims or witnesses to a crime are unlikely to assist in an investigation due to distrust within the police, due to unethical practice (Criminal Justice Alliance, 2021). This leads to consequences such as an over allocation and overfunding of resources, unsolved investigations and subsequently, an increase in crime and decrease in public safety (Quinton, </w:t>
      </w:r>
      <w:proofErr w:type="spellStart"/>
      <w:r w:rsidRPr="00FC5F1E">
        <w:rPr>
          <w:rFonts w:ascii="Arial" w:eastAsia="Times New Roman" w:hAnsi="Arial" w:cs="Arial"/>
          <w:i/>
          <w:lang w:eastAsia="en-GB"/>
        </w:rPr>
        <w:t>Myhill</w:t>
      </w:r>
      <w:proofErr w:type="spellEnd"/>
      <w:r w:rsidRPr="00FC5F1E">
        <w:rPr>
          <w:rFonts w:ascii="Arial" w:eastAsia="Times New Roman" w:hAnsi="Arial" w:cs="Arial"/>
          <w:i/>
          <w:lang w:eastAsia="en-GB"/>
        </w:rPr>
        <w:t xml:space="preserve">, Bradford, </w:t>
      </w:r>
      <w:proofErr w:type="spellStart"/>
      <w:r w:rsidRPr="00FC5F1E">
        <w:rPr>
          <w:rFonts w:ascii="Arial" w:eastAsia="Times New Roman" w:hAnsi="Arial" w:cs="Arial"/>
          <w:i/>
          <w:lang w:eastAsia="en-GB"/>
        </w:rPr>
        <w:t>Fildes</w:t>
      </w:r>
      <w:proofErr w:type="spellEnd"/>
      <w:r w:rsidRPr="00FC5F1E">
        <w:rPr>
          <w:rFonts w:ascii="Arial" w:eastAsia="Times New Roman" w:hAnsi="Arial" w:cs="Arial"/>
          <w:i/>
          <w:lang w:eastAsia="en-GB"/>
        </w:rPr>
        <w:t xml:space="preserve">, &amp; Porter, 2015). The College of Policing recognises public trust reveals a fragile nature under the influence of social media. As a result, preventative measures have been implemented into the Code of Ethics to ensure ethical policing is present across all areas of real-time operational decisions. </w:t>
      </w:r>
    </w:p>
    <w:p w:rsidR="006B16C9" w:rsidRPr="00FC5F1E" w:rsidRDefault="006B16C9" w:rsidP="006B16C9">
      <w:pPr>
        <w:overflowPunct w:val="0"/>
        <w:autoSpaceDE w:val="0"/>
        <w:autoSpaceDN w:val="0"/>
        <w:adjustRightInd w:val="0"/>
        <w:spacing w:before="240" w:after="0" w:line="276" w:lineRule="auto"/>
        <w:textAlignment w:val="baseline"/>
        <w:rPr>
          <w:rFonts w:ascii="Arial" w:eastAsia="Times New Roman" w:hAnsi="Arial" w:cs="Arial"/>
          <w:i/>
          <w:lang w:eastAsia="en-GB"/>
        </w:rPr>
      </w:pPr>
      <w:r w:rsidRPr="00FC5F1E">
        <w:rPr>
          <w:rFonts w:ascii="Arial" w:eastAsia="Times New Roman" w:hAnsi="Arial" w:cs="Arial"/>
          <w:i/>
          <w:lang w:eastAsia="en-GB"/>
        </w:rPr>
        <w:t xml:space="preserve">The necessity of ethical policing is extenuated by the sheer fragility of public trust. Consistent and moral policing is vital in building and maintaining a positive public perception, however, a single </w:t>
      </w:r>
      <w:proofErr w:type="spellStart"/>
      <w:r w:rsidRPr="00FC5F1E">
        <w:rPr>
          <w:rFonts w:ascii="Arial" w:eastAsia="Times New Roman" w:hAnsi="Arial" w:cs="Arial"/>
          <w:i/>
          <w:lang w:eastAsia="en-GB"/>
        </w:rPr>
        <w:t>realtime</w:t>
      </w:r>
      <w:proofErr w:type="spellEnd"/>
      <w:r w:rsidRPr="00FC5F1E">
        <w:rPr>
          <w:rFonts w:ascii="Arial" w:eastAsia="Times New Roman" w:hAnsi="Arial" w:cs="Arial"/>
          <w:i/>
          <w:lang w:eastAsia="en-GB"/>
        </w:rPr>
        <w:t xml:space="preserve"> decision made with the omission of ethical reasoning has the </w:t>
      </w:r>
      <w:r w:rsidRPr="00FC5F1E">
        <w:rPr>
          <w:rFonts w:ascii="Arial" w:eastAsia="Times New Roman" w:hAnsi="Arial" w:cs="Arial"/>
          <w:i/>
          <w:lang w:eastAsia="en-GB"/>
        </w:rPr>
        <w:lastRenderedPageBreak/>
        <w:t xml:space="preserve">potential to negate all previous perceptions (Quinton, </w:t>
      </w:r>
      <w:proofErr w:type="spellStart"/>
      <w:r w:rsidRPr="00FC5F1E">
        <w:rPr>
          <w:rFonts w:ascii="Arial" w:eastAsia="Times New Roman" w:hAnsi="Arial" w:cs="Arial"/>
          <w:i/>
          <w:lang w:eastAsia="en-GB"/>
        </w:rPr>
        <w:t>Myhill</w:t>
      </w:r>
      <w:proofErr w:type="spellEnd"/>
      <w:r w:rsidRPr="00FC5F1E">
        <w:rPr>
          <w:rFonts w:ascii="Arial" w:eastAsia="Times New Roman" w:hAnsi="Arial" w:cs="Arial"/>
          <w:i/>
          <w:lang w:eastAsia="en-GB"/>
        </w:rPr>
        <w:t xml:space="preserve">, Bradford, </w:t>
      </w:r>
      <w:proofErr w:type="spellStart"/>
      <w:r w:rsidRPr="00FC5F1E">
        <w:rPr>
          <w:rFonts w:ascii="Arial" w:eastAsia="Times New Roman" w:hAnsi="Arial" w:cs="Arial"/>
          <w:i/>
          <w:lang w:eastAsia="en-GB"/>
        </w:rPr>
        <w:t>Fildes</w:t>
      </w:r>
      <w:proofErr w:type="spellEnd"/>
      <w:r w:rsidRPr="00FC5F1E">
        <w:rPr>
          <w:rFonts w:ascii="Arial" w:eastAsia="Times New Roman" w:hAnsi="Arial" w:cs="Arial"/>
          <w:i/>
          <w:lang w:eastAsia="en-GB"/>
        </w:rPr>
        <w:t xml:space="preserve">, &amp; Porter, 2015). Subsequently, the College of Policing implemented the National Decision Model (NDM) within the Code of Ethics, instilling the highest absolute ethical standards in primary decision-making across England and Wales, such mitigating any risk to the fragility of public trust and integrity of the </w:t>
      </w:r>
      <w:proofErr w:type="spellStart"/>
      <w:r w:rsidRPr="00FC5F1E">
        <w:rPr>
          <w:rFonts w:ascii="Arial" w:eastAsia="Times New Roman" w:hAnsi="Arial" w:cs="Arial"/>
          <w:i/>
          <w:lang w:eastAsia="en-GB"/>
        </w:rPr>
        <w:t>Peelian</w:t>
      </w:r>
      <w:proofErr w:type="spellEnd"/>
      <w:r w:rsidRPr="00FC5F1E">
        <w:rPr>
          <w:rFonts w:ascii="Arial" w:eastAsia="Times New Roman" w:hAnsi="Arial" w:cs="Arial"/>
          <w:i/>
          <w:lang w:eastAsia="en-GB"/>
        </w:rPr>
        <w:t xml:space="preserve"> principles. The NDM embeds ethical reasoning in accordance with policing principles and expected standards of behaviour; the model places the Code of Ethics at the centre of all decision making with the intention of applying the Code in all real-time decisions. NDM embodies all aspects of the decision-making process, including reconnaissance of the situation, assessment of risk, consideration of powers, identification of </w:t>
      </w:r>
    </w:p>
    <w:p w:rsidR="006B16C9" w:rsidRPr="00FC5F1E" w:rsidRDefault="006B16C9" w:rsidP="006B16C9">
      <w:pPr>
        <w:overflowPunct w:val="0"/>
        <w:autoSpaceDE w:val="0"/>
        <w:autoSpaceDN w:val="0"/>
        <w:adjustRightInd w:val="0"/>
        <w:spacing w:before="240" w:after="0" w:line="276" w:lineRule="auto"/>
        <w:textAlignment w:val="baseline"/>
        <w:rPr>
          <w:rFonts w:ascii="Arial" w:eastAsia="Times New Roman" w:hAnsi="Arial" w:cs="Arial"/>
          <w:i/>
          <w:lang w:eastAsia="en-GB"/>
        </w:rPr>
      </w:pPr>
      <w:r w:rsidRPr="00FC5F1E">
        <w:rPr>
          <w:rFonts w:ascii="Arial" w:eastAsia="Times New Roman" w:hAnsi="Arial" w:cs="Arial"/>
          <w:i/>
          <w:lang w:eastAsia="en-GB"/>
        </w:rPr>
        <w:t xml:space="preserve">Contingencies and review of the situation. Thus, revealing the model’s inherent flexibility; its applicability ranges from spontaneous incidents to planned operations as police officers will alter which questions and considerations are appropriate for each inimitable scenario. The flexibility of the NDM enables officers to make ethical, proportionate, and defendable conclusions in every policing situation (College of Policing, 2014). </w:t>
      </w:r>
    </w:p>
    <w:p w:rsidR="006B16C9" w:rsidRPr="00FC5F1E" w:rsidRDefault="006B16C9" w:rsidP="006B16C9">
      <w:pPr>
        <w:overflowPunct w:val="0"/>
        <w:autoSpaceDE w:val="0"/>
        <w:autoSpaceDN w:val="0"/>
        <w:adjustRightInd w:val="0"/>
        <w:spacing w:before="240" w:after="0" w:line="276" w:lineRule="auto"/>
        <w:textAlignment w:val="baseline"/>
        <w:rPr>
          <w:rFonts w:ascii="Arial" w:eastAsia="Times New Roman" w:hAnsi="Arial" w:cs="Arial"/>
          <w:i/>
          <w:lang w:eastAsia="en-GB"/>
        </w:rPr>
      </w:pPr>
      <w:r w:rsidRPr="00FC5F1E">
        <w:rPr>
          <w:rFonts w:ascii="Arial" w:eastAsia="Times New Roman" w:hAnsi="Arial" w:cs="Arial"/>
          <w:i/>
          <w:lang w:eastAsia="en-GB"/>
        </w:rPr>
        <w:t xml:space="preserve">The implementation of the NDM provides ethical policing on a consistent basis, offsetting the fragility of public perception (College of Policing, 2014), thus facilitating </w:t>
      </w:r>
      <w:proofErr w:type="spellStart"/>
      <w:r w:rsidRPr="00FC5F1E">
        <w:rPr>
          <w:rFonts w:ascii="Arial" w:eastAsia="Times New Roman" w:hAnsi="Arial" w:cs="Arial"/>
          <w:i/>
          <w:lang w:eastAsia="en-GB"/>
        </w:rPr>
        <w:t>Peelian</w:t>
      </w:r>
      <w:proofErr w:type="spellEnd"/>
      <w:r w:rsidRPr="00FC5F1E">
        <w:rPr>
          <w:rFonts w:ascii="Arial" w:eastAsia="Times New Roman" w:hAnsi="Arial" w:cs="Arial"/>
          <w:i/>
          <w:lang w:eastAsia="en-GB"/>
        </w:rPr>
        <w:t xml:space="preserve"> working principles (Criminal Justice Alliance, 2021). A report from the College of Policing showed the strongest influence on the public’s willingness to not break the law was police legitimacy, essentially the extent to which people thought the police shared their values and were justified in their role (College of Policing, 2014). Due to the preventative nature of this approach, the reliance on public cooperation and reduction in demand of the police, this approach offers a cost-effective way to reduce crime. Furthermore, moral policing through ethical decisions was thought to enable scare resources to be targeted towards the areas of greatest harm (Quinton, </w:t>
      </w:r>
      <w:proofErr w:type="spellStart"/>
      <w:r w:rsidRPr="00FC5F1E">
        <w:rPr>
          <w:rFonts w:ascii="Arial" w:eastAsia="Times New Roman" w:hAnsi="Arial" w:cs="Arial"/>
          <w:i/>
          <w:lang w:eastAsia="en-GB"/>
        </w:rPr>
        <w:t>Myhill</w:t>
      </w:r>
      <w:proofErr w:type="spellEnd"/>
      <w:r w:rsidRPr="00FC5F1E">
        <w:rPr>
          <w:rFonts w:ascii="Arial" w:eastAsia="Times New Roman" w:hAnsi="Arial" w:cs="Arial"/>
          <w:i/>
          <w:lang w:eastAsia="en-GB"/>
        </w:rPr>
        <w:t xml:space="preserve">, Bradford, </w:t>
      </w:r>
      <w:proofErr w:type="spellStart"/>
      <w:r w:rsidRPr="00FC5F1E">
        <w:rPr>
          <w:rFonts w:ascii="Arial" w:eastAsia="Times New Roman" w:hAnsi="Arial" w:cs="Arial"/>
          <w:i/>
          <w:lang w:eastAsia="en-GB"/>
        </w:rPr>
        <w:t>Fildes</w:t>
      </w:r>
      <w:proofErr w:type="spellEnd"/>
      <w:r w:rsidRPr="00FC5F1E">
        <w:rPr>
          <w:rFonts w:ascii="Arial" w:eastAsia="Times New Roman" w:hAnsi="Arial" w:cs="Arial"/>
          <w:i/>
          <w:lang w:eastAsia="en-GB"/>
        </w:rPr>
        <w:t xml:space="preserve">, &amp; Porter, 2015). An example would be preventing adverse effects such as the ‘wall of silence’ (Criminal Justice Alliance, 2021). Consequently, approaches such as the NDM produce a series of multifaceted benefits, both social and economic, improving public safety whilst simultaneously reducing law enforcement costs, respectively. </w:t>
      </w:r>
    </w:p>
    <w:p w:rsidR="006B16C9" w:rsidRPr="00FC5F1E" w:rsidRDefault="006B16C9" w:rsidP="006B16C9">
      <w:pPr>
        <w:overflowPunct w:val="0"/>
        <w:autoSpaceDE w:val="0"/>
        <w:autoSpaceDN w:val="0"/>
        <w:adjustRightInd w:val="0"/>
        <w:spacing w:before="240" w:after="0" w:line="276" w:lineRule="auto"/>
        <w:textAlignment w:val="baseline"/>
        <w:rPr>
          <w:rFonts w:ascii="Arial" w:eastAsia="Times New Roman" w:hAnsi="Arial" w:cs="Arial"/>
          <w:i/>
          <w:lang w:eastAsia="en-GB"/>
        </w:rPr>
      </w:pPr>
      <w:r w:rsidRPr="00FC5F1E">
        <w:rPr>
          <w:rFonts w:ascii="Arial" w:eastAsia="Times New Roman" w:hAnsi="Arial" w:cs="Arial"/>
          <w:i/>
          <w:lang w:eastAsia="en-GB"/>
        </w:rPr>
        <w:t xml:space="preserve">Concluding, the ethical dimension of real-time decisions is of extreme importance and is highlighted by the recent reform conducted by the Home Office. An officer who conducts themselves to the highest professional standards during a real-time decision will generate a co-operative relationship with the public through fairness and respect (College of Policing, 2014). Essentially, operating under </w:t>
      </w:r>
      <w:proofErr w:type="spellStart"/>
      <w:r w:rsidRPr="00FC5F1E">
        <w:rPr>
          <w:rFonts w:ascii="Arial" w:eastAsia="Times New Roman" w:hAnsi="Arial" w:cs="Arial"/>
          <w:i/>
          <w:lang w:eastAsia="en-GB"/>
        </w:rPr>
        <w:t>Peelian</w:t>
      </w:r>
      <w:proofErr w:type="spellEnd"/>
      <w:r w:rsidRPr="00FC5F1E">
        <w:rPr>
          <w:rFonts w:ascii="Arial" w:eastAsia="Times New Roman" w:hAnsi="Arial" w:cs="Arial"/>
          <w:i/>
          <w:lang w:eastAsia="en-GB"/>
        </w:rPr>
        <w:t xml:space="preserve"> principles, a solid foundation to any investigative case is established, offsetting any potential negative scenarios such as the ‘wall of silence’ (Criminal Justice Alliance, 2021). As such, a series of multifaceted benefits are generated, socially and economically. The ethical nature of operations is called into question when facing technological challenges in the form of social media, however, recent reform in regard to the publication of the Code of Ethics in 2014 present’s guidelines to offset such challenges. The National Decision model enables officers to deliver the highest professional standards to the public in any given scenario due to the Model’s flexible nature (College of Policing, 2014).  </w:t>
      </w:r>
    </w:p>
    <w:p w:rsidR="006B16C9" w:rsidRPr="00FC5F1E" w:rsidRDefault="006B16C9" w:rsidP="006B16C9">
      <w:pPr>
        <w:overflowPunct w:val="0"/>
        <w:autoSpaceDE w:val="0"/>
        <w:autoSpaceDN w:val="0"/>
        <w:adjustRightInd w:val="0"/>
        <w:spacing w:before="240" w:after="0" w:line="276" w:lineRule="auto"/>
        <w:textAlignment w:val="baseline"/>
        <w:rPr>
          <w:rFonts w:ascii="Arial" w:eastAsia="Times New Roman" w:hAnsi="Arial" w:cs="Arial"/>
          <w:i/>
          <w:lang w:eastAsia="en-GB"/>
        </w:rPr>
      </w:pPr>
      <w:r w:rsidRPr="00FC5F1E">
        <w:rPr>
          <w:rFonts w:ascii="Arial" w:eastAsia="Times New Roman" w:hAnsi="Arial" w:cs="Arial"/>
          <w:i/>
          <w:lang w:eastAsia="en-GB"/>
        </w:rPr>
        <w:t xml:space="preserve"> </w:t>
      </w:r>
    </w:p>
    <w:p w:rsidR="006B16C9" w:rsidRDefault="006B16C9" w:rsidP="006B16C9">
      <w:pPr>
        <w:overflowPunct w:val="0"/>
        <w:autoSpaceDE w:val="0"/>
        <w:autoSpaceDN w:val="0"/>
        <w:adjustRightInd w:val="0"/>
        <w:spacing w:before="240" w:after="0" w:line="276" w:lineRule="auto"/>
        <w:textAlignment w:val="baseline"/>
        <w:rPr>
          <w:rFonts w:ascii="Arial" w:eastAsia="Times New Roman" w:hAnsi="Arial" w:cs="Arial"/>
          <w:i/>
          <w:lang w:eastAsia="en-GB"/>
        </w:rPr>
      </w:pPr>
      <w:r>
        <w:rPr>
          <w:rFonts w:ascii="Arial" w:eastAsia="Times New Roman" w:hAnsi="Arial" w:cs="Arial"/>
          <w:i/>
          <w:lang w:eastAsia="en-GB"/>
        </w:rPr>
        <w:lastRenderedPageBreak/>
        <w:t xml:space="preserve"> </w:t>
      </w:r>
      <w:r w:rsidRPr="00FC5F1E">
        <w:rPr>
          <w:rFonts w:ascii="Arial" w:eastAsia="Times New Roman" w:hAnsi="Arial" w:cs="Arial"/>
          <w:i/>
          <w:lang w:eastAsia="en-GB"/>
        </w:rPr>
        <w:t>References</w:t>
      </w:r>
      <w:r>
        <w:rPr>
          <w:rFonts w:ascii="Arial" w:eastAsia="Times New Roman" w:hAnsi="Arial" w:cs="Arial"/>
          <w:i/>
          <w:lang w:eastAsia="en-GB"/>
        </w:rPr>
        <w:t>:</w:t>
      </w:r>
      <w:r w:rsidRPr="00FC5F1E">
        <w:rPr>
          <w:rFonts w:ascii="Arial" w:eastAsia="Times New Roman" w:hAnsi="Arial" w:cs="Arial"/>
          <w:i/>
          <w:lang w:eastAsia="en-GB"/>
        </w:rPr>
        <w:t xml:space="preserve"> </w:t>
      </w:r>
    </w:p>
    <w:p w:rsidR="006B16C9" w:rsidRPr="00FC5F1E" w:rsidRDefault="006B16C9" w:rsidP="006B16C9">
      <w:pPr>
        <w:overflowPunct w:val="0"/>
        <w:autoSpaceDE w:val="0"/>
        <w:autoSpaceDN w:val="0"/>
        <w:adjustRightInd w:val="0"/>
        <w:spacing w:before="240" w:after="0" w:line="276" w:lineRule="auto"/>
        <w:textAlignment w:val="baseline"/>
        <w:rPr>
          <w:rFonts w:ascii="Arial" w:eastAsia="Times New Roman" w:hAnsi="Arial" w:cs="Arial"/>
          <w:i/>
          <w:lang w:eastAsia="en-GB"/>
        </w:rPr>
      </w:pPr>
      <w:r w:rsidRPr="00FC5F1E">
        <w:rPr>
          <w:rFonts w:ascii="Arial" w:eastAsia="Times New Roman" w:hAnsi="Arial" w:cs="Arial"/>
          <w:i/>
          <w:lang w:eastAsia="en-GB"/>
        </w:rPr>
        <w:t xml:space="preserve">College of Policing. (2014). Code of Ethics. London: College of </w:t>
      </w:r>
      <w:proofErr w:type="gramStart"/>
      <w:r w:rsidRPr="00FC5F1E">
        <w:rPr>
          <w:rFonts w:ascii="Arial" w:eastAsia="Times New Roman" w:hAnsi="Arial" w:cs="Arial"/>
          <w:i/>
          <w:lang w:eastAsia="en-GB"/>
        </w:rPr>
        <w:t>Policing .</w:t>
      </w:r>
      <w:proofErr w:type="gramEnd"/>
      <w:r w:rsidRPr="00FC5F1E">
        <w:rPr>
          <w:rFonts w:ascii="Arial" w:eastAsia="Times New Roman" w:hAnsi="Arial" w:cs="Arial"/>
          <w:i/>
          <w:lang w:eastAsia="en-GB"/>
        </w:rPr>
        <w:t xml:space="preserve"> </w:t>
      </w:r>
    </w:p>
    <w:p w:rsidR="006B16C9" w:rsidRPr="00FC5F1E" w:rsidRDefault="006B16C9" w:rsidP="006B16C9">
      <w:pPr>
        <w:overflowPunct w:val="0"/>
        <w:autoSpaceDE w:val="0"/>
        <w:autoSpaceDN w:val="0"/>
        <w:adjustRightInd w:val="0"/>
        <w:spacing w:before="240" w:after="0" w:line="276" w:lineRule="auto"/>
        <w:textAlignment w:val="baseline"/>
        <w:rPr>
          <w:rFonts w:ascii="Arial" w:eastAsia="Times New Roman" w:hAnsi="Arial" w:cs="Arial"/>
          <w:i/>
          <w:lang w:eastAsia="en-GB"/>
        </w:rPr>
      </w:pPr>
      <w:r w:rsidRPr="00FC5F1E">
        <w:rPr>
          <w:rFonts w:ascii="Arial" w:eastAsia="Times New Roman" w:hAnsi="Arial" w:cs="Arial"/>
          <w:i/>
          <w:lang w:eastAsia="en-GB"/>
        </w:rPr>
        <w:t xml:space="preserve">College of Policing. (2021, October 14). College of Policing. Retrieved from Code of Ethics: https://www.college.police.uk/ethics/code-of-ethics </w:t>
      </w:r>
    </w:p>
    <w:p w:rsidR="006B16C9" w:rsidRPr="00FC5F1E" w:rsidRDefault="006B16C9" w:rsidP="006B16C9">
      <w:pPr>
        <w:overflowPunct w:val="0"/>
        <w:autoSpaceDE w:val="0"/>
        <w:autoSpaceDN w:val="0"/>
        <w:adjustRightInd w:val="0"/>
        <w:spacing w:before="240" w:after="0" w:line="276" w:lineRule="auto"/>
        <w:textAlignment w:val="baseline"/>
        <w:rPr>
          <w:rFonts w:ascii="Arial" w:eastAsia="Times New Roman" w:hAnsi="Arial" w:cs="Arial"/>
          <w:i/>
          <w:lang w:eastAsia="en-GB"/>
        </w:rPr>
      </w:pPr>
      <w:r w:rsidRPr="00FC5F1E">
        <w:rPr>
          <w:rFonts w:ascii="Arial" w:eastAsia="Times New Roman" w:hAnsi="Arial" w:cs="Arial"/>
          <w:i/>
          <w:lang w:eastAsia="en-GB"/>
        </w:rPr>
        <w:t xml:space="preserve">Criminal Justice Alliance. (2021). More harm than good. London: Criminal Justice Alliance. </w:t>
      </w:r>
    </w:p>
    <w:p w:rsidR="006B16C9" w:rsidRPr="00FC5F1E" w:rsidRDefault="006B16C9" w:rsidP="006B16C9">
      <w:pPr>
        <w:overflowPunct w:val="0"/>
        <w:autoSpaceDE w:val="0"/>
        <w:autoSpaceDN w:val="0"/>
        <w:adjustRightInd w:val="0"/>
        <w:spacing w:before="240" w:after="0" w:line="276" w:lineRule="auto"/>
        <w:textAlignment w:val="baseline"/>
        <w:rPr>
          <w:rFonts w:ascii="Arial" w:eastAsia="Times New Roman" w:hAnsi="Arial" w:cs="Arial"/>
          <w:i/>
          <w:lang w:eastAsia="en-GB"/>
        </w:rPr>
      </w:pPr>
      <w:r w:rsidRPr="00FC5F1E">
        <w:rPr>
          <w:rFonts w:ascii="Arial" w:eastAsia="Times New Roman" w:hAnsi="Arial" w:cs="Arial"/>
          <w:i/>
          <w:lang w:eastAsia="en-GB"/>
        </w:rPr>
        <w:t xml:space="preserve">Home Office. (2014, July 15). Code of Ethics launched. Retrieved from GOV.UK: https://www.gov.uk/government/news/code-of-ethics-launched </w:t>
      </w:r>
    </w:p>
    <w:p w:rsidR="006B16C9" w:rsidRPr="00FC5F1E" w:rsidRDefault="006B16C9" w:rsidP="006B16C9">
      <w:pPr>
        <w:overflowPunct w:val="0"/>
        <w:autoSpaceDE w:val="0"/>
        <w:autoSpaceDN w:val="0"/>
        <w:adjustRightInd w:val="0"/>
        <w:spacing w:before="240" w:after="0" w:line="276" w:lineRule="auto"/>
        <w:textAlignment w:val="baseline"/>
        <w:rPr>
          <w:rFonts w:ascii="Arial" w:eastAsia="Times New Roman" w:hAnsi="Arial" w:cs="Arial"/>
          <w:i/>
          <w:lang w:eastAsia="en-GB"/>
        </w:rPr>
      </w:pPr>
      <w:r w:rsidRPr="00FC5F1E">
        <w:rPr>
          <w:rFonts w:ascii="Arial" w:eastAsia="Times New Roman" w:hAnsi="Arial" w:cs="Arial"/>
          <w:i/>
          <w:lang w:eastAsia="en-GB"/>
        </w:rPr>
        <w:t xml:space="preserve">IOPC. (2018). IOPC Learning Strategy 2018-22. London: IOPC. </w:t>
      </w:r>
    </w:p>
    <w:p w:rsidR="006B16C9" w:rsidRPr="00FC5F1E" w:rsidRDefault="006B16C9" w:rsidP="006B16C9">
      <w:pPr>
        <w:overflowPunct w:val="0"/>
        <w:autoSpaceDE w:val="0"/>
        <w:autoSpaceDN w:val="0"/>
        <w:adjustRightInd w:val="0"/>
        <w:spacing w:before="240" w:after="0" w:line="276" w:lineRule="auto"/>
        <w:textAlignment w:val="baseline"/>
        <w:rPr>
          <w:rFonts w:ascii="Arial" w:eastAsia="Times New Roman" w:hAnsi="Arial" w:cs="Arial"/>
          <w:i/>
          <w:lang w:eastAsia="en-GB"/>
        </w:rPr>
      </w:pPr>
      <w:r w:rsidRPr="00FC5F1E">
        <w:rPr>
          <w:rFonts w:ascii="Arial" w:eastAsia="Times New Roman" w:hAnsi="Arial" w:cs="Arial"/>
          <w:i/>
          <w:lang w:eastAsia="en-GB"/>
        </w:rPr>
        <w:t xml:space="preserve">Quinton, P., </w:t>
      </w:r>
      <w:proofErr w:type="spellStart"/>
      <w:r w:rsidRPr="00FC5F1E">
        <w:rPr>
          <w:rFonts w:ascii="Arial" w:eastAsia="Times New Roman" w:hAnsi="Arial" w:cs="Arial"/>
          <w:i/>
          <w:lang w:eastAsia="en-GB"/>
        </w:rPr>
        <w:t>Myhill</w:t>
      </w:r>
      <w:proofErr w:type="spellEnd"/>
      <w:r w:rsidRPr="00FC5F1E">
        <w:rPr>
          <w:rFonts w:ascii="Arial" w:eastAsia="Times New Roman" w:hAnsi="Arial" w:cs="Arial"/>
          <w:i/>
          <w:lang w:eastAsia="en-GB"/>
        </w:rPr>
        <w:t xml:space="preserve">, A., Bradford, B., </w:t>
      </w:r>
      <w:proofErr w:type="spellStart"/>
      <w:r w:rsidRPr="00FC5F1E">
        <w:rPr>
          <w:rFonts w:ascii="Arial" w:eastAsia="Times New Roman" w:hAnsi="Arial" w:cs="Arial"/>
          <w:i/>
          <w:lang w:eastAsia="en-GB"/>
        </w:rPr>
        <w:t>Fildes</w:t>
      </w:r>
      <w:proofErr w:type="spellEnd"/>
      <w:r w:rsidRPr="00FC5F1E">
        <w:rPr>
          <w:rFonts w:ascii="Arial" w:eastAsia="Times New Roman" w:hAnsi="Arial" w:cs="Arial"/>
          <w:i/>
          <w:lang w:eastAsia="en-GB"/>
        </w:rPr>
        <w:t xml:space="preserve">, A., &amp; Porter, G. (2015). Fair cop 2: Organisation justice, behaviour and ethical policing. London: College of Policing. </w:t>
      </w:r>
    </w:p>
    <w:p w:rsidR="006B16C9" w:rsidRPr="00FC5F1E" w:rsidRDefault="006B16C9" w:rsidP="006B16C9">
      <w:pPr>
        <w:overflowPunct w:val="0"/>
        <w:autoSpaceDE w:val="0"/>
        <w:autoSpaceDN w:val="0"/>
        <w:adjustRightInd w:val="0"/>
        <w:spacing w:before="240" w:after="0" w:line="276" w:lineRule="auto"/>
        <w:textAlignment w:val="baseline"/>
        <w:rPr>
          <w:rFonts w:ascii="Arial" w:eastAsia="Times New Roman" w:hAnsi="Arial" w:cs="Arial"/>
          <w:i/>
          <w:lang w:eastAsia="en-GB"/>
        </w:rPr>
      </w:pPr>
      <w:r>
        <w:rPr>
          <w:rFonts w:ascii="Arial" w:eastAsia="Times New Roman" w:hAnsi="Arial" w:cs="Arial"/>
          <w:b/>
          <w:lang w:eastAsia="en-GB"/>
        </w:rPr>
        <w:t>Word Count - 1064</w:t>
      </w:r>
      <w:r w:rsidRPr="00FC5F1E">
        <w:rPr>
          <w:rFonts w:ascii="Arial" w:eastAsia="Times New Roman" w:hAnsi="Arial" w:cs="Arial"/>
          <w:i/>
          <w:lang w:eastAsia="en-GB"/>
        </w:rPr>
        <w:t xml:space="preserve"> </w:t>
      </w:r>
    </w:p>
    <w:p w:rsidR="006B16C9" w:rsidRPr="00FC5F1E" w:rsidRDefault="006B16C9" w:rsidP="006B16C9">
      <w:pPr>
        <w:overflowPunct w:val="0"/>
        <w:autoSpaceDE w:val="0"/>
        <w:autoSpaceDN w:val="0"/>
        <w:adjustRightInd w:val="0"/>
        <w:spacing w:before="240" w:after="0" w:line="240" w:lineRule="auto"/>
        <w:textAlignment w:val="baseline"/>
        <w:rPr>
          <w:rFonts w:ascii="Arial" w:eastAsia="Times New Roman" w:hAnsi="Arial" w:cs="Arial"/>
          <w:b/>
          <w:lang w:eastAsia="en-GB"/>
        </w:rPr>
      </w:pPr>
    </w:p>
    <w:p w:rsidR="006B16C9" w:rsidRDefault="006B16C9" w:rsidP="006B16C9">
      <w:pPr>
        <w:rPr>
          <w:rFonts w:ascii="Arial" w:eastAsia="Times New Roman" w:hAnsi="Arial" w:cs="Arial"/>
          <w:b/>
          <w:bCs/>
          <w:lang w:eastAsia="en-GB"/>
        </w:rPr>
      </w:pPr>
    </w:p>
    <w:p w:rsidR="006B16C9" w:rsidRDefault="006B16C9" w:rsidP="006B16C9">
      <w:pPr>
        <w:rPr>
          <w:rFonts w:ascii="Arial" w:eastAsia="Times New Roman" w:hAnsi="Arial" w:cs="Arial"/>
          <w:b/>
          <w:bCs/>
          <w:lang w:eastAsia="en-GB"/>
        </w:rPr>
      </w:pPr>
    </w:p>
    <w:p w:rsidR="006B16C9" w:rsidRDefault="006B16C9" w:rsidP="006B16C9">
      <w:pPr>
        <w:rPr>
          <w:rFonts w:ascii="Arial" w:eastAsia="Times New Roman" w:hAnsi="Arial" w:cs="Arial"/>
          <w:b/>
          <w:bCs/>
          <w:lang w:eastAsia="en-GB"/>
        </w:rPr>
      </w:pPr>
    </w:p>
    <w:p w:rsidR="006B16C9" w:rsidRDefault="006B16C9" w:rsidP="006B16C9">
      <w:pPr>
        <w:rPr>
          <w:rFonts w:ascii="Arial" w:eastAsia="Times New Roman" w:hAnsi="Arial" w:cs="Arial"/>
          <w:b/>
          <w:bCs/>
          <w:lang w:eastAsia="en-GB"/>
        </w:rPr>
      </w:pPr>
      <w:bookmarkStart w:id="0" w:name="_GoBack"/>
      <w:bookmarkEnd w:id="0"/>
      <w:r>
        <w:rPr>
          <w:rFonts w:ascii="Arial" w:eastAsia="Times New Roman" w:hAnsi="Arial" w:cs="Arial"/>
          <w:b/>
          <w:bCs/>
          <w:lang w:eastAsia="en-GB"/>
        </w:rPr>
        <w:t>Essay three t</w:t>
      </w:r>
      <w:r w:rsidRPr="00BC461A">
        <w:rPr>
          <w:rFonts w:ascii="Arial" w:eastAsia="Times New Roman" w:hAnsi="Arial" w:cs="Arial"/>
          <w:b/>
          <w:bCs/>
          <w:lang w:eastAsia="en-GB"/>
        </w:rPr>
        <w:t>itle:</w:t>
      </w:r>
      <w:r>
        <w:rPr>
          <w:rFonts w:ascii="Arial" w:eastAsia="Times New Roman" w:hAnsi="Arial" w:cs="Arial"/>
          <w:b/>
          <w:bCs/>
          <w:lang w:eastAsia="en-GB"/>
        </w:rPr>
        <w:t xml:space="preserve"> </w:t>
      </w:r>
    </w:p>
    <w:p w:rsidR="006B16C9" w:rsidRPr="00E70F18" w:rsidRDefault="006B16C9" w:rsidP="006B16C9">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rsidR="006B16C9" w:rsidRPr="00F730EB" w:rsidRDefault="006B16C9" w:rsidP="006B16C9">
      <w:pPr>
        <w:overflowPunct w:val="0"/>
        <w:autoSpaceDE w:val="0"/>
        <w:autoSpaceDN w:val="0"/>
        <w:adjustRightInd w:val="0"/>
        <w:spacing w:before="240" w:after="0" w:line="276" w:lineRule="auto"/>
        <w:ind w:left="426"/>
        <w:textAlignment w:val="baseline"/>
        <w:rPr>
          <w:rFonts w:ascii="Arial" w:eastAsia="Times New Roman" w:hAnsi="Arial" w:cs="Arial"/>
          <w:i/>
          <w:iCs/>
          <w:lang w:eastAsia="en-GB"/>
        </w:rPr>
      </w:pPr>
      <w:r w:rsidRPr="00F730EB">
        <w:rPr>
          <w:rFonts w:ascii="Arial" w:eastAsia="Times New Roman" w:hAnsi="Arial" w:cs="Arial"/>
          <w:i/>
          <w:iCs/>
          <w:lang w:eastAsia="en-GB"/>
        </w:rPr>
        <w:t>Organisational justice explores the psychological mechanisms by which people render judgements of fairness, as well as their responses to these perceptions (</w:t>
      </w:r>
      <w:proofErr w:type="spellStart"/>
      <w:r w:rsidRPr="00F730EB">
        <w:rPr>
          <w:rFonts w:ascii="Arial" w:eastAsia="Times New Roman" w:hAnsi="Arial" w:cs="Arial"/>
          <w:i/>
          <w:iCs/>
          <w:lang w:eastAsia="en-GB"/>
        </w:rPr>
        <w:t>Cropanzano</w:t>
      </w:r>
      <w:proofErr w:type="spellEnd"/>
      <w:r w:rsidRPr="00F730EB">
        <w:rPr>
          <w:rFonts w:ascii="Arial" w:eastAsia="Times New Roman" w:hAnsi="Arial" w:cs="Arial"/>
          <w:i/>
          <w:iCs/>
          <w:lang w:eastAsia="en-GB"/>
        </w:rPr>
        <w:t xml:space="preserve"> &amp; Molina, 2015). According to Adams, individuals develop beliefs of what deems fair recognition for their work, thus then comparing themselves with a referent, with the input they provide to the output receive from an organisation (</w:t>
      </w:r>
      <w:proofErr w:type="spellStart"/>
      <w:r w:rsidRPr="00F730EB">
        <w:rPr>
          <w:rFonts w:ascii="Arial" w:eastAsia="Times New Roman" w:hAnsi="Arial" w:cs="Arial"/>
          <w:i/>
          <w:iCs/>
          <w:lang w:eastAsia="en-GB"/>
        </w:rPr>
        <w:t>Ndjaboue</w:t>
      </w:r>
      <w:proofErr w:type="spellEnd"/>
      <w:r w:rsidRPr="00F730EB">
        <w:rPr>
          <w:rFonts w:ascii="Arial" w:eastAsia="Times New Roman" w:hAnsi="Arial" w:cs="Arial"/>
          <w:i/>
          <w:iCs/>
          <w:lang w:eastAsia="en-GB"/>
        </w:rPr>
        <w:t xml:space="preserve">, </w:t>
      </w:r>
      <w:proofErr w:type="spellStart"/>
      <w:r w:rsidRPr="00F730EB">
        <w:rPr>
          <w:rFonts w:ascii="Arial" w:eastAsia="Times New Roman" w:hAnsi="Arial" w:cs="Arial"/>
          <w:i/>
          <w:iCs/>
          <w:lang w:eastAsia="en-GB"/>
        </w:rPr>
        <w:t>Brisson</w:t>
      </w:r>
      <w:proofErr w:type="spellEnd"/>
      <w:r w:rsidRPr="00F730EB">
        <w:rPr>
          <w:rFonts w:ascii="Arial" w:eastAsia="Times New Roman" w:hAnsi="Arial" w:cs="Arial"/>
          <w:i/>
          <w:iCs/>
          <w:lang w:eastAsia="en-GB"/>
        </w:rPr>
        <w:t xml:space="preserve">, &amp; </w:t>
      </w:r>
      <w:proofErr w:type="spellStart"/>
      <w:r w:rsidRPr="00F730EB">
        <w:rPr>
          <w:rFonts w:ascii="Arial" w:eastAsia="Times New Roman" w:hAnsi="Arial" w:cs="Arial"/>
          <w:i/>
          <w:iCs/>
          <w:lang w:eastAsia="en-GB"/>
        </w:rPr>
        <w:t>Vezina</w:t>
      </w:r>
      <w:proofErr w:type="spellEnd"/>
      <w:r w:rsidRPr="00F730EB">
        <w:rPr>
          <w:rFonts w:ascii="Arial" w:eastAsia="Times New Roman" w:hAnsi="Arial" w:cs="Arial"/>
          <w:i/>
          <w:iCs/>
          <w:lang w:eastAsia="en-GB"/>
        </w:rPr>
        <w:t xml:space="preserve">, 2012). Consequently, employees’ perceptions are deemed to influence workplace attitudes and behaviour, for good or ill, subsequently generating positive or negative impacts on employee performance and the organisation’s success. Organisational justice is comprised of two key elements; distribute justice relates to how fairly inputs such as workload, resources, pay, and recognition are allocated across an organisation; while procedural justice relates to the fairness of decision-making, honesty when decisions are made and how dignified employees feel by senior staff (Quinton, </w:t>
      </w:r>
      <w:proofErr w:type="spellStart"/>
      <w:r w:rsidRPr="00F730EB">
        <w:rPr>
          <w:rFonts w:ascii="Arial" w:eastAsia="Times New Roman" w:hAnsi="Arial" w:cs="Arial"/>
          <w:i/>
          <w:iCs/>
          <w:lang w:eastAsia="en-GB"/>
        </w:rPr>
        <w:t>Myhill</w:t>
      </w:r>
      <w:proofErr w:type="spellEnd"/>
      <w:r w:rsidRPr="00F730EB">
        <w:rPr>
          <w:rFonts w:ascii="Arial" w:eastAsia="Times New Roman" w:hAnsi="Arial" w:cs="Arial"/>
          <w:i/>
          <w:iCs/>
          <w:lang w:eastAsia="en-GB"/>
        </w:rPr>
        <w:t xml:space="preserve">, Bradford, </w:t>
      </w:r>
      <w:proofErr w:type="spellStart"/>
      <w:r w:rsidRPr="00F730EB">
        <w:rPr>
          <w:rFonts w:ascii="Arial" w:eastAsia="Times New Roman" w:hAnsi="Arial" w:cs="Arial"/>
          <w:i/>
          <w:iCs/>
          <w:lang w:eastAsia="en-GB"/>
        </w:rPr>
        <w:t>Fildes</w:t>
      </w:r>
      <w:proofErr w:type="spellEnd"/>
      <w:r w:rsidRPr="00F730EB">
        <w:rPr>
          <w:rFonts w:ascii="Arial" w:eastAsia="Times New Roman" w:hAnsi="Arial" w:cs="Arial"/>
          <w:i/>
          <w:iCs/>
          <w:lang w:eastAsia="en-GB"/>
        </w:rPr>
        <w:t xml:space="preserve">, &amp; Porter, 2015). A high priority of the police agency, research into organisational justice has shown that perceptions of fairness have significant positive impact on employee’s productivity which encompass a greater commitment to the organisation, increased job satisfaction, increased organisation citizenship behaviours and reduced counter-productive work behaviours (Tyler &amp; </w:t>
      </w:r>
      <w:proofErr w:type="spellStart"/>
      <w:r w:rsidRPr="00F730EB">
        <w:rPr>
          <w:rFonts w:ascii="Arial" w:eastAsia="Times New Roman" w:hAnsi="Arial" w:cs="Arial"/>
          <w:i/>
          <w:iCs/>
          <w:lang w:eastAsia="en-GB"/>
        </w:rPr>
        <w:t>Blader</w:t>
      </w:r>
      <w:proofErr w:type="spellEnd"/>
      <w:r w:rsidRPr="00F730EB">
        <w:rPr>
          <w:rFonts w:ascii="Arial" w:eastAsia="Times New Roman" w:hAnsi="Arial" w:cs="Arial"/>
          <w:i/>
          <w:iCs/>
          <w:lang w:eastAsia="en-GB"/>
        </w:rPr>
        <w:t xml:space="preserve">, 2003; Colquitt, Wesson, Porter, Conlon, &amp; Ng, 2001). Consequently, these factors could deliver significant benefits in fostering police legitimacy, thus encouraging public cooperation, leading to a cost-effective method to reduce crime (Quinton, </w:t>
      </w:r>
      <w:proofErr w:type="spellStart"/>
      <w:r w:rsidRPr="00F730EB">
        <w:rPr>
          <w:rFonts w:ascii="Arial" w:eastAsia="Times New Roman" w:hAnsi="Arial" w:cs="Arial"/>
          <w:i/>
          <w:iCs/>
          <w:lang w:eastAsia="en-GB"/>
        </w:rPr>
        <w:t>Myhill</w:t>
      </w:r>
      <w:proofErr w:type="spellEnd"/>
      <w:r w:rsidRPr="00F730EB">
        <w:rPr>
          <w:rFonts w:ascii="Arial" w:eastAsia="Times New Roman" w:hAnsi="Arial" w:cs="Arial"/>
          <w:i/>
          <w:iCs/>
          <w:lang w:eastAsia="en-GB"/>
        </w:rPr>
        <w:t xml:space="preserve">, Bradford, </w:t>
      </w:r>
      <w:proofErr w:type="spellStart"/>
      <w:r w:rsidRPr="00F730EB">
        <w:rPr>
          <w:rFonts w:ascii="Arial" w:eastAsia="Times New Roman" w:hAnsi="Arial" w:cs="Arial"/>
          <w:i/>
          <w:iCs/>
          <w:lang w:eastAsia="en-GB"/>
        </w:rPr>
        <w:t>Fildes</w:t>
      </w:r>
      <w:proofErr w:type="spellEnd"/>
      <w:r w:rsidRPr="00F730EB">
        <w:rPr>
          <w:rFonts w:ascii="Arial" w:eastAsia="Times New Roman" w:hAnsi="Arial" w:cs="Arial"/>
          <w:i/>
          <w:iCs/>
          <w:lang w:eastAsia="en-GB"/>
        </w:rPr>
        <w:t xml:space="preserve">, &amp; Porter, 2015). </w:t>
      </w:r>
    </w:p>
    <w:p w:rsidR="006B16C9" w:rsidRPr="00F730EB" w:rsidRDefault="006B16C9" w:rsidP="006B16C9">
      <w:pPr>
        <w:overflowPunct w:val="0"/>
        <w:autoSpaceDE w:val="0"/>
        <w:autoSpaceDN w:val="0"/>
        <w:adjustRightInd w:val="0"/>
        <w:spacing w:before="240" w:after="0" w:line="276" w:lineRule="auto"/>
        <w:ind w:left="426"/>
        <w:textAlignment w:val="baseline"/>
        <w:rPr>
          <w:rFonts w:ascii="Arial" w:eastAsia="Times New Roman" w:hAnsi="Arial" w:cs="Arial"/>
          <w:i/>
          <w:iCs/>
          <w:lang w:eastAsia="en-GB"/>
        </w:rPr>
      </w:pPr>
      <w:r w:rsidRPr="00F730EB">
        <w:rPr>
          <w:rFonts w:ascii="Arial" w:eastAsia="Times New Roman" w:hAnsi="Arial" w:cs="Arial"/>
          <w:i/>
          <w:iCs/>
          <w:lang w:eastAsia="en-GB"/>
        </w:rPr>
        <w:lastRenderedPageBreak/>
        <w:t xml:space="preserve">Reports have shown that police legitimacy demonstrated to have the strongest influence on the public’s willingness to not break the law, superseding the risk of arrest and punishment (Quinton, </w:t>
      </w:r>
      <w:proofErr w:type="spellStart"/>
      <w:r w:rsidRPr="00F730EB">
        <w:rPr>
          <w:rFonts w:ascii="Arial" w:eastAsia="Times New Roman" w:hAnsi="Arial" w:cs="Arial"/>
          <w:i/>
          <w:iCs/>
          <w:lang w:eastAsia="en-GB"/>
        </w:rPr>
        <w:t>Myhill</w:t>
      </w:r>
      <w:proofErr w:type="spellEnd"/>
      <w:r w:rsidRPr="00F730EB">
        <w:rPr>
          <w:rFonts w:ascii="Arial" w:eastAsia="Times New Roman" w:hAnsi="Arial" w:cs="Arial"/>
          <w:i/>
          <w:iCs/>
          <w:lang w:eastAsia="en-GB"/>
        </w:rPr>
        <w:t xml:space="preserve">, Bradford, </w:t>
      </w:r>
      <w:proofErr w:type="spellStart"/>
      <w:r w:rsidRPr="00F730EB">
        <w:rPr>
          <w:rFonts w:ascii="Arial" w:eastAsia="Times New Roman" w:hAnsi="Arial" w:cs="Arial"/>
          <w:i/>
          <w:iCs/>
          <w:lang w:eastAsia="en-GB"/>
        </w:rPr>
        <w:t>Fildes</w:t>
      </w:r>
      <w:proofErr w:type="spellEnd"/>
      <w:r w:rsidRPr="00F730EB">
        <w:rPr>
          <w:rFonts w:ascii="Arial" w:eastAsia="Times New Roman" w:hAnsi="Arial" w:cs="Arial"/>
          <w:i/>
          <w:iCs/>
          <w:lang w:eastAsia="en-GB"/>
        </w:rPr>
        <w:t xml:space="preserve">, &amp; Porter, 2015). From recent studies, organisational justice establishes its importance in the discussion, revealing a positive correlation with its implementation and improved police legitimacy. The HMIC reaffirms these studies, stating organisational justice to be a ‘vital aspect’ of police legitimacy, emphasising that police officers were more likely to treat the public with fairness and respect if they feel they themselves are being treated fairly and respectfully (HMIC, 2016). Police actions that are perceived to be unfair leads to extremely negative results in terms of upholding principle of ‘policing by consent’. Public distrust generates a ‘wall of silence’, deterring victims or witnesses to seek help. Subsequent issues include an impeded investigation that fails to safeguard public safety with unnecessary additional costs (Criminal Justice Alliance, 2021).  </w:t>
      </w:r>
    </w:p>
    <w:p w:rsidR="006B16C9" w:rsidRPr="00F730EB" w:rsidRDefault="006B16C9" w:rsidP="006B16C9">
      <w:pPr>
        <w:overflowPunct w:val="0"/>
        <w:autoSpaceDE w:val="0"/>
        <w:autoSpaceDN w:val="0"/>
        <w:adjustRightInd w:val="0"/>
        <w:spacing w:before="240" w:after="0" w:line="276" w:lineRule="auto"/>
        <w:ind w:left="426"/>
        <w:textAlignment w:val="baseline"/>
        <w:rPr>
          <w:rFonts w:ascii="Arial" w:eastAsia="Times New Roman" w:hAnsi="Arial" w:cs="Arial"/>
          <w:i/>
          <w:iCs/>
          <w:lang w:eastAsia="en-GB"/>
        </w:rPr>
      </w:pPr>
      <w:r>
        <w:rPr>
          <w:rFonts w:ascii="Arial" w:eastAsia="Times New Roman" w:hAnsi="Arial" w:cs="Arial"/>
          <w:i/>
          <w:iCs/>
          <w:lang w:eastAsia="en-GB"/>
        </w:rPr>
        <w:t>R</w:t>
      </w:r>
      <w:r w:rsidRPr="00F730EB">
        <w:rPr>
          <w:rFonts w:ascii="Arial" w:eastAsia="Times New Roman" w:hAnsi="Arial" w:cs="Arial"/>
          <w:i/>
          <w:iCs/>
          <w:lang w:eastAsia="en-GB"/>
        </w:rPr>
        <w:t>ecent investigation</w:t>
      </w:r>
      <w:r>
        <w:rPr>
          <w:rFonts w:ascii="Arial" w:eastAsia="Times New Roman" w:hAnsi="Arial" w:cs="Arial"/>
          <w:i/>
          <w:iCs/>
          <w:lang w:eastAsia="en-GB"/>
        </w:rPr>
        <w:t>s</w:t>
      </w:r>
      <w:r w:rsidRPr="00F730EB">
        <w:rPr>
          <w:rFonts w:ascii="Arial" w:eastAsia="Times New Roman" w:hAnsi="Arial" w:cs="Arial"/>
          <w:i/>
          <w:iCs/>
          <w:lang w:eastAsia="en-GB"/>
        </w:rPr>
        <w:t xml:space="preserve"> by the HMIC revealed various aspects of procedural justice to be a cause for concern. Particularly, a lack of promotional opportunities that led to negative attitudes and behaviours in the workplace. The College of Policing found that the force assumed personnel’s competencies during annual appraisals, revealing an assessment process that was unfair and ineffective, critical of the PDR process, the workforce stated it had little influence on who is promoted (HMIC, 2016). Subsequently, undervalued workers may find their contributions to be inadequate, leading to complacent or resentful attitudes that may affect their policing (Baldwin, 2006). Furthermore, the unjust promotional procedure may lead to unqualified personnel gaining increased responsibility within the force (HMIC, 2016), demonstrating how easily unjust procedural practice can spread through the agency, hindering efforts to work under </w:t>
      </w:r>
      <w:proofErr w:type="spellStart"/>
      <w:r w:rsidRPr="00F730EB">
        <w:rPr>
          <w:rFonts w:ascii="Arial" w:eastAsia="Times New Roman" w:hAnsi="Arial" w:cs="Arial"/>
          <w:i/>
          <w:iCs/>
          <w:lang w:eastAsia="en-GB"/>
        </w:rPr>
        <w:t>Peelian</w:t>
      </w:r>
      <w:proofErr w:type="spellEnd"/>
      <w:r w:rsidRPr="00F730EB">
        <w:rPr>
          <w:rFonts w:ascii="Arial" w:eastAsia="Times New Roman" w:hAnsi="Arial" w:cs="Arial"/>
          <w:i/>
          <w:iCs/>
          <w:lang w:eastAsia="en-GB"/>
        </w:rPr>
        <w:t xml:space="preserve"> principles. The investigation emphasises the necessity for organisational justice within the police agency with (Leventhal, </w:t>
      </w:r>
      <w:proofErr w:type="spellStart"/>
      <w:r w:rsidRPr="00F730EB">
        <w:rPr>
          <w:rFonts w:ascii="Arial" w:eastAsia="Times New Roman" w:hAnsi="Arial" w:cs="Arial"/>
          <w:i/>
          <w:iCs/>
          <w:lang w:eastAsia="en-GB"/>
        </w:rPr>
        <w:t>Karuza</w:t>
      </w:r>
      <w:proofErr w:type="spellEnd"/>
      <w:r w:rsidRPr="00F730EB">
        <w:rPr>
          <w:rFonts w:ascii="Arial" w:eastAsia="Times New Roman" w:hAnsi="Arial" w:cs="Arial"/>
          <w:i/>
          <w:iCs/>
          <w:lang w:eastAsia="en-GB"/>
        </w:rPr>
        <w:t xml:space="preserve">, &amp; Fry, 1980) stating for a procedure such as this to be just, accurate information that is free from bias should be used in rendering decisions. HMIC follows such guidelines, recommending an area for improvement were the force needs to improve how they handle individual performance (HMIC, 2016), as research reveals an </w:t>
      </w:r>
      <w:proofErr w:type="spellStart"/>
      <w:r w:rsidRPr="00F730EB">
        <w:rPr>
          <w:rFonts w:ascii="Arial" w:eastAsia="Times New Roman" w:hAnsi="Arial" w:cs="Arial"/>
          <w:i/>
          <w:iCs/>
          <w:lang w:eastAsia="en-GB"/>
        </w:rPr>
        <w:t>unpromoted</w:t>
      </w:r>
      <w:proofErr w:type="spellEnd"/>
      <w:r w:rsidRPr="00F730EB">
        <w:rPr>
          <w:rFonts w:ascii="Arial" w:eastAsia="Times New Roman" w:hAnsi="Arial" w:cs="Arial"/>
          <w:i/>
          <w:iCs/>
          <w:lang w:eastAsia="en-GB"/>
        </w:rPr>
        <w:t xml:space="preserve"> worker may be placated if they are convinced that the system used to decide promotions is transparent and fair (Baldwin, 2006). </w:t>
      </w:r>
    </w:p>
    <w:p w:rsidR="006B16C9" w:rsidRPr="00F730EB" w:rsidRDefault="006B16C9" w:rsidP="006B16C9">
      <w:pPr>
        <w:overflowPunct w:val="0"/>
        <w:autoSpaceDE w:val="0"/>
        <w:autoSpaceDN w:val="0"/>
        <w:adjustRightInd w:val="0"/>
        <w:spacing w:before="240" w:after="0" w:line="276" w:lineRule="auto"/>
        <w:ind w:left="426"/>
        <w:textAlignment w:val="baseline"/>
        <w:rPr>
          <w:rFonts w:ascii="Arial" w:eastAsia="Times New Roman" w:hAnsi="Arial" w:cs="Arial"/>
          <w:i/>
          <w:iCs/>
          <w:lang w:eastAsia="en-GB"/>
        </w:rPr>
      </w:pPr>
      <w:r>
        <w:rPr>
          <w:rFonts w:ascii="Arial" w:eastAsia="Times New Roman" w:hAnsi="Arial" w:cs="Arial"/>
          <w:i/>
          <w:iCs/>
          <w:lang w:eastAsia="en-GB"/>
        </w:rPr>
        <w:t>R</w:t>
      </w:r>
      <w:r w:rsidRPr="00F730EB">
        <w:rPr>
          <w:rFonts w:ascii="Arial" w:eastAsia="Times New Roman" w:hAnsi="Arial" w:cs="Arial"/>
          <w:i/>
          <w:iCs/>
          <w:lang w:eastAsia="en-GB"/>
        </w:rPr>
        <w:t xml:space="preserve">ecent analysis conducted by the College of Policing accentuates the impact of organisational justice within the police agency that was provided by the HMIC assessment.  In keeping with theories of procedural justice, staff may be willing to accept an ostensibly unfavourable outcome if the process by which the decision was made is seen to be fair. Additionally, supervisors that showed fairness and respect encouraged officers to follow instructions and policies (Quinton, </w:t>
      </w:r>
      <w:proofErr w:type="spellStart"/>
      <w:r w:rsidRPr="00F730EB">
        <w:rPr>
          <w:rFonts w:ascii="Arial" w:eastAsia="Times New Roman" w:hAnsi="Arial" w:cs="Arial"/>
          <w:i/>
          <w:iCs/>
          <w:lang w:eastAsia="en-GB"/>
        </w:rPr>
        <w:t>Myhill</w:t>
      </w:r>
      <w:proofErr w:type="spellEnd"/>
      <w:r w:rsidRPr="00F730EB">
        <w:rPr>
          <w:rFonts w:ascii="Arial" w:eastAsia="Times New Roman" w:hAnsi="Arial" w:cs="Arial"/>
          <w:i/>
          <w:iCs/>
          <w:lang w:eastAsia="en-GB"/>
        </w:rPr>
        <w:t xml:space="preserve">, Bradford, </w:t>
      </w:r>
      <w:proofErr w:type="spellStart"/>
      <w:r w:rsidRPr="00F730EB">
        <w:rPr>
          <w:rFonts w:ascii="Arial" w:eastAsia="Times New Roman" w:hAnsi="Arial" w:cs="Arial"/>
          <w:i/>
          <w:iCs/>
          <w:lang w:eastAsia="en-GB"/>
        </w:rPr>
        <w:t>Fildes</w:t>
      </w:r>
      <w:proofErr w:type="spellEnd"/>
      <w:r w:rsidRPr="00F730EB">
        <w:rPr>
          <w:rFonts w:ascii="Arial" w:eastAsia="Times New Roman" w:hAnsi="Arial" w:cs="Arial"/>
          <w:i/>
          <w:iCs/>
          <w:lang w:eastAsia="en-GB"/>
        </w:rPr>
        <w:t xml:space="preserve">, &amp; Porter, 2015). Fairness and respect were as such included as policing principles in the Code of Ethics for Policing (College of Policing, 2014). </w:t>
      </w:r>
    </w:p>
    <w:p w:rsidR="006B16C9" w:rsidRPr="00F730EB" w:rsidRDefault="006B16C9" w:rsidP="006B16C9">
      <w:pPr>
        <w:overflowPunct w:val="0"/>
        <w:autoSpaceDE w:val="0"/>
        <w:autoSpaceDN w:val="0"/>
        <w:adjustRightInd w:val="0"/>
        <w:spacing w:before="240" w:after="0" w:line="276" w:lineRule="auto"/>
        <w:ind w:left="426"/>
        <w:textAlignment w:val="baseline"/>
        <w:rPr>
          <w:rFonts w:ascii="Arial" w:eastAsia="Times New Roman" w:hAnsi="Arial" w:cs="Arial"/>
          <w:i/>
          <w:iCs/>
          <w:lang w:eastAsia="en-GB"/>
        </w:rPr>
      </w:pPr>
      <w:r w:rsidRPr="00F730EB">
        <w:rPr>
          <w:rFonts w:ascii="Arial" w:eastAsia="Times New Roman" w:hAnsi="Arial" w:cs="Arial"/>
          <w:i/>
          <w:iCs/>
          <w:lang w:eastAsia="en-GB"/>
        </w:rPr>
        <w:t xml:space="preserve">Conversely, the analysis also revealed that an ‘unthinking’ compliance was predicted by the perceived risk of sanction and procedural justice at the supervisory role. As a result, the use of sanctions to incentivise behaviours needs to be done with care, as blind obedience leads officers to making decisions in an unthinking manner (Quinton, </w:t>
      </w:r>
      <w:proofErr w:type="spellStart"/>
      <w:r w:rsidRPr="00F730EB">
        <w:rPr>
          <w:rFonts w:ascii="Arial" w:eastAsia="Times New Roman" w:hAnsi="Arial" w:cs="Arial"/>
          <w:i/>
          <w:iCs/>
          <w:lang w:eastAsia="en-GB"/>
        </w:rPr>
        <w:t>Myhill</w:t>
      </w:r>
      <w:proofErr w:type="spellEnd"/>
      <w:r w:rsidRPr="00F730EB">
        <w:rPr>
          <w:rFonts w:ascii="Arial" w:eastAsia="Times New Roman" w:hAnsi="Arial" w:cs="Arial"/>
          <w:i/>
          <w:iCs/>
          <w:lang w:eastAsia="en-GB"/>
        </w:rPr>
        <w:t xml:space="preserve">, Bradford, </w:t>
      </w:r>
      <w:proofErr w:type="spellStart"/>
      <w:r w:rsidRPr="00F730EB">
        <w:rPr>
          <w:rFonts w:ascii="Arial" w:eastAsia="Times New Roman" w:hAnsi="Arial" w:cs="Arial"/>
          <w:i/>
          <w:iCs/>
          <w:lang w:eastAsia="en-GB"/>
        </w:rPr>
        <w:t>Fildes</w:t>
      </w:r>
      <w:proofErr w:type="spellEnd"/>
      <w:r w:rsidRPr="00F730EB">
        <w:rPr>
          <w:rFonts w:ascii="Arial" w:eastAsia="Times New Roman" w:hAnsi="Arial" w:cs="Arial"/>
          <w:i/>
          <w:iCs/>
          <w:lang w:eastAsia="en-GB"/>
        </w:rPr>
        <w:t xml:space="preserve">, &amp; Porter, 2015). Officers </w:t>
      </w:r>
      <w:r>
        <w:rPr>
          <w:rFonts w:ascii="Arial" w:eastAsia="Times New Roman" w:hAnsi="Arial" w:cs="Arial"/>
          <w:i/>
          <w:iCs/>
          <w:lang w:eastAsia="en-GB"/>
        </w:rPr>
        <w:t xml:space="preserve">that are treated </w:t>
      </w:r>
      <w:r w:rsidRPr="00F730EB">
        <w:rPr>
          <w:rFonts w:ascii="Arial" w:eastAsia="Times New Roman" w:hAnsi="Arial" w:cs="Arial"/>
          <w:i/>
          <w:iCs/>
          <w:lang w:eastAsia="en-GB"/>
        </w:rPr>
        <w:t xml:space="preserve">unfairly may take steps to redress the perceived iniquity in ways that are damaging to the force (Baldwin, 2006). A </w:t>
      </w:r>
      <w:r w:rsidRPr="00F730EB">
        <w:rPr>
          <w:rFonts w:ascii="Arial" w:eastAsia="Times New Roman" w:hAnsi="Arial" w:cs="Arial"/>
          <w:i/>
          <w:iCs/>
          <w:lang w:eastAsia="en-GB"/>
        </w:rPr>
        <w:lastRenderedPageBreak/>
        <w:t>recent example would be an officer carrying out a stop and search without reasonable grounds, purely to attain a quantitative performance target, recently investigated in August 2021 by the Criminal Justice Alliance through the super-complaint system (Criminal Justice Alliance, 2021). However, to reaffirm, procedural justice at a supervisory level was foun</w:t>
      </w:r>
      <w:r>
        <w:rPr>
          <w:rFonts w:ascii="Arial" w:eastAsia="Times New Roman" w:hAnsi="Arial" w:cs="Arial"/>
          <w:i/>
          <w:iCs/>
          <w:lang w:eastAsia="en-GB"/>
        </w:rPr>
        <w:t>d to predict both rule</w:t>
      </w:r>
      <w:r w:rsidRPr="00F730EB">
        <w:rPr>
          <w:rFonts w:ascii="Arial" w:eastAsia="Times New Roman" w:hAnsi="Arial" w:cs="Arial"/>
          <w:i/>
          <w:iCs/>
          <w:lang w:eastAsia="en-GB"/>
        </w:rPr>
        <w:t xml:space="preserve"> and blind obedience, although its effect on the former was much stronger, suggesting that fairness has more of a positive effect overall (Quinton, </w:t>
      </w:r>
      <w:proofErr w:type="spellStart"/>
      <w:r w:rsidRPr="00F730EB">
        <w:rPr>
          <w:rFonts w:ascii="Arial" w:eastAsia="Times New Roman" w:hAnsi="Arial" w:cs="Arial"/>
          <w:i/>
          <w:iCs/>
          <w:lang w:eastAsia="en-GB"/>
        </w:rPr>
        <w:t>Myhill</w:t>
      </w:r>
      <w:proofErr w:type="spellEnd"/>
      <w:r w:rsidRPr="00F730EB">
        <w:rPr>
          <w:rFonts w:ascii="Arial" w:eastAsia="Times New Roman" w:hAnsi="Arial" w:cs="Arial"/>
          <w:i/>
          <w:iCs/>
          <w:lang w:eastAsia="en-GB"/>
        </w:rPr>
        <w:t xml:space="preserve">, Bradford, </w:t>
      </w:r>
      <w:proofErr w:type="spellStart"/>
      <w:r w:rsidRPr="00F730EB">
        <w:rPr>
          <w:rFonts w:ascii="Arial" w:eastAsia="Times New Roman" w:hAnsi="Arial" w:cs="Arial"/>
          <w:i/>
          <w:iCs/>
          <w:lang w:eastAsia="en-GB"/>
        </w:rPr>
        <w:t>Fildes</w:t>
      </w:r>
      <w:proofErr w:type="spellEnd"/>
      <w:r w:rsidRPr="00F730EB">
        <w:rPr>
          <w:rFonts w:ascii="Arial" w:eastAsia="Times New Roman" w:hAnsi="Arial" w:cs="Arial"/>
          <w:i/>
          <w:iCs/>
          <w:lang w:eastAsia="en-GB"/>
        </w:rPr>
        <w:t xml:space="preserve">, &amp; Porter, 2015).   </w:t>
      </w:r>
    </w:p>
    <w:p w:rsidR="006B16C9" w:rsidRPr="00F730EB" w:rsidRDefault="006B16C9" w:rsidP="006B16C9">
      <w:pPr>
        <w:overflowPunct w:val="0"/>
        <w:autoSpaceDE w:val="0"/>
        <w:autoSpaceDN w:val="0"/>
        <w:adjustRightInd w:val="0"/>
        <w:spacing w:before="240" w:after="0" w:line="276" w:lineRule="auto"/>
        <w:ind w:left="426"/>
        <w:textAlignment w:val="baseline"/>
        <w:rPr>
          <w:rFonts w:ascii="Arial" w:eastAsia="Times New Roman" w:hAnsi="Arial" w:cs="Arial"/>
          <w:i/>
          <w:iCs/>
          <w:lang w:eastAsia="en-GB"/>
        </w:rPr>
      </w:pPr>
      <w:r w:rsidRPr="00F730EB">
        <w:rPr>
          <w:rFonts w:ascii="Arial" w:eastAsia="Times New Roman" w:hAnsi="Arial" w:cs="Arial"/>
          <w:i/>
          <w:iCs/>
          <w:lang w:eastAsia="en-GB"/>
        </w:rPr>
        <w:t xml:space="preserve">Concluding, organisational justice demonstrated a highly positive impact within the police agency, perhaps most importantly was its transcendence. Supervisorial procedural justice promoted a fairer </w:t>
      </w:r>
      <w:r>
        <w:rPr>
          <w:rFonts w:ascii="Arial" w:eastAsia="Times New Roman" w:hAnsi="Arial" w:cs="Arial"/>
          <w:i/>
          <w:iCs/>
          <w:lang w:eastAsia="en-GB"/>
        </w:rPr>
        <w:t>working environment,</w:t>
      </w:r>
      <w:r w:rsidRPr="00F730EB">
        <w:rPr>
          <w:rFonts w:ascii="Arial" w:eastAsia="Times New Roman" w:hAnsi="Arial" w:cs="Arial"/>
          <w:i/>
          <w:iCs/>
          <w:lang w:eastAsia="en-GB"/>
        </w:rPr>
        <w:t xml:space="preserve"> from senior staff to officers and then to the public where </w:t>
      </w:r>
      <w:proofErr w:type="spellStart"/>
      <w:r w:rsidRPr="00F730EB">
        <w:rPr>
          <w:rFonts w:ascii="Arial" w:eastAsia="Times New Roman" w:hAnsi="Arial" w:cs="Arial"/>
          <w:i/>
          <w:iCs/>
          <w:lang w:eastAsia="en-GB"/>
        </w:rPr>
        <w:t>Peelian</w:t>
      </w:r>
      <w:proofErr w:type="spellEnd"/>
      <w:r w:rsidRPr="00F730EB">
        <w:rPr>
          <w:rFonts w:ascii="Arial" w:eastAsia="Times New Roman" w:hAnsi="Arial" w:cs="Arial"/>
          <w:i/>
          <w:iCs/>
          <w:lang w:eastAsia="en-GB"/>
        </w:rPr>
        <w:t xml:space="preserve"> working principles were then applied (Quinton, </w:t>
      </w:r>
      <w:proofErr w:type="spellStart"/>
      <w:r w:rsidRPr="00F730EB">
        <w:rPr>
          <w:rFonts w:ascii="Arial" w:eastAsia="Times New Roman" w:hAnsi="Arial" w:cs="Arial"/>
          <w:i/>
          <w:iCs/>
          <w:lang w:eastAsia="en-GB"/>
        </w:rPr>
        <w:t>Myhill</w:t>
      </w:r>
      <w:proofErr w:type="spellEnd"/>
      <w:r w:rsidRPr="00F730EB">
        <w:rPr>
          <w:rFonts w:ascii="Arial" w:eastAsia="Times New Roman" w:hAnsi="Arial" w:cs="Arial"/>
          <w:i/>
          <w:iCs/>
          <w:lang w:eastAsia="en-GB"/>
        </w:rPr>
        <w:t xml:space="preserve">, Bradford, </w:t>
      </w:r>
      <w:proofErr w:type="spellStart"/>
      <w:r w:rsidRPr="00F730EB">
        <w:rPr>
          <w:rFonts w:ascii="Arial" w:eastAsia="Times New Roman" w:hAnsi="Arial" w:cs="Arial"/>
          <w:i/>
          <w:iCs/>
          <w:lang w:eastAsia="en-GB"/>
        </w:rPr>
        <w:t>Fildes</w:t>
      </w:r>
      <w:proofErr w:type="spellEnd"/>
      <w:r w:rsidRPr="00F730EB">
        <w:rPr>
          <w:rFonts w:ascii="Arial" w:eastAsia="Times New Roman" w:hAnsi="Arial" w:cs="Arial"/>
          <w:i/>
          <w:iCs/>
          <w:lang w:eastAsia="en-GB"/>
        </w:rPr>
        <w:t xml:space="preserve">, &amp; Porter, 2015). The HMIC reaffirms this, stating organisational justice to be a ‘vital aspect’ of police legitimacy, emphasising that police officers were more likely to treat the public with fairness and respect if they feel they themselves are being treated fairly and respectfully (HMIC, 2016). Benefits included cost-effective policing through prevention of issues such as the ‘wall of silence’ (Criminal Justice Alliance, 2021), allowing for a better distribution of allocation of police recourses (Quinton, </w:t>
      </w:r>
      <w:proofErr w:type="spellStart"/>
      <w:r w:rsidRPr="00F730EB">
        <w:rPr>
          <w:rFonts w:ascii="Arial" w:eastAsia="Times New Roman" w:hAnsi="Arial" w:cs="Arial"/>
          <w:i/>
          <w:iCs/>
          <w:lang w:eastAsia="en-GB"/>
        </w:rPr>
        <w:t>Myhill</w:t>
      </w:r>
      <w:proofErr w:type="spellEnd"/>
      <w:r w:rsidRPr="00F730EB">
        <w:rPr>
          <w:rFonts w:ascii="Arial" w:eastAsia="Times New Roman" w:hAnsi="Arial" w:cs="Arial"/>
          <w:i/>
          <w:iCs/>
          <w:lang w:eastAsia="en-GB"/>
        </w:rPr>
        <w:t xml:space="preserve">, Bradford, </w:t>
      </w:r>
      <w:proofErr w:type="spellStart"/>
      <w:r w:rsidRPr="00F730EB">
        <w:rPr>
          <w:rFonts w:ascii="Arial" w:eastAsia="Times New Roman" w:hAnsi="Arial" w:cs="Arial"/>
          <w:i/>
          <w:iCs/>
          <w:lang w:eastAsia="en-GB"/>
        </w:rPr>
        <w:t>Fildes</w:t>
      </w:r>
      <w:proofErr w:type="spellEnd"/>
      <w:r w:rsidRPr="00F730EB">
        <w:rPr>
          <w:rFonts w:ascii="Arial" w:eastAsia="Times New Roman" w:hAnsi="Arial" w:cs="Arial"/>
          <w:i/>
          <w:iCs/>
          <w:lang w:eastAsia="en-GB"/>
        </w:rPr>
        <w:t>, &amp; Porter, 2015). For this reason, fairness and respect were included as policing principles in the Code of Ethics of Policing (College of Policing, 2014). Additionally, the HMI</w:t>
      </w:r>
      <w:r>
        <w:rPr>
          <w:rFonts w:ascii="Arial" w:eastAsia="Times New Roman" w:hAnsi="Arial" w:cs="Arial"/>
          <w:i/>
          <w:iCs/>
          <w:lang w:eastAsia="en-GB"/>
        </w:rPr>
        <w:t>C PEEL assessment demonstrated</w:t>
      </w:r>
      <w:r w:rsidRPr="00F730EB">
        <w:rPr>
          <w:rFonts w:ascii="Arial" w:eastAsia="Times New Roman" w:hAnsi="Arial" w:cs="Arial"/>
          <w:i/>
          <w:iCs/>
          <w:lang w:eastAsia="en-GB"/>
        </w:rPr>
        <w:t xml:space="preserve"> clear intention</w:t>
      </w:r>
      <w:r>
        <w:rPr>
          <w:rFonts w:ascii="Arial" w:eastAsia="Times New Roman" w:hAnsi="Arial" w:cs="Arial"/>
          <w:i/>
          <w:iCs/>
          <w:lang w:eastAsia="en-GB"/>
        </w:rPr>
        <w:t>s</w:t>
      </w:r>
      <w:r w:rsidRPr="00F730EB">
        <w:rPr>
          <w:rFonts w:ascii="Arial" w:eastAsia="Times New Roman" w:hAnsi="Arial" w:cs="Arial"/>
          <w:i/>
          <w:iCs/>
          <w:lang w:eastAsia="en-GB"/>
        </w:rPr>
        <w:t xml:space="preserve"> to improve both distribute and procedural ideologies within the force with the police agency valuing its impact, integrating the ideology within multiple areas of the police agency for the near future (HMIC, 2016). Consistent review of its impact is necessary however, supervisorial procedural justice led to ‘blind obedience’, potentially leading to officers into making the wrong decisions. </w:t>
      </w:r>
    </w:p>
    <w:p w:rsidR="006B16C9" w:rsidRPr="00F730EB" w:rsidRDefault="006B16C9" w:rsidP="006B16C9">
      <w:pPr>
        <w:overflowPunct w:val="0"/>
        <w:autoSpaceDE w:val="0"/>
        <w:autoSpaceDN w:val="0"/>
        <w:adjustRightInd w:val="0"/>
        <w:spacing w:before="240" w:after="0" w:line="276" w:lineRule="auto"/>
        <w:ind w:left="426"/>
        <w:textAlignment w:val="baseline"/>
        <w:rPr>
          <w:rFonts w:ascii="Arial" w:eastAsia="Times New Roman" w:hAnsi="Arial" w:cs="Arial"/>
          <w:i/>
          <w:iCs/>
          <w:lang w:eastAsia="en-GB"/>
        </w:rPr>
      </w:pPr>
      <w:r w:rsidRPr="00F730EB">
        <w:rPr>
          <w:rFonts w:ascii="Arial" w:eastAsia="Times New Roman" w:hAnsi="Arial" w:cs="Arial"/>
          <w:i/>
          <w:iCs/>
          <w:lang w:eastAsia="en-GB"/>
        </w:rPr>
        <w:t>References</w:t>
      </w:r>
      <w:r>
        <w:rPr>
          <w:rFonts w:ascii="Arial" w:eastAsia="Times New Roman" w:hAnsi="Arial" w:cs="Arial"/>
          <w:i/>
          <w:iCs/>
          <w:lang w:eastAsia="en-GB"/>
        </w:rPr>
        <w:t>:</w:t>
      </w:r>
    </w:p>
    <w:p w:rsidR="006B16C9" w:rsidRPr="00F730EB" w:rsidRDefault="006B16C9" w:rsidP="006B16C9">
      <w:pPr>
        <w:overflowPunct w:val="0"/>
        <w:autoSpaceDE w:val="0"/>
        <w:autoSpaceDN w:val="0"/>
        <w:adjustRightInd w:val="0"/>
        <w:spacing w:before="240" w:after="0" w:line="276" w:lineRule="auto"/>
        <w:ind w:left="426"/>
        <w:textAlignment w:val="baseline"/>
        <w:rPr>
          <w:rFonts w:ascii="Arial" w:eastAsia="Times New Roman" w:hAnsi="Arial" w:cs="Arial"/>
          <w:i/>
          <w:iCs/>
          <w:lang w:eastAsia="en-GB"/>
        </w:rPr>
      </w:pPr>
      <w:r w:rsidRPr="00F730EB">
        <w:rPr>
          <w:rFonts w:ascii="Arial" w:eastAsia="Times New Roman" w:hAnsi="Arial" w:cs="Arial"/>
          <w:i/>
          <w:iCs/>
          <w:lang w:eastAsia="en-GB"/>
        </w:rPr>
        <w:t>College of Policing. (2014). Code of ethics: A code of practice for the principles and standards of professional behaviour for the policing profession of England and Wales. Ryton-</w:t>
      </w:r>
      <w:proofErr w:type="spellStart"/>
      <w:r w:rsidRPr="00F730EB">
        <w:rPr>
          <w:rFonts w:ascii="Arial" w:eastAsia="Times New Roman" w:hAnsi="Arial" w:cs="Arial"/>
          <w:i/>
          <w:iCs/>
          <w:lang w:eastAsia="en-GB"/>
        </w:rPr>
        <w:t>onDunsmore</w:t>
      </w:r>
      <w:proofErr w:type="spellEnd"/>
      <w:r w:rsidRPr="00F730EB">
        <w:rPr>
          <w:rFonts w:ascii="Arial" w:eastAsia="Times New Roman" w:hAnsi="Arial" w:cs="Arial"/>
          <w:i/>
          <w:iCs/>
          <w:lang w:eastAsia="en-GB"/>
        </w:rPr>
        <w:t xml:space="preserve">: College of Policing. </w:t>
      </w:r>
    </w:p>
    <w:p w:rsidR="006B16C9" w:rsidRPr="00F730EB" w:rsidRDefault="006B16C9" w:rsidP="006B16C9">
      <w:pPr>
        <w:overflowPunct w:val="0"/>
        <w:autoSpaceDE w:val="0"/>
        <w:autoSpaceDN w:val="0"/>
        <w:adjustRightInd w:val="0"/>
        <w:spacing w:before="240" w:after="0" w:line="276" w:lineRule="auto"/>
        <w:ind w:left="426"/>
        <w:textAlignment w:val="baseline"/>
        <w:rPr>
          <w:rFonts w:ascii="Arial" w:eastAsia="Times New Roman" w:hAnsi="Arial" w:cs="Arial"/>
          <w:i/>
          <w:iCs/>
          <w:lang w:eastAsia="en-GB"/>
        </w:rPr>
      </w:pPr>
      <w:r w:rsidRPr="00F730EB">
        <w:rPr>
          <w:rFonts w:ascii="Arial" w:eastAsia="Times New Roman" w:hAnsi="Arial" w:cs="Arial"/>
          <w:i/>
          <w:iCs/>
          <w:lang w:eastAsia="en-GB"/>
        </w:rPr>
        <w:t xml:space="preserve">Colquitt, J. A., Wesson, M. J., Porter, C. O., Conlon, D. E., &amp; Ng, K. Y. (2001). Justice at the Millennium: A Meta-Analytic Review of 25 Years of Organizational Justice Research. Journal of Applied </w:t>
      </w:r>
      <w:proofErr w:type="spellStart"/>
      <w:r w:rsidRPr="00F730EB">
        <w:rPr>
          <w:rFonts w:ascii="Arial" w:eastAsia="Times New Roman" w:hAnsi="Arial" w:cs="Arial"/>
          <w:i/>
          <w:iCs/>
          <w:lang w:eastAsia="en-GB"/>
        </w:rPr>
        <w:t>Psycology</w:t>
      </w:r>
      <w:proofErr w:type="spellEnd"/>
      <w:r w:rsidRPr="00F730EB">
        <w:rPr>
          <w:rFonts w:ascii="Arial" w:eastAsia="Times New Roman" w:hAnsi="Arial" w:cs="Arial"/>
          <w:i/>
          <w:iCs/>
          <w:lang w:eastAsia="en-GB"/>
        </w:rPr>
        <w:t xml:space="preserve">, 425-445. </w:t>
      </w:r>
    </w:p>
    <w:p w:rsidR="006B16C9" w:rsidRPr="00F730EB" w:rsidRDefault="006B16C9" w:rsidP="006B16C9">
      <w:pPr>
        <w:overflowPunct w:val="0"/>
        <w:autoSpaceDE w:val="0"/>
        <w:autoSpaceDN w:val="0"/>
        <w:adjustRightInd w:val="0"/>
        <w:spacing w:before="240" w:after="0" w:line="276" w:lineRule="auto"/>
        <w:ind w:left="426"/>
        <w:textAlignment w:val="baseline"/>
        <w:rPr>
          <w:rFonts w:ascii="Arial" w:eastAsia="Times New Roman" w:hAnsi="Arial" w:cs="Arial"/>
          <w:i/>
          <w:iCs/>
          <w:lang w:eastAsia="en-GB"/>
        </w:rPr>
      </w:pPr>
      <w:r w:rsidRPr="00F730EB">
        <w:rPr>
          <w:rFonts w:ascii="Arial" w:eastAsia="Times New Roman" w:hAnsi="Arial" w:cs="Arial"/>
          <w:i/>
          <w:iCs/>
          <w:lang w:eastAsia="en-GB"/>
        </w:rPr>
        <w:t xml:space="preserve">Criminal Justice Alliance. (2021). </w:t>
      </w:r>
      <w:proofErr w:type="gramStart"/>
      <w:r w:rsidRPr="00F730EB">
        <w:rPr>
          <w:rFonts w:ascii="Arial" w:eastAsia="Times New Roman" w:hAnsi="Arial" w:cs="Arial"/>
          <w:i/>
          <w:iCs/>
          <w:lang w:eastAsia="en-GB"/>
        </w:rPr>
        <w:t>More</w:t>
      </w:r>
      <w:proofErr w:type="gramEnd"/>
      <w:r w:rsidRPr="00F730EB">
        <w:rPr>
          <w:rFonts w:ascii="Arial" w:eastAsia="Times New Roman" w:hAnsi="Arial" w:cs="Arial"/>
          <w:i/>
          <w:iCs/>
          <w:lang w:eastAsia="en-GB"/>
        </w:rPr>
        <w:t xml:space="preserve"> harm than good: CJA super-complaint. London: HM Inspectorate of </w:t>
      </w:r>
      <w:proofErr w:type="spellStart"/>
      <w:r w:rsidRPr="00F730EB">
        <w:rPr>
          <w:rFonts w:ascii="Arial" w:eastAsia="Times New Roman" w:hAnsi="Arial" w:cs="Arial"/>
          <w:i/>
          <w:iCs/>
          <w:lang w:eastAsia="en-GB"/>
        </w:rPr>
        <w:t>Constably</w:t>
      </w:r>
      <w:proofErr w:type="spellEnd"/>
      <w:r w:rsidRPr="00F730EB">
        <w:rPr>
          <w:rFonts w:ascii="Arial" w:eastAsia="Times New Roman" w:hAnsi="Arial" w:cs="Arial"/>
          <w:i/>
          <w:iCs/>
          <w:lang w:eastAsia="en-GB"/>
        </w:rPr>
        <w:t xml:space="preserve"> and Fire &amp; Rescue Services. </w:t>
      </w:r>
    </w:p>
    <w:p w:rsidR="006B16C9" w:rsidRPr="00F730EB" w:rsidRDefault="006B16C9" w:rsidP="006B16C9">
      <w:pPr>
        <w:overflowPunct w:val="0"/>
        <w:autoSpaceDE w:val="0"/>
        <w:autoSpaceDN w:val="0"/>
        <w:adjustRightInd w:val="0"/>
        <w:spacing w:before="240" w:after="0" w:line="276" w:lineRule="auto"/>
        <w:ind w:left="426"/>
        <w:textAlignment w:val="baseline"/>
        <w:rPr>
          <w:rFonts w:ascii="Arial" w:eastAsia="Times New Roman" w:hAnsi="Arial" w:cs="Arial"/>
          <w:i/>
          <w:iCs/>
          <w:lang w:eastAsia="en-GB"/>
        </w:rPr>
      </w:pPr>
      <w:proofErr w:type="spellStart"/>
      <w:r w:rsidRPr="00F730EB">
        <w:rPr>
          <w:rFonts w:ascii="Arial" w:eastAsia="Times New Roman" w:hAnsi="Arial" w:cs="Arial"/>
          <w:i/>
          <w:iCs/>
          <w:lang w:eastAsia="en-GB"/>
        </w:rPr>
        <w:t>Cropanzano</w:t>
      </w:r>
      <w:proofErr w:type="spellEnd"/>
      <w:r w:rsidRPr="00F730EB">
        <w:rPr>
          <w:rFonts w:ascii="Arial" w:eastAsia="Times New Roman" w:hAnsi="Arial" w:cs="Arial"/>
          <w:i/>
          <w:iCs/>
          <w:lang w:eastAsia="en-GB"/>
        </w:rPr>
        <w:t xml:space="preserve">, R., &amp; Molina, A. (2015). Organisational Justice. In R. </w:t>
      </w:r>
      <w:proofErr w:type="spellStart"/>
      <w:r w:rsidRPr="00F730EB">
        <w:rPr>
          <w:rFonts w:ascii="Arial" w:eastAsia="Times New Roman" w:hAnsi="Arial" w:cs="Arial"/>
          <w:i/>
          <w:iCs/>
          <w:lang w:eastAsia="en-GB"/>
        </w:rPr>
        <w:t>Cropanzano</w:t>
      </w:r>
      <w:proofErr w:type="spellEnd"/>
      <w:r w:rsidRPr="00F730EB">
        <w:rPr>
          <w:rFonts w:ascii="Arial" w:eastAsia="Times New Roman" w:hAnsi="Arial" w:cs="Arial"/>
          <w:i/>
          <w:iCs/>
          <w:lang w:eastAsia="en-GB"/>
        </w:rPr>
        <w:t xml:space="preserve">, &amp; A. Molina, International </w:t>
      </w:r>
      <w:proofErr w:type="spellStart"/>
      <w:r w:rsidRPr="00F730EB">
        <w:rPr>
          <w:rFonts w:ascii="Arial" w:eastAsia="Times New Roman" w:hAnsi="Arial" w:cs="Arial"/>
          <w:i/>
          <w:iCs/>
          <w:lang w:eastAsia="en-GB"/>
        </w:rPr>
        <w:t>Encyclopedia</w:t>
      </w:r>
      <w:proofErr w:type="spellEnd"/>
      <w:r w:rsidRPr="00F730EB">
        <w:rPr>
          <w:rFonts w:ascii="Arial" w:eastAsia="Times New Roman" w:hAnsi="Arial" w:cs="Arial"/>
          <w:i/>
          <w:iCs/>
          <w:lang w:eastAsia="en-GB"/>
        </w:rPr>
        <w:t xml:space="preserve"> of the Social &amp; </w:t>
      </w:r>
      <w:proofErr w:type="spellStart"/>
      <w:r w:rsidRPr="00F730EB">
        <w:rPr>
          <w:rFonts w:ascii="Arial" w:eastAsia="Times New Roman" w:hAnsi="Arial" w:cs="Arial"/>
          <w:i/>
          <w:iCs/>
          <w:lang w:eastAsia="en-GB"/>
        </w:rPr>
        <w:t>Behavioral</w:t>
      </w:r>
      <w:proofErr w:type="spellEnd"/>
      <w:r w:rsidRPr="00F730EB">
        <w:rPr>
          <w:rFonts w:ascii="Arial" w:eastAsia="Times New Roman" w:hAnsi="Arial" w:cs="Arial"/>
          <w:i/>
          <w:iCs/>
          <w:lang w:eastAsia="en-GB"/>
        </w:rPr>
        <w:t xml:space="preserve"> Sciences, 2nd edition (pp. 379-384). Oxford: Elsevier. </w:t>
      </w:r>
    </w:p>
    <w:p w:rsidR="006B16C9" w:rsidRPr="00F730EB" w:rsidRDefault="006B16C9" w:rsidP="006B16C9">
      <w:pPr>
        <w:overflowPunct w:val="0"/>
        <w:autoSpaceDE w:val="0"/>
        <w:autoSpaceDN w:val="0"/>
        <w:adjustRightInd w:val="0"/>
        <w:spacing w:before="240" w:after="0" w:line="276" w:lineRule="auto"/>
        <w:ind w:left="426"/>
        <w:textAlignment w:val="baseline"/>
        <w:rPr>
          <w:rFonts w:ascii="Arial" w:eastAsia="Times New Roman" w:hAnsi="Arial" w:cs="Arial"/>
          <w:i/>
          <w:iCs/>
          <w:lang w:eastAsia="en-GB"/>
        </w:rPr>
      </w:pPr>
      <w:r w:rsidRPr="00F730EB">
        <w:rPr>
          <w:rFonts w:ascii="Arial" w:eastAsia="Times New Roman" w:hAnsi="Arial" w:cs="Arial"/>
          <w:i/>
          <w:iCs/>
          <w:lang w:eastAsia="en-GB"/>
        </w:rPr>
        <w:t xml:space="preserve">HMIC. (2016). PEEL: Police legitimacy 2016. London: HMIC. </w:t>
      </w:r>
    </w:p>
    <w:p w:rsidR="006B16C9" w:rsidRPr="00F730EB" w:rsidRDefault="006B16C9" w:rsidP="006B16C9">
      <w:pPr>
        <w:overflowPunct w:val="0"/>
        <w:autoSpaceDE w:val="0"/>
        <w:autoSpaceDN w:val="0"/>
        <w:adjustRightInd w:val="0"/>
        <w:spacing w:before="240" w:after="0" w:line="276" w:lineRule="auto"/>
        <w:ind w:left="426"/>
        <w:textAlignment w:val="baseline"/>
        <w:rPr>
          <w:rFonts w:ascii="Arial" w:eastAsia="Times New Roman" w:hAnsi="Arial" w:cs="Arial"/>
          <w:i/>
          <w:iCs/>
          <w:lang w:eastAsia="en-GB"/>
        </w:rPr>
      </w:pPr>
      <w:r w:rsidRPr="00F730EB">
        <w:rPr>
          <w:rFonts w:ascii="Arial" w:eastAsia="Times New Roman" w:hAnsi="Arial" w:cs="Arial"/>
          <w:i/>
          <w:iCs/>
          <w:lang w:eastAsia="en-GB"/>
        </w:rPr>
        <w:t xml:space="preserve">Leventhal, G., </w:t>
      </w:r>
      <w:proofErr w:type="spellStart"/>
      <w:r w:rsidRPr="00F730EB">
        <w:rPr>
          <w:rFonts w:ascii="Arial" w:eastAsia="Times New Roman" w:hAnsi="Arial" w:cs="Arial"/>
          <w:i/>
          <w:iCs/>
          <w:lang w:eastAsia="en-GB"/>
        </w:rPr>
        <w:t>Karuza</w:t>
      </w:r>
      <w:proofErr w:type="spellEnd"/>
      <w:r w:rsidRPr="00F730EB">
        <w:rPr>
          <w:rFonts w:ascii="Arial" w:eastAsia="Times New Roman" w:hAnsi="Arial" w:cs="Arial"/>
          <w:i/>
          <w:iCs/>
          <w:lang w:eastAsia="en-GB"/>
        </w:rPr>
        <w:t xml:space="preserve">, J., &amp; Fry, W. (1980). Review and Prospect on Interactional Justice. Open Journal of Social Sciences, Vol.4 No.1, 167-218. </w:t>
      </w:r>
    </w:p>
    <w:p w:rsidR="006B16C9" w:rsidRPr="00F730EB" w:rsidRDefault="006B16C9" w:rsidP="006B16C9">
      <w:pPr>
        <w:overflowPunct w:val="0"/>
        <w:autoSpaceDE w:val="0"/>
        <w:autoSpaceDN w:val="0"/>
        <w:adjustRightInd w:val="0"/>
        <w:spacing w:before="240" w:after="0" w:line="276" w:lineRule="auto"/>
        <w:ind w:left="426"/>
        <w:textAlignment w:val="baseline"/>
        <w:rPr>
          <w:rFonts w:ascii="Arial" w:eastAsia="Times New Roman" w:hAnsi="Arial" w:cs="Arial"/>
          <w:i/>
          <w:iCs/>
          <w:lang w:eastAsia="en-GB"/>
        </w:rPr>
      </w:pPr>
      <w:proofErr w:type="spellStart"/>
      <w:r w:rsidRPr="00F730EB">
        <w:rPr>
          <w:rFonts w:ascii="Arial" w:eastAsia="Times New Roman" w:hAnsi="Arial" w:cs="Arial"/>
          <w:i/>
          <w:iCs/>
          <w:lang w:eastAsia="en-GB"/>
        </w:rPr>
        <w:lastRenderedPageBreak/>
        <w:t>Ndjaboue</w:t>
      </w:r>
      <w:proofErr w:type="spellEnd"/>
      <w:r w:rsidRPr="00F730EB">
        <w:rPr>
          <w:rFonts w:ascii="Arial" w:eastAsia="Times New Roman" w:hAnsi="Arial" w:cs="Arial"/>
          <w:i/>
          <w:iCs/>
          <w:lang w:eastAsia="en-GB"/>
        </w:rPr>
        <w:t xml:space="preserve">, R., </w:t>
      </w:r>
      <w:proofErr w:type="spellStart"/>
      <w:r w:rsidRPr="00F730EB">
        <w:rPr>
          <w:rFonts w:ascii="Arial" w:eastAsia="Times New Roman" w:hAnsi="Arial" w:cs="Arial"/>
          <w:i/>
          <w:iCs/>
          <w:lang w:eastAsia="en-GB"/>
        </w:rPr>
        <w:t>Brisson</w:t>
      </w:r>
      <w:proofErr w:type="spellEnd"/>
      <w:r w:rsidRPr="00F730EB">
        <w:rPr>
          <w:rFonts w:ascii="Arial" w:eastAsia="Times New Roman" w:hAnsi="Arial" w:cs="Arial"/>
          <w:i/>
          <w:iCs/>
          <w:lang w:eastAsia="en-GB"/>
        </w:rPr>
        <w:t xml:space="preserve">, C., &amp; </w:t>
      </w:r>
      <w:proofErr w:type="spellStart"/>
      <w:r w:rsidRPr="00F730EB">
        <w:rPr>
          <w:rFonts w:ascii="Arial" w:eastAsia="Times New Roman" w:hAnsi="Arial" w:cs="Arial"/>
          <w:i/>
          <w:iCs/>
          <w:lang w:eastAsia="en-GB"/>
        </w:rPr>
        <w:t>Vezina</w:t>
      </w:r>
      <w:proofErr w:type="spellEnd"/>
      <w:r w:rsidRPr="00F730EB">
        <w:rPr>
          <w:rFonts w:ascii="Arial" w:eastAsia="Times New Roman" w:hAnsi="Arial" w:cs="Arial"/>
          <w:i/>
          <w:iCs/>
          <w:lang w:eastAsia="en-GB"/>
        </w:rPr>
        <w:t xml:space="preserve">, M. (2012). Organisational justice and mental health: a systematic review of prospective studies. Quebec City: University of Quebec. </w:t>
      </w:r>
    </w:p>
    <w:p w:rsidR="006B16C9" w:rsidRPr="00F730EB" w:rsidRDefault="006B16C9" w:rsidP="006B16C9">
      <w:pPr>
        <w:overflowPunct w:val="0"/>
        <w:autoSpaceDE w:val="0"/>
        <w:autoSpaceDN w:val="0"/>
        <w:adjustRightInd w:val="0"/>
        <w:spacing w:before="240" w:after="0" w:line="276" w:lineRule="auto"/>
        <w:ind w:left="426"/>
        <w:textAlignment w:val="baseline"/>
        <w:rPr>
          <w:rFonts w:ascii="Arial" w:eastAsia="Times New Roman" w:hAnsi="Arial" w:cs="Arial"/>
          <w:i/>
          <w:iCs/>
          <w:lang w:eastAsia="en-GB"/>
        </w:rPr>
      </w:pPr>
      <w:r w:rsidRPr="00F730EB">
        <w:rPr>
          <w:rFonts w:ascii="Arial" w:eastAsia="Times New Roman" w:hAnsi="Arial" w:cs="Arial"/>
          <w:i/>
          <w:iCs/>
          <w:lang w:eastAsia="en-GB"/>
        </w:rPr>
        <w:t xml:space="preserve">Tyler, T. R., &amp; </w:t>
      </w:r>
      <w:proofErr w:type="spellStart"/>
      <w:r w:rsidRPr="00F730EB">
        <w:rPr>
          <w:rFonts w:ascii="Arial" w:eastAsia="Times New Roman" w:hAnsi="Arial" w:cs="Arial"/>
          <w:i/>
          <w:iCs/>
          <w:lang w:eastAsia="en-GB"/>
        </w:rPr>
        <w:t>Blader</w:t>
      </w:r>
      <w:proofErr w:type="spellEnd"/>
      <w:r w:rsidRPr="00F730EB">
        <w:rPr>
          <w:rFonts w:ascii="Arial" w:eastAsia="Times New Roman" w:hAnsi="Arial" w:cs="Arial"/>
          <w:i/>
          <w:iCs/>
          <w:lang w:eastAsia="en-GB"/>
        </w:rPr>
        <w:t xml:space="preserve">, S. L. (2003). The Group Engagement Model: Procedural Justice, Social Identity, and Cooperative </w:t>
      </w:r>
      <w:proofErr w:type="spellStart"/>
      <w:r w:rsidRPr="00F730EB">
        <w:rPr>
          <w:rFonts w:ascii="Arial" w:eastAsia="Times New Roman" w:hAnsi="Arial" w:cs="Arial"/>
          <w:i/>
          <w:iCs/>
          <w:lang w:eastAsia="en-GB"/>
        </w:rPr>
        <w:t>Behavior</w:t>
      </w:r>
      <w:proofErr w:type="spellEnd"/>
      <w:r w:rsidRPr="00F730EB">
        <w:rPr>
          <w:rFonts w:ascii="Arial" w:eastAsia="Times New Roman" w:hAnsi="Arial" w:cs="Arial"/>
          <w:i/>
          <w:iCs/>
          <w:lang w:eastAsia="en-GB"/>
        </w:rPr>
        <w:t xml:space="preserve">. Personality and Social </w:t>
      </w:r>
      <w:proofErr w:type="spellStart"/>
      <w:r w:rsidRPr="00F730EB">
        <w:rPr>
          <w:rFonts w:ascii="Arial" w:eastAsia="Times New Roman" w:hAnsi="Arial" w:cs="Arial"/>
          <w:i/>
          <w:iCs/>
          <w:lang w:eastAsia="en-GB"/>
        </w:rPr>
        <w:t>Psycology</w:t>
      </w:r>
      <w:proofErr w:type="spellEnd"/>
      <w:r w:rsidRPr="00F730EB">
        <w:rPr>
          <w:rFonts w:ascii="Arial" w:eastAsia="Times New Roman" w:hAnsi="Arial" w:cs="Arial"/>
          <w:i/>
          <w:iCs/>
          <w:lang w:eastAsia="en-GB"/>
        </w:rPr>
        <w:t xml:space="preserve"> Review, 349-361. </w:t>
      </w:r>
    </w:p>
    <w:p w:rsidR="006B16C9" w:rsidRPr="00FC5F1E" w:rsidRDefault="006B16C9" w:rsidP="006B16C9">
      <w:pPr>
        <w:overflowPunct w:val="0"/>
        <w:autoSpaceDE w:val="0"/>
        <w:autoSpaceDN w:val="0"/>
        <w:adjustRightInd w:val="0"/>
        <w:spacing w:before="240" w:after="0" w:line="276" w:lineRule="auto"/>
        <w:ind w:left="426"/>
        <w:textAlignment w:val="baseline"/>
        <w:rPr>
          <w:rFonts w:ascii="Arial" w:eastAsia="Times New Roman" w:hAnsi="Arial" w:cs="Arial"/>
          <w:b/>
          <w:iCs/>
          <w:lang w:eastAsia="en-GB"/>
        </w:rPr>
      </w:pPr>
      <w:r w:rsidRPr="00F730EB">
        <w:rPr>
          <w:rFonts w:ascii="Arial" w:eastAsia="Times New Roman" w:hAnsi="Arial" w:cs="Arial"/>
          <w:i/>
          <w:iCs/>
          <w:lang w:eastAsia="en-GB"/>
        </w:rPr>
        <w:t xml:space="preserve"> </w:t>
      </w:r>
      <w:r>
        <w:rPr>
          <w:rFonts w:ascii="Arial" w:eastAsia="Times New Roman" w:hAnsi="Arial" w:cs="Arial"/>
          <w:b/>
          <w:iCs/>
          <w:lang w:eastAsia="en-GB"/>
        </w:rPr>
        <w:t>Word Count - 1091</w:t>
      </w:r>
    </w:p>
    <w:p w:rsidR="006B16C9" w:rsidRDefault="006B16C9" w:rsidP="006B16C9">
      <w:pPr>
        <w:overflowPunct w:val="0"/>
        <w:autoSpaceDE w:val="0"/>
        <w:autoSpaceDN w:val="0"/>
        <w:adjustRightInd w:val="0"/>
        <w:spacing w:before="240" w:after="0" w:line="240" w:lineRule="auto"/>
        <w:ind w:left="426"/>
        <w:textAlignment w:val="baseline"/>
        <w:rPr>
          <w:rFonts w:ascii="Arial" w:eastAsia="Times New Roman" w:hAnsi="Arial" w:cs="Arial"/>
          <w:i/>
          <w:iCs/>
          <w:lang w:eastAsia="en-GB"/>
        </w:rPr>
      </w:pPr>
    </w:p>
    <w:p w:rsidR="006B16C9" w:rsidRDefault="006B16C9" w:rsidP="006B16C9">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four t</w:t>
      </w:r>
      <w:r w:rsidRPr="00BC461A">
        <w:rPr>
          <w:rFonts w:ascii="Arial" w:eastAsia="Times New Roman" w:hAnsi="Arial" w:cs="Arial"/>
          <w:b/>
          <w:bCs/>
          <w:lang w:eastAsia="en-GB"/>
        </w:rPr>
        <w:t>itle:</w:t>
      </w:r>
      <w:r>
        <w:rPr>
          <w:rFonts w:ascii="Arial" w:eastAsia="Times New Roman" w:hAnsi="Arial" w:cs="Arial"/>
          <w:lang w:eastAsia="en-GB"/>
        </w:rPr>
        <w:t xml:space="preserve"> </w:t>
      </w:r>
    </w:p>
    <w:p w:rsidR="006B16C9" w:rsidRPr="00BC461A" w:rsidRDefault="006B16C9" w:rsidP="006B16C9">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8A27A7">
        <w:rPr>
          <w:rFonts w:ascii="Arial" w:eastAsia="Times New Roman" w:hAnsi="Arial" w:cs="Arial"/>
          <w:lang w:eastAsia="en-GB"/>
        </w:rPr>
        <w:t>Analyse potential links between serious and organised crime and public protection issues (1000 words)</w:t>
      </w:r>
    </w:p>
    <w:p w:rsidR="006B16C9" w:rsidRDefault="006B16C9" w:rsidP="006B16C9">
      <w:pPr>
        <w:spacing w:after="0" w:line="240" w:lineRule="auto"/>
        <w:ind w:left="426"/>
        <w:jc w:val="center"/>
        <w:rPr>
          <w:rFonts w:ascii="Arial" w:eastAsia="Times New Roman" w:hAnsi="Arial" w:cs="Arial"/>
          <w:b/>
          <w:sz w:val="24"/>
          <w:szCs w:val="24"/>
          <w:lang w:eastAsia="en-GB"/>
        </w:rPr>
      </w:pPr>
    </w:p>
    <w:p w:rsidR="006B16C9" w:rsidRDefault="006B16C9" w:rsidP="006B16C9">
      <w:pPr>
        <w:spacing w:after="0" w:line="240" w:lineRule="auto"/>
        <w:ind w:left="426"/>
        <w:jc w:val="center"/>
        <w:rPr>
          <w:rFonts w:ascii="Arial" w:eastAsia="Times New Roman" w:hAnsi="Arial" w:cs="Arial"/>
          <w:b/>
          <w:sz w:val="24"/>
          <w:szCs w:val="24"/>
          <w:lang w:eastAsia="en-GB"/>
        </w:rPr>
      </w:pPr>
    </w:p>
    <w:p w:rsidR="006B16C9" w:rsidRPr="00F730EB" w:rsidRDefault="006B16C9" w:rsidP="006B16C9">
      <w:pPr>
        <w:spacing w:after="0" w:line="276" w:lineRule="auto"/>
        <w:ind w:left="426"/>
        <w:jc w:val="center"/>
        <w:rPr>
          <w:rFonts w:ascii="Arial" w:eastAsia="Times New Roman" w:hAnsi="Arial" w:cs="Arial"/>
          <w:sz w:val="24"/>
          <w:szCs w:val="24"/>
          <w:lang w:eastAsia="en-GB"/>
        </w:rPr>
      </w:pPr>
    </w:p>
    <w:p w:rsidR="006B16C9" w:rsidRPr="00F730EB"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t xml:space="preserve">Organised Crime is defined as planned and co-ordinated criminal behaviour and conduct by people working together on a continuing basis. The CPS has estimated the scale of organised crime, revealing over 36,000 organised criminals reside within the UK, operating under 5,300 groups (The Crown Prosecution Service, 2021). Given such scale, serious and organised crime affects more UK citizens, more often, than any other threat and leads to more deaths in the UK each year than all other national security threats combined (National Crime Agency, 2019). The statistic is owed to the multifaceted operational nature of organised crime, encompassing all aspects of our society; organised crime targets the most vulnerable, with examples of human trafficking and sexual offences, however, their influence can spread as far as businesses and politicians, with examples of money laundering and corruption, respectively. Encompassing multiple social and economic issues, organised crime costed the government £37 billion annually, an increase from recent years, revealing organised crime is a threat of constant evolution, both in scale and complexity. Former Home Secretary </w:t>
      </w:r>
      <w:proofErr w:type="spellStart"/>
      <w:r w:rsidRPr="00F730EB">
        <w:rPr>
          <w:rFonts w:ascii="Arial" w:eastAsia="Times New Roman" w:hAnsi="Arial" w:cs="Arial"/>
          <w:i/>
          <w:lang w:eastAsia="en-GB"/>
        </w:rPr>
        <w:t>Sajid</w:t>
      </w:r>
      <w:proofErr w:type="spellEnd"/>
      <w:r w:rsidRPr="00F730EB">
        <w:rPr>
          <w:rFonts w:ascii="Arial" w:eastAsia="Times New Roman" w:hAnsi="Arial" w:cs="Arial"/>
          <w:i/>
          <w:lang w:eastAsia="en-GB"/>
        </w:rPr>
        <w:t xml:space="preserve"> </w:t>
      </w:r>
      <w:proofErr w:type="spellStart"/>
      <w:r w:rsidRPr="00F730EB">
        <w:rPr>
          <w:rFonts w:ascii="Arial" w:eastAsia="Times New Roman" w:hAnsi="Arial" w:cs="Arial"/>
          <w:i/>
          <w:lang w:eastAsia="en-GB"/>
        </w:rPr>
        <w:t>Javid</w:t>
      </w:r>
      <w:proofErr w:type="spellEnd"/>
      <w:r w:rsidRPr="00F730EB">
        <w:rPr>
          <w:rFonts w:ascii="Arial" w:eastAsia="Times New Roman" w:hAnsi="Arial" w:cs="Arial"/>
          <w:i/>
          <w:lang w:eastAsia="en-GB"/>
        </w:rPr>
        <w:t xml:space="preserve"> reaffirms the gravity of the situation, stating organised crime to be “the most deadly national security threat faced by the UK” (HM Government, 2018). </w:t>
      </w:r>
    </w:p>
    <w:p w:rsidR="006B16C9" w:rsidRPr="00F730EB" w:rsidRDefault="006B16C9" w:rsidP="006B16C9">
      <w:pPr>
        <w:spacing w:after="0" w:line="276" w:lineRule="auto"/>
        <w:rPr>
          <w:rFonts w:ascii="Arial" w:eastAsia="Times New Roman" w:hAnsi="Arial" w:cs="Arial"/>
          <w:i/>
          <w:lang w:eastAsia="en-GB"/>
        </w:rPr>
      </w:pPr>
    </w:p>
    <w:p w:rsidR="006B16C9" w:rsidRPr="00F730EB"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t xml:space="preserve">Drug trafficking is a continually progressive issue within the UK with studies disclosing that since 2011, cocaine consumption within the nation rose by 290% (National Crime Agency, 2020). There is a clear, direct correlation between the increase in drug use (HM Government, 2017) and an increase in </w:t>
      </w:r>
      <w:proofErr w:type="spellStart"/>
      <w:r w:rsidRPr="00F730EB">
        <w:rPr>
          <w:rFonts w:ascii="Arial" w:eastAsia="Times New Roman" w:hAnsi="Arial" w:cs="Arial"/>
          <w:i/>
          <w:lang w:eastAsia="en-GB"/>
        </w:rPr>
        <w:t>drugrelated</w:t>
      </w:r>
      <w:proofErr w:type="spellEnd"/>
      <w:r w:rsidRPr="00F730EB">
        <w:rPr>
          <w:rFonts w:ascii="Arial" w:eastAsia="Times New Roman" w:hAnsi="Arial" w:cs="Arial"/>
          <w:i/>
          <w:lang w:eastAsia="en-GB"/>
        </w:rPr>
        <w:t xml:space="preserve"> deaths, which has reached an all-time high (Home Office, 2020). Organised crime groups account for all illicit drug activity, facilitating production, supply, and distribution (Home Office, 2013). Subsequently, an estimated figure of 3 million people consumed a class A drug in England and Wales last year (Home Office, 2020) with 4,561 drug-related deaths, an 3.8% increase from 2019 (Office for National Statistics, 2021). Organised crime groups are directly responsible, providing an increase in availability (United Nations, 2021) and also purity, which increased from 36% in 2013 to 71% in 2016, thus indicating a fluid supply-line capable of overcoming short-term shocks (HM Government, 2018). Organised crime groups mainly target the most vulnerable of society, with the demand and death closely associated with poverty and deprivation (Home Office, 2020). </w:t>
      </w:r>
    </w:p>
    <w:p w:rsidR="006B16C9" w:rsidRPr="00F730EB" w:rsidRDefault="006B16C9" w:rsidP="006B16C9">
      <w:pPr>
        <w:spacing w:after="0" w:line="276" w:lineRule="auto"/>
        <w:rPr>
          <w:rFonts w:ascii="Arial" w:eastAsia="Times New Roman" w:hAnsi="Arial" w:cs="Arial"/>
          <w:i/>
          <w:lang w:eastAsia="en-GB"/>
        </w:rPr>
      </w:pPr>
    </w:p>
    <w:p w:rsidR="006B16C9" w:rsidRPr="00F730EB"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lastRenderedPageBreak/>
        <w:t xml:space="preserve">Furthermore, it is likely the drug market is linked to a substantial proportion of cases of serious violence. The Serious Violence Strategy reveals evidence that crack cocaine markets have strong links to serious violence, disclosing a connection between recent increases in homicides and rising levels of the use and purity of crack cocaine (HM Government, 2018). Homicide rates have increased from 36% to 47% over the past decade with around one third of victims and two thirds of suspects are drug users or suppliers respectively. As a result, organised crime groups are directly responsible for majority of homicide cases within the UK with their facilitation of 117 tonnes of cocaine to users annually (National Crime Agency, 2020); this is in addition to the 4,561 drug-related deaths from users annually (Office for National Statistics, 2021). </w:t>
      </w:r>
    </w:p>
    <w:p w:rsidR="006B16C9" w:rsidRPr="00F730EB" w:rsidRDefault="006B16C9" w:rsidP="006B16C9">
      <w:pPr>
        <w:spacing w:after="0" w:line="276" w:lineRule="auto"/>
        <w:rPr>
          <w:rFonts w:ascii="Arial" w:eastAsia="Times New Roman" w:hAnsi="Arial" w:cs="Arial"/>
          <w:i/>
          <w:lang w:eastAsia="en-GB"/>
        </w:rPr>
      </w:pPr>
    </w:p>
    <w:p w:rsidR="006B16C9" w:rsidRPr="00F730EB"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t xml:space="preserve">Organised child sexual abuse and exploitation (CSAE) is entirely organised in nature; it involves the grooming and abuse of children and young people by organised networks and groups (Home Office, 2013). The most immediate impact of exploitation and abuse of vulnerable people is physical and emotional harm to the individual, and the many thousands of victims each year are left with long-term needs (HM Government, 2018). Organised criminals target personnel with a modus operandi matching the previously discussed issue of drug trafficking, preying on the most vulnerable people in our society, and those who are economically disadvantaged or who are displaced from their home or country are particularly vulnerable to exploitation. Current studies show exploitation of children online becoming easier and more extreme (National Crime Agency, 2018), utilising the dark web for encryption, </w:t>
      </w:r>
      <w:proofErr w:type="spellStart"/>
      <w:r w:rsidRPr="00F730EB">
        <w:rPr>
          <w:rFonts w:ascii="Arial" w:eastAsia="Times New Roman" w:hAnsi="Arial" w:cs="Arial"/>
          <w:i/>
          <w:lang w:eastAsia="en-GB"/>
        </w:rPr>
        <w:t>anonymisation</w:t>
      </w:r>
      <w:proofErr w:type="spellEnd"/>
      <w:r w:rsidRPr="00F730EB">
        <w:rPr>
          <w:rFonts w:ascii="Arial" w:eastAsia="Times New Roman" w:hAnsi="Arial" w:cs="Arial"/>
          <w:i/>
          <w:lang w:eastAsia="en-GB"/>
        </w:rPr>
        <w:t xml:space="preserve"> and destruction measures (HM Government, 2018). In 2017, industry made 82.109 UK referrals of child sexual abuse material, in 2018, this increased to 114,000 (National Crime Agency, 2019). Furthermore, the number of referrals to the NCA relating to child sexual exploitation increased by 700% in the last four years (National Crime Agency, 2018). </w:t>
      </w:r>
    </w:p>
    <w:p w:rsidR="006B16C9" w:rsidRPr="00F730EB" w:rsidRDefault="006B16C9" w:rsidP="006B16C9">
      <w:pPr>
        <w:spacing w:after="0" w:line="276" w:lineRule="auto"/>
        <w:rPr>
          <w:rFonts w:ascii="Arial" w:eastAsia="Times New Roman" w:hAnsi="Arial" w:cs="Arial"/>
          <w:i/>
          <w:lang w:eastAsia="en-GB"/>
        </w:rPr>
      </w:pPr>
    </w:p>
    <w:p w:rsidR="006B16C9" w:rsidRPr="00F730EB"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t xml:space="preserve">The term ‘modern slavery’ refers to human trafficking, slavery, servitude, and compulsory labour (National Crime Agency, 2020). Offenders engaged in modern slavery are most likely to operate in organised networks, primarily driven by profit. In 2018, there were 6,993 referrals of human trafficking, a 36% increase from 2017; this increase is owed to the continuous nature of modern slavery, victims continuous forced labour ensures a consistent source of revenue for organised networks, as opposed to commodity-based offending (National Crime Agency, 2019). Due to this prolonged environment, victims will suffer physical and psychological abuse together with malnourishment (National Crime Agency, 2020). Studies have shown that UK nationals were the highest referred nationality, majority of whom were minors at the time of referral. It is clear that modern slavery is a precursor to the previously discussed issue of CSAE, with a 48% increase in the referral of minors in 2018 (National Crime Agency, 2019). The interconnected nature of these crimes only highlights how organised networks maximise exploitation of the most vulnerable, jeopardising public protection, ensuring financial gain is achieved. </w:t>
      </w:r>
    </w:p>
    <w:p w:rsidR="006B16C9" w:rsidRPr="00F730EB" w:rsidRDefault="006B16C9" w:rsidP="006B16C9">
      <w:pPr>
        <w:spacing w:after="0" w:line="276" w:lineRule="auto"/>
        <w:rPr>
          <w:rFonts w:ascii="Arial" w:eastAsia="Times New Roman" w:hAnsi="Arial" w:cs="Arial"/>
          <w:i/>
          <w:lang w:eastAsia="en-GB"/>
        </w:rPr>
      </w:pPr>
    </w:p>
    <w:p w:rsidR="006B16C9" w:rsidRPr="00F730EB"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t xml:space="preserve">Concluding, it is clear how organised crime is the biggest threat to national security; the recorded 5,300 groups operate under a multifaceted model, revealing multiple links to public protection issues, including drug trafficking, sexual exploitation, and modern slavery (The Crown Prosecution Service, 2021). The interconnected nature of operations such as modern slavery and sexual exploitation explains the consistent growth across all illicit faculties, subsequently leading to an increase of multiple victimisation figures across the nation, for </w:t>
      </w:r>
      <w:r w:rsidRPr="00F730EB">
        <w:rPr>
          <w:rFonts w:ascii="Arial" w:eastAsia="Times New Roman" w:hAnsi="Arial" w:cs="Arial"/>
          <w:i/>
          <w:lang w:eastAsia="en-GB"/>
        </w:rPr>
        <w:lastRenderedPageBreak/>
        <w:t xml:space="preserve">example, referrals of human trafficking and child sexual exploitation both experienced increases of 36 and 700% respectively (National Crime Agency, 2018; National Crime Agency, 2019). Victimisation reveals a consistent pattern, organised networks targeted the most vulnerable, including the economically disadvantaged (Home Office, 2020). Subsequently, the increasing in poverty rates in Britain (Francis-Devine, 2021) directly correlates to the growth of organised crime. Furthermore, the advancement of technology in relation to the dark web enables organisations to reach the vulnerable easily with the added benefit of anonymity (HM Government, 2018). This not only highlights how organised networks are linked to public protection issues, but also exposes the severity of such illicit activities upon the public, with statistics proving it will only get worse with the growth of such illegal operations.  </w:t>
      </w:r>
    </w:p>
    <w:p w:rsidR="006B16C9" w:rsidRPr="00F730EB" w:rsidRDefault="006B16C9" w:rsidP="006B16C9">
      <w:pPr>
        <w:spacing w:after="0" w:line="276" w:lineRule="auto"/>
        <w:rPr>
          <w:rFonts w:ascii="Arial" w:eastAsia="Times New Roman" w:hAnsi="Arial" w:cs="Arial"/>
          <w:i/>
          <w:lang w:eastAsia="en-GB"/>
        </w:rPr>
      </w:pPr>
    </w:p>
    <w:p w:rsidR="006B16C9" w:rsidRPr="00F730EB" w:rsidRDefault="006B16C9" w:rsidP="006B16C9">
      <w:pPr>
        <w:spacing w:after="0" w:line="276" w:lineRule="auto"/>
        <w:rPr>
          <w:rFonts w:ascii="Arial" w:eastAsia="Times New Roman" w:hAnsi="Arial" w:cs="Arial"/>
          <w:i/>
          <w:lang w:eastAsia="en-GB"/>
        </w:rPr>
      </w:pPr>
    </w:p>
    <w:p w:rsidR="006B16C9"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t>References:</w:t>
      </w:r>
    </w:p>
    <w:p w:rsidR="006B16C9" w:rsidRPr="00F730EB" w:rsidRDefault="006B16C9" w:rsidP="006B16C9">
      <w:pPr>
        <w:spacing w:after="0" w:line="276" w:lineRule="auto"/>
        <w:rPr>
          <w:rFonts w:ascii="Arial" w:eastAsia="Times New Roman" w:hAnsi="Arial" w:cs="Arial"/>
          <w:i/>
          <w:lang w:eastAsia="en-GB"/>
        </w:rPr>
      </w:pPr>
    </w:p>
    <w:p w:rsidR="006B16C9" w:rsidRPr="00F730EB"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t xml:space="preserve"> Francis-Devine, B. (2021). Poverty in the UK: Statistics. London: House of Commons Library. </w:t>
      </w:r>
    </w:p>
    <w:p w:rsidR="006B16C9" w:rsidRPr="00F730EB" w:rsidRDefault="006B16C9" w:rsidP="006B16C9">
      <w:pPr>
        <w:spacing w:after="0" w:line="276" w:lineRule="auto"/>
        <w:rPr>
          <w:rFonts w:ascii="Arial" w:eastAsia="Times New Roman" w:hAnsi="Arial" w:cs="Arial"/>
          <w:i/>
          <w:lang w:eastAsia="en-GB"/>
        </w:rPr>
      </w:pPr>
    </w:p>
    <w:p w:rsidR="006B16C9" w:rsidRPr="00F730EB"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t>HM Government. (2017). United Kingdom drug situation: Focal Point annual report 2017. London: HM Government.</w:t>
      </w:r>
    </w:p>
    <w:p w:rsidR="006B16C9" w:rsidRPr="00F730EB" w:rsidRDefault="006B16C9" w:rsidP="006B16C9">
      <w:pPr>
        <w:spacing w:after="0" w:line="276" w:lineRule="auto"/>
        <w:rPr>
          <w:rFonts w:ascii="Arial" w:eastAsia="Times New Roman" w:hAnsi="Arial" w:cs="Arial"/>
          <w:i/>
          <w:lang w:eastAsia="en-GB"/>
        </w:rPr>
      </w:pPr>
      <w:r>
        <w:rPr>
          <w:rFonts w:ascii="Arial" w:eastAsia="Times New Roman" w:hAnsi="Arial" w:cs="Arial"/>
          <w:i/>
          <w:lang w:eastAsia="en-GB"/>
        </w:rPr>
        <w:t xml:space="preserve"> </w:t>
      </w:r>
    </w:p>
    <w:p w:rsidR="006B16C9" w:rsidRPr="00F730EB"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t>HM Government. (2018). Serious Violence Strategy. London: HM Government.</w:t>
      </w:r>
    </w:p>
    <w:p w:rsidR="006B16C9" w:rsidRPr="00F730EB"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t xml:space="preserve"> </w:t>
      </w:r>
    </w:p>
    <w:p w:rsidR="006B16C9" w:rsidRPr="00F730EB"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t>Home Office. (2013). Understanding organised crime: estimating the scale and the social and economic costs. London: Home Office.</w:t>
      </w:r>
    </w:p>
    <w:p w:rsidR="006B16C9" w:rsidRPr="00F730EB"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t xml:space="preserve"> </w:t>
      </w:r>
    </w:p>
    <w:p w:rsidR="006B16C9" w:rsidRPr="00F730EB"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t>Home Office. (2020). Review of drugs: Summary. London: Home Office.</w:t>
      </w:r>
    </w:p>
    <w:p w:rsidR="006B16C9" w:rsidRPr="00F730EB"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t xml:space="preserve"> </w:t>
      </w:r>
    </w:p>
    <w:p w:rsidR="006B16C9" w:rsidRPr="00F730EB"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t xml:space="preserve">National Crime Agency. (2018). National Strategic Assessment of Serious and Organised Crime 2018. London: National Crime Agency. </w:t>
      </w:r>
    </w:p>
    <w:p w:rsidR="006B16C9" w:rsidRPr="00F730EB" w:rsidRDefault="006B16C9" w:rsidP="006B16C9">
      <w:pPr>
        <w:spacing w:after="0" w:line="276" w:lineRule="auto"/>
        <w:rPr>
          <w:rFonts w:ascii="Arial" w:eastAsia="Times New Roman" w:hAnsi="Arial" w:cs="Arial"/>
          <w:i/>
          <w:lang w:eastAsia="en-GB"/>
        </w:rPr>
      </w:pPr>
    </w:p>
    <w:p w:rsidR="006B16C9" w:rsidRPr="00F730EB"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t xml:space="preserve">National Crime Agency. (2020). National Strategic Assessment of Serious and Organised Crime. London: National Crime Agency. </w:t>
      </w:r>
    </w:p>
    <w:p w:rsidR="006B16C9" w:rsidRPr="00F730EB" w:rsidRDefault="006B16C9" w:rsidP="006B16C9">
      <w:pPr>
        <w:spacing w:after="0" w:line="276" w:lineRule="auto"/>
        <w:rPr>
          <w:rFonts w:ascii="Arial" w:eastAsia="Times New Roman" w:hAnsi="Arial" w:cs="Arial"/>
          <w:i/>
          <w:lang w:eastAsia="en-GB"/>
        </w:rPr>
      </w:pPr>
    </w:p>
    <w:p w:rsidR="006B16C9" w:rsidRPr="00F730EB"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t xml:space="preserve">Office for National Statistics. (2021). Deaths related to drug poisoning in England and Wales: 2020 registrations. London: Office for National Statistics. </w:t>
      </w:r>
    </w:p>
    <w:p w:rsidR="006B16C9" w:rsidRPr="00F730EB"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t xml:space="preserve">The Crown Prosecution Service. (2021, September 30). Organised Crime - . Retrieved from CPS: </w:t>
      </w:r>
      <w:hyperlink r:id="rId11" w:history="1">
        <w:r w:rsidRPr="00F730EB">
          <w:rPr>
            <w:rStyle w:val="Hyperlink"/>
            <w:rFonts w:ascii="Arial" w:eastAsia="Times New Roman" w:hAnsi="Arial" w:cs="Arial"/>
            <w:i/>
            <w:lang w:eastAsia="en-GB"/>
          </w:rPr>
          <w:t>https://www.cps.gov.uk/organised-crime-strategy</w:t>
        </w:r>
      </w:hyperlink>
      <w:r w:rsidRPr="00F730EB">
        <w:rPr>
          <w:rFonts w:ascii="Arial" w:eastAsia="Times New Roman" w:hAnsi="Arial" w:cs="Arial"/>
          <w:i/>
          <w:lang w:eastAsia="en-GB"/>
        </w:rPr>
        <w:t xml:space="preserve"> </w:t>
      </w:r>
    </w:p>
    <w:p w:rsidR="006B16C9" w:rsidRPr="00F730EB" w:rsidRDefault="006B16C9" w:rsidP="006B16C9">
      <w:pPr>
        <w:spacing w:after="0" w:line="276" w:lineRule="auto"/>
        <w:rPr>
          <w:rFonts w:ascii="Arial" w:eastAsia="Times New Roman" w:hAnsi="Arial" w:cs="Arial"/>
          <w:i/>
          <w:lang w:eastAsia="en-GB"/>
        </w:rPr>
      </w:pPr>
    </w:p>
    <w:p w:rsidR="006B16C9" w:rsidRPr="00F730EB" w:rsidRDefault="006B16C9" w:rsidP="006B16C9">
      <w:pPr>
        <w:spacing w:after="0" w:line="276" w:lineRule="auto"/>
        <w:rPr>
          <w:rFonts w:ascii="Arial" w:eastAsia="Times New Roman" w:hAnsi="Arial" w:cs="Arial"/>
          <w:i/>
          <w:lang w:eastAsia="en-GB"/>
        </w:rPr>
      </w:pPr>
      <w:r w:rsidRPr="00F730EB">
        <w:rPr>
          <w:rFonts w:ascii="Arial" w:eastAsia="Times New Roman" w:hAnsi="Arial" w:cs="Arial"/>
          <w:i/>
          <w:lang w:eastAsia="en-GB"/>
        </w:rPr>
        <w:t xml:space="preserve">United Nations. (2021, October 7). New UNODC report: Coca crops in Colombia increase over 50 per cent in one year. Retrieved from United Nations: Office on Drugs and Crime: </w:t>
      </w:r>
    </w:p>
    <w:p w:rsidR="006B16C9" w:rsidRPr="00F730EB" w:rsidRDefault="006B16C9" w:rsidP="006B16C9">
      <w:pPr>
        <w:spacing w:after="0" w:line="276" w:lineRule="auto"/>
        <w:rPr>
          <w:rFonts w:ascii="Arial" w:eastAsia="Times New Roman" w:hAnsi="Arial" w:cs="Arial"/>
          <w:i/>
          <w:lang w:eastAsia="en-GB"/>
        </w:rPr>
      </w:pPr>
      <w:hyperlink r:id="rId12" w:history="1">
        <w:r w:rsidRPr="00BD329F">
          <w:rPr>
            <w:rStyle w:val="Hyperlink"/>
            <w:rFonts w:ascii="Arial" w:eastAsia="Times New Roman" w:hAnsi="Arial" w:cs="Arial"/>
            <w:i/>
            <w:lang w:eastAsia="en-GB"/>
          </w:rPr>
          <w:t>https://www.unodc.org/unodc/en/press/releases/2017/July/new-unodc-report_-cocacrops-in-colombia-increase-over-50-per-cent-in-one-year.html</w:t>
        </w:r>
      </w:hyperlink>
    </w:p>
    <w:p w:rsidR="006B16C9" w:rsidRPr="00F730EB" w:rsidRDefault="006B16C9" w:rsidP="006B16C9">
      <w:pPr>
        <w:spacing w:after="0" w:line="240" w:lineRule="auto"/>
        <w:rPr>
          <w:rFonts w:ascii="Arial" w:eastAsia="Times New Roman" w:hAnsi="Arial" w:cs="Arial"/>
          <w:b/>
          <w:bCs/>
          <w:i/>
          <w:lang w:eastAsia="en-GB"/>
        </w:rPr>
      </w:pPr>
    </w:p>
    <w:p w:rsidR="006B16C9" w:rsidRDefault="006B16C9" w:rsidP="006B16C9">
      <w:pPr>
        <w:spacing w:after="0" w:line="240" w:lineRule="auto"/>
        <w:rPr>
          <w:rFonts w:ascii="Arial" w:eastAsia="Times New Roman" w:hAnsi="Arial" w:cs="Arial"/>
          <w:b/>
          <w:bCs/>
          <w:sz w:val="24"/>
          <w:szCs w:val="24"/>
          <w:lang w:eastAsia="en-GB"/>
        </w:rPr>
      </w:pPr>
    </w:p>
    <w:p w:rsidR="006B16C9" w:rsidRDefault="006B16C9" w:rsidP="006B16C9">
      <w:pPr>
        <w:spacing w:after="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Word Count - 1075</w:t>
      </w:r>
    </w:p>
    <w:p w:rsidR="006B16C9" w:rsidRDefault="006B16C9"/>
    <w:sectPr w:rsidR="006B16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16C9"/>
    <w:rsid w:val="00484DDF"/>
    <w:rsid w:val="00682361"/>
    <w:rsid w:val="006B16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6F3B1"/>
  <w15:chartTrackingRefBased/>
  <w15:docId w15:val="{AE8AF391-47BE-4E5E-8859-7919DF77D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16C9"/>
    <w:pPr>
      <w:ind w:left="720"/>
      <w:contextualSpacing/>
    </w:pPr>
  </w:style>
  <w:style w:type="character" w:styleId="Hyperlink">
    <w:name w:val="Hyperlink"/>
    <w:basedOn w:val="DefaultParagraphFont"/>
    <w:uiPriority w:val="99"/>
    <w:unhideWhenUsed/>
    <w:rsid w:val="006B16C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iceconduct.gov.uk/research-and-learning/learning-and-recommendation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policeconduct.gov.uk/research-and-learning/key-areas-work" TargetMode="External"/><Relationship Id="rId12" Type="http://schemas.openxmlformats.org/officeDocument/2006/relationships/hyperlink" Target="https://www.unodc.org/unodc/en/press/releases/2017/July/new-unodc-report_-cocacrops-in-colombia-increase-over-50-per-cent-in-one-year.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usticeinspectorates.gov.uk/hmicfrs/about-us/who-we-are/" TargetMode="External"/><Relationship Id="rId11" Type="http://schemas.openxmlformats.org/officeDocument/2006/relationships/hyperlink" Target="https://www.cps.gov.uk/organised-crime-strategy" TargetMode="External"/><Relationship Id="rId5" Type="http://schemas.openxmlformats.org/officeDocument/2006/relationships/hyperlink" Target="https://www.justiceinspectorates.gov.uk/hmicfrs/our-work/article/policing-protest-reviews/" TargetMode="External"/><Relationship Id="rId10" Type="http://schemas.openxmlformats.org/officeDocument/2006/relationships/hyperlink" Target="https://www.policeconduct.gov.uk/who-we-are" TargetMode="External"/><Relationship Id="rId4" Type="http://schemas.openxmlformats.org/officeDocument/2006/relationships/hyperlink" Target="https://www.justiceinspectorates.gov.uk/hmicfrs/" TargetMode="External"/><Relationship Id="rId9" Type="http://schemas.openxmlformats.org/officeDocument/2006/relationships/hyperlink" Target="https://www.policeconduct.gov.uk/complaints-and-appeals/supercomplaints-and-working-other-policing-oversight-bodi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5364</Words>
  <Characters>30576</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Gibbs, Kieron</dc:creator>
  <cp:keywords/>
  <dc:description/>
  <cp:lastModifiedBy>Gibbs, Kieron</cp:lastModifiedBy>
  <cp:revision>1</cp:revision>
  <dcterms:created xsi:type="dcterms:W3CDTF">2021-10-24T17:42:00Z</dcterms:created>
  <dcterms:modified xsi:type="dcterms:W3CDTF">2021-10-24T17:46:00Z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