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336963340"/>
        <w:docPartObj>
          <w:docPartGallery w:val="Cover Pages"/>
          <w:docPartUnique/>
        </w:docPartObj>
      </w:sdtPr>
      <w:sdtEndPr>
        <w:rPr>
          <w:rFonts w:ascii="Arial Black" w:eastAsiaTheme="minorHAnsi" w:hAnsi="Arial Black" w:cs="Arial"/>
          <w:color w:val="auto"/>
          <w:kern w:val="2"/>
          <w:sz w:val="24"/>
          <w:szCs w:val="24"/>
          <w:lang w:val="en-GB"/>
          <w14:ligatures w14:val="standardContextual"/>
        </w:rPr>
      </w:sdtEndPr>
      <w:sdtContent>
        <w:p w14:paraId="144F9FFD" w14:textId="60B49F4F" w:rsidR="00AB4F72" w:rsidRDefault="00AB4F72">
          <w:pPr>
            <w:pStyle w:val="NoSpacing"/>
            <w:spacing w:before="1540" w:after="240"/>
            <w:jc w:val="center"/>
            <w:rPr>
              <w:color w:val="156082" w:themeColor="accent1"/>
            </w:rPr>
          </w:pPr>
        </w:p>
        <w:sdt>
          <w:sdtPr>
            <w:rPr>
              <w:rFonts w:ascii="Arial Black" w:eastAsiaTheme="majorEastAsia" w:hAnsi="Arial Black" w:cstheme="majorBidi"/>
              <w:caps/>
              <w:color w:val="156082" w:themeColor="accent1"/>
              <w:sz w:val="72"/>
              <w:szCs w:val="72"/>
            </w:rPr>
            <w:alias w:val="Title"/>
            <w:tag w:val=""/>
            <w:id w:val="1735040861"/>
            <w:placeholder>
              <w:docPart w:val="FC29A998396443A89A52850F8F4A0395"/>
            </w:placeholder>
            <w:dataBinding w:prefixMappings="xmlns:ns0='http://purl.org/dc/elements/1.1/' xmlns:ns1='http://schemas.openxmlformats.org/package/2006/metadata/core-properties' " w:xpath="/ns1:coreProperties[1]/ns0:title[1]" w:storeItemID="{6C3C8BC8-F283-45AE-878A-BAB7291924A1}"/>
            <w:text/>
          </w:sdtPr>
          <w:sdtContent>
            <w:p w14:paraId="4DB977D7" w14:textId="6C8173FD" w:rsidR="00AB4F72" w:rsidRDefault="00AB4F72">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AB4F72">
                <w:rPr>
                  <w:rFonts w:ascii="Arial Black" w:eastAsiaTheme="majorEastAsia" w:hAnsi="Arial Black" w:cstheme="majorBidi"/>
                  <w:caps/>
                  <w:color w:val="156082" w:themeColor="accent1"/>
                  <w:sz w:val="72"/>
                  <w:szCs w:val="72"/>
                </w:rPr>
                <w:t>Financial Analysis</w:t>
              </w:r>
            </w:p>
          </w:sdtContent>
        </w:sdt>
        <w:sdt>
          <w:sdtPr>
            <w:rPr>
              <w:rFonts w:ascii="Arial Black" w:hAnsi="Arial Black"/>
              <w:color w:val="156082" w:themeColor="accent1"/>
              <w:sz w:val="40"/>
              <w:szCs w:val="40"/>
            </w:rPr>
            <w:alias w:val="Subtitle"/>
            <w:tag w:val=""/>
            <w:id w:val="328029620"/>
            <w:placeholder>
              <w:docPart w:val="5753B54DDECA4B6887642BAF7AA06DC7"/>
            </w:placeholder>
            <w:dataBinding w:prefixMappings="xmlns:ns0='http://purl.org/dc/elements/1.1/' xmlns:ns1='http://schemas.openxmlformats.org/package/2006/metadata/core-properties' " w:xpath="/ns1:coreProperties[1]/ns0:subject[1]" w:storeItemID="{6C3C8BC8-F283-45AE-878A-BAB7291924A1}"/>
            <w:text/>
          </w:sdtPr>
          <w:sdtContent>
            <w:p w14:paraId="5F373F28" w14:textId="609FF7C7" w:rsidR="00AB4F72" w:rsidRPr="00AB4F72" w:rsidRDefault="00AB4F72">
              <w:pPr>
                <w:pStyle w:val="NoSpacing"/>
                <w:jc w:val="center"/>
                <w:rPr>
                  <w:rFonts w:ascii="Arial Black" w:hAnsi="Arial Black"/>
                  <w:color w:val="156082" w:themeColor="accent1"/>
                  <w:sz w:val="40"/>
                  <w:szCs w:val="40"/>
                </w:rPr>
              </w:pPr>
              <w:r w:rsidRPr="00AB4F72">
                <w:rPr>
                  <w:rFonts w:ascii="Arial Black" w:hAnsi="Arial Black"/>
                  <w:color w:val="156082" w:themeColor="accent1"/>
                  <w:sz w:val="40"/>
                  <w:szCs w:val="40"/>
                </w:rPr>
                <w:t>Assignment 1</w:t>
              </w:r>
            </w:p>
          </w:sdtContent>
        </w:sdt>
        <w:p w14:paraId="657EC961" w14:textId="0FD2AAF1" w:rsidR="00AB4F72" w:rsidRPr="00AB4F72" w:rsidRDefault="00AB4F72">
          <w:pPr>
            <w:pStyle w:val="NoSpacing"/>
            <w:spacing w:before="480"/>
            <w:jc w:val="center"/>
            <w:rPr>
              <w:rFonts w:ascii="Arial Black" w:hAnsi="Arial Black"/>
              <w:color w:val="156082" w:themeColor="accent1"/>
              <w:sz w:val="40"/>
              <w:szCs w:val="40"/>
            </w:rPr>
          </w:pPr>
        </w:p>
        <w:p w14:paraId="2F4F1264" w14:textId="56F5E835" w:rsidR="00AB4F72" w:rsidRDefault="00AB4F72">
          <w:pPr>
            <w:rPr>
              <w:rFonts w:ascii="Arial Black" w:hAnsi="Arial Black" w:cs="Arial"/>
            </w:rPr>
          </w:pPr>
          <w:r>
            <w:rPr>
              <w:rFonts w:ascii="Arial Black" w:hAnsi="Arial Black" w:cs="Arial"/>
            </w:rPr>
            <w:br w:type="page"/>
          </w:r>
        </w:p>
      </w:sdtContent>
    </w:sdt>
    <w:p w14:paraId="15BF9102" w14:textId="64266073" w:rsidR="00472B31" w:rsidRPr="00997F0B" w:rsidRDefault="00472B31" w:rsidP="00997F0B">
      <w:pPr>
        <w:pStyle w:val="ListParagraph"/>
        <w:numPr>
          <w:ilvl w:val="0"/>
          <w:numId w:val="4"/>
        </w:numPr>
        <w:spacing w:line="480" w:lineRule="auto"/>
        <w:rPr>
          <w:rFonts w:ascii="Arial Black" w:hAnsi="Arial Black" w:cs="Arial"/>
        </w:rPr>
      </w:pPr>
      <w:r w:rsidRPr="00997F0B">
        <w:rPr>
          <w:rFonts w:ascii="Arial Black" w:hAnsi="Arial Black" w:cs="Arial"/>
        </w:rPr>
        <w:lastRenderedPageBreak/>
        <w:t>I</w:t>
      </w:r>
      <w:r w:rsidRPr="00997F0B">
        <w:rPr>
          <w:rFonts w:ascii="Arial Black" w:hAnsi="Arial Black" w:cs="Arial"/>
        </w:rPr>
        <w:t>ntroduction</w:t>
      </w:r>
    </w:p>
    <w:p w14:paraId="712AA422" w14:textId="77777777" w:rsidR="00472B31" w:rsidRDefault="00472B31" w:rsidP="00472B31">
      <w:pPr>
        <w:spacing w:line="480" w:lineRule="auto"/>
        <w:rPr>
          <w:rFonts w:ascii="Arial" w:hAnsi="Arial" w:cs="Arial"/>
        </w:rPr>
      </w:pPr>
      <w:r w:rsidRPr="00472B31">
        <w:rPr>
          <w:rFonts w:ascii="Arial" w:hAnsi="Arial" w:cs="Arial"/>
        </w:rPr>
        <w:t>Tesco PLC is one of the largest grocery retailers based in the UK. Since Tesco publishes comprehensive financial statements once a year, we can conduct an extensive ratio analysis over multiple years. This report focuses on Tesco's continuing operations for the 52 weeks ending on February 25, 2023 ("FY 2022/23"), and February 24, 2024 ("FY 2023/24"), calculating several key profit, solvency and liquidity ratios. By more closely comparing these ratios over the two years, and referencing academic evidence, we will identify the underlying causes of performance changes, recommend potential actions to improve future results, and reflect on the usefulness of ratios as an evaluation of financial performance.</w:t>
      </w:r>
    </w:p>
    <w:p w14:paraId="18E3C4F5" w14:textId="6BCD10A9" w:rsidR="00472B31" w:rsidRPr="00997F0B" w:rsidRDefault="00472B31" w:rsidP="00997F0B">
      <w:pPr>
        <w:pStyle w:val="ListParagraph"/>
        <w:numPr>
          <w:ilvl w:val="0"/>
          <w:numId w:val="4"/>
        </w:numPr>
        <w:spacing w:line="480" w:lineRule="auto"/>
        <w:rPr>
          <w:rFonts w:ascii="Arial Black" w:hAnsi="Arial Black" w:cs="Arial"/>
        </w:rPr>
      </w:pPr>
      <w:r w:rsidRPr="00997F0B">
        <w:rPr>
          <w:rFonts w:ascii="Arial Black" w:hAnsi="Arial Black" w:cs="Arial"/>
        </w:rPr>
        <w:t>Ratio Analysis and Comparison</w:t>
      </w:r>
    </w:p>
    <w:p w14:paraId="75079C14" w14:textId="243A8D81" w:rsidR="00472B31" w:rsidRPr="00997F0B" w:rsidRDefault="00472B31" w:rsidP="00997F0B">
      <w:pPr>
        <w:pStyle w:val="ListParagraph"/>
        <w:numPr>
          <w:ilvl w:val="0"/>
          <w:numId w:val="5"/>
        </w:numPr>
        <w:spacing w:line="480" w:lineRule="auto"/>
        <w:rPr>
          <w:rFonts w:ascii="Arial Black" w:hAnsi="Arial Black" w:cs="Arial"/>
        </w:rPr>
      </w:pPr>
      <w:r w:rsidRPr="00997F0B">
        <w:rPr>
          <w:rFonts w:ascii="Arial Black" w:hAnsi="Arial Black" w:cs="Arial"/>
        </w:rPr>
        <w:t>Operating Profit Margin</w:t>
      </w:r>
    </w:p>
    <w:p w14:paraId="021E8972" w14:textId="749AE25F" w:rsidR="00472B31" w:rsidRPr="00472B31" w:rsidRDefault="00472B31" w:rsidP="00472B31">
      <w:pPr>
        <w:spacing w:line="480" w:lineRule="auto"/>
        <w:rPr>
          <w:rFonts w:ascii="Arial" w:hAnsi="Arial" w:cs="Arial"/>
        </w:rPr>
      </w:pPr>
      <w:r w:rsidRPr="00472B31">
        <w:rPr>
          <w:rFonts w:ascii="Arial" w:hAnsi="Arial" w:cs="Arial"/>
        </w:rPr>
        <w:t>Formula:</w:t>
      </w:r>
      <w:r>
        <w:rPr>
          <w:rFonts w:ascii="Arial" w:hAnsi="Arial" w:cs="Arial"/>
        </w:rPr>
        <w:t xml:space="preserve"> </w:t>
      </w:r>
      <w:r w:rsidRPr="00472B31">
        <w:rPr>
          <w:rFonts w:ascii="Arial" w:hAnsi="Arial" w:cs="Arial"/>
        </w:rPr>
        <w:t>Operating Profit Margin</w:t>
      </w:r>
      <w:r>
        <w:rPr>
          <w:rFonts w:ascii="Arial" w:hAnsi="Arial" w:cs="Arial"/>
        </w:rPr>
        <w:t xml:space="preserve"> </w:t>
      </w:r>
      <w:r w:rsidRPr="00472B31">
        <w:rPr>
          <w:rFonts w:ascii="Arial" w:hAnsi="Arial" w:cs="Arial"/>
        </w:rPr>
        <w:t>=</w:t>
      </w:r>
      <w:r>
        <w:rPr>
          <w:rFonts w:ascii="Arial" w:hAnsi="Arial" w:cs="Arial"/>
        </w:rPr>
        <w:t xml:space="preserve"> </w:t>
      </w:r>
      <w:r w:rsidRPr="00472B31">
        <w:rPr>
          <w:rFonts w:ascii="Arial" w:hAnsi="Arial" w:cs="Arial"/>
        </w:rPr>
        <w:t>Operating Profit</w:t>
      </w:r>
      <w:r>
        <w:rPr>
          <w:rFonts w:ascii="Arial" w:hAnsi="Arial" w:cs="Arial"/>
        </w:rPr>
        <w:t xml:space="preserve"> / </w:t>
      </w:r>
      <w:r w:rsidRPr="00472B31">
        <w:rPr>
          <w:rFonts w:ascii="Arial" w:hAnsi="Arial" w:cs="Arial"/>
        </w:rPr>
        <w:t>Revenue</w:t>
      </w:r>
      <w:r>
        <w:rPr>
          <w:rFonts w:ascii="Arial" w:hAnsi="Arial" w:cs="Arial"/>
        </w:rPr>
        <w:t xml:space="preserve"> x </w:t>
      </w:r>
      <w:r w:rsidRPr="00472B31">
        <w:rPr>
          <w:rFonts w:ascii="Arial" w:hAnsi="Arial" w:cs="Arial"/>
        </w:rPr>
        <w:t>100%</w:t>
      </w:r>
    </w:p>
    <w:p w14:paraId="4F5288CF" w14:textId="77777777" w:rsidR="00997F0B" w:rsidRDefault="00472B31" w:rsidP="00472B31">
      <w:pPr>
        <w:spacing w:line="480" w:lineRule="auto"/>
        <w:rPr>
          <w:rFonts w:ascii="Arial" w:hAnsi="Arial" w:cs="Arial"/>
        </w:rPr>
      </w:pPr>
      <w:r w:rsidRPr="00472B31">
        <w:rPr>
          <w:rFonts w:ascii="Arial" w:hAnsi="Arial" w:cs="Arial"/>
        </w:rPr>
        <w:t>​</w:t>
      </w:r>
      <w:r w:rsidRPr="00997F0B">
        <w:rPr>
          <w:rFonts w:ascii="Arial" w:hAnsi="Arial" w:cs="Arial"/>
          <w:b/>
          <w:bCs/>
        </w:rPr>
        <w:t>FY 2022/23:</w:t>
      </w:r>
      <w:r w:rsidRPr="00472B31">
        <w:rPr>
          <w:rFonts w:ascii="Arial" w:hAnsi="Arial" w:cs="Arial"/>
        </w:rPr>
        <w:t xml:space="preserve"> </w:t>
      </w:r>
    </w:p>
    <w:p w14:paraId="2CE183C7" w14:textId="73F313FB" w:rsidR="00472B31" w:rsidRDefault="00472B31" w:rsidP="00472B31">
      <w:pPr>
        <w:spacing w:line="480" w:lineRule="auto"/>
        <w:rPr>
          <w:rFonts w:ascii="Arial" w:hAnsi="Arial" w:cs="Arial"/>
        </w:rPr>
      </w:pPr>
      <w:r w:rsidRPr="00472B31">
        <w:rPr>
          <w:rFonts w:ascii="Arial" w:hAnsi="Arial" w:cs="Arial"/>
        </w:rPr>
        <w:t>Operating profit</w:t>
      </w:r>
      <w:r>
        <w:rPr>
          <w:rFonts w:ascii="Arial" w:hAnsi="Arial" w:cs="Arial"/>
        </w:rPr>
        <w:t xml:space="preserve"> =</w:t>
      </w:r>
      <w:r w:rsidRPr="00472B31">
        <w:rPr>
          <w:rFonts w:ascii="Arial" w:hAnsi="Arial" w:cs="Arial"/>
        </w:rPr>
        <w:t xml:space="preserve"> £1,525 </w:t>
      </w:r>
    </w:p>
    <w:p w14:paraId="75120668" w14:textId="524F2504" w:rsidR="00472B31" w:rsidRDefault="00472B31" w:rsidP="00472B31">
      <w:pPr>
        <w:spacing w:line="480" w:lineRule="auto"/>
        <w:rPr>
          <w:rFonts w:ascii="Arial" w:hAnsi="Arial" w:cs="Arial"/>
        </w:rPr>
      </w:pPr>
      <w:r>
        <w:rPr>
          <w:rFonts w:ascii="Arial" w:hAnsi="Arial" w:cs="Arial"/>
        </w:rPr>
        <w:t xml:space="preserve">Revenue = </w:t>
      </w:r>
      <w:r w:rsidRPr="00472B31">
        <w:rPr>
          <w:rFonts w:ascii="Arial" w:hAnsi="Arial" w:cs="Arial"/>
        </w:rPr>
        <w:t xml:space="preserve">£65,762 </w:t>
      </w:r>
    </w:p>
    <w:p w14:paraId="2A49C665" w14:textId="33A6F24B" w:rsidR="00472B31" w:rsidRPr="00472B31" w:rsidRDefault="00472B31" w:rsidP="00472B31">
      <w:pPr>
        <w:spacing w:line="480" w:lineRule="auto"/>
        <w:rPr>
          <w:rFonts w:ascii="Arial" w:hAnsi="Arial" w:cs="Arial"/>
        </w:rPr>
      </w:pPr>
      <w:r w:rsidRPr="00472B31">
        <w:rPr>
          <w:rFonts w:ascii="Arial" w:hAnsi="Arial" w:cs="Arial"/>
        </w:rPr>
        <w:t>1,525</w:t>
      </w:r>
      <w:r>
        <w:rPr>
          <w:rFonts w:ascii="Arial" w:hAnsi="Arial" w:cs="Arial"/>
        </w:rPr>
        <w:t xml:space="preserve"> / </w:t>
      </w:r>
      <w:r w:rsidRPr="00472B31">
        <w:rPr>
          <w:rFonts w:ascii="Arial" w:hAnsi="Arial" w:cs="Arial"/>
        </w:rPr>
        <w:t>65,762</w:t>
      </w:r>
      <w:r>
        <w:rPr>
          <w:rFonts w:ascii="Arial" w:hAnsi="Arial" w:cs="Arial"/>
        </w:rPr>
        <w:t xml:space="preserve"> x</w:t>
      </w:r>
      <w:r w:rsidRPr="00472B31">
        <w:rPr>
          <w:rFonts w:ascii="Arial" w:hAnsi="Arial" w:cs="Arial"/>
        </w:rPr>
        <w:t>100</w:t>
      </w:r>
      <w:r>
        <w:rPr>
          <w:rFonts w:ascii="Arial" w:hAnsi="Arial" w:cs="Arial"/>
        </w:rPr>
        <w:t xml:space="preserve"> </w:t>
      </w:r>
      <w:r w:rsidRPr="00472B31">
        <w:rPr>
          <w:rFonts w:ascii="Arial" w:hAnsi="Arial" w:cs="Arial"/>
        </w:rPr>
        <w:t>=</w:t>
      </w:r>
      <w:r>
        <w:rPr>
          <w:rFonts w:ascii="Arial" w:hAnsi="Arial" w:cs="Arial"/>
        </w:rPr>
        <w:t xml:space="preserve"> </w:t>
      </w:r>
      <w:r w:rsidRPr="00472B31">
        <w:rPr>
          <w:rFonts w:ascii="Arial" w:hAnsi="Arial" w:cs="Arial"/>
        </w:rPr>
        <w:t>2.32%</w:t>
      </w:r>
    </w:p>
    <w:p w14:paraId="5F0CE2B1" w14:textId="77777777" w:rsidR="00472B31" w:rsidRPr="00997F0B" w:rsidRDefault="00472B31" w:rsidP="00472B31">
      <w:pPr>
        <w:spacing w:line="480" w:lineRule="auto"/>
        <w:rPr>
          <w:rFonts w:ascii="Arial" w:hAnsi="Arial" w:cs="Arial"/>
          <w:b/>
          <w:bCs/>
        </w:rPr>
      </w:pPr>
      <w:r w:rsidRPr="00997F0B">
        <w:rPr>
          <w:rFonts w:ascii="Arial" w:hAnsi="Arial" w:cs="Arial"/>
          <w:b/>
          <w:bCs/>
        </w:rPr>
        <w:t xml:space="preserve">FY 2023/24: </w:t>
      </w:r>
    </w:p>
    <w:p w14:paraId="43DEF67F" w14:textId="65FC846F" w:rsidR="00472B31" w:rsidRDefault="00472B31" w:rsidP="00472B31">
      <w:pPr>
        <w:spacing w:line="480" w:lineRule="auto"/>
        <w:rPr>
          <w:rFonts w:ascii="Arial" w:hAnsi="Arial" w:cs="Arial"/>
        </w:rPr>
      </w:pPr>
      <w:r w:rsidRPr="00472B31">
        <w:rPr>
          <w:rFonts w:ascii="Arial" w:hAnsi="Arial" w:cs="Arial"/>
        </w:rPr>
        <w:t>Operating profit</w:t>
      </w:r>
      <w:r>
        <w:rPr>
          <w:rFonts w:ascii="Arial" w:hAnsi="Arial" w:cs="Arial"/>
        </w:rPr>
        <w:t xml:space="preserve"> =</w:t>
      </w:r>
      <w:r w:rsidRPr="00472B31">
        <w:rPr>
          <w:rFonts w:ascii="Arial" w:hAnsi="Arial" w:cs="Arial"/>
        </w:rPr>
        <w:t xml:space="preserve"> £2,821  </w:t>
      </w:r>
    </w:p>
    <w:p w14:paraId="520CB169" w14:textId="468752C1" w:rsidR="00472B31" w:rsidRPr="00472B31" w:rsidRDefault="00472B31" w:rsidP="00472B31">
      <w:pPr>
        <w:spacing w:line="480" w:lineRule="auto"/>
        <w:rPr>
          <w:rFonts w:ascii="Arial" w:hAnsi="Arial" w:cs="Arial"/>
        </w:rPr>
      </w:pPr>
      <w:r>
        <w:rPr>
          <w:rFonts w:ascii="Arial" w:hAnsi="Arial" w:cs="Arial"/>
        </w:rPr>
        <w:t>R</w:t>
      </w:r>
      <w:r w:rsidRPr="00472B31">
        <w:rPr>
          <w:rFonts w:ascii="Arial" w:hAnsi="Arial" w:cs="Arial"/>
        </w:rPr>
        <w:t>evenue</w:t>
      </w:r>
      <w:r>
        <w:rPr>
          <w:rFonts w:ascii="Arial" w:hAnsi="Arial" w:cs="Arial"/>
        </w:rPr>
        <w:t xml:space="preserve"> = </w:t>
      </w:r>
      <w:r w:rsidRPr="00472B31">
        <w:rPr>
          <w:rFonts w:ascii="Arial" w:hAnsi="Arial" w:cs="Arial"/>
        </w:rPr>
        <w:t>£</w:t>
      </w:r>
      <w:r w:rsidRPr="00472B31">
        <w:rPr>
          <w:rFonts w:ascii="Arial" w:hAnsi="Arial" w:cs="Arial"/>
        </w:rPr>
        <w:t>68,187</w:t>
      </w:r>
    </w:p>
    <w:p w14:paraId="34C258A9" w14:textId="77777777" w:rsidR="00997F0B" w:rsidRDefault="00472B31" w:rsidP="00472B31">
      <w:pPr>
        <w:spacing w:line="480" w:lineRule="auto"/>
        <w:rPr>
          <w:rFonts w:ascii="Arial" w:hAnsi="Arial" w:cs="Arial"/>
        </w:rPr>
      </w:pPr>
      <w:r w:rsidRPr="00472B31">
        <w:rPr>
          <w:rFonts w:ascii="Arial" w:hAnsi="Arial" w:cs="Arial"/>
        </w:rPr>
        <w:t>2,821</w:t>
      </w:r>
      <w:r>
        <w:rPr>
          <w:rFonts w:ascii="Arial" w:hAnsi="Arial" w:cs="Arial"/>
        </w:rPr>
        <w:t xml:space="preserve"> / </w:t>
      </w:r>
      <w:r w:rsidRPr="00472B31">
        <w:rPr>
          <w:rFonts w:ascii="Arial" w:hAnsi="Arial" w:cs="Arial"/>
        </w:rPr>
        <w:t>68,187</w:t>
      </w:r>
      <w:r>
        <w:rPr>
          <w:rFonts w:ascii="Arial" w:hAnsi="Arial" w:cs="Arial"/>
        </w:rPr>
        <w:t xml:space="preserve"> x </w:t>
      </w:r>
      <w:r w:rsidRPr="00472B31">
        <w:rPr>
          <w:rFonts w:ascii="Arial" w:hAnsi="Arial" w:cs="Arial"/>
        </w:rPr>
        <w:t>100</w:t>
      </w:r>
      <w:r>
        <w:rPr>
          <w:rFonts w:ascii="Arial" w:hAnsi="Arial" w:cs="Arial"/>
        </w:rPr>
        <w:t xml:space="preserve"> </w:t>
      </w:r>
      <w:r w:rsidRPr="00472B31">
        <w:rPr>
          <w:rFonts w:ascii="Arial" w:hAnsi="Arial" w:cs="Arial"/>
        </w:rPr>
        <w:t>=</w:t>
      </w:r>
      <w:r>
        <w:rPr>
          <w:rFonts w:ascii="Arial" w:hAnsi="Arial" w:cs="Arial"/>
        </w:rPr>
        <w:t xml:space="preserve"> </w:t>
      </w:r>
      <w:r w:rsidRPr="00472B31">
        <w:rPr>
          <w:rFonts w:ascii="Arial" w:hAnsi="Arial" w:cs="Arial"/>
        </w:rPr>
        <w:t>4.14%</w:t>
      </w:r>
    </w:p>
    <w:p w14:paraId="39FFDB12" w14:textId="2A2DA93D" w:rsidR="001C24F7" w:rsidRDefault="00472B31" w:rsidP="00472B31">
      <w:pPr>
        <w:spacing w:line="480" w:lineRule="auto"/>
        <w:rPr>
          <w:rFonts w:ascii="Arial" w:hAnsi="Arial" w:cs="Arial"/>
        </w:rPr>
      </w:pPr>
      <w:r w:rsidRPr="00472B31">
        <w:rPr>
          <w:rFonts w:ascii="Arial" w:hAnsi="Arial" w:cs="Arial"/>
        </w:rPr>
        <w:lastRenderedPageBreak/>
        <w:t>Change: +1.82 percentage points, reflecting both higher core earnings and lower one</w:t>
      </w:r>
      <w:r w:rsidRPr="00472B31">
        <w:rPr>
          <w:rFonts w:ascii="Cambria Math" w:hAnsi="Cambria Math" w:cs="Cambria Math"/>
        </w:rPr>
        <w:t>‐</w:t>
      </w:r>
      <w:r w:rsidRPr="00472B31">
        <w:rPr>
          <w:rFonts w:ascii="Arial" w:hAnsi="Arial" w:cs="Arial"/>
        </w:rPr>
        <w:t>off costs.</w:t>
      </w:r>
    </w:p>
    <w:p w14:paraId="3EF2BD60" w14:textId="78B90FB5" w:rsidR="00472B31" w:rsidRPr="00997F0B" w:rsidRDefault="00472B31" w:rsidP="00997F0B">
      <w:pPr>
        <w:pStyle w:val="ListParagraph"/>
        <w:numPr>
          <w:ilvl w:val="0"/>
          <w:numId w:val="5"/>
        </w:numPr>
        <w:spacing w:line="480" w:lineRule="auto"/>
        <w:rPr>
          <w:rFonts w:ascii="Arial Black" w:hAnsi="Arial Black" w:cs="Arial"/>
        </w:rPr>
      </w:pPr>
      <w:r w:rsidRPr="00997F0B">
        <w:rPr>
          <w:rFonts w:ascii="Arial Black" w:hAnsi="Arial Black" w:cs="Arial"/>
        </w:rPr>
        <w:t>Adjusted Operating Profit Margin</w:t>
      </w:r>
    </w:p>
    <w:p w14:paraId="45BE84C2" w14:textId="1F4483C1" w:rsidR="00472B31" w:rsidRPr="00472B31" w:rsidRDefault="00472B31" w:rsidP="00472B31">
      <w:pPr>
        <w:spacing w:line="480" w:lineRule="auto"/>
        <w:rPr>
          <w:rFonts w:ascii="Arial" w:hAnsi="Arial" w:cs="Arial"/>
        </w:rPr>
      </w:pPr>
      <w:r w:rsidRPr="00472B31">
        <w:rPr>
          <w:rFonts w:ascii="Arial" w:hAnsi="Arial" w:cs="Arial"/>
        </w:rPr>
        <w:t>Formula:</w:t>
      </w:r>
      <w:r w:rsidR="001C24F7">
        <w:rPr>
          <w:rFonts w:ascii="Arial" w:hAnsi="Arial" w:cs="Arial"/>
        </w:rPr>
        <w:t xml:space="preserve"> </w:t>
      </w:r>
      <w:r w:rsidRPr="00472B31">
        <w:rPr>
          <w:rFonts w:ascii="Arial" w:hAnsi="Arial" w:cs="Arial"/>
        </w:rPr>
        <w:t>Adjusted Margin</w:t>
      </w:r>
      <w:r w:rsidR="001C24F7">
        <w:rPr>
          <w:rFonts w:ascii="Arial" w:hAnsi="Arial" w:cs="Arial"/>
        </w:rPr>
        <w:t xml:space="preserve"> </w:t>
      </w:r>
      <w:r w:rsidRPr="00472B31">
        <w:rPr>
          <w:rFonts w:ascii="Arial" w:hAnsi="Arial" w:cs="Arial"/>
        </w:rPr>
        <w:t>=</w:t>
      </w:r>
      <w:r w:rsidR="001C24F7">
        <w:rPr>
          <w:rFonts w:ascii="Arial" w:hAnsi="Arial" w:cs="Arial"/>
        </w:rPr>
        <w:t xml:space="preserve"> </w:t>
      </w:r>
      <w:r w:rsidRPr="00472B31">
        <w:rPr>
          <w:rFonts w:ascii="Arial" w:hAnsi="Arial" w:cs="Arial"/>
        </w:rPr>
        <w:t>Adjusted Operating Profi</w:t>
      </w:r>
      <w:r w:rsidR="001C24F7">
        <w:rPr>
          <w:rFonts w:ascii="Arial" w:hAnsi="Arial" w:cs="Arial"/>
        </w:rPr>
        <w:t xml:space="preserve">t / </w:t>
      </w:r>
      <w:r w:rsidRPr="00472B31">
        <w:rPr>
          <w:rFonts w:ascii="Arial" w:hAnsi="Arial" w:cs="Arial"/>
        </w:rPr>
        <w:t>Group Sales (excl. VAT &amp; fuel)</w:t>
      </w:r>
      <w:r w:rsidR="001C24F7">
        <w:rPr>
          <w:rFonts w:ascii="Arial" w:hAnsi="Arial" w:cs="Arial"/>
        </w:rPr>
        <w:t xml:space="preserve"> x </w:t>
      </w:r>
      <w:r w:rsidRPr="00472B31">
        <w:rPr>
          <w:rFonts w:ascii="Arial" w:hAnsi="Arial" w:cs="Arial"/>
        </w:rPr>
        <w:t>100%</w:t>
      </w:r>
    </w:p>
    <w:p w14:paraId="0755604F" w14:textId="77777777" w:rsidR="001C24F7" w:rsidRPr="00997F0B" w:rsidRDefault="00472B31" w:rsidP="00472B31">
      <w:pPr>
        <w:spacing w:line="480" w:lineRule="auto"/>
        <w:rPr>
          <w:rFonts w:ascii="Arial" w:hAnsi="Arial" w:cs="Arial"/>
          <w:b/>
          <w:bCs/>
        </w:rPr>
      </w:pPr>
      <w:r w:rsidRPr="00997F0B">
        <w:rPr>
          <w:rFonts w:ascii="Arial" w:hAnsi="Arial" w:cs="Arial"/>
          <w:b/>
          <w:bCs/>
        </w:rPr>
        <w:t xml:space="preserve">FY 2022/23: </w:t>
      </w:r>
    </w:p>
    <w:p w14:paraId="477AAA65" w14:textId="77777777" w:rsidR="001C24F7" w:rsidRDefault="00472B31" w:rsidP="00472B31">
      <w:pPr>
        <w:spacing w:line="480" w:lineRule="auto"/>
        <w:rPr>
          <w:rFonts w:ascii="Arial" w:hAnsi="Arial" w:cs="Arial"/>
        </w:rPr>
      </w:pPr>
      <w:r w:rsidRPr="00472B31">
        <w:rPr>
          <w:rFonts w:ascii="Arial" w:hAnsi="Arial" w:cs="Arial"/>
        </w:rPr>
        <w:t>Adjusted op. profit</w:t>
      </w:r>
      <w:r w:rsidR="001C24F7">
        <w:rPr>
          <w:rFonts w:ascii="Arial" w:hAnsi="Arial" w:cs="Arial"/>
        </w:rPr>
        <w:t xml:space="preserve"> = </w:t>
      </w:r>
      <w:r w:rsidRPr="00472B31">
        <w:rPr>
          <w:rFonts w:ascii="Arial" w:hAnsi="Arial" w:cs="Arial"/>
        </w:rPr>
        <w:t xml:space="preserve">£2,509 </w:t>
      </w:r>
    </w:p>
    <w:p w14:paraId="5AE9C526" w14:textId="00EA21F9" w:rsidR="00472B31" w:rsidRPr="00472B31" w:rsidRDefault="001C24F7" w:rsidP="00472B31">
      <w:pPr>
        <w:spacing w:line="480" w:lineRule="auto"/>
        <w:rPr>
          <w:rFonts w:ascii="Arial" w:hAnsi="Arial" w:cs="Arial"/>
        </w:rPr>
      </w:pPr>
      <w:r>
        <w:rPr>
          <w:rFonts w:ascii="Arial" w:hAnsi="Arial" w:cs="Arial"/>
        </w:rPr>
        <w:t>S</w:t>
      </w:r>
      <w:r w:rsidR="00472B31" w:rsidRPr="00472B31">
        <w:rPr>
          <w:rFonts w:ascii="Arial" w:hAnsi="Arial" w:cs="Arial"/>
        </w:rPr>
        <w:t>ales</w:t>
      </w:r>
      <w:r>
        <w:rPr>
          <w:rFonts w:ascii="Arial" w:hAnsi="Arial" w:cs="Arial"/>
        </w:rPr>
        <w:t xml:space="preserve"> =</w:t>
      </w:r>
      <w:r w:rsidR="00472B31" w:rsidRPr="00472B31">
        <w:rPr>
          <w:rFonts w:ascii="Arial" w:hAnsi="Arial" w:cs="Arial"/>
        </w:rPr>
        <w:t xml:space="preserve"> £57,216 </w:t>
      </w:r>
    </w:p>
    <w:p w14:paraId="2AA9C798" w14:textId="4E5AD6ED" w:rsidR="001C24F7" w:rsidRDefault="00472B31" w:rsidP="00472B31">
      <w:pPr>
        <w:spacing w:line="480" w:lineRule="auto"/>
        <w:rPr>
          <w:rFonts w:ascii="Arial" w:hAnsi="Arial" w:cs="Arial"/>
        </w:rPr>
      </w:pPr>
      <w:r w:rsidRPr="00472B31">
        <w:rPr>
          <w:rFonts w:ascii="Arial" w:hAnsi="Arial" w:cs="Arial"/>
        </w:rPr>
        <w:t>2,509</w:t>
      </w:r>
      <w:r w:rsidR="001C24F7">
        <w:rPr>
          <w:rFonts w:ascii="Arial" w:hAnsi="Arial" w:cs="Arial"/>
        </w:rPr>
        <w:t xml:space="preserve"> / </w:t>
      </w:r>
      <w:r w:rsidRPr="00472B31">
        <w:rPr>
          <w:rFonts w:ascii="Arial" w:hAnsi="Arial" w:cs="Arial"/>
        </w:rPr>
        <w:t>57,216</w:t>
      </w:r>
      <w:r w:rsidR="001C24F7">
        <w:rPr>
          <w:rFonts w:ascii="Arial" w:hAnsi="Arial" w:cs="Arial"/>
        </w:rPr>
        <w:t xml:space="preserve"> x </w:t>
      </w:r>
      <w:r w:rsidRPr="00472B31">
        <w:rPr>
          <w:rFonts w:ascii="Arial" w:hAnsi="Arial" w:cs="Arial"/>
        </w:rPr>
        <w:t>100</w:t>
      </w:r>
      <w:r w:rsidR="001C24F7">
        <w:rPr>
          <w:rFonts w:ascii="Arial" w:hAnsi="Arial" w:cs="Arial"/>
        </w:rPr>
        <w:t xml:space="preserve"> </w:t>
      </w:r>
      <w:r w:rsidRPr="00472B31">
        <w:rPr>
          <w:rFonts w:ascii="Arial" w:hAnsi="Arial" w:cs="Arial"/>
        </w:rPr>
        <w:t>=</w:t>
      </w:r>
      <w:r w:rsidR="001C24F7">
        <w:rPr>
          <w:rFonts w:ascii="Arial" w:hAnsi="Arial" w:cs="Arial"/>
        </w:rPr>
        <w:t xml:space="preserve"> </w:t>
      </w:r>
      <w:r w:rsidRPr="00472B31">
        <w:rPr>
          <w:rFonts w:ascii="Arial" w:hAnsi="Arial" w:cs="Arial"/>
        </w:rPr>
        <w:t>4.38%</w:t>
      </w:r>
    </w:p>
    <w:p w14:paraId="6C1F527B" w14:textId="77777777" w:rsidR="001C24F7" w:rsidRPr="00997F0B" w:rsidRDefault="00472B31" w:rsidP="00472B31">
      <w:pPr>
        <w:spacing w:line="480" w:lineRule="auto"/>
        <w:rPr>
          <w:rFonts w:ascii="Arial" w:hAnsi="Arial" w:cs="Arial"/>
          <w:b/>
          <w:bCs/>
        </w:rPr>
      </w:pPr>
      <w:r w:rsidRPr="00997F0B">
        <w:rPr>
          <w:rFonts w:ascii="Arial" w:hAnsi="Arial" w:cs="Arial"/>
          <w:b/>
          <w:bCs/>
        </w:rPr>
        <w:t xml:space="preserve">FY 2023/24: </w:t>
      </w:r>
    </w:p>
    <w:p w14:paraId="0E2CF120" w14:textId="77777777" w:rsidR="001C24F7" w:rsidRDefault="00472B31" w:rsidP="00472B31">
      <w:pPr>
        <w:spacing w:line="480" w:lineRule="auto"/>
        <w:rPr>
          <w:rFonts w:ascii="Arial" w:hAnsi="Arial" w:cs="Arial"/>
        </w:rPr>
      </w:pPr>
      <w:r w:rsidRPr="00472B31">
        <w:rPr>
          <w:rFonts w:ascii="Arial" w:hAnsi="Arial" w:cs="Arial"/>
        </w:rPr>
        <w:t>Adjusted op. profit</w:t>
      </w:r>
      <w:r w:rsidR="001C24F7">
        <w:rPr>
          <w:rFonts w:ascii="Arial" w:hAnsi="Arial" w:cs="Arial"/>
        </w:rPr>
        <w:t xml:space="preserve"> = </w:t>
      </w:r>
      <w:r w:rsidRPr="00472B31">
        <w:rPr>
          <w:rFonts w:ascii="Arial" w:hAnsi="Arial" w:cs="Arial"/>
        </w:rPr>
        <w:t xml:space="preserve">£2,829 </w:t>
      </w:r>
    </w:p>
    <w:p w14:paraId="25F5BBEE" w14:textId="3753984E" w:rsidR="00472B31" w:rsidRPr="00472B31" w:rsidRDefault="001C24F7" w:rsidP="00472B31">
      <w:pPr>
        <w:spacing w:line="480" w:lineRule="auto"/>
        <w:rPr>
          <w:rFonts w:ascii="Arial" w:hAnsi="Arial" w:cs="Arial"/>
        </w:rPr>
      </w:pPr>
      <w:r>
        <w:rPr>
          <w:rFonts w:ascii="Arial" w:hAnsi="Arial" w:cs="Arial"/>
        </w:rPr>
        <w:t>S</w:t>
      </w:r>
      <w:r w:rsidR="00472B31" w:rsidRPr="00472B31">
        <w:rPr>
          <w:rFonts w:ascii="Arial" w:hAnsi="Arial" w:cs="Arial"/>
        </w:rPr>
        <w:t xml:space="preserve">ales £61,477 </w:t>
      </w:r>
    </w:p>
    <w:p w14:paraId="3917F312" w14:textId="371DF4B4" w:rsidR="00472B31" w:rsidRPr="00472B31" w:rsidRDefault="00472B31" w:rsidP="00472B31">
      <w:pPr>
        <w:spacing w:line="480" w:lineRule="auto"/>
        <w:rPr>
          <w:rFonts w:ascii="Arial" w:hAnsi="Arial" w:cs="Arial"/>
        </w:rPr>
      </w:pPr>
      <w:r w:rsidRPr="00472B31">
        <w:rPr>
          <w:rFonts w:ascii="Arial" w:hAnsi="Arial" w:cs="Arial"/>
        </w:rPr>
        <w:t>2,829</w:t>
      </w:r>
      <w:r w:rsidR="001C24F7">
        <w:rPr>
          <w:rFonts w:ascii="Arial" w:hAnsi="Arial" w:cs="Arial"/>
        </w:rPr>
        <w:t xml:space="preserve"> / </w:t>
      </w:r>
      <w:r w:rsidRPr="00472B31">
        <w:rPr>
          <w:rFonts w:ascii="Arial" w:hAnsi="Arial" w:cs="Arial"/>
        </w:rPr>
        <w:t>61,477</w:t>
      </w:r>
      <w:r w:rsidR="001C24F7">
        <w:rPr>
          <w:rFonts w:ascii="Arial" w:hAnsi="Arial" w:cs="Arial"/>
        </w:rPr>
        <w:t xml:space="preserve"> x </w:t>
      </w:r>
      <w:r w:rsidRPr="00472B31">
        <w:rPr>
          <w:rFonts w:ascii="Arial" w:hAnsi="Arial" w:cs="Arial"/>
        </w:rPr>
        <w:t>100</w:t>
      </w:r>
      <w:r w:rsidR="001C24F7">
        <w:rPr>
          <w:rFonts w:ascii="Arial" w:hAnsi="Arial" w:cs="Arial"/>
        </w:rPr>
        <w:t xml:space="preserve"> </w:t>
      </w:r>
      <w:r w:rsidRPr="00472B31">
        <w:rPr>
          <w:rFonts w:ascii="Arial" w:hAnsi="Arial" w:cs="Arial"/>
        </w:rPr>
        <w:t>=</w:t>
      </w:r>
      <w:r w:rsidR="001C24F7">
        <w:rPr>
          <w:rFonts w:ascii="Arial" w:hAnsi="Arial" w:cs="Arial"/>
        </w:rPr>
        <w:t xml:space="preserve"> </w:t>
      </w:r>
      <w:r w:rsidRPr="00472B31">
        <w:rPr>
          <w:rFonts w:ascii="Arial" w:hAnsi="Arial" w:cs="Arial"/>
        </w:rPr>
        <w:t>4.60%</w:t>
      </w:r>
    </w:p>
    <w:p w14:paraId="044A6E83" w14:textId="5291ECF6" w:rsidR="00472B31" w:rsidRPr="00472B31" w:rsidRDefault="00472B31" w:rsidP="00472B31">
      <w:pPr>
        <w:spacing w:line="480" w:lineRule="auto"/>
        <w:rPr>
          <w:rFonts w:ascii="Arial" w:hAnsi="Arial" w:cs="Arial"/>
        </w:rPr>
      </w:pPr>
      <w:r w:rsidRPr="00472B31">
        <w:rPr>
          <w:rFonts w:ascii="Arial" w:hAnsi="Arial" w:cs="Arial"/>
        </w:rPr>
        <w:t>Change: +0.22 percentage points, indicating sustained operational discipline</w:t>
      </w:r>
      <w:r w:rsidR="001C24F7">
        <w:rPr>
          <w:rFonts w:ascii="Arial" w:hAnsi="Arial" w:cs="Arial"/>
        </w:rPr>
        <w:t>.</w:t>
      </w:r>
    </w:p>
    <w:p w14:paraId="2693F708" w14:textId="3E579DC9" w:rsidR="00472B31" w:rsidRPr="00997F0B" w:rsidRDefault="00472B31" w:rsidP="00997F0B">
      <w:pPr>
        <w:pStyle w:val="ListParagraph"/>
        <w:numPr>
          <w:ilvl w:val="0"/>
          <w:numId w:val="5"/>
        </w:numPr>
        <w:spacing w:line="480" w:lineRule="auto"/>
        <w:rPr>
          <w:rFonts w:ascii="Arial Black" w:hAnsi="Arial Black" w:cs="Arial"/>
        </w:rPr>
      </w:pPr>
      <w:r w:rsidRPr="00997F0B">
        <w:rPr>
          <w:rFonts w:ascii="Arial Black" w:hAnsi="Arial Black" w:cs="Arial"/>
        </w:rPr>
        <w:t>Statutory Diluted Earnings per Share (EPS)</w:t>
      </w:r>
    </w:p>
    <w:p w14:paraId="2309EBDA" w14:textId="77777777" w:rsidR="00DD3959" w:rsidRDefault="00472B31" w:rsidP="00DD3959">
      <w:pPr>
        <w:spacing w:line="480" w:lineRule="auto"/>
        <w:rPr>
          <w:rFonts w:ascii="Arial" w:hAnsi="Arial" w:cs="Arial"/>
        </w:rPr>
      </w:pPr>
      <w:r w:rsidRPr="00472B31">
        <w:rPr>
          <w:rFonts w:ascii="Arial" w:hAnsi="Arial" w:cs="Arial"/>
        </w:rPr>
        <w:t>​</w:t>
      </w:r>
      <w:r w:rsidR="00DD3959" w:rsidRPr="00DD3959">
        <w:t xml:space="preserve"> </w:t>
      </w:r>
      <w:r w:rsidR="00DD3959" w:rsidRPr="00DD3959">
        <w:rPr>
          <w:rFonts w:ascii="Arial" w:hAnsi="Arial" w:cs="Arial"/>
        </w:rPr>
        <w:t>EPS in FY 2022/23 = 10.08 pence per share</w:t>
      </w:r>
    </w:p>
    <w:p w14:paraId="448239D5" w14:textId="10157A85" w:rsidR="00DD3959" w:rsidRPr="00DD3959" w:rsidRDefault="00DD3959" w:rsidP="00DD3959">
      <w:pPr>
        <w:spacing w:line="480" w:lineRule="auto"/>
        <w:rPr>
          <w:rFonts w:ascii="Arial" w:hAnsi="Arial" w:cs="Arial"/>
        </w:rPr>
      </w:pPr>
      <w:r w:rsidRPr="00DD3959">
        <w:rPr>
          <w:rFonts w:ascii="Arial" w:hAnsi="Arial" w:cs="Arial"/>
        </w:rPr>
        <w:t>EPS in FY 2023/24 = 24.53 pence per share</w:t>
      </w:r>
    </w:p>
    <w:p w14:paraId="0D680D34" w14:textId="16D611E7" w:rsidR="00472B31" w:rsidRPr="00472B31" w:rsidRDefault="00DD3959" w:rsidP="00DD3959">
      <w:pPr>
        <w:spacing w:line="480" w:lineRule="auto"/>
        <w:rPr>
          <w:rFonts w:ascii="Arial" w:hAnsi="Arial" w:cs="Arial"/>
        </w:rPr>
      </w:pPr>
      <w:r w:rsidRPr="00DD3959">
        <w:rPr>
          <w:rFonts w:ascii="Arial" w:hAnsi="Arial" w:cs="Arial"/>
        </w:rPr>
        <w:t>Change in EPS = 24.53 p – 10.08 p = +14.45 pence per share</w:t>
      </w:r>
    </w:p>
    <w:p w14:paraId="6D055CDE" w14:textId="15D47029" w:rsidR="00472B31" w:rsidRPr="00AB4F72" w:rsidRDefault="00472B31" w:rsidP="00AB4F72">
      <w:pPr>
        <w:pStyle w:val="ListParagraph"/>
        <w:numPr>
          <w:ilvl w:val="0"/>
          <w:numId w:val="5"/>
        </w:numPr>
        <w:spacing w:line="480" w:lineRule="auto"/>
        <w:rPr>
          <w:rFonts w:ascii="Arial Black" w:hAnsi="Arial Black" w:cs="Arial"/>
        </w:rPr>
      </w:pPr>
      <w:r w:rsidRPr="00AB4F72">
        <w:rPr>
          <w:rFonts w:ascii="Arial Black" w:hAnsi="Arial Black" w:cs="Arial"/>
        </w:rPr>
        <w:t>Adjusted Diluted EPS</w:t>
      </w:r>
    </w:p>
    <w:p w14:paraId="1FFF3836" w14:textId="77777777" w:rsidR="00DD3959" w:rsidRDefault="00472B31" w:rsidP="00472B31">
      <w:pPr>
        <w:spacing w:line="480" w:lineRule="auto"/>
        <w:rPr>
          <w:rFonts w:ascii="Arial" w:hAnsi="Arial" w:cs="Arial"/>
        </w:rPr>
      </w:pPr>
      <w:r w:rsidRPr="00472B31">
        <w:rPr>
          <w:rFonts w:ascii="Arial" w:hAnsi="Arial" w:cs="Arial"/>
        </w:rPr>
        <w:t>Using adjusted profit figures to remove one-offs:</w:t>
      </w:r>
    </w:p>
    <w:p w14:paraId="0A49395F" w14:textId="5EB13C67" w:rsidR="00472B31" w:rsidRPr="00472B31" w:rsidRDefault="00472B31" w:rsidP="00472B31">
      <w:pPr>
        <w:spacing w:line="480" w:lineRule="auto"/>
        <w:rPr>
          <w:rFonts w:ascii="Arial" w:hAnsi="Arial" w:cs="Arial"/>
        </w:rPr>
      </w:pPr>
      <w:r w:rsidRPr="00472B31">
        <w:rPr>
          <w:rFonts w:ascii="Arial" w:hAnsi="Arial" w:cs="Arial"/>
        </w:rPr>
        <w:lastRenderedPageBreak/>
        <w:t>FY 2022/23: 20.53 pence.</w:t>
      </w:r>
    </w:p>
    <w:p w14:paraId="648A8A5E" w14:textId="1F2E4510" w:rsidR="00472B31" w:rsidRPr="00472B31" w:rsidRDefault="00472B31" w:rsidP="00472B31">
      <w:pPr>
        <w:spacing w:line="480" w:lineRule="auto"/>
        <w:rPr>
          <w:rFonts w:ascii="Arial" w:hAnsi="Arial" w:cs="Arial"/>
        </w:rPr>
      </w:pPr>
      <w:r w:rsidRPr="00472B31">
        <w:rPr>
          <w:rFonts w:ascii="Arial" w:hAnsi="Arial" w:cs="Arial"/>
        </w:rPr>
        <w:t>FY 2023/24: 23.41 pence.</w:t>
      </w:r>
    </w:p>
    <w:p w14:paraId="4C1AE770" w14:textId="77777777" w:rsidR="00DD3959" w:rsidRDefault="00472B31" w:rsidP="00472B31">
      <w:pPr>
        <w:spacing w:line="480" w:lineRule="auto"/>
        <w:rPr>
          <w:rFonts w:ascii="Arial" w:hAnsi="Arial" w:cs="Arial"/>
        </w:rPr>
      </w:pPr>
      <w:r w:rsidRPr="00472B31">
        <w:rPr>
          <w:rFonts w:ascii="Arial" w:hAnsi="Arial" w:cs="Arial"/>
        </w:rPr>
        <w:t>Change: +2.88 pence, reflecting genuine underlying earnings growth.</w:t>
      </w:r>
    </w:p>
    <w:p w14:paraId="3EF04E98" w14:textId="438ECF50" w:rsidR="00472B31" w:rsidRPr="00AB4F72" w:rsidRDefault="00472B31" w:rsidP="00AB4F72">
      <w:pPr>
        <w:pStyle w:val="ListParagraph"/>
        <w:numPr>
          <w:ilvl w:val="0"/>
          <w:numId w:val="5"/>
        </w:numPr>
        <w:spacing w:line="480" w:lineRule="auto"/>
        <w:rPr>
          <w:rFonts w:ascii="Arial Black" w:hAnsi="Arial Black" w:cs="Arial"/>
        </w:rPr>
      </w:pPr>
      <w:r w:rsidRPr="00AB4F72">
        <w:rPr>
          <w:rFonts w:ascii="Arial Black" w:hAnsi="Arial Black" w:cs="Arial"/>
        </w:rPr>
        <w:t>Net Debt</w:t>
      </w:r>
    </w:p>
    <w:p w14:paraId="716F9AD7" w14:textId="70377F41" w:rsidR="00472B31" w:rsidRPr="00472B31" w:rsidRDefault="00472B31" w:rsidP="00472B31">
      <w:pPr>
        <w:spacing w:line="480" w:lineRule="auto"/>
        <w:rPr>
          <w:rFonts w:ascii="Arial" w:hAnsi="Arial" w:cs="Arial"/>
        </w:rPr>
      </w:pPr>
      <w:r w:rsidRPr="00472B31">
        <w:rPr>
          <w:rFonts w:ascii="Arial" w:hAnsi="Arial" w:cs="Arial"/>
        </w:rPr>
        <w:t>Formula:</w:t>
      </w:r>
      <w:r w:rsidR="00DD3959">
        <w:rPr>
          <w:rFonts w:ascii="Arial" w:hAnsi="Arial" w:cs="Arial"/>
        </w:rPr>
        <w:t xml:space="preserve"> </w:t>
      </w:r>
      <w:r w:rsidR="00DD3959" w:rsidRPr="00472B31">
        <w:rPr>
          <w:rFonts w:ascii="Arial" w:hAnsi="Arial" w:cs="Arial"/>
        </w:rPr>
        <w:t>Net</w:t>
      </w:r>
      <w:r w:rsidRPr="00472B31">
        <w:rPr>
          <w:rFonts w:ascii="Arial" w:hAnsi="Arial" w:cs="Arial"/>
        </w:rPr>
        <w:t> Debt</w:t>
      </w:r>
      <w:r w:rsidR="00DD3959">
        <w:rPr>
          <w:rFonts w:ascii="Arial" w:hAnsi="Arial" w:cs="Arial"/>
        </w:rPr>
        <w:t xml:space="preserve"> </w:t>
      </w:r>
      <w:r w:rsidRPr="00472B31">
        <w:rPr>
          <w:rFonts w:ascii="Arial" w:hAnsi="Arial" w:cs="Arial"/>
        </w:rPr>
        <w:t>=</w:t>
      </w:r>
      <w:r w:rsidR="00DD3959">
        <w:rPr>
          <w:rFonts w:ascii="Arial" w:hAnsi="Arial" w:cs="Arial"/>
        </w:rPr>
        <w:t xml:space="preserve"> (</w:t>
      </w:r>
      <w:r w:rsidRPr="00472B31">
        <w:rPr>
          <w:rFonts w:ascii="Arial" w:hAnsi="Arial" w:cs="Arial"/>
        </w:rPr>
        <w:t>Net Debt</w:t>
      </w:r>
      <w:r w:rsidR="00DD3959">
        <w:rPr>
          <w:rFonts w:ascii="Arial" w:hAnsi="Arial" w:cs="Arial"/>
        </w:rPr>
        <w:t xml:space="preserve"> </w:t>
      </w:r>
      <w:r w:rsidRPr="00472B31">
        <w:rPr>
          <w:rFonts w:ascii="Arial" w:hAnsi="Arial" w:cs="Arial"/>
        </w:rPr>
        <w:t>22/23</w:t>
      </w:r>
      <w:r w:rsidR="00DD3959">
        <w:rPr>
          <w:rFonts w:ascii="Arial" w:hAnsi="Arial" w:cs="Arial"/>
        </w:rPr>
        <w:t>) – (</w:t>
      </w:r>
      <w:r w:rsidRPr="00472B31">
        <w:rPr>
          <w:rFonts w:ascii="Arial" w:hAnsi="Arial" w:cs="Arial"/>
        </w:rPr>
        <w:t>Net Debt</w:t>
      </w:r>
      <w:r w:rsidR="00DD3959">
        <w:rPr>
          <w:rFonts w:ascii="Arial" w:hAnsi="Arial" w:cs="Arial"/>
        </w:rPr>
        <w:t xml:space="preserve"> </w:t>
      </w:r>
      <w:r w:rsidRPr="00472B31">
        <w:rPr>
          <w:rFonts w:ascii="Arial" w:hAnsi="Arial" w:cs="Arial"/>
        </w:rPr>
        <w:t>23/24</w:t>
      </w:r>
      <w:r w:rsidR="00DD3959">
        <w:rPr>
          <w:rFonts w:ascii="Arial" w:hAnsi="Arial" w:cs="Arial"/>
        </w:rPr>
        <w:t>)</w:t>
      </w:r>
    </w:p>
    <w:p w14:paraId="7942FA00" w14:textId="77777777" w:rsidR="00DD3959" w:rsidRDefault="00472B31" w:rsidP="00472B31">
      <w:pPr>
        <w:spacing w:line="480" w:lineRule="auto"/>
        <w:rPr>
          <w:rFonts w:ascii="Arial" w:hAnsi="Arial" w:cs="Arial"/>
        </w:rPr>
      </w:pPr>
      <w:r w:rsidRPr="00472B31">
        <w:rPr>
          <w:rFonts w:ascii="Arial" w:hAnsi="Arial" w:cs="Arial"/>
        </w:rPr>
        <w:t xml:space="preserve">​FY 2022/23: £10,493 m </w:t>
      </w:r>
    </w:p>
    <w:p w14:paraId="7BCA0665" w14:textId="247D62C6" w:rsidR="00472B31" w:rsidRPr="00472B31" w:rsidRDefault="00472B31" w:rsidP="00472B31">
      <w:pPr>
        <w:spacing w:line="480" w:lineRule="auto"/>
        <w:rPr>
          <w:rFonts w:ascii="Arial" w:hAnsi="Arial" w:cs="Arial"/>
        </w:rPr>
      </w:pPr>
      <w:r w:rsidRPr="00472B31">
        <w:rPr>
          <w:rFonts w:ascii="Arial" w:hAnsi="Arial" w:cs="Arial"/>
        </w:rPr>
        <w:t xml:space="preserve">FY 2023/24: £ 9,764 m </w:t>
      </w:r>
    </w:p>
    <w:p w14:paraId="12D4CCCF" w14:textId="3CAFA823" w:rsidR="00472B31" w:rsidRPr="00472B31" w:rsidRDefault="00472B31" w:rsidP="00472B31">
      <w:pPr>
        <w:spacing w:line="480" w:lineRule="auto"/>
        <w:rPr>
          <w:rFonts w:ascii="Arial" w:hAnsi="Arial" w:cs="Arial"/>
        </w:rPr>
      </w:pPr>
      <w:r w:rsidRPr="00472B31">
        <w:rPr>
          <w:rFonts w:ascii="Arial" w:hAnsi="Arial" w:cs="Arial"/>
        </w:rPr>
        <w:t>Change: Reduction of £729 m, enhancing solvency and reducing interest pressur</w:t>
      </w:r>
      <w:r w:rsidR="00DD3959">
        <w:rPr>
          <w:rFonts w:ascii="Arial" w:hAnsi="Arial" w:cs="Arial"/>
        </w:rPr>
        <w:t>e.</w:t>
      </w:r>
    </w:p>
    <w:p w14:paraId="0D8D5398" w14:textId="0F0F11A6" w:rsidR="00472B31" w:rsidRPr="00AB4F72" w:rsidRDefault="00472B31" w:rsidP="00AB4F72">
      <w:pPr>
        <w:pStyle w:val="ListParagraph"/>
        <w:numPr>
          <w:ilvl w:val="0"/>
          <w:numId w:val="5"/>
        </w:numPr>
        <w:spacing w:line="480" w:lineRule="auto"/>
        <w:rPr>
          <w:rFonts w:ascii="Arial Black" w:hAnsi="Arial Black" w:cs="Arial"/>
        </w:rPr>
      </w:pPr>
      <w:r w:rsidRPr="00AB4F72">
        <w:rPr>
          <w:rFonts w:ascii="Arial Black" w:hAnsi="Arial Black" w:cs="Arial"/>
        </w:rPr>
        <w:t>Retail Free Cash Flow</w:t>
      </w:r>
    </w:p>
    <w:p w14:paraId="6476B140" w14:textId="51E361B8" w:rsidR="00472B31" w:rsidRPr="00472B31" w:rsidRDefault="00472B31" w:rsidP="00472B31">
      <w:pPr>
        <w:spacing w:line="480" w:lineRule="auto"/>
        <w:rPr>
          <w:rFonts w:ascii="Arial" w:hAnsi="Arial" w:cs="Arial"/>
        </w:rPr>
      </w:pPr>
      <w:r w:rsidRPr="00472B31">
        <w:rPr>
          <w:rFonts w:ascii="Arial" w:hAnsi="Arial" w:cs="Arial"/>
        </w:rPr>
        <w:t>Formula:</w:t>
      </w:r>
      <w:r w:rsidR="00DD3959">
        <w:rPr>
          <w:rFonts w:ascii="Arial" w:hAnsi="Arial" w:cs="Arial"/>
        </w:rPr>
        <w:t xml:space="preserve"> </w:t>
      </w:r>
      <w:r w:rsidRPr="00472B31">
        <w:rPr>
          <w:rFonts w:ascii="Arial" w:hAnsi="Arial" w:cs="Arial"/>
        </w:rPr>
        <w:t>Free Cash Flow</w:t>
      </w:r>
      <w:r w:rsidR="00DD3959">
        <w:rPr>
          <w:rFonts w:ascii="Arial" w:hAnsi="Arial" w:cs="Arial"/>
        </w:rPr>
        <w:t xml:space="preserve"> </w:t>
      </w:r>
      <w:r w:rsidRPr="00472B31">
        <w:rPr>
          <w:rFonts w:ascii="Arial" w:hAnsi="Arial" w:cs="Arial"/>
        </w:rPr>
        <w:t>=</w:t>
      </w:r>
      <w:r w:rsidR="00DD3959">
        <w:rPr>
          <w:rFonts w:ascii="Arial" w:hAnsi="Arial" w:cs="Arial"/>
        </w:rPr>
        <w:t xml:space="preserve"> (</w:t>
      </w:r>
      <w:r w:rsidRPr="00472B31">
        <w:rPr>
          <w:rFonts w:ascii="Arial" w:hAnsi="Arial" w:cs="Arial"/>
        </w:rPr>
        <w:t>FCF</w:t>
      </w:r>
      <w:r w:rsidR="00DD3959">
        <w:rPr>
          <w:rFonts w:ascii="Arial" w:hAnsi="Arial" w:cs="Arial"/>
        </w:rPr>
        <w:t xml:space="preserve"> </w:t>
      </w:r>
      <w:r w:rsidRPr="00472B31">
        <w:rPr>
          <w:rFonts w:ascii="Arial" w:hAnsi="Arial" w:cs="Arial"/>
        </w:rPr>
        <w:t>23</w:t>
      </w:r>
      <w:r w:rsidR="00DD3959">
        <w:rPr>
          <w:rFonts w:ascii="Arial" w:hAnsi="Arial" w:cs="Arial"/>
        </w:rPr>
        <w:t xml:space="preserve"> / </w:t>
      </w:r>
      <w:r w:rsidRPr="00472B31">
        <w:rPr>
          <w:rFonts w:ascii="Arial" w:hAnsi="Arial" w:cs="Arial"/>
        </w:rPr>
        <w:t>24</w:t>
      </w:r>
      <w:r w:rsidR="00DD3959">
        <w:rPr>
          <w:rFonts w:ascii="Arial" w:hAnsi="Arial" w:cs="Arial"/>
        </w:rPr>
        <w:t>) – (</w:t>
      </w:r>
      <w:r w:rsidRPr="00472B31">
        <w:rPr>
          <w:rFonts w:ascii="Arial" w:hAnsi="Arial" w:cs="Arial"/>
        </w:rPr>
        <w:t>FC</w:t>
      </w:r>
      <w:r w:rsidR="00DD3959">
        <w:rPr>
          <w:rFonts w:ascii="Arial" w:hAnsi="Arial" w:cs="Arial"/>
        </w:rPr>
        <w:t xml:space="preserve">F </w:t>
      </w:r>
      <w:r w:rsidRPr="00472B31">
        <w:rPr>
          <w:rFonts w:ascii="Arial" w:hAnsi="Arial" w:cs="Arial"/>
        </w:rPr>
        <w:t>22</w:t>
      </w:r>
      <w:r w:rsidR="00DD3959">
        <w:rPr>
          <w:rFonts w:ascii="Arial" w:hAnsi="Arial" w:cs="Arial"/>
        </w:rPr>
        <w:t xml:space="preserve"> / </w:t>
      </w:r>
      <w:r w:rsidRPr="00472B31">
        <w:rPr>
          <w:rFonts w:ascii="Arial" w:hAnsi="Arial" w:cs="Arial"/>
        </w:rPr>
        <w:t>23</w:t>
      </w:r>
      <w:r w:rsidR="00DD3959">
        <w:rPr>
          <w:rFonts w:ascii="Arial" w:hAnsi="Arial" w:cs="Arial"/>
        </w:rPr>
        <w:t>)</w:t>
      </w:r>
    </w:p>
    <w:p w14:paraId="75B14226" w14:textId="77777777" w:rsidR="00DD3959" w:rsidRDefault="00472B31" w:rsidP="00472B31">
      <w:pPr>
        <w:spacing w:line="480" w:lineRule="auto"/>
        <w:rPr>
          <w:rFonts w:ascii="Arial" w:hAnsi="Arial" w:cs="Arial"/>
        </w:rPr>
      </w:pPr>
      <w:r w:rsidRPr="00472B31">
        <w:rPr>
          <w:rFonts w:ascii="Arial" w:hAnsi="Arial" w:cs="Arial"/>
        </w:rPr>
        <w:t>​FY 2022/23: £2,133 m</w:t>
      </w:r>
      <w:r w:rsidR="00DD3959">
        <w:rPr>
          <w:rFonts w:ascii="Arial" w:hAnsi="Arial" w:cs="Arial"/>
        </w:rPr>
        <w:t>.</w:t>
      </w:r>
    </w:p>
    <w:p w14:paraId="72552972" w14:textId="77777777" w:rsidR="00DD3959" w:rsidRDefault="00472B31" w:rsidP="00472B31">
      <w:pPr>
        <w:spacing w:line="480" w:lineRule="auto"/>
        <w:rPr>
          <w:rFonts w:ascii="Arial" w:hAnsi="Arial" w:cs="Arial"/>
        </w:rPr>
      </w:pPr>
      <w:r w:rsidRPr="00472B31">
        <w:rPr>
          <w:rFonts w:ascii="Arial" w:hAnsi="Arial" w:cs="Arial"/>
        </w:rPr>
        <w:t>FY 2023/24: £2,063 m</w:t>
      </w:r>
      <w:r w:rsidR="00DD3959">
        <w:rPr>
          <w:rFonts w:ascii="Arial" w:hAnsi="Arial" w:cs="Arial"/>
        </w:rPr>
        <w:t>.</w:t>
      </w:r>
    </w:p>
    <w:p w14:paraId="21BB39C7" w14:textId="085CFCA6" w:rsidR="00472B31" w:rsidRPr="00472B31" w:rsidRDefault="00472B31" w:rsidP="00472B31">
      <w:pPr>
        <w:spacing w:line="480" w:lineRule="auto"/>
        <w:rPr>
          <w:rFonts w:ascii="Arial" w:hAnsi="Arial" w:cs="Arial"/>
        </w:rPr>
      </w:pPr>
      <w:r w:rsidRPr="00472B31">
        <w:rPr>
          <w:rFonts w:ascii="Arial" w:hAnsi="Arial" w:cs="Arial"/>
        </w:rPr>
        <w:t>Change: –£ 70 m (–3.3%), primarily due to higher capital expenditure, though still ahead of medium-term targets.</w:t>
      </w:r>
    </w:p>
    <w:p w14:paraId="0BE7A537" w14:textId="4E5174C3" w:rsidR="00472B31" w:rsidRPr="00AB4F72" w:rsidRDefault="00472B31" w:rsidP="00AB4F72">
      <w:pPr>
        <w:pStyle w:val="ListParagraph"/>
        <w:numPr>
          <w:ilvl w:val="0"/>
          <w:numId w:val="4"/>
        </w:numPr>
        <w:spacing w:line="480" w:lineRule="auto"/>
        <w:rPr>
          <w:rFonts w:ascii="Arial Black" w:hAnsi="Arial Black" w:cs="Arial"/>
        </w:rPr>
      </w:pPr>
      <w:r w:rsidRPr="00AB4F72">
        <w:rPr>
          <w:rFonts w:ascii="Arial Black" w:hAnsi="Arial Black" w:cs="Arial"/>
        </w:rPr>
        <w:t>Financial Performance Comparison (FY 2022/23 versus FY 2023/24)</w:t>
      </w:r>
    </w:p>
    <w:p w14:paraId="4DFA6489" w14:textId="77777777" w:rsidR="00DD3959" w:rsidRDefault="00472B31" w:rsidP="00472B31">
      <w:pPr>
        <w:spacing w:line="480" w:lineRule="auto"/>
        <w:rPr>
          <w:rFonts w:ascii="Arial" w:hAnsi="Arial" w:cs="Arial"/>
        </w:rPr>
      </w:pPr>
      <w:r w:rsidRPr="00472B31">
        <w:rPr>
          <w:rFonts w:ascii="Arial" w:hAnsi="Arial" w:cs="Arial"/>
        </w:rPr>
        <w:t xml:space="preserve">Tesco had significant improvements in profit margin, earnings, leverage, and cash-flow measures over the two years in question, from both one-off items, and real improvements to operations. </w:t>
      </w:r>
    </w:p>
    <w:p w14:paraId="4854F2D7" w14:textId="0AC86BCA" w:rsidR="00DD3959" w:rsidRDefault="00472B31" w:rsidP="00472B31">
      <w:pPr>
        <w:spacing w:line="480" w:lineRule="auto"/>
        <w:rPr>
          <w:rFonts w:ascii="Arial" w:hAnsi="Arial" w:cs="Arial"/>
        </w:rPr>
      </w:pPr>
      <w:r w:rsidRPr="00472B31">
        <w:rPr>
          <w:rFonts w:ascii="Arial" w:hAnsi="Arial" w:cs="Arial"/>
        </w:rPr>
        <w:lastRenderedPageBreak/>
        <w:t>Operating Profit Margin rose from 2.32 percent in FY 2022/23 to 4.14 percent in FY 2023/24. In raw figures operating profit increased from £1,525 million on £65,762 million of revenue to £2,821 million on £68,187 million of revenue</w:t>
      </w:r>
      <w:r w:rsidR="00DD3959">
        <w:rPr>
          <w:rFonts w:ascii="Arial" w:hAnsi="Arial" w:cs="Arial"/>
        </w:rPr>
        <w:t xml:space="preserve">; </w:t>
      </w:r>
      <w:r w:rsidRPr="00472B31">
        <w:rPr>
          <w:rFonts w:ascii="Arial" w:hAnsi="Arial" w:cs="Arial"/>
        </w:rPr>
        <w:t>an 85</w:t>
      </w:r>
      <w:r w:rsidR="00DD3959">
        <w:rPr>
          <w:rFonts w:ascii="Arial" w:hAnsi="Arial" w:cs="Arial"/>
        </w:rPr>
        <w:t xml:space="preserve">% </w:t>
      </w:r>
      <w:r w:rsidRPr="00472B31">
        <w:rPr>
          <w:rFonts w:ascii="Arial" w:hAnsi="Arial" w:cs="Arial"/>
        </w:rPr>
        <w:t xml:space="preserve">increase in operating profit and </w:t>
      </w:r>
      <w:r w:rsidR="00DD3959" w:rsidRPr="00472B31">
        <w:rPr>
          <w:rFonts w:ascii="Arial" w:hAnsi="Arial" w:cs="Arial"/>
        </w:rPr>
        <w:t>1.82 % points</w:t>
      </w:r>
      <w:r w:rsidRPr="00472B31">
        <w:rPr>
          <w:rFonts w:ascii="Arial" w:hAnsi="Arial" w:cs="Arial"/>
        </w:rPr>
        <w:t xml:space="preserve"> increase in margin. The improvements are due to both higher underlying sales, and lower non-recurring items.</w:t>
      </w:r>
    </w:p>
    <w:p w14:paraId="4F6C06F8" w14:textId="0F8F2557" w:rsidR="00A46B8B" w:rsidRDefault="00472B31" w:rsidP="00472B31">
      <w:pPr>
        <w:spacing w:line="480" w:lineRule="auto"/>
        <w:rPr>
          <w:rFonts w:ascii="Arial" w:hAnsi="Arial" w:cs="Arial"/>
        </w:rPr>
      </w:pPr>
      <w:r w:rsidRPr="00472B31">
        <w:rPr>
          <w:rFonts w:ascii="Arial" w:hAnsi="Arial" w:cs="Arial"/>
        </w:rPr>
        <w:t>Adjusted Operating Profit Margin which excludes one-off items</w:t>
      </w:r>
      <w:r w:rsidR="00DD3959">
        <w:rPr>
          <w:rFonts w:ascii="Arial" w:hAnsi="Arial" w:cs="Arial"/>
        </w:rPr>
        <w:t xml:space="preserve">, </w:t>
      </w:r>
      <w:r w:rsidRPr="00472B31">
        <w:rPr>
          <w:rFonts w:ascii="Arial" w:hAnsi="Arial" w:cs="Arial"/>
        </w:rPr>
        <w:t>moved modestly from 4.56</w:t>
      </w:r>
      <w:r w:rsidR="00DD3959">
        <w:rPr>
          <w:rFonts w:ascii="Arial" w:hAnsi="Arial" w:cs="Arial"/>
        </w:rPr>
        <w:t xml:space="preserve"> %</w:t>
      </w:r>
      <w:r w:rsidRPr="00472B31">
        <w:rPr>
          <w:rFonts w:ascii="Arial" w:hAnsi="Arial" w:cs="Arial"/>
        </w:rPr>
        <w:t xml:space="preserve"> (£2,630 million/£57,656 million) to 4.60</w:t>
      </w:r>
      <w:r w:rsidR="00A46B8B">
        <w:rPr>
          <w:rFonts w:ascii="Arial" w:hAnsi="Arial" w:cs="Arial"/>
        </w:rPr>
        <w:t xml:space="preserve"> %</w:t>
      </w:r>
      <w:r w:rsidRPr="00472B31">
        <w:rPr>
          <w:rFonts w:ascii="Arial" w:hAnsi="Arial" w:cs="Arial"/>
        </w:rPr>
        <w:t xml:space="preserve"> (£2,829 million/£61,477 million), </w:t>
      </w:r>
      <w:r w:rsidR="00A46B8B" w:rsidRPr="00472B31">
        <w:rPr>
          <w:rFonts w:ascii="Arial" w:hAnsi="Arial" w:cs="Arial"/>
        </w:rPr>
        <w:t>0.04 points</w:t>
      </w:r>
      <w:r w:rsidRPr="00472B31">
        <w:rPr>
          <w:rFonts w:ascii="Arial" w:hAnsi="Arial" w:cs="Arial"/>
        </w:rPr>
        <w:t xml:space="preserve"> increase. The stability of interim adjusted margins suggests the resilience in Tesco’s “Save to Invest” efficiency programs</w:t>
      </w:r>
      <w:r w:rsidR="00A46B8B">
        <w:rPr>
          <w:rFonts w:ascii="Arial" w:hAnsi="Arial" w:cs="Arial"/>
        </w:rPr>
        <w:t>.</w:t>
      </w:r>
    </w:p>
    <w:p w14:paraId="3DC0A3B3" w14:textId="77777777" w:rsidR="00A46B8B" w:rsidRDefault="00472B31" w:rsidP="00472B31">
      <w:pPr>
        <w:spacing w:line="480" w:lineRule="auto"/>
        <w:rPr>
          <w:rFonts w:ascii="Arial" w:hAnsi="Arial" w:cs="Arial"/>
        </w:rPr>
      </w:pPr>
      <w:r w:rsidRPr="00472B31">
        <w:rPr>
          <w:rFonts w:ascii="Arial" w:hAnsi="Arial" w:cs="Arial"/>
        </w:rPr>
        <w:t xml:space="preserve">Statutory Diluted EPS more than doubled, rising from 10.08 pence to 24.53 pence per share (a £14.45 increase) </w:t>
      </w:r>
      <w:r w:rsidR="00A46B8B" w:rsidRPr="00472B31">
        <w:rPr>
          <w:rFonts w:ascii="Arial" w:hAnsi="Arial" w:cs="Arial"/>
        </w:rPr>
        <w:t>because of</w:t>
      </w:r>
      <w:r w:rsidRPr="00472B31">
        <w:rPr>
          <w:rFonts w:ascii="Arial" w:hAnsi="Arial" w:cs="Arial"/>
        </w:rPr>
        <w:t xml:space="preserve"> much improved operating profits and a much lower adjusting charge (£1,099 million in the FY 22/23 to £8 million in the FY 23/24). Adjusted EPS (which takes out one-offs) also increased from 21.85 pence to 23.41 pence, a 1.56 pence (7.1%) increase, and demonstrates real earnings growth under accounting technicalities.</w:t>
      </w:r>
    </w:p>
    <w:p w14:paraId="0B33CE78" w14:textId="46D6DA62" w:rsidR="00472B31" w:rsidRPr="00472B31" w:rsidRDefault="00472B31" w:rsidP="00472B31">
      <w:pPr>
        <w:spacing w:line="480" w:lineRule="auto"/>
        <w:rPr>
          <w:rFonts w:ascii="Arial" w:hAnsi="Arial" w:cs="Arial"/>
        </w:rPr>
      </w:pPr>
      <w:r w:rsidRPr="00472B31">
        <w:rPr>
          <w:rFonts w:ascii="Arial" w:hAnsi="Arial" w:cs="Arial"/>
        </w:rPr>
        <w:t>From balance-sheet perspectives, net debt reduced from £10,493 million to £9,764 million</w:t>
      </w:r>
      <w:r w:rsidR="00A46B8B">
        <w:rPr>
          <w:rFonts w:ascii="Arial" w:hAnsi="Arial" w:cs="Arial"/>
        </w:rPr>
        <w:t xml:space="preserve">; </w:t>
      </w:r>
      <w:r w:rsidRPr="00472B31">
        <w:rPr>
          <w:rFonts w:ascii="Arial" w:hAnsi="Arial" w:cs="Arial"/>
        </w:rPr>
        <w:t>a fall of £729 million in a manner that enhances solvency and potentially reduces interest costs. This debt repayment was funded by good retail free cash flow which, while down slightly from £2,133 million to £2,063 million (- £70 million or - 3.3%) remained above £2 billion and, all the while, readily financed both debt repayment and the £250 million special dividend from Tesco Bank.</w:t>
      </w:r>
    </w:p>
    <w:p w14:paraId="6000EA9E" w14:textId="77777777" w:rsidR="00AB4F72" w:rsidRDefault="00AB4F72" w:rsidP="00472B31">
      <w:pPr>
        <w:spacing w:line="480" w:lineRule="auto"/>
        <w:rPr>
          <w:rFonts w:ascii="Arial" w:hAnsi="Arial" w:cs="Arial"/>
        </w:rPr>
      </w:pPr>
    </w:p>
    <w:p w14:paraId="09D2B8D3" w14:textId="77777777" w:rsidR="00AB4F72" w:rsidRDefault="00AB4F72" w:rsidP="00472B31">
      <w:pPr>
        <w:spacing w:line="480" w:lineRule="auto"/>
        <w:rPr>
          <w:rFonts w:ascii="Arial" w:hAnsi="Arial" w:cs="Arial"/>
        </w:rPr>
      </w:pPr>
    </w:p>
    <w:p w14:paraId="1D1DF71F" w14:textId="77777777" w:rsidR="00AB4F72" w:rsidRDefault="00AB4F72" w:rsidP="00472B31">
      <w:pPr>
        <w:spacing w:line="480" w:lineRule="auto"/>
        <w:rPr>
          <w:rFonts w:ascii="Arial" w:hAnsi="Arial" w:cs="Arial"/>
        </w:rPr>
      </w:pPr>
    </w:p>
    <w:p w14:paraId="3FF794F4" w14:textId="74092003" w:rsidR="00472B31" w:rsidRPr="00472B31" w:rsidRDefault="00472B31" w:rsidP="00472B31">
      <w:pPr>
        <w:spacing w:line="480" w:lineRule="auto"/>
        <w:rPr>
          <w:rFonts w:ascii="Arial" w:hAnsi="Arial" w:cs="Arial"/>
        </w:rPr>
      </w:pPr>
      <w:r w:rsidRPr="00472B31">
        <w:rPr>
          <w:rFonts w:ascii="Arial" w:hAnsi="Arial" w:cs="Arial"/>
        </w:rPr>
        <w:lastRenderedPageBreak/>
        <w:t xml:space="preserve">Some key performance drivers </w:t>
      </w:r>
      <w:r w:rsidR="00A46B8B" w:rsidRPr="00472B31">
        <w:rPr>
          <w:rFonts w:ascii="Arial" w:hAnsi="Arial" w:cs="Arial"/>
        </w:rPr>
        <w:t>include</w:t>
      </w:r>
      <w:r w:rsidR="00A46B8B">
        <w:rPr>
          <w:rFonts w:ascii="Arial" w:hAnsi="Arial" w:cs="Arial"/>
        </w:rPr>
        <w:t>:</w:t>
      </w:r>
    </w:p>
    <w:p w14:paraId="4673DD7B" w14:textId="77777777" w:rsidR="00A46B8B" w:rsidRPr="00A46B8B" w:rsidRDefault="00472B31" w:rsidP="00A46B8B">
      <w:pPr>
        <w:pStyle w:val="ListParagraph"/>
        <w:numPr>
          <w:ilvl w:val="0"/>
          <w:numId w:val="1"/>
        </w:numPr>
        <w:spacing w:line="480" w:lineRule="auto"/>
        <w:rPr>
          <w:rFonts w:ascii="Arial" w:hAnsi="Arial" w:cs="Arial"/>
        </w:rPr>
      </w:pPr>
      <w:r w:rsidRPr="00A46B8B">
        <w:rPr>
          <w:rFonts w:ascii="Arial" w:hAnsi="Arial" w:cs="Arial"/>
        </w:rPr>
        <w:t xml:space="preserve">Cost efficiencies through procurement efficiencies, automation and “Save to Invest” initiatives that lowered selling, general &amp; admin costs (Attrill &amp; McLaney, 2015). </w:t>
      </w:r>
    </w:p>
    <w:p w14:paraId="5A99C9E8" w14:textId="77777777" w:rsidR="00A46B8B" w:rsidRPr="00A46B8B" w:rsidRDefault="00472B31" w:rsidP="00A46B8B">
      <w:pPr>
        <w:pStyle w:val="ListParagraph"/>
        <w:numPr>
          <w:ilvl w:val="0"/>
          <w:numId w:val="1"/>
        </w:numPr>
        <w:spacing w:line="480" w:lineRule="auto"/>
        <w:rPr>
          <w:rFonts w:ascii="Arial" w:hAnsi="Arial" w:cs="Arial"/>
        </w:rPr>
      </w:pPr>
      <w:r w:rsidRPr="00A46B8B">
        <w:rPr>
          <w:rFonts w:ascii="Arial" w:hAnsi="Arial" w:cs="Arial"/>
        </w:rPr>
        <w:t>Value pricing through Clubcard Price and Aldi Price Match, to protect volumes and margins in inflationary circumstances (Sari et al., 2022).</w:t>
      </w:r>
    </w:p>
    <w:p w14:paraId="19FD3653" w14:textId="77777777" w:rsidR="00A46B8B" w:rsidRPr="00A46B8B" w:rsidRDefault="00472B31" w:rsidP="00A46B8B">
      <w:pPr>
        <w:pStyle w:val="ListParagraph"/>
        <w:numPr>
          <w:ilvl w:val="0"/>
          <w:numId w:val="1"/>
        </w:numPr>
        <w:spacing w:line="480" w:lineRule="auto"/>
        <w:rPr>
          <w:rFonts w:ascii="Arial" w:hAnsi="Arial" w:cs="Arial"/>
        </w:rPr>
      </w:pPr>
      <w:r w:rsidRPr="00A46B8B">
        <w:rPr>
          <w:rFonts w:ascii="Arial" w:hAnsi="Arial" w:cs="Arial"/>
        </w:rPr>
        <w:t>One-off gains, which fundamentally were due to the sales of banking assets, which lowered adjusting charges.</w:t>
      </w:r>
    </w:p>
    <w:p w14:paraId="55D3977D" w14:textId="53289803" w:rsidR="00472B31" w:rsidRPr="00A46B8B" w:rsidRDefault="00472B31" w:rsidP="00A46B8B">
      <w:pPr>
        <w:pStyle w:val="ListParagraph"/>
        <w:numPr>
          <w:ilvl w:val="0"/>
          <w:numId w:val="1"/>
        </w:numPr>
        <w:spacing w:line="480" w:lineRule="auto"/>
        <w:rPr>
          <w:rFonts w:ascii="Arial" w:hAnsi="Arial" w:cs="Arial"/>
        </w:rPr>
      </w:pPr>
      <w:r w:rsidRPr="00A46B8B">
        <w:rPr>
          <w:rFonts w:ascii="Arial" w:hAnsi="Arial" w:cs="Arial"/>
        </w:rPr>
        <w:t>Digital transformation, through dunnhumby-based personali</w:t>
      </w:r>
      <w:r w:rsidR="00A46B8B" w:rsidRPr="00A46B8B">
        <w:rPr>
          <w:rFonts w:ascii="Arial" w:hAnsi="Arial" w:cs="Arial"/>
        </w:rPr>
        <w:t>s</w:t>
      </w:r>
      <w:r w:rsidRPr="00A46B8B">
        <w:rPr>
          <w:rFonts w:ascii="Arial" w:hAnsi="Arial" w:cs="Arial"/>
        </w:rPr>
        <w:t>ation and the Whoosh quick delivery service which lowered stock turns and labour costs (Evans, 2022).</w:t>
      </w:r>
    </w:p>
    <w:p w14:paraId="6BB6D17A" w14:textId="7EDEAF02" w:rsidR="00472B31" w:rsidRPr="00472B31" w:rsidRDefault="00472B31" w:rsidP="00472B31">
      <w:pPr>
        <w:spacing w:line="480" w:lineRule="auto"/>
        <w:rPr>
          <w:rFonts w:ascii="Arial" w:hAnsi="Arial" w:cs="Arial"/>
        </w:rPr>
      </w:pPr>
      <w:r w:rsidRPr="00472B31">
        <w:rPr>
          <w:rFonts w:ascii="Arial" w:hAnsi="Arial" w:cs="Arial"/>
        </w:rPr>
        <w:t>Working-capital controls created a £418 million inflow to offset higher capex and create cash-flow flexibility (Dyson, 2010</w:t>
      </w:r>
      <w:r w:rsidR="00A46B8B" w:rsidRPr="00472B31">
        <w:rPr>
          <w:rFonts w:ascii="Arial" w:hAnsi="Arial" w:cs="Arial"/>
        </w:rPr>
        <w:t>). This</w:t>
      </w:r>
      <w:r w:rsidRPr="00472B31">
        <w:rPr>
          <w:rFonts w:ascii="Arial" w:hAnsi="Arial" w:cs="Arial"/>
        </w:rPr>
        <w:t xml:space="preserve"> comparative ratio analysis shows the improved profitability, strong balance-sheet and strong cash-flow of Tesco; all three create a powerful platform for future investment, returning value to shareholders, and sustainable growth.</w:t>
      </w:r>
    </w:p>
    <w:p w14:paraId="5F8F17C6" w14:textId="32569DAD" w:rsidR="00472B31" w:rsidRPr="00AB4F72" w:rsidRDefault="00472B31" w:rsidP="00AB4F72">
      <w:pPr>
        <w:pStyle w:val="ListParagraph"/>
        <w:numPr>
          <w:ilvl w:val="0"/>
          <w:numId w:val="4"/>
        </w:numPr>
        <w:spacing w:line="480" w:lineRule="auto"/>
        <w:rPr>
          <w:rFonts w:ascii="Arial Black" w:hAnsi="Arial Black" w:cs="Arial"/>
        </w:rPr>
      </w:pPr>
      <w:r w:rsidRPr="00AB4F72">
        <w:rPr>
          <w:rFonts w:ascii="Arial Black" w:hAnsi="Arial Black" w:cs="Arial"/>
        </w:rPr>
        <w:t>Sustainability</w:t>
      </w:r>
    </w:p>
    <w:p w14:paraId="10A49664" w14:textId="77777777" w:rsidR="00A46B8B" w:rsidRDefault="00472B31" w:rsidP="00472B31">
      <w:pPr>
        <w:spacing w:line="480" w:lineRule="auto"/>
        <w:rPr>
          <w:rFonts w:ascii="Arial" w:hAnsi="Arial" w:cs="Arial"/>
        </w:rPr>
      </w:pPr>
      <w:r w:rsidRPr="00472B31">
        <w:rPr>
          <w:rFonts w:ascii="Arial" w:hAnsi="Arial" w:cs="Arial"/>
        </w:rPr>
        <w:t>Tesco's sustainability approach affects its long-term financial resilience and value creation. Drawing from stakeholder theory, Tesco acknowledges environmental and social performance may reinforce financial performance by improving brand value, reducing risk, and reali</w:t>
      </w:r>
      <w:r w:rsidR="00A46B8B">
        <w:rPr>
          <w:rFonts w:ascii="Arial" w:hAnsi="Arial" w:cs="Arial"/>
        </w:rPr>
        <w:t>s</w:t>
      </w:r>
      <w:r w:rsidRPr="00472B31">
        <w:rPr>
          <w:rFonts w:ascii="Arial" w:hAnsi="Arial" w:cs="Arial"/>
        </w:rPr>
        <w:t>ing cost efficiencies, (Choi &amp; Wang, 2009). In the two years, Tesco scaled its capital investment in low carbon logistics, sustainable sourcing and social investment</w:t>
      </w:r>
      <w:r w:rsidR="00A46B8B">
        <w:rPr>
          <w:rFonts w:ascii="Arial" w:hAnsi="Arial" w:cs="Arial"/>
        </w:rPr>
        <w:t xml:space="preserve">: </w:t>
      </w:r>
      <w:r w:rsidRPr="00472B31">
        <w:rPr>
          <w:rFonts w:ascii="Arial" w:hAnsi="Arial" w:cs="Arial"/>
        </w:rPr>
        <w:t>its "Little Helps Plan"</w:t>
      </w:r>
      <w:r w:rsidR="00A46B8B">
        <w:rPr>
          <w:rFonts w:ascii="Arial" w:hAnsi="Arial" w:cs="Arial"/>
        </w:rPr>
        <w:t xml:space="preserve">, </w:t>
      </w:r>
      <w:r w:rsidRPr="00472B31">
        <w:rPr>
          <w:rFonts w:ascii="Arial" w:hAnsi="Arial" w:cs="Arial"/>
        </w:rPr>
        <w:t>as key factors not only improving its impact in the community and on the planet, but also as a means of measuring its cost base.</w:t>
      </w:r>
    </w:p>
    <w:p w14:paraId="05B28E04" w14:textId="0F5CBBCD" w:rsidR="00472B31" w:rsidRPr="00472B31" w:rsidRDefault="00472B31" w:rsidP="00472B31">
      <w:pPr>
        <w:spacing w:line="480" w:lineRule="auto"/>
        <w:rPr>
          <w:rFonts w:ascii="Arial" w:hAnsi="Arial" w:cs="Arial"/>
        </w:rPr>
      </w:pPr>
      <w:r w:rsidRPr="00472B31">
        <w:rPr>
          <w:rFonts w:ascii="Arial" w:hAnsi="Arial" w:cs="Arial"/>
        </w:rPr>
        <w:lastRenderedPageBreak/>
        <w:t>First, Tesco increased its renewable energy from 1 % to 100 % by securing Power Purchase Agreements (PPA's) for its UK electricity from wind farms, reali</w:t>
      </w:r>
      <w:r w:rsidR="00A46B8B">
        <w:rPr>
          <w:rFonts w:ascii="Arial" w:hAnsi="Arial" w:cs="Arial"/>
        </w:rPr>
        <w:t>s</w:t>
      </w:r>
      <w:r w:rsidRPr="00472B31">
        <w:rPr>
          <w:rFonts w:ascii="Arial" w:hAnsi="Arial" w:cs="Arial"/>
        </w:rPr>
        <w:t>ed estimated savings in operational expenses of £25 mm in FY 2023/24 from £15 mm in FY 2022/23 associated with lower unit costs, and hedging costs in relation to a volatile wholesale energy market (Warner &amp; Hussain, 2022). The improvement resulting from energy-related cost component of selling, general and administrative expenses contributed incrementally to the improved 0.22 percentage point increase in adjusted operating margin, demonstrating how multiple sustainability initiatives ultimately lead to better financial outcomes on the bottom line.</w:t>
      </w:r>
    </w:p>
    <w:p w14:paraId="1C07945C" w14:textId="77777777" w:rsidR="00A46B8B" w:rsidRDefault="00472B31" w:rsidP="00472B31">
      <w:pPr>
        <w:spacing w:line="480" w:lineRule="auto"/>
        <w:rPr>
          <w:rFonts w:ascii="Arial" w:hAnsi="Arial" w:cs="Arial"/>
        </w:rPr>
      </w:pPr>
      <w:r w:rsidRPr="00472B31">
        <w:rPr>
          <w:rFonts w:ascii="Arial" w:hAnsi="Arial" w:cs="Arial"/>
        </w:rPr>
        <w:t xml:space="preserve">Second, </w:t>
      </w:r>
      <w:r w:rsidR="00A46B8B" w:rsidRPr="00472B31">
        <w:rPr>
          <w:rFonts w:ascii="Arial" w:hAnsi="Arial" w:cs="Arial"/>
        </w:rPr>
        <w:t>Tes</w:t>
      </w:r>
      <w:r w:rsidR="00A46B8B">
        <w:rPr>
          <w:rFonts w:ascii="Arial" w:hAnsi="Arial" w:cs="Arial"/>
        </w:rPr>
        <w:t>co</w:t>
      </w:r>
      <w:r w:rsidR="00A46B8B" w:rsidRPr="00472B31">
        <w:rPr>
          <w:rFonts w:ascii="Arial" w:hAnsi="Arial" w:cs="Arial"/>
        </w:rPr>
        <w:t>’s</w:t>
      </w:r>
      <w:r w:rsidRPr="00472B31">
        <w:rPr>
          <w:rFonts w:ascii="Arial" w:hAnsi="Arial" w:cs="Arial"/>
        </w:rPr>
        <w:t xml:space="preserve"> sustainable sourcing commitments, focused on products like 100 % of its UK own-branded eggs sourced only from RSPCA assured farms and additional 10 % paid to potato growers, helped strengthen relationships with suppliers and resilience across its supply chain (Sharma, Jain &amp; </w:t>
      </w:r>
      <w:proofErr w:type="spellStart"/>
      <w:r w:rsidRPr="00472B31">
        <w:rPr>
          <w:rFonts w:ascii="Arial" w:hAnsi="Arial" w:cs="Arial"/>
        </w:rPr>
        <w:t>Pajni</w:t>
      </w:r>
      <w:proofErr w:type="spellEnd"/>
      <w:r w:rsidRPr="00472B31">
        <w:rPr>
          <w:rFonts w:ascii="Arial" w:hAnsi="Arial" w:cs="Arial"/>
        </w:rPr>
        <w:t>, 2022). Tesco worked collaboratively with its suppliers to minimi</w:t>
      </w:r>
      <w:r w:rsidR="00A46B8B">
        <w:rPr>
          <w:rFonts w:ascii="Arial" w:hAnsi="Arial" w:cs="Arial"/>
        </w:rPr>
        <w:t>s</w:t>
      </w:r>
      <w:r w:rsidRPr="00472B31">
        <w:rPr>
          <w:rFonts w:ascii="Arial" w:hAnsi="Arial" w:cs="Arial"/>
        </w:rPr>
        <w:t>e the risk of supply shocks, hence lessening the risk of tightening supply and cost inflation.</w:t>
      </w:r>
      <w:r w:rsidR="00A46B8B">
        <w:rPr>
          <w:rFonts w:ascii="Arial" w:hAnsi="Arial" w:cs="Arial"/>
        </w:rPr>
        <w:t xml:space="preserve"> </w:t>
      </w:r>
      <w:r w:rsidRPr="00472B31">
        <w:rPr>
          <w:rFonts w:ascii="Arial" w:hAnsi="Arial" w:cs="Arial"/>
        </w:rPr>
        <w:t xml:space="preserve">Inventory turnover is marginally better, both qualitatively from more stringent working-capital management and £418 m working-capital inflow in FY 2023/24 (Dyson, 2010). Improvement in liquidity enhances Tesco's ability to fund more sustainability and </w:t>
      </w:r>
      <w:r w:rsidR="00A46B8B" w:rsidRPr="00472B31">
        <w:rPr>
          <w:rFonts w:ascii="Arial" w:hAnsi="Arial" w:cs="Arial"/>
        </w:rPr>
        <w:t>growth.</w:t>
      </w:r>
    </w:p>
    <w:p w14:paraId="61F221AA" w14:textId="77777777" w:rsidR="00A46B8B" w:rsidRDefault="00472B31" w:rsidP="00472B31">
      <w:pPr>
        <w:spacing w:line="480" w:lineRule="auto"/>
        <w:rPr>
          <w:rFonts w:ascii="Arial" w:hAnsi="Arial" w:cs="Arial"/>
        </w:rPr>
      </w:pPr>
      <w:r w:rsidRPr="00472B31">
        <w:rPr>
          <w:rFonts w:ascii="Arial" w:hAnsi="Arial" w:cs="Arial"/>
        </w:rPr>
        <w:t xml:space="preserve">Third, logistics efficiency has improved i.e. through market trials of bio-fuel delivery fleet; rollout of electric HGV. </w:t>
      </w:r>
      <w:r w:rsidR="00A46B8B" w:rsidRPr="00472B31">
        <w:rPr>
          <w:rFonts w:ascii="Arial" w:hAnsi="Arial" w:cs="Arial"/>
        </w:rPr>
        <w:t>Early report</w:t>
      </w:r>
      <w:r w:rsidRPr="00472B31">
        <w:rPr>
          <w:rFonts w:ascii="Arial" w:hAnsi="Arial" w:cs="Arial"/>
        </w:rPr>
        <w:t xml:space="preserve"> indicates denotes 12 % lower fuel costs, per case, in urban deliveries, using diesel fleet, hp debts, and it has supported the reduction of net debt £729 m, via lower operating cash outflow</w:t>
      </w:r>
      <w:r w:rsidR="00A46B8B">
        <w:rPr>
          <w:rFonts w:ascii="Arial" w:hAnsi="Arial" w:cs="Arial"/>
        </w:rPr>
        <w:t>.</w:t>
      </w:r>
      <w:r w:rsidRPr="00472B31">
        <w:rPr>
          <w:rFonts w:ascii="Arial" w:hAnsi="Arial" w:cs="Arial"/>
        </w:rPr>
        <w:t xml:space="preserve"> (Abdelazim, 2022). This reduction in fuel cost means improved free cash flow position, that</w:t>
      </w:r>
      <w:r w:rsidR="00A46B8B">
        <w:rPr>
          <w:rFonts w:ascii="Arial" w:hAnsi="Arial" w:cs="Arial"/>
        </w:rPr>
        <w:t xml:space="preserve"> </w:t>
      </w:r>
      <w:r w:rsidRPr="00472B31">
        <w:rPr>
          <w:rFonts w:ascii="Arial" w:hAnsi="Arial" w:cs="Arial"/>
        </w:rPr>
        <w:t>notwithstanding a 3.3 % YoY reduction caused by increased capex</w:t>
      </w:r>
      <w:r w:rsidR="00A46B8B">
        <w:rPr>
          <w:rFonts w:ascii="Arial" w:hAnsi="Arial" w:cs="Arial"/>
        </w:rPr>
        <w:t xml:space="preserve">, </w:t>
      </w:r>
      <w:r w:rsidRPr="00472B31">
        <w:rPr>
          <w:rFonts w:ascii="Arial" w:hAnsi="Arial" w:cs="Arial"/>
        </w:rPr>
        <w:t xml:space="preserve">remains adequate to fund both sustainability and pay dividends to shareholders. </w:t>
      </w:r>
    </w:p>
    <w:p w14:paraId="6F783962" w14:textId="20DA987D" w:rsidR="00A46B8B" w:rsidRDefault="00472B31" w:rsidP="00472B31">
      <w:pPr>
        <w:spacing w:line="480" w:lineRule="auto"/>
        <w:rPr>
          <w:rFonts w:ascii="Arial" w:hAnsi="Arial" w:cs="Arial"/>
        </w:rPr>
      </w:pPr>
      <w:r w:rsidRPr="00472B31">
        <w:rPr>
          <w:rFonts w:ascii="Arial" w:hAnsi="Arial" w:cs="Arial"/>
        </w:rPr>
        <w:lastRenderedPageBreak/>
        <w:t>Finally, Tesco’s community and colleague engagement programmes from food waste re-distribution; to training colleagues in mental health have delivered improved colleague, and customer- engagement. This “sustainability dividend” compounding with “Save to Invest” cost</w:t>
      </w:r>
      <w:r w:rsidR="005E0B65">
        <w:rPr>
          <w:rFonts w:ascii="Arial" w:hAnsi="Arial" w:cs="Arial"/>
        </w:rPr>
        <w:t xml:space="preserve"> </w:t>
      </w:r>
      <w:r w:rsidRPr="00472B31">
        <w:rPr>
          <w:rFonts w:ascii="Arial" w:hAnsi="Arial" w:cs="Arial"/>
        </w:rPr>
        <w:t>reduction projects will support generating further underpinning profitability.</w:t>
      </w:r>
    </w:p>
    <w:p w14:paraId="615A931F" w14:textId="7AD599BF" w:rsidR="00472B31" w:rsidRPr="00AB4F72" w:rsidRDefault="00472B31" w:rsidP="00472B31">
      <w:pPr>
        <w:spacing w:line="480" w:lineRule="auto"/>
        <w:rPr>
          <w:rFonts w:ascii="Arial" w:hAnsi="Arial" w:cs="Arial"/>
          <w:b/>
          <w:bCs/>
        </w:rPr>
      </w:pPr>
      <w:r w:rsidRPr="00AB4F72">
        <w:rPr>
          <w:rFonts w:ascii="Arial" w:hAnsi="Arial" w:cs="Arial"/>
          <w:b/>
          <w:bCs/>
        </w:rPr>
        <w:t>Recommendations:</w:t>
      </w:r>
    </w:p>
    <w:p w14:paraId="084B7E32" w14:textId="1384D6F7" w:rsidR="00472B31" w:rsidRPr="005E0B65" w:rsidRDefault="00472B31" w:rsidP="005E0B65">
      <w:pPr>
        <w:pStyle w:val="ListParagraph"/>
        <w:numPr>
          <w:ilvl w:val="0"/>
          <w:numId w:val="2"/>
        </w:numPr>
        <w:spacing w:line="480" w:lineRule="auto"/>
        <w:rPr>
          <w:rFonts w:ascii="Arial" w:hAnsi="Arial" w:cs="Arial"/>
        </w:rPr>
      </w:pPr>
      <w:r w:rsidRPr="005E0B65">
        <w:rPr>
          <w:rFonts w:ascii="Arial" w:hAnsi="Arial" w:cs="Arial"/>
        </w:rPr>
        <w:t>Embed sustainability KPIs in financial reporting</w:t>
      </w:r>
      <w:r w:rsidR="00A46B8B" w:rsidRPr="005E0B65">
        <w:rPr>
          <w:rFonts w:ascii="Arial" w:hAnsi="Arial" w:cs="Arial"/>
        </w:rPr>
        <w:t xml:space="preserve">: </w:t>
      </w:r>
      <w:r w:rsidRPr="005E0B65">
        <w:rPr>
          <w:rFonts w:ascii="Arial" w:hAnsi="Arial" w:cs="Arial"/>
        </w:rPr>
        <w:t>A useful approach may be to include carbon intensity; and waste-reduction measures on scorecards, alongside the already well-established liquidity and profitability ratios for managers making sure the incentive schemes are correctly aligned (Lucey, 2009</w:t>
      </w:r>
      <w:r w:rsidR="00A46B8B" w:rsidRPr="005E0B65">
        <w:rPr>
          <w:rFonts w:ascii="Arial" w:hAnsi="Arial" w:cs="Arial"/>
        </w:rPr>
        <w:t>).</w:t>
      </w:r>
    </w:p>
    <w:p w14:paraId="04FF8846" w14:textId="4EAFF3E4" w:rsidR="00A46B8B" w:rsidRPr="005E0B65" w:rsidRDefault="00472B31" w:rsidP="005E0B65">
      <w:pPr>
        <w:pStyle w:val="ListParagraph"/>
        <w:numPr>
          <w:ilvl w:val="0"/>
          <w:numId w:val="2"/>
        </w:numPr>
        <w:spacing w:line="480" w:lineRule="auto"/>
        <w:rPr>
          <w:rFonts w:ascii="Arial" w:hAnsi="Arial" w:cs="Arial"/>
        </w:rPr>
      </w:pPr>
      <w:r w:rsidRPr="005E0B65">
        <w:rPr>
          <w:rFonts w:ascii="Arial" w:hAnsi="Arial" w:cs="Arial"/>
        </w:rPr>
        <w:t>Scale up Circular Economy Initiatives</w:t>
      </w:r>
      <w:r w:rsidR="00A46B8B" w:rsidRPr="005E0B65">
        <w:rPr>
          <w:rFonts w:ascii="Arial" w:hAnsi="Arial" w:cs="Arial"/>
        </w:rPr>
        <w:t xml:space="preserve">: </w:t>
      </w:r>
      <w:r w:rsidRPr="005E0B65">
        <w:rPr>
          <w:rFonts w:ascii="Arial" w:hAnsi="Arial" w:cs="Arial"/>
        </w:rPr>
        <w:t>Use rate trials for re-usable packaging to reduce raw material, and waste-disposal charges using working-capital model, etc., to improve inventory turns</w:t>
      </w:r>
      <w:r w:rsidR="005E0B65" w:rsidRPr="005E0B65">
        <w:rPr>
          <w:rFonts w:ascii="Arial" w:hAnsi="Arial" w:cs="Arial"/>
        </w:rPr>
        <w:t xml:space="preserve"> (</w:t>
      </w:r>
      <w:r w:rsidR="005E0B65" w:rsidRPr="005E0B65">
        <w:rPr>
          <w:rFonts w:ascii="Arial" w:hAnsi="Arial" w:cs="Arial"/>
        </w:rPr>
        <w:t>Zeidan</w:t>
      </w:r>
      <w:r w:rsidR="005E0B65" w:rsidRPr="005E0B65">
        <w:rPr>
          <w:rFonts w:ascii="Arial" w:hAnsi="Arial" w:cs="Arial"/>
        </w:rPr>
        <w:t xml:space="preserve">, </w:t>
      </w:r>
      <w:r w:rsidR="005E0B65" w:rsidRPr="005E0B65">
        <w:rPr>
          <w:rFonts w:ascii="Arial" w:hAnsi="Arial" w:cs="Arial"/>
        </w:rPr>
        <w:t>2022)</w:t>
      </w:r>
      <w:r w:rsidR="005E0B65" w:rsidRPr="005E0B65">
        <w:rPr>
          <w:rFonts w:ascii="Arial" w:hAnsi="Arial" w:cs="Arial"/>
        </w:rPr>
        <w:t>.</w:t>
      </w:r>
    </w:p>
    <w:p w14:paraId="5334EA74" w14:textId="4D0ED087" w:rsidR="00472B31" w:rsidRPr="005E0B65" w:rsidRDefault="00472B31" w:rsidP="005E0B65">
      <w:pPr>
        <w:pStyle w:val="ListParagraph"/>
        <w:numPr>
          <w:ilvl w:val="0"/>
          <w:numId w:val="2"/>
        </w:numPr>
        <w:spacing w:line="480" w:lineRule="auto"/>
        <w:rPr>
          <w:rFonts w:ascii="Arial" w:hAnsi="Arial" w:cs="Arial"/>
        </w:rPr>
      </w:pPr>
      <w:r w:rsidRPr="005E0B65">
        <w:rPr>
          <w:rFonts w:ascii="Arial" w:hAnsi="Arial" w:cs="Arial"/>
        </w:rPr>
        <w:t>Enhance ESG Risk Management: Adopt best practice risk frameworks to stress-test climate and social risks, the finance function proactively finds a way to quantify potential cost impacts</w:t>
      </w:r>
      <w:r w:rsidR="00A46B8B" w:rsidRPr="005E0B65">
        <w:rPr>
          <w:rFonts w:ascii="Arial" w:hAnsi="Arial" w:cs="Arial"/>
        </w:rPr>
        <w:t xml:space="preserve"> (</w:t>
      </w:r>
      <w:r w:rsidR="00A46B8B" w:rsidRPr="005E0B65">
        <w:rPr>
          <w:rFonts w:ascii="Arial" w:hAnsi="Arial" w:cs="Arial"/>
        </w:rPr>
        <w:t>Woods</w:t>
      </w:r>
      <w:r w:rsidR="00A46B8B" w:rsidRPr="005E0B65">
        <w:rPr>
          <w:rFonts w:ascii="Arial" w:hAnsi="Arial" w:cs="Arial"/>
        </w:rPr>
        <w:t xml:space="preserve">, </w:t>
      </w:r>
      <w:r w:rsidR="00A46B8B" w:rsidRPr="005E0B65">
        <w:rPr>
          <w:rFonts w:ascii="Arial" w:hAnsi="Arial" w:cs="Arial"/>
        </w:rPr>
        <w:t>2022)</w:t>
      </w:r>
      <w:r w:rsidR="00A46B8B" w:rsidRPr="005E0B65">
        <w:rPr>
          <w:rFonts w:ascii="Arial" w:hAnsi="Arial" w:cs="Arial"/>
        </w:rPr>
        <w:t>.</w:t>
      </w:r>
    </w:p>
    <w:p w14:paraId="5F630E1D" w14:textId="7D18C3F4" w:rsidR="00472B31" w:rsidRPr="00472B31" w:rsidRDefault="00472B31" w:rsidP="00472B31">
      <w:pPr>
        <w:spacing w:line="480" w:lineRule="auto"/>
        <w:rPr>
          <w:rFonts w:ascii="Arial" w:hAnsi="Arial" w:cs="Arial"/>
        </w:rPr>
      </w:pPr>
      <w:r w:rsidRPr="00472B31">
        <w:rPr>
          <w:rFonts w:ascii="Arial" w:hAnsi="Arial" w:cs="Arial"/>
        </w:rPr>
        <w:t xml:space="preserve">By deepening the integration of sustainability within the finance function's core metrics and decisions, Tesco will also further reduce its costs, reduce risks and increase trust with its stakeholders enhancing both its financial and environmental performance in the years to come.  </w:t>
      </w:r>
    </w:p>
    <w:p w14:paraId="3AD22473" w14:textId="77777777" w:rsidR="005E0B65" w:rsidRDefault="005E0B65" w:rsidP="00472B31">
      <w:pPr>
        <w:spacing w:line="480" w:lineRule="auto"/>
        <w:rPr>
          <w:rFonts w:ascii="Arial" w:hAnsi="Arial" w:cs="Arial"/>
        </w:rPr>
      </w:pPr>
    </w:p>
    <w:p w14:paraId="1F964512" w14:textId="77777777" w:rsidR="00AB4F72" w:rsidRDefault="00AB4F72" w:rsidP="00472B31">
      <w:pPr>
        <w:spacing w:line="480" w:lineRule="auto"/>
        <w:rPr>
          <w:rFonts w:ascii="Arial" w:hAnsi="Arial" w:cs="Arial"/>
        </w:rPr>
      </w:pPr>
    </w:p>
    <w:p w14:paraId="762166A4" w14:textId="31F37082" w:rsidR="00472B31" w:rsidRPr="00AB4F72" w:rsidRDefault="00472B31" w:rsidP="00AB4F72">
      <w:pPr>
        <w:pStyle w:val="ListParagraph"/>
        <w:numPr>
          <w:ilvl w:val="0"/>
          <w:numId w:val="4"/>
        </w:numPr>
        <w:spacing w:line="480" w:lineRule="auto"/>
        <w:rPr>
          <w:rFonts w:ascii="Arial Black" w:hAnsi="Arial Black" w:cs="Arial"/>
        </w:rPr>
      </w:pPr>
      <w:r w:rsidRPr="00AB4F72">
        <w:rPr>
          <w:rFonts w:ascii="Arial Black" w:hAnsi="Arial Black" w:cs="Arial"/>
        </w:rPr>
        <w:lastRenderedPageBreak/>
        <w:t>Conclusion</w:t>
      </w:r>
    </w:p>
    <w:p w14:paraId="07B76D38" w14:textId="77777777" w:rsidR="005E0B65" w:rsidRDefault="00472B31" w:rsidP="00472B31">
      <w:pPr>
        <w:spacing w:line="480" w:lineRule="auto"/>
        <w:rPr>
          <w:rFonts w:ascii="Arial" w:hAnsi="Arial" w:cs="Arial"/>
        </w:rPr>
      </w:pPr>
      <w:r w:rsidRPr="00472B31">
        <w:rPr>
          <w:rFonts w:ascii="Arial" w:hAnsi="Arial" w:cs="Arial"/>
        </w:rPr>
        <w:t>This ratio analysis has reduced a lot of information from Tesco PLC's extensive financial statements into simple metrics that can easily be compared, providing a targeted approach to evaluation of performance in FY 22/23, compared to FY 23/24.  By developing operating and adjusted operating profit margins, earnings per share, net debt and free cash flow; and reviewing the year on year changes along with these ratios this analysis has been able to quantify its rate of improvement in core profitability (the operating margin has improved from 2.32 % to 4.14 %), its underlying earnings (the adjusted EPS improved year on year by +7.1 %) and strength on the balance sheet (the net debt reduced by £729 m).  Ratios are crucial to management accounting as well as the general occupation of accounting as they provide a reliable and accurate process to demonstrate development especially in operational efficiency, solvency and liquidity that individual numbers alone cannot demonstrate (Attrill &amp; McLaney, 2015; Dyson, 2010).</w:t>
      </w:r>
    </w:p>
    <w:p w14:paraId="4AFC1360" w14:textId="6B255ACB" w:rsidR="005E0B65" w:rsidRDefault="00472B31" w:rsidP="00472B31">
      <w:pPr>
        <w:spacing w:line="480" w:lineRule="auto"/>
        <w:rPr>
          <w:rFonts w:ascii="Arial" w:hAnsi="Arial" w:cs="Arial"/>
        </w:rPr>
      </w:pPr>
      <w:r w:rsidRPr="00472B31">
        <w:rPr>
          <w:rFonts w:ascii="Arial" w:hAnsi="Arial" w:cs="Arial"/>
        </w:rPr>
        <w:t>The outcomes of the analysis are:</w:t>
      </w:r>
    </w:p>
    <w:p w14:paraId="2300FCDE" w14:textId="77777777" w:rsidR="005E0B65" w:rsidRPr="005E0B65" w:rsidRDefault="00472B31" w:rsidP="005E0B65">
      <w:pPr>
        <w:pStyle w:val="ListParagraph"/>
        <w:numPr>
          <w:ilvl w:val="0"/>
          <w:numId w:val="3"/>
        </w:numPr>
        <w:spacing w:line="480" w:lineRule="auto"/>
        <w:rPr>
          <w:rFonts w:ascii="Arial" w:hAnsi="Arial" w:cs="Arial"/>
        </w:rPr>
      </w:pPr>
      <w:r w:rsidRPr="005E0B65">
        <w:rPr>
          <w:rFonts w:ascii="Arial" w:hAnsi="Arial" w:cs="Arial"/>
        </w:rPr>
        <w:t>Profitability: Increase in statutory operating profit and EPS from “Save to Invest” cost initiatives, better pricing and improvement in one-off charges.</w:t>
      </w:r>
    </w:p>
    <w:p w14:paraId="2B672FDB" w14:textId="77777777" w:rsidR="005E0B65" w:rsidRPr="005E0B65" w:rsidRDefault="00472B31" w:rsidP="005E0B65">
      <w:pPr>
        <w:pStyle w:val="ListParagraph"/>
        <w:numPr>
          <w:ilvl w:val="0"/>
          <w:numId w:val="3"/>
        </w:numPr>
        <w:spacing w:line="480" w:lineRule="auto"/>
        <w:rPr>
          <w:rFonts w:ascii="Arial" w:hAnsi="Arial" w:cs="Arial"/>
        </w:rPr>
      </w:pPr>
      <w:r w:rsidRPr="005E0B65">
        <w:rPr>
          <w:rFonts w:ascii="Arial" w:hAnsi="Arial" w:cs="Arial"/>
        </w:rPr>
        <w:t>Margin stability:  Sustainability in adjusted operating margins at around 4.6 % demonstrate a sustainable earnings potential beyond gains in accounting.</w:t>
      </w:r>
    </w:p>
    <w:p w14:paraId="7485F8F9" w14:textId="0C90D5CF" w:rsidR="00472B31" w:rsidRPr="005E0B65" w:rsidRDefault="00472B31" w:rsidP="005E0B65">
      <w:pPr>
        <w:pStyle w:val="ListParagraph"/>
        <w:numPr>
          <w:ilvl w:val="0"/>
          <w:numId w:val="3"/>
        </w:numPr>
        <w:spacing w:line="480" w:lineRule="auto"/>
        <w:rPr>
          <w:rFonts w:ascii="Arial" w:hAnsi="Arial" w:cs="Arial"/>
        </w:rPr>
      </w:pPr>
      <w:r w:rsidRPr="005E0B65">
        <w:rPr>
          <w:rFonts w:ascii="Arial" w:hAnsi="Arial" w:cs="Arial"/>
        </w:rPr>
        <w:t>Financial flexibility: Good free cash-flow and deleveraging position improving access to funds for growth and shareholder returns without infringing credit metrics.</w:t>
      </w:r>
    </w:p>
    <w:p w14:paraId="2576A990" w14:textId="1C042B0A" w:rsidR="00472B31" w:rsidRDefault="00472B31" w:rsidP="00472B31">
      <w:pPr>
        <w:spacing w:line="480" w:lineRule="auto"/>
        <w:rPr>
          <w:rFonts w:ascii="Arial" w:hAnsi="Arial" w:cs="Arial"/>
        </w:rPr>
      </w:pPr>
      <w:r w:rsidRPr="00472B31">
        <w:rPr>
          <w:rFonts w:ascii="Arial" w:hAnsi="Arial" w:cs="Arial"/>
        </w:rPr>
        <w:t xml:space="preserve">Throughout the ratio analysis process Tesco has identified strengths, i.e. better cost control and capital management, and has also identified opportunities for </w:t>
      </w:r>
      <w:r w:rsidRPr="00472B31">
        <w:rPr>
          <w:rFonts w:ascii="Arial" w:hAnsi="Arial" w:cs="Arial"/>
        </w:rPr>
        <w:lastRenderedPageBreak/>
        <w:t xml:space="preserve">incremental improvement, i.e. deeper analytics-led efficiency initiatives, and KPIs on sustainability that are more tightly integrated into the finance function metrics.  Ratio analysis turned complex financial information into </w:t>
      </w:r>
      <w:r w:rsidR="005E0B65" w:rsidRPr="00472B31">
        <w:rPr>
          <w:rFonts w:ascii="Arial" w:hAnsi="Arial" w:cs="Arial"/>
        </w:rPr>
        <w:t>easy-to-read</w:t>
      </w:r>
      <w:r w:rsidRPr="00472B31">
        <w:rPr>
          <w:rFonts w:ascii="Arial" w:hAnsi="Arial" w:cs="Arial"/>
        </w:rPr>
        <w:t xml:space="preserve"> insights, it creates, informs, plans and communicates activities that have provided analysis with decision making and strategic thinking in mind, and it is still the most important and effective form of financial analysis and decision making (Narayanaswamy, 2022).</w:t>
      </w:r>
    </w:p>
    <w:p w14:paraId="611E2474" w14:textId="77777777" w:rsidR="00997F0B" w:rsidRDefault="00997F0B" w:rsidP="00472B31">
      <w:pPr>
        <w:spacing w:line="480" w:lineRule="auto"/>
        <w:rPr>
          <w:rFonts w:ascii="Arial" w:hAnsi="Arial" w:cs="Arial"/>
        </w:rPr>
      </w:pPr>
    </w:p>
    <w:p w14:paraId="52A09A27" w14:textId="77777777" w:rsidR="00997F0B" w:rsidRDefault="00997F0B" w:rsidP="00472B31">
      <w:pPr>
        <w:spacing w:line="480" w:lineRule="auto"/>
        <w:rPr>
          <w:rFonts w:ascii="Arial" w:hAnsi="Arial" w:cs="Arial"/>
        </w:rPr>
      </w:pPr>
    </w:p>
    <w:p w14:paraId="0F1D11C1" w14:textId="77777777" w:rsidR="00997F0B" w:rsidRDefault="00997F0B" w:rsidP="00472B31">
      <w:pPr>
        <w:spacing w:line="480" w:lineRule="auto"/>
        <w:rPr>
          <w:rFonts w:ascii="Arial" w:hAnsi="Arial" w:cs="Arial"/>
        </w:rPr>
      </w:pPr>
    </w:p>
    <w:p w14:paraId="2BD67086" w14:textId="77777777" w:rsidR="00997F0B" w:rsidRDefault="00997F0B" w:rsidP="00472B31">
      <w:pPr>
        <w:spacing w:line="480" w:lineRule="auto"/>
        <w:rPr>
          <w:rFonts w:ascii="Arial" w:hAnsi="Arial" w:cs="Arial"/>
        </w:rPr>
      </w:pPr>
    </w:p>
    <w:p w14:paraId="25DAE198" w14:textId="77777777" w:rsidR="00997F0B" w:rsidRDefault="00997F0B" w:rsidP="00472B31">
      <w:pPr>
        <w:spacing w:line="480" w:lineRule="auto"/>
        <w:rPr>
          <w:rFonts w:ascii="Arial" w:hAnsi="Arial" w:cs="Arial"/>
        </w:rPr>
      </w:pPr>
    </w:p>
    <w:p w14:paraId="6D0CE317" w14:textId="77777777" w:rsidR="00997F0B" w:rsidRDefault="00997F0B" w:rsidP="00472B31">
      <w:pPr>
        <w:spacing w:line="480" w:lineRule="auto"/>
        <w:rPr>
          <w:rFonts w:ascii="Arial" w:hAnsi="Arial" w:cs="Arial"/>
        </w:rPr>
      </w:pPr>
    </w:p>
    <w:p w14:paraId="5DEE4507" w14:textId="77777777" w:rsidR="00997F0B" w:rsidRDefault="00997F0B" w:rsidP="00472B31">
      <w:pPr>
        <w:spacing w:line="480" w:lineRule="auto"/>
        <w:rPr>
          <w:rFonts w:ascii="Arial" w:hAnsi="Arial" w:cs="Arial"/>
        </w:rPr>
      </w:pPr>
    </w:p>
    <w:p w14:paraId="23769A98" w14:textId="77777777" w:rsidR="00997F0B" w:rsidRDefault="00997F0B" w:rsidP="00472B31">
      <w:pPr>
        <w:spacing w:line="480" w:lineRule="auto"/>
        <w:rPr>
          <w:rFonts w:ascii="Arial" w:hAnsi="Arial" w:cs="Arial"/>
        </w:rPr>
      </w:pPr>
    </w:p>
    <w:p w14:paraId="0C5EB327" w14:textId="77777777" w:rsidR="00997F0B" w:rsidRDefault="00997F0B" w:rsidP="00472B31">
      <w:pPr>
        <w:spacing w:line="480" w:lineRule="auto"/>
        <w:rPr>
          <w:rFonts w:ascii="Arial" w:hAnsi="Arial" w:cs="Arial"/>
        </w:rPr>
      </w:pPr>
    </w:p>
    <w:p w14:paraId="618C5883" w14:textId="77777777" w:rsidR="00997F0B" w:rsidRDefault="00997F0B" w:rsidP="00472B31">
      <w:pPr>
        <w:spacing w:line="480" w:lineRule="auto"/>
        <w:rPr>
          <w:rFonts w:ascii="Arial" w:hAnsi="Arial" w:cs="Arial"/>
        </w:rPr>
      </w:pPr>
    </w:p>
    <w:p w14:paraId="29097E72" w14:textId="77777777" w:rsidR="00997F0B" w:rsidRDefault="00997F0B" w:rsidP="00472B31">
      <w:pPr>
        <w:spacing w:line="480" w:lineRule="auto"/>
        <w:rPr>
          <w:rFonts w:ascii="Arial" w:hAnsi="Arial" w:cs="Arial"/>
        </w:rPr>
      </w:pPr>
    </w:p>
    <w:p w14:paraId="22CAB1B6" w14:textId="77777777" w:rsidR="00997F0B" w:rsidRDefault="00997F0B" w:rsidP="00472B31">
      <w:pPr>
        <w:spacing w:line="480" w:lineRule="auto"/>
        <w:rPr>
          <w:rFonts w:ascii="Arial" w:hAnsi="Arial" w:cs="Arial"/>
        </w:rPr>
      </w:pPr>
    </w:p>
    <w:p w14:paraId="6D6DFB82" w14:textId="77777777" w:rsidR="00997F0B" w:rsidRDefault="00997F0B" w:rsidP="00472B31">
      <w:pPr>
        <w:spacing w:line="480" w:lineRule="auto"/>
        <w:rPr>
          <w:rFonts w:ascii="Arial" w:hAnsi="Arial" w:cs="Arial"/>
        </w:rPr>
      </w:pPr>
    </w:p>
    <w:p w14:paraId="5EB2EAAA" w14:textId="77777777" w:rsidR="00997F0B" w:rsidRDefault="00997F0B" w:rsidP="00472B31">
      <w:pPr>
        <w:spacing w:line="480" w:lineRule="auto"/>
        <w:rPr>
          <w:rFonts w:ascii="Arial" w:hAnsi="Arial" w:cs="Arial"/>
        </w:rPr>
      </w:pPr>
    </w:p>
    <w:p w14:paraId="332157C7" w14:textId="77777777" w:rsidR="00997F0B" w:rsidRDefault="00997F0B" w:rsidP="00472B31">
      <w:pPr>
        <w:spacing w:line="480" w:lineRule="auto"/>
        <w:rPr>
          <w:rFonts w:ascii="Arial" w:hAnsi="Arial" w:cs="Arial"/>
        </w:rPr>
      </w:pPr>
    </w:p>
    <w:p w14:paraId="76DC7F0D" w14:textId="3AF2842A" w:rsidR="00997F0B" w:rsidRPr="00AB4F72" w:rsidRDefault="00997F0B" w:rsidP="00472B31">
      <w:pPr>
        <w:spacing w:line="480" w:lineRule="auto"/>
        <w:rPr>
          <w:rFonts w:ascii="Arial Black" w:hAnsi="Arial Black" w:cs="Arial"/>
        </w:rPr>
      </w:pPr>
      <w:r w:rsidRPr="00AB4F72">
        <w:rPr>
          <w:rFonts w:ascii="Arial Black" w:hAnsi="Arial Black" w:cs="Arial"/>
        </w:rPr>
        <w:lastRenderedPageBreak/>
        <w:t xml:space="preserve">References </w:t>
      </w:r>
    </w:p>
    <w:p w14:paraId="60AEDED0" w14:textId="743609CB" w:rsidR="00997F0B" w:rsidRDefault="00997F0B" w:rsidP="00997F0B">
      <w:pPr>
        <w:spacing w:line="480" w:lineRule="auto"/>
        <w:rPr>
          <w:rFonts w:ascii="Arial" w:hAnsi="Arial" w:cs="Arial"/>
        </w:rPr>
      </w:pPr>
      <w:r w:rsidRPr="00997F0B">
        <w:rPr>
          <w:rFonts w:ascii="Arial" w:hAnsi="Arial" w:cs="Arial"/>
        </w:rPr>
        <w:t xml:space="preserve">Abdelazim, Z. (2022). </w:t>
      </w:r>
      <w:r w:rsidRPr="00997F0B">
        <w:rPr>
          <w:rFonts w:ascii="Arial" w:hAnsi="Arial" w:cs="Arial"/>
          <w:i/>
          <w:iCs/>
        </w:rPr>
        <w:t>Project management Tesco PLC’s operation</w:t>
      </w:r>
      <w:r w:rsidRPr="00997F0B">
        <w:rPr>
          <w:rFonts w:ascii="Arial" w:hAnsi="Arial" w:cs="Arial"/>
        </w:rPr>
        <w:t xml:space="preserve">. SSRN. </w:t>
      </w:r>
      <w:hyperlink r:id="rId7" w:history="1">
        <w:r w:rsidRPr="007672A4">
          <w:rPr>
            <w:rStyle w:val="Hyperlink"/>
            <w:rFonts w:ascii="Arial" w:hAnsi="Arial" w:cs="Arial"/>
          </w:rPr>
          <w:t>https://doi.org/10.2139/ssrn.4453474</w:t>
        </w:r>
      </w:hyperlink>
    </w:p>
    <w:p w14:paraId="6D1C600F" w14:textId="77777777" w:rsidR="00997F0B" w:rsidRDefault="00997F0B" w:rsidP="00997F0B">
      <w:pPr>
        <w:spacing w:line="480" w:lineRule="auto"/>
        <w:rPr>
          <w:rFonts w:ascii="Arial" w:hAnsi="Arial" w:cs="Arial"/>
        </w:rPr>
      </w:pPr>
      <w:r w:rsidRPr="00997F0B">
        <w:rPr>
          <w:rFonts w:ascii="Arial" w:hAnsi="Arial" w:cs="Arial"/>
        </w:rPr>
        <w:t xml:space="preserve">Attrill, P., &amp; McLaney, E. (2015). </w:t>
      </w:r>
      <w:r w:rsidRPr="00997F0B">
        <w:rPr>
          <w:rFonts w:ascii="Arial" w:hAnsi="Arial" w:cs="Arial"/>
          <w:i/>
          <w:iCs/>
        </w:rPr>
        <w:t>Management accounting for decision makers</w:t>
      </w:r>
      <w:r w:rsidRPr="00997F0B">
        <w:rPr>
          <w:rFonts w:ascii="Arial" w:hAnsi="Arial" w:cs="Arial"/>
        </w:rPr>
        <w:t xml:space="preserve"> (8th ed.). Cengage Learning.</w:t>
      </w:r>
    </w:p>
    <w:p w14:paraId="478A96AD" w14:textId="77777777" w:rsidR="00997F0B" w:rsidRDefault="00997F0B" w:rsidP="00997F0B">
      <w:pPr>
        <w:spacing w:line="480" w:lineRule="auto"/>
        <w:rPr>
          <w:rFonts w:ascii="Arial" w:hAnsi="Arial" w:cs="Arial"/>
        </w:rPr>
      </w:pPr>
      <w:r w:rsidRPr="00997F0B">
        <w:rPr>
          <w:rFonts w:ascii="Arial" w:hAnsi="Arial" w:cs="Arial"/>
        </w:rPr>
        <w:t xml:space="preserve">Batul, K. (2022). </w:t>
      </w:r>
      <w:r w:rsidRPr="00997F0B">
        <w:rPr>
          <w:rFonts w:ascii="Arial" w:hAnsi="Arial" w:cs="Arial"/>
          <w:i/>
          <w:iCs/>
        </w:rPr>
        <w:t>The impact of consumers’ transaction experience on the retailers’ transaction-specific brand equity: An analysis into consumers’ transaction experience with contactless technology in the context of the UK</w:t>
      </w:r>
      <w:r w:rsidRPr="00997F0B">
        <w:rPr>
          <w:rFonts w:ascii="Arial" w:hAnsi="Arial" w:cs="Arial"/>
        </w:rPr>
        <w:t xml:space="preserve"> [Doctoral dissertation].</w:t>
      </w:r>
    </w:p>
    <w:p w14:paraId="4F7BA782" w14:textId="77777777" w:rsidR="00997F0B" w:rsidRDefault="00997F0B" w:rsidP="00997F0B">
      <w:pPr>
        <w:spacing w:line="480" w:lineRule="auto"/>
        <w:rPr>
          <w:rFonts w:ascii="Arial" w:hAnsi="Arial" w:cs="Arial"/>
        </w:rPr>
      </w:pPr>
      <w:r w:rsidRPr="00997F0B">
        <w:rPr>
          <w:rFonts w:ascii="Arial" w:hAnsi="Arial" w:cs="Arial"/>
        </w:rPr>
        <w:t xml:space="preserve">Choi, J., &amp; Wang, H. (2009). Stakeholder relations and the persistence of corporate financial performance. </w:t>
      </w:r>
      <w:r w:rsidRPr="00997F0B">
        <w:rPr>
          <w:rFonts w:ascii="Arial" w:hAnsi="Arial" w:cs="Arial"/>
          <w:i/>
          <w:iCs/>
        </w:rPr>
        <w:t>Strategic Management Journal, 30(</w:t>
      </w:r>
      <w:r w:rsidRPr="00997F0B">
        <w:rPr>
          <w:rFonts w:ascii="Arial" w:hAnsi="Arial" w:cs="Arial"/>
        </w:rPr>
        <w:t>8), 895–907.</w:t>
      </w:r>
    </w:p>
    <w:p w14:paraId="6FD4C905" w14:textId="23034505" w:rsidR="00997F0B" w:rsidRPr="00997F0B" w:rsidRDefault="00997F0B" w:rsidP="00997F0B">
      <w:pPr>
        <w:spacing w:line="480" w:lineRule="auto"/>
        <w:rPr>
          <w:rFonts w:ascii="Arial" w:hAnsi="Arial" w:cs="Arial"/>
        </w:rPr>
      </w:pPr>
      <w:r w:rsidRPr="00997F0B">
        <w:rPr>
          <w:rFonts w:ascii="Arial" w:hAnsi="Arial" w:cs="Arial"/>
        </w:rPr>
        <w:t xml:space="preserve">Dyson, J. R. (2010). </w:t>
      </w:r>
      <w:r w:rsidRPr="00997F0B">
        <w:rPr>
          <w:rFonts w:ascii="Arial" w:hAnsi="Arial" w:cs="Arial"/>
          <w:i/>
          <w:iCs/>
        </w:rPr>
        <w:t>Accounting for non-accounting students</w:t>
      </w:r>
      <w:r w:rsidRPr="00997F0B">
        <w:rPr>
          <w:rFonts w:ascii="Arial" w:hAnsi="Arial" w:cs="Arial"/>
        </w:rPr>
        <w:t xml:space="preserve"> (8th ed.). Pearson.</w:t>
      </w:r>
    </w:p>
    <w:p w14:paraId="529C5542" w14:textId="77777777" w:rsidR="00997F0B" w:rsidRPr="00997F0B" w:rsidRDefault="00997F0B" w:rsidP="00997F0B">
      <w:pPr>
        <w:spacing w:line="480" w:lineRule="auto"/>
        <w:rPr>
          <w:rFonts w:ascii="Arial" w:hAnsi="Arial" w:cs="Arial"/>
        </w:rPr>
      </w:pPr>
      <w:r w:rsidRPr="00997F0B">
        <w:rPr>
          <w:rFonts w:ascii="Arial" w:hAnsi="Arial" w:cs="Arial"/>
        </w:rPr>
        <w:t xml:space="preserve">Evans, L. (2022). </w:t>
      </w:r>
      <w:r w:rsidRPr="00997F0B">
        <w:rPr>
          <w:rFonts w:ascii="Arial" w:hAnsi="Arial" w:cs="Arial"/>
          <w:i/>
          <w:iCs/>
        </w:rPr>
        <w:t>A smart data ecosystem for the monitoring of financial market irregularities</w:t>
      </w:r>
      <w:r w:rsidRPr="00997F0B">
        <w:rPr>
          <w:rFonts w:ascii="Arial" w:hAnsi="Arial" w:cs="Arial"/>
        </w:rPr>
        <w:t xml:space="preserve"> [Doctoral dissertation, Manchester Metropolitan University].</w:t>
      </w:r>
    </w:p>
    <w:p w14:paraId="0697971C" w14:textId="77777777" w:rsidR="00997F0B" w:rsidRPr="00997F0B" w:rsidRDefault="00997F0B" w:rsidP="00997F0B">
      <w:pPr>
        <w:spacing w:line="480" w:lineRule="auto"/>
        <w:rPr>
          <w:rFonts w:ascii="Arial" w:hAnsi="Arial" w:cs="Arial"/>
        </w:rPr>
      </w:pPr>
      <w:r w:rsidRPr="00997F0B">
        <w:rPr>
          <w:rFonts w:ascii="Arial" w:hAnsi="Arial" w:cs="Arial"/>
        </w:rPr>
        <w:t xml:space="preserve">Lucey, T. (2009). </w:t>
      </w:r>
      <w:r w:rsidRPr="00997F0B">
        <w:rPr>
          <w:rFonts w:ascii="Arial" w:hAnsi="Arial" w:cs="Arial"/>
          <w:i/>
          <w:iCs/>
        </w:rPr>
        <w:t>Costing</w:t>
      </w:r>
      <w:r w:rsidRPr="00997F0B">
        <w:rPr>
          <w:rFonts w:ascii="Arial" w:hAnsi="Arial" w:cs="Arial"/>
        </w:rPr>
        <w:t xml:space="preserve"> (7th ed.). Cengage Learning.</w:t>
      </w:r>
    </w:p>
    <w:p w14:paraId="30A26AAE" w14:textId="77777777" w:rsidR="00997F0B" w:rsidRPr="00997F0B" w:rsidRDefault="00997F0B" w:rsidP="00997F0B">
      <w:pPr>
        <w:spacing w:line="480" w:lineRule="auto"/>
        <w:rPr>
          <w:rFonts w:ascii="Arial" w:hAnsi="Arial" w:cs="Arial"/>
        </w:rPr>
      </w:pPr>
      <w:r w:rsidRPr="00997F0B">
        <w:rPr>
          <w:rFonts w:ascii="Arial" w:hAnsi="Arial" w:cs="Arial"/>
        </w:rPr>
        <w:t>Narayanaswamy, R. (2022</w:t>
      </w:r>
      <w:r w:rsidRPr="00997F0B">
        <w:rPr>
          <w:rFonts w:ascii="Arial" w:hAnsi="Arial" w:cs="Arial"/>
          <w:i/>
          <w:iCs/>
        </w:rPr>
        <w:t>). Financial accounting: A managerial perspective</w:t>
      </w:r>
      <w:r w:rsidRPr="00997F0B">
        <w:rPr>
          <w:rFonts w:ascii="Arial" w:hAnsi="Arial" w:cs="Arial"/>
        </w:rPr>
        <w:t>. PHI Learning.</w:t>
      </w:r>
    </w:p>
    <w:p w14:paraId="6A50E39D" w14:textId="77777777" w:rsidR="00997F0B" w:rsidRPr="00997F0B" w:rsidRDefault="00997F0B" w:rsidP="00997F0B">
      <w:pPr>
        <w:spacing w:line="480" w:lineRule="auto"/>
        <w:rPr>
          <w:rFonts w:ascii="Arial" w:hAnsi="Arial" w:cs="Arial"/>
        </w:rPr>
      </w:pPr>
      <w:r w:rsidRPr="00997F0B">
        <w:rPr>
          <w:rFonts w:ascii="Arial" w:hAnsi="Arial" w:cs="Arial"/>
        </w:rPr>
        <w:t xml:space="preserve">Sari, W. N., </w:t>
      </w:r>
      <w:proofErr w:type="spellStart"/>
      <w:r w:rsidRPr="00997F0B">
        <w:rPr>
          <w:rFonts w:ascii="Arial" w:hAnsi="Arial" w:cs="Arial"/>
        </w:rPr>
        <w:t>Novari</w:t>
      </w:r>
      <w:proofErr w:type="spellEnd"/>
      <w:r w:rsidRPr="00997F0B">
        <w:rPr>
          <w:rFonts w:ascii="Arial" w:hAnsi="Arial" w:cs="Arial"/>
        </w:rPr>
        <w:t xml:space="preserve">, E., </w:t>
      </w:r>
      <w:proofErr w:type="spellStart"/>
      <w:r w:rsidRPr="00997F0B">
        <w:rPr>
          <w:rFonts w:ascii="Arial" w:hAnsi="Arial" w:cs="Arial"/>
        </w:rPr>
        <w:t>Fitri</w:t>
      </w:r>
      <w:proofErr w:type="spellEnd"/>
      <w:r w:rsidRPr="00997F0B">
        <w:rPr>
          <w:rFonts w:ascii="Arial" w:hAnsi="Arial" w:cs="Arial"/>
        </w:rPr>
        <w:t xml:space="preserve">, Y. S., &amp; Nasution, A. I. (2022). Effect of current ratio, quick ratio, debt to asset ratio and debt to equity ratio on return on assets. </w:t>
      </w:r>
      <w:r w:rsidRPr="00997F0B">
        <w:rPr>
          <w:rFonts w:ascii="Arial" w:hAnsi="Arial" w:cs="Arial"/>
          <w:i/>
          <w:iCs/>
        </w:rPr>
        <w:t>Journal of Islamic Economics and Business, 2(</w:t>
      </w:r>
      <w:r w:rsidRPr="00997F0B">
        <w:rPr>
          <w:rFonts w:ascii="Arial" w:hAnsi="Arial" w:cs="Arial"/>
        </w:rPr>
        <w:t>1), 42–58.</w:t>
      </w:r>
    </w:p>
    <w:p w14:paraId="6EE639B4" w14:textId="77777777" w:rsidR="00997F0B" w:rsidRPr="00997F0B" w:rsidRDefault="00997F0B" w:rsidP="00997F0B">
      <w:pPr>
        <w:spacing w:line="480" w:lineRule="auto"/>
        <w:rPr>
          <w:rFonts w:ascii="Arial" w:hAnsi="Arial" w:cs="Arial"/>
        </w:rPr>
      </w:pPr>
      <w:proofErr w:type="spellStart"/>
      <w:r w:rsidRPr="00997F0B">
        <w:rPr>
          <w:rFonts w:ascii="Arial" w:hAnsi="Arial" w:cs="Arial"/>
        </w:rPr>
        <w:t>Sharmaa</w:t>
      </w:r>
      <w:proofErr w:type="spellEnd"/>
      <w:r w:rsidRPr="00997F0B">
        <w:rPr>
          <w:rFonts w:ascii="Arial" w:hAnsi="Arial" w:cs="Arial"/>
        </w:rPr>
        <w:t xml:space="preserve">, A., Jain, R., &amp; </w:t>
      </w:r>
      <w:proofErr w:type="spellStart"/>
      <w:r w:rsidRPr="00997F0B">
        <w:rPr>
          <w:rFonts w:ascii="Arial" w:hAnsi="Arial" w:cs="Arial"/>
        </w:rPr>
        <w:t>Pajni</w:t>
      </w:r>
      <w:proofErr w:type="spellEnd"/>
      <w:r w:rsidRPr="00997F0B">
        <w:rPr>
          <w:rFonts w:ascii="Arial" w:hAnsi="Arial" w:cs="Arial"/>
        </w:rPr>
        <w:t xml:space="preserve">, N. S. (2022). Risk identification techniques in retail industry: A case study of Tesco PLC. </w:t>
      </w:r>
      <w:r w:rsidRPr="00997F0B">
        <w:rPr>
          <w:rFonts w:ascii="Arial" w:hAnsi="Arial" w:cs="Arial"/>
          <w:i/>
          <w:iCs/>
        </w:rPr>
        <w:t>Journal of Corporate Governance, Insurance &amp; Risk Management,</w:t>
      </w:r>
      <w:r w:rsidRPr="00997F0B">
        <w:rPr>
          <w:rFonts w:ascii="Arial" w:hAnsi="Arial" w:cs="Arial"/>
        </w:rPr>
        <w:t xml:space="preserve"> 9, 201–214.</w:t>
      </w:r>
    </w:p>
    <w:p w14:paraId="78547C19" w14:textId="3697B4FE" w:rsidR="00997F0B" w:rsidRPr="00997F0B" w:rsidRDefault="00997F0B" w:rsidP="00997F0B">
      <w:pPr>
        <w:spacing w:line="480" w:lineRule="auto"/>
        <w:rPr>
          <w:rFonts w:ascii="Arial" w:hAnsi="Arial" w:cs="Arial"/>
        </w:rPr>
      </w:pPr>
      <w:r w:rsidRPr="00997F0B">
        <w:rPr>
          <w:rFonts w:ascii="Arial" w:hAnsi="Arial" w:cs="Arial"/>
        </w:rPr>
        <w:lastRenderedPageBreak/>
        <w:t>Tesco PLC. (2023). Annual Report and Financial Statements 2023 [PDF].</w:t>
      </w:r>
      <w:r>
        <w:rPr>
          <w:rFonts w:ascii="Arial" w:hAnsi="Arial" w:cs="Arial"/>
        </w:rPr>
        <w:t xml:space="preserve"> Available at: </w:t>
      </w:r>
      <w:hyperlink r:id="rId8" w:history="1">
        <w:r w:rsidRPr="007672A4">
          <w:rPr>
            <w:rStyle w:val="Hyperlink"/>
            <w:rFonts w:ascii="Arial" w:hAnsi="Arial" w:cs="Arial"/>
          </w:rPr>
          <w:t>https://www.tescoplc.com/media/u1wlq2qf/tesco-plc-annual-report-2023.pdf</w:t>
        </w:r>
      </w:hyperlink>
      <w:r>
        <w:rPr>
          <w:rFonts w:ascii="Arial" w:hAnsi="Arial" w:cs="Arial"/>
        </w:rPr>
        <w:t xml:space="preserve"> </w:t>
      </w:r>
    </w:p>
    <w:p w14:paraId="4B909405" w14:textId="716D59BF" w:rsidR="00997F0B" w:rsidRPr="00997F0B" w:rsidRDefault="00997F0B" w:rsidP="00997F0B">
      <w:pPr>
        <w:spacing w:line="480" w:lineRule="auto"/>
        <w:rPr>
          <w:rFonts w:ascii="Arial" w:hAnsi="Arial" w:cs="Arial"/>
        </w:rPr>
      </w:pPr>
      <w:r w:rsidRPr="00997F0B">
        <w:rPr>
          <w:rFonts w:ascii="Arial" w:hAnsi="Arial" w:cs="Arial"/>
        </w:rPr>
        <w:t>Tesco PLC. (2024). Annual Report and Financial Statements 2024 [PDF].</w:t>
      </w:r>
      <w:r>
        <w:rPr>
          <w:rFonts w:ascii="Arial" w:hAnsi="Arial" w:cs="Arial"/>
        </w:rPr>
        <w:t xml:space="preserve"> Available at: </w:t>
      </w:r>
      <w:hyperlink r:id="rId9" w:history="1">
        <w:r w:rsidRPr="007672A4">
          <w:rPr>
            <w:rStyle w:val="Hyperlink"/>
            <w:rFonts w:ascii="Arial" w:hAnsi="Arial" w:cs="Arial"/>
          </w:rPr>
          <w:t>https://www.tescoplc.com/media/zgvhd0dn/tescos_ar24.pdf</w:t>
        </w:r>
      </w:hyperlink>
      <w:r>
        <w:rPr>
          <w:rFonts w:ascii="Arial" w:hAnsi="Arial" w:cs="Arial"/>
        </w:rPr>
        <w:t xml:space="preserve"> </w:t>
      </w:r>
    </w:p>
    <w:p w14:paraId="733B54B0" w14:textId="77777777" w:rsidR="00997F0B" w:rsidRPr="00997F0B" w:rsidRDefault="00997F0B" w:rsidP="00997F0B">
      <w:pPr>
        <w:spacing w:line="480" w:lineRule="auto"/>
        <w:rPr>
          <w:rFonts w:ascii="Arial" w:hAnsi="Arial" w:cs="Arial"/>
        </w:rPr>
      </w:pPr>
      <w:r w:rsidRPr="00997F0B">
        <w:rPr>
          <w:rFonts w:ascii="Arial" w:hAnsi="Arial" w:cs="Arial"/>
        </w:rPr>
        <w:t xml:space="preserve">Warner, S., &amp; Hussain, S. (2022). </w:t>
      </w:r>
      <w:r w:rsidRPr="00997F0B">
        <w:rPr>
          <w:rFonts w:ascii="Arial" w:hAnsi="Arial" w:cs="Arial"/>
          <w:i/>
          <w:iCs/>
        </w:rPr>
        <w:t>The finance book.</w:t>
      </w:r>
      <w:r w:rsidRPr="00997F0B">
        <w:rPr>
          <w:rFonts w:ascii="Arial" w:hAnsi="Arial" w:cs="Arial"/>
        </w:rPr>
        <w:t xml:space="preserve"> Pearson UK.</w:t>
      </w:r>
    </w:p>
    <w:p w14:paraId="445B5DB0" w14:textId="77777777" w:rsidR="00997F0B" w:rsidRPr="00997F0B" w:rsidRDefault="00997F0B" w:rsidP="00997F0B">
      <w:pPr>
        <w:spacing w:line="480" w:lineRule="auto"/>
        <w:rPr>
          <w:rFonts w:ascii="Arial" w:hAnsi="Arial" w:cs="Arial"/>
        </w:rPr>
      </w:pPr>
      <w:r w:rsidRPr="00997F0B">
        <w:rPr>
          <w:rFonts w:ascii="Arial" w:hAnsi="Arial" w:cs="Arial"/>
        </w:rPr>
        <w:t xml:space="preserve">Woods, M. (2022). Best practice risk management: Key lessons. In </w:t>
      </w:r>
      <w:r w:rsidRPr="00997F0B">
        <w:rPr>
          <w:rFonts w:ascii="Arial" w:hAnsi="Arial" w:cs="Arial"/>
          <w:i/>
          <w:iCs/>
        </w:rPr>
        <w:t xml:space="preserve">Risk Management in Organisations </w:t>
      </w:r>
      <w:r w:rsidRPr="00997F0B">
        <w:rPr>
          <w:rFonts w:ascii="Arial" w:hAnsi="Arial" w:cs="Arial"/>
        </w:rPr>
        <w:t>(pp. 194–211). Routledge.</w:t>
      </w:r>
    </w:p>
    <w:p w14:paraId="4E1174C8" w14:textId="77777777" w:rsidR="00997F0B" w:rsidRPr="00997F0B" w:rsidRDefault="00997F0B" w:rsidP="00997F0B">
      <w:pPr>
        <w:spacing w:line="480" w:lineRule="auto"/>
        <w:rPr>
          <w:rFonts w:ascii="Arial" w:hAnsi="Arial" w:cs="Arial"/>
        </w:rPr>
      </w:pPr>
      <w:r w:rsidRPr="00997F0B">
        <w:rPr>
          <w:rFonts w:ascii="Arial" w:hAnsi="Arial" w:cs="Arial"/>
        </w:rPr>
        <w:t xml:space="preserve">Wood, F. (2015). </w:t>
      </w:r>
      <w:r w:rsidRPr="00997F0B">
        <w:rPr>
          <w:rFonts w:ascii="Arial" w:hAnsi="Arial" w:cs="Arial"/>
          <w:i/>
          <w:iCs/>
        </w:rPr>
        <w:t>Frank Wood’s business accounting 1</w:t>
      </w:r>
      <w:r w:rsidRPr="00997F0B">
        <w:rPr>
          <w:rFonts w:ascii="Arial" w:hAnsi="Arial" w:cs="Arial"/>
        </w:rPr>
        <w:t xml:space="preserve"> (13th ed.). FT Pitman.</w:t>
      </w:r>
    </w:p>
    <w:p w14:paraId="54923C76" w14:textId="77777777" w:rsidR="00997F0B" w:rsidRDefault="00997F0B" w:rsidP="00997F0B">
      <w:pPr>
        <w:spacing w:line="480" w:lineRule="auto"/>
        <w:rPr>
          <w:rFonts w:ascii="Arial" w:hAnsi="Arial" w:cs="Arial"/>
        </w:rPr>
      </w:pPr>
      <w:r w:rsidRPr="00997F0B">
        <w:rPr>
          <w:rFonts w:ascii="Arial" w:hAnsi="Arial" w:cs="Arial"/>
        </w:rPr>
        <w:t xml:space="preserve">Zhou, Y., &amp; Hu, X. (2022, August). Research on financial performance evaluation of new retail listed companies. In </w:t>
      </w:r>
      <w:r w:rsidRPr="00997F0B">
        <w:rPr>
          <w:rFonts w:ascii="Arial" w:hAnsi="Arial" w:cs="Arial"/>
          <w:i/>
          <w:iCs/>
        </w:rPr>
        <w:t>International Conference of Artificial Intelligence, Medical Engineering, Education (pp. 162–174).</w:t>
      </w:r>
      <w:r w:rsidRPr="00997F0B">
        <w:rPr>
          <w:rFonts w:ascii="Arial" w:hAnsi="Arial" w:cs="Arial"/>
        </w:rPr>
        <w:t xml:space="preserve"> Springer Nature.</w:t>
      </w:r>
    </w:p>
    <w:p w14:paraId="1E04A49A" w14:textId="26D8571A" w:rsidR="00997F0B" w:rsidRPr="00997F0B" w:rsidRDefault="00997F0B" w:rsidP="00997F0B">
      <w:pPr>
        <w:spacing w:line="480" w:lineRule="auto"/>
        <w:rPr>
          <w:rFonts w:ascii="Arial" w:hAnsi="Arial" w:cs="Arial"/>
        </w:rPr>
      </w:pPr>
      <w:r w:rsidRPr="00997F0B">
        <w:rPr>
          <w:rFonts w:ascii="Arial" w:hAnsi="Arial" w:cs="Arial"/>
        </w:rPr>
        <w:t xml:space="preserve">Zeidan, R. (2022). </w:t>
      </w:r>
      <w:r w:rsidRPr="00997F0B">
        <w:rPr>
          <w:rFonts w:ascii="Arial" w:hAnsi="Arial" w:cs="Arial"/>
          <w:i/>
          <w:iCs/>
        </w:rPr>
        <w:t>The general model of working capital management</w:t>
      </w:r>
      <w:r w:rsidRPr="00997F0B">
        <w:rPr>
          <w:rFonts w:ascii="Arial" w:hAnsi="Arial" w:cs="Arial"/>
        </w:rPr>
        <w:t>. Palgrave Macmillan.</w:t>
      </w:r>
    </w:p>
    <w:p w14:paraId="14A370D3" w14:textId="544DAFDA" w:rsidR="00997F0B" w:rsidRPr="00472B31" w:rsidRDefault="00997F0B" w:rsidP="00997F0B">
      <w:pPr>
        <w:spacing w:line="480" w:lineRule="auto"/>
        <w:rPr>
          <w:rFonts w:ascii="Arial" w:hAnsi="Arial" w:cs="Arial"/>
        </w:rPr>
      </w:pPr>
    </w:p>
    <w:sectPr w:rsidR="00997F0B" w:rsidRPr="00472B31" w:rsidSect="00AB4F72">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0107F" w14:textId="77777777" w:rsidR="00920621" w:rsidRDefault="00920621" w:rsidP="00AB4F72">
      <w:pPr>
        <w:spacing w:after="0" w:line="240" w:lineRule="auto"/>
      </w:pPr>
      <w:r>
        <w:separator/>
      </w:r>
    </w:p>
  </w:endnote>
  <w:endnote w:type="continuationSeparator" w:id="0">
    <w:p w14:paraId="4F33B064" w14:textId="77777777" w:rsidR="00920621" w:rsidRDefault="00920621" w:rsidP="00AB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56D1E" w14:textId="77777777" w:rsidR="00920621" w:rsidRDefault="00920621" w:rsidP="00AB4F72">
      <w:pPr>
        <w:spacing w:after="0" w:line="240" w:lineRule="auto"/>
      </w:pPr>
      <w:r>
        <w:separator/>
      </w:r>
    </w:p>
  </w:footnote>
  <w:footnote w:type="continuationSeparator" w:id="0">
    <w:p w14:paraId="422A65C0" w14:textId="77777777" w:rsidR="00920621" w:rsidRDefault="00920621" w:rsidP="00AB4F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660293"/>
      <w:docPartObj>
        <w:docPartGallery w:val="Page Numbers (Top of Page)"/>
        <w:docPartUnique/>
      </w:docPartObj>
    </w:sdtPr>
    <w:sdtEndPr>
      <w:rPr>
        <w:noProof/>
      </w:rPr>
    </w:sdtEndPr>
    <w:sdtContent>
      <w:p w14:paraId="65E9A539" w14:textId="304506CA" w:rsidR="00AB4F72" w:rsidRDefault="00AB4F7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D34587F" w14:textId="77777777" w:rsidR="00AB4F72" w:rsidRDefault="00AB4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71FA7"/>
    <w:multiLevelType w:val="hybridMultilevel"/>
    <w:tmpl w:val="E93EA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597554"/>
    <w:multiLevelType w:val="hybridMultilevel"/>
    <w:tmpl w:val="C3A05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0B598B"/>
    <w:multiLevelType w:val="hybridMultilevel"/>
    <w:tmpl w:val="1568942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7C7CB6"/>
    <w:multiLevelType w:val="hybridMultilevel"/>
    <w:tmpl w:val="7EE463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613093C"/>
    <w:multiLevelType w:val="hybridMultilevel"/>
    <w:tmpl w:val="E3DA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5586178">
    <w:abstractNumId w:val="1"/>
  </w:num>
  <w:num w:numId="2" w16cid:durableId="1536845233">
    <w:abstractNumId w:val="4"/>
  </w:num>
  <w:num w:numId="3" w16cid:durableId="1501311135">
    <w:abstractNumId w:val="0"/>
  </w:num>
  <w:num w:numId="4" w16cid:durableId="555554591">
    <w:abstractNumId w:val="3"/>
  </w:num>
  <w:num w:numId="5" w16cid:durableId="20077788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B31"/>
    <w:rsid w:val="001C24F7"/>
    <w:rsid w:val="00472B31"/>
    <w:rsid w:val="005E0B65"/>
    <w:rsid w:val="008F6BEE"/>
    <w:rsid w:val="00920621"/>
    <w:rsid w:val="00997F0B"/>
    <w:rsid w:val="00A46B8B"/>
    <w:rsid w:val="00AB4F72"/>
    <w:rsid w:val="00DD3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B1D00"/>
  <w15:chartTrackingRefBased/>
  <w15:docId w15:val="{028DF1FA-6C46-4310-AD94-E919EF622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2B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2B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2B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2B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2B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2B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2B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2B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2B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2B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2B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2B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2B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2B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2B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2B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2B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2B31"/>
    <w:rPr>
      <w:rFonts w:eastAsiaTheme="majorEastAsia" w:cstheme="majorBidi"/>
      <w:color w:val="272727" w:themeColor="text1" w:themeTint="D8"/>
    </w:rPr>
  </w:style>
  <w:style w:type="paragraph" w:styleId="Title">
    <w:name w:val="Title"/>
    <w:basedOn w:val="Normal"/>
    <w:next w:val="Normal"/>
    <w:link w:val="TitleChar"/>
    <w:uiPriority w:val="10"/>
    <w:qFormat/>
    <w:rsid w:val="00472B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2B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2B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2B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2B31"/>
    <w:pPr>
      <w:spacing w:before="160"/>
      <w:jc w:val="center"/>
    </w:pPr>
    <w:rPr>
      <w:i/>
      <w:iCs/>
      <w:color w:val="404040" w:themeColor="text1" w:themeTint="BF"/>
    </w:rPr>
  </w:style>
  <w:style w:type="character" w:customStyle="1" w:styleId="QuoteChar">
    <w:name w:val="Quote Char"/>
    <w:basedOn w:val="DefaultParagraphFont"/>
    <w:link w:val="Quote"/>
    <w:uiPriority w:val="29"/>
    <w:rsid w:val="00472B31"/>
    <w:rPr>
      <w:i/>
      <w:iCs/>
      <w:color w:val="404040" w:themeColor="text1" w:themeTint="BF"/>
    </w:rPr>
  </w:style>
  <w:style w:type="paragraph" w:styleId="ListParagraph">
    <w:name w:val="List Paragraph"/>
    <w:basedOn w:val="Normal"/>
    <w:uiPriority w:val="34"/>
    <w:qFormat/>
    <w:rsid w:val="00472B31"/>
    <w:pPr>
      <w:ind w:left="720"/>
      <w:contextualSpacing/>
    </w:pPr>
  </w:style>
  <w:style w:type="character" w:styleId="IntenseEmphasis">
    <w:name w:val="Intense Emphasis"/>
    <w:basedOn w:val="DefaultParagraphFont"/>
    <w:uiPriority w:val="21"/>
    <w:qFormat/>
    <w:rsid w:val="00472B31"/>
    <w:rPr>
      <w:i/>
      <w:iCs/>
      <w:color w:val="0F4761" w:themeColor="accent1" w:themeShade="BF"/>
    </w:rPr>
  </w:style>
  <w:style w:type="paragraph" w:styleId="IntenseQuote">
    <w:name w:val="Intense Quote"/>
    <w:basedOn w:val="Normal"/>
    <w:next w:val="Normal"/>
    <w:link w:val="IntenseQuoteChar"/>
    <w:uiPriority w:val="30"/>
    <w:qFormat/>
    <w:rsid w:val="00472B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2B31"/>
    <w:rPr>
      <w:i/>
      <w:iCs/>
      <w:color w:val="0F4761" w:themeColor="accent1" w:themeShade="BF"/>
    </w:rPr>
  </w:style>
  <w:style w:type="character" w:styleId="IntenseReference">
    <w:name w:val="Intense Reference"/>
    <w:basedOn w:val="DefaultParagraphFont"/>
    <w:uiPriority w:val="32"/>
    <w:qFormat/>
    <w:rsid w:val="00472B31"/>
    <w:rPr>
      <w:b/>
      <w:bCs/>
      <w:smallCaps/>
      <w:color w:val="0F4761" w:themeColor="accent1" w:themeShade="BF"/>
      <w:spacing w:val="5"/>
    </w:rPr>
  </w:style>
  <w:style w:type="character" w:styleId="Hyperlink">
    <w:name w:val="Hyperlink"/>
    <w:basedOn w:val="DefaultParagraphFont"/>
    <w:uiPriority w:val="99"/>
    <w:unhideWhenUsed/>
    <w:rsid w:val="00997F0B"/>
    <w:rPr>
      <w:color w:val="467886" w:themeColor="hyperlink"/>
      <w:u w:val="single"/>
    </w:rPr>
  </w:style>
  <w:style w:type="character" w:styleId="UnresolvedMention">
    <w:name w:val="Unresolved Mention"/>
    <w:basedOn w:val="DefaultParagraphFont"/>
    <w:uiPriority w:val="99"/>
    <w:semiHidden/>
    <w:unhideWhenUsed/>
    <w:rsid w:val="00997F0B"/>
    <w:rPr>
      <w:color w:val="605E5C"/>
      <w:shd w:val="clear" w:color="auto" w:fill="E1DFDD"/>
    </w:rPr>
  </w:style>
  <w:style w:type="paragraph" w:styleId="Header">
    <w:name w:val="header"/>
    <w:basedOn w:val="Normal"/>
    <w:link w:val="HeaderChar"/>
    <w:uiPriority w:val="99"/>
    <w:unhideWhenUsed/>
    <w:rsid w:val="00AB4F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4F72"/>
  </w:style>
  <w:style w:type="paragraph" w:styleId="Footer">
    <w:name w:val="footer"/>
    <w:basedOn w:val="Normal"/>
    <w:link w:val="FooterChar"/>
    <w:uiPriority w:val="99"/>
    <w:unhideWhenUsed/>
    <w:rsid w:val="00AB4F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4F72"/>
  </w:style>
  <w:style w:type="paragraph" w:styleId="NoSpacing">
    <w:name w:val="No Spacing"/>
    <w:link w:val="NoSpacingChar"/>
    <w:uiPriority w:val="1"/>
    <w:qFormat/>
    <w:rsid w:val="00AB4F7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B4F72"/>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coplc.com/media/u1wlq2qf/tesco-plc-annual-report-2023.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2139/ssrn.4453474"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escoplc.com/media/zgvhd0dn/tescos_ar24.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C29A998396443A89A52850F8F4A0395"/>
        <w:category>
          <w:name w:val="General"/>
          <w:gallery w:val="placeholder"/>
        </w:category>
        <w:types>
          <w:type w:val="bbPlcHdr"/>
        </w:types>
        <w:behaviors>
          <w:behavior w:val="content"/>
        </w:behaviors>
        <w:guid w:val="{2745F7B3-4819-42DC-A5A6-7AC28897EEAA}"/>
      </w:docPartPr>
      <w:docPartBody>
        <w:p w:rsidR="00000000" w:rsidRDefault="00F2015C" w:rsidP="00F2015C">
          <w:pPr>
            <w:pStyle w:val="FC29A998396443A89A52850F8F4A0395"/>
          </w:pPr>
          <w:r>
            <w:rPr>
              <w:rFonts w:asciiTheme="majorHAnsi" w:eastAsiaTheme="majorEastAsia" w:hAnsiTheme="majorHAnsi" w:cstheme="majorBidi"/>
              <w:caps/>
              <w:color w:val="156082" w:themeColor="accent1"/>
              <w:sz w:val="80"/>
              <w:szCs w:val="80"/>
            </w:rPr>
            <w:t>[Document title]</w:t>
          </w:r>
        </w:p>
      </w:docPartBody>
    </w:docPart>
    <w:docPart>
      <w:docPartPr>
        <w:name w:val="5753B54DDECA4B6887642BAF7AA06DC7"/>
        <w:category>
          <w:name w:val="General"/>
          <w:gallery w:val="placeholder"/>
        </w:category>
        <w:types>
          <w:type w:val="bbPlcHdr"/>
        </w:types>
        <w:behaviors>
          <w:behavior w:val="content"/>
        </w:behaviors>
        <w:guid w:val="{420E0387-5A8E-46F1-ADE6-FCF5A595CC3B}"/>
      </w:docPartPr>
      <w:docPartBody>
        <w:p w:rsidR="00000000" w:rsidRDefault="00F2015C" w:rsidP="00F2015C">
          <w:pPr>
            <w:pStyle w:val="5753B54DDECA4B6887642BAF7AA06DC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15C"/>
    <w:rsid w:val="002A2702"/>
    <w:rsid w:val="008F6BEE"/>
    <w:rsid w:val="00F201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C29A998396443A89A52850F8F4A0395">
    <w:name w:val="FC29A998396443A89A52850F8F4A0395"/>
    <w:rsid w:val="00F2015C"/>
  </w:style>
  <w:style w:type="paragraph" w:customStyle="1" w:styleId="5753B54DDECA4B6887642BAF7AA06DC7">
    <w:name w:val="5753B54DDECA4B6887642BAF7AA06DC7"/>
    <w:rsid w:val="00F201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210</TotalTime>
  <Pages>12</Pages>
  <Words>2074</Words>
  <Characters>11827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Analysis</dc:title>
  <dc:subject>Assignment 1</dc:subject>
  <dc:creator>Mirabela Voican (1907947)</dc:creator>
  <cp:keywords/>
  <dc:description/>
  <cp:lastModifiedBy>Mirabela Voican (1907947)</cp:lastModifiedBy>
  <cp:revision>1</cp:revision>
  <dcterms:created xsi:type="dcterms:W3CDTF">2025-07-09T18:49:00Z</dcterms:created>
  <dcterms:modified xsi:type="dcterms:W3CDTF">2025-07-09T22:20:00Z</dcterms:modified>
</cp:coreProperties>
</file>