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3162A" w14:textId="346A1DFD" w:rsidR="00C80880" w:rsidRDefault="002D7EF5" w:rsidP="00CC33FE">
      <w:pPr>
        <w:rPr>
          <w:rFonts w:ascii="Arial" w:hAnsi="Arial" w:cs="Arial"/>
          <w:b/>
          <w:bCs/>
          <w:sz w:val="24"/>
          <w:szCs w:val="24"/>
        </w:rPr>
      </w:pPr>
      <w:r>
        <w:rPr>
          <w:rFonts w:ascii="Arial" w:hAnsi="Arial" w:cs="Arial"/>
          <w:b/>
          <w:bCs/>
          <w:noProof/>
          <w:sz w:val="24"/>
          <w:szCs w:val="24"/>
        </w:rPr>
        <w:drawing>
          <wp:anchor distT="0" distB="0" distL="114300" distR="114300" simplePos="0" relativeHeight="251658752" behindDoc="1" locked="0" layoutInCell="1" allowOverlap="1" wp14:anchorId="54B18FC1" wp14:editId="0CD9E8DE">
            <wp:simplePos x="0" y="0"/>
            <wp:positionH relativeFrom="column">
              <wp:posOffset>-790575</wp:posOffset>
            </wp:positionH>
            <wp:positionV relativeFrom="page">
              <wp:posOffset>146050</wp:posOffset>
            </wp:positionV>
            <wp:extent cx="7296150" cy="10426065"/>
            <wp:effectExtent l="0" t="0" r="0" b="0"/>
            <wp:wrapTight wrapText="bothSides">
              <wp:wrapPolygon edited="0">
                <wp:start x="0" y="0"/>
                <wp:lineTo x="0" y="21549"/>
                <wp:lineTo x="21544" y="21549"/>
                <wp:lineTo x="21544" y="0"/>
                <wp:lineTo x="0" y="0"/>
              </wp:wrapPolygon>
            </wp:wrapTight>
            <wp:docPr id="421274008" name="Picture 5" descr="A book cover with a group of people and a child jumping on a ro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74008" name="Picture 5" descr="A book cover with a group of people and a child jumping on a rope&#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7296150" cy="10426065"/>
                    </a:xfrm>
                    <a:prstGeom prst="rect">
                      <a:avLst/>
                    </a:prstGeom>
                  </pic:spPr>
                </pic:pic>
              </a:graphicData>
            </a:graphic>
            <wp14:sizeRelH relativeFrom="margin">
              <wp14:pctWidth>0</wp14:pctWidth>
            </wp14:sizeRelH>
            <wp14:sizeRelV relativeFrom="margin">
              <wp14:pctHeight>0</wp14:pctHeight>
            </wp14:sizeRelV>
          </wp:anchor>
        </w:drawing>
      </w:r>
    </w:p>
    <w:p w14:paraId="5BFCB1F5" w14:textId="77777777" w:rsidR="00E11E29" w:rsidRDefault="00E40103" w:rsidP="00CC33FE">
      <w:pPr>
        <w:rPr>
          <w:rFonts w:ascii="Arial" w:hAnsi="Arial" w:cs="Arial"/>
          <w:b/>
          <w:bCs/>
          <w:sz w:val="24"/>
          <w:szCs w:val="24"/>
        </w:rPr>
      </w:pPr>
      <w:r>
        <w:rPr>
          <w:rFonts w:ascii="Arial" w:hAnsi="Arial" w:cs="Arial"/>
          <w:b/>
          <w:bCs/>
          <w:noProof/>
          <w:sz w:val="24"/>
          <w:szCs w:val="24"/>
        </w:rPr>
        <w:lastRenderedPageBreak/>
        <w:drawing>
          <wp:anchor distT="0" distB="0" distL="114300" distR="114300" simplePos="0" relativeHeight="251657728" behindDoc="1" locked="0" layoutInCell="1" allowOverlap="1" wp14:anchorId="68698D58" wp14:editId="285A9297">
            <wp:simplePos x="0" y="0"/>
            <wp:positionH relativeFrom="column">
              <wp:posOffset>-809625</wp:posOffset>
            </wp:positionH>
            <wp:positionV relativeFrom="page">
              <wp:posOffset>114300</wp:posOffset>
            </wp:positionV>
            <wp:extent cx="7343775" cy="10401300"/>
            <wp:effectExtent l="0" t="0" r="0" b="0"/>
            <wp:wrapSquare wrapText="bothSides"/>
            <wp:docPr id="39793265" name="Picture 1" descr="A close-up of a person using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93265" name="Picture 1" descr="A close-up of a person using a computer&#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7343775" cy="10401300"/>
                    </a:xfrm>
                    <a:prstGeom prst="rect">
                      <a:avLst/>
                    </a:prstGeom>
                  </pic:spPr>
                </pic:pic>
              </a:graphicData>
            </a:graphic>
            <wp14:sizeRelH relativeFrom="margin">
              <wp14:pctWidth>0</wp14:pctWidth>
            </wp14:sizeRelH>
            <wp14:sizeRelV relativeFrom="margin">
              <wp14:pctHeight>0</wp14:pctHeight>
            </wp14:sizeRelV>
          </wp:anchor>
        </w:drawing>
      </w:r>
    </w:p>
    <w:p w14:paraId="3AA4C428" w14:textId="77777777" w:rsidR="00E11E29" w:rsidRDefault="00CC33FE" w:rsidP="008420EF">
      <w:pPr>
        <w:rPr>
          <w:rFonts w:ascii="Arial" w:hAnsi="Arial" w:cs="Arial"/>
          <w:b/>
          <w:bCs/>
          <w:sz w:val="24"/>
          <w:szCs w:val="24"/>
        </w:rPr>
      </w:pPr>
      <w:r w:rsidRPr="00CC33FE">
        <w:rPr>
          <w:rFonts w:ascii="Arial" w:hAnsi="Arial" w:cs="Arial"/>
          <w:b/>
          <w:bCs/>
          <w:sz w:val="24"/>
          <w:szCs w:val="24"/>
        </w:rPr>
        <w:lastRenderedPageBreak/>
        <w:t>Evaluation of CAMHS Video and Service Provision</w:t>
      </w:r>
      <w:r w:rsidR="00E11E29">
        <w:rPr>
          <w:rFonts w:ascii="Arial" w:hAnsi="Arial" w:cs="Arial"/>
          <w:b/>
          <w:bCs/>
          <w:sz w:val="24"/>
          <w:szCs w:val="24"/>
        </w:rPr>
        <w:t xml:space="preserve">: </w:t>
      </w:r>
    </w:p>
    <w:p w14:paraId="60E52258" w14:textId="21119599" w:rsidR="00F35291" w:rsidRDefault="00CC33FE" w:rsidP="008420EF">
      <w:pPr>
        <w:rPr>
          <w:rFonts w:ascii="Arial" w:hAnsi="Arial" w:cs="Arial"/>
          <w:b/>
          <w:bCs/>
          <w:sz w:val="24"/>
          <w:szCs w:val="24"/>
        </w:rPr>
      </w:pPr>
      <w:r w:rsidRPr="00072602">
        <w:rPr>
          <w:rFonts w:ascii="Arial" w:hAnsi="Arial" w:cs="Arial"/>
          <w:b/>
          <w:bCs/>
          <w:sz w:val="24"/>
          <w:szCs w:val="24"/>
        </w:rPr>
        <w:t>Overview of CAMHS</w:t>
      </w:r>
    </w:p>
    <w:p w14:paraId="5298B3FA" w14:textId="53A54C5E" w:rsidR="008420EF" w:rsidRPr="00F35291" w:rsidRDefault="008420EF" w:rsidP="008420EF">
      <w:pPr>
        <w:rPr>
          <w:rFonts w:ascii="Arial" w:hAnsi="Arial" w:cs="Arial"/>
          <w:b/>
          <w:bCs/>
          <w:sz w:val="24"/>
          <w:szCs w:val="24"/>
        </w:rPr>
      </w:pPr>
      <w:r w:rsidRPr="008420EF">
        <w:rPr>
          <w:rFonts w:ascii="Arial" w:hAnsi="Arial" w:cs="Arial"/>
          <w:sz w:val="24"/>
          <w:szCs w:val="24"/>
        </w:rPr>
        <w:t xml:space="preserve">Child and Adolescent Mental Health Services (CAMHS) play a crucial role in supporting children and young people facing mental health challenges (Ani, Ayyash, and Ogundele, 2022). </w:t>
      </w:r>
      <w:r w:rsidR="007C2C5E">
        <w:rPr>
          <w:rFonts w:ascii="Arial" w:hAnsi="Arial" w:cs="Arial"/>
          <w:sz w:val="24"/>
          <w:szCs w:val="24"/>
        </w:rPr>
        <w:t>CAMHS is a specialised service within the National Health Service that meets the mental health needs of individuals up to age 18 (Livanou et al., 2024).</w:t>
      </w:r>
    </w:p>
    <w:p w14:paraId="473D6AD7" w14:textId="71A513FA" w:rsidR="008420EF" w:rsidRPr="008420EF" w:rsidRDefault="008420EF" w:rsidP="008420EF">
      <w:pPr>
        <w:rPr>
          <w:rFonts w:ascii="Arial" w:hAnsi="Arial" w:cs="Arial"/>
          <w:sz w:val="24"/>
          <w:szCs w:val="24"/>
        </w:rPr>
      </w:pPr>
      <w:r w:rsidRPr="008420EF">
        <w:rPr>
          <w:rFonts w:ascii="Arial" w:hAnsi="Arial" w:cs="Arial"/>
          <w:sz w:val="24"/>
          <w:szCs w:val="24"/>
        </w:rPr>
        <w:t>A dedicated multi-disciplinary team</w:t>
      </w:r>
      <w:r w:rsidR="007C2C5E">
        <w:rPr>
          <w:rFonts w:ascii="Arial" w:hAnsi="Arial" w:cs="Arial"/>
          <w:sz w:val="24"/>
          <w:szCs w:val="24"/>
        </w:rPr>
        <w:t>, including psychiatrists, psychologists, mental health nurses, and therapists,</w:t>
      </w:r>
      <w:r w:rsidRPr="008420EF">
        <w:rPr>
          <w:rFonts w:ascii="Arial" w:hAnsi="Arial" w:cs="Arial"/>
          <w:sz w:val="24"/>
          <w:szCs w:val="24"/>
        </w:rPr>
        <w:t xml:space="preserve"> collaborates to assist children and young people with a variety of mental health conditions, including anxiety, depression, and behavioural issues. This collaborative approach aligns with national guidelines to promote a holistic and integrated strategy for child mental health (Price et al., 2018).  </w:t>
      </w:r>
    </w:p>
    <w:p w14:paraId="1A389EF6" w14:textId="14408C00" w:rsidR="008420EF" w:rsidRPr="008420EF" w:rsidRDefault="008420EF" w:rsidP="008420EF">
      <w:pPr>
        <w:rPr>
          <w:rFonts w:ascii="Arial" w:hAnsi="Arial" w:cs="Arial"/>
          <w:sz w:val="24"/>
          <w:szCs w:val="24"/>
        </w:rPr>
      </w:pPr>
      <w:r w:rsidRPr="008420EF">
        <w:rPr>
          <w:rFonts w:ascii="Arial" w:hAnsi="Arial" w:cs="Arial"/>
          <w:sz w:val="24"/>
          <w:szCs w:val="24"/>
        </w:rPr>
        <w:t xml:space="preserve">Providing care for young people requires a coordinated effort, where families, schools, and healthcare providers collaborate to ensure consistent support (NICE, 2021). A comprehensive understanding of these processes is essential, as it enables families to advocate effectively for </w:t>
      </w:r>
      <w:r w:rsidR="008102F7">
        <w:rPr>
          <w:rFonts w:ascii="Arial" w:hAnsi="Arial" w:cs="Arial"/>
          <w:sz w:val="24"/>
          <w:szCs w:val="24"/>
        </w:rPr>
        <w:t>their children's unique needs and ensures that they receive the necessary and suitable care tailored to their specific circumstances (Harding, Camden,</w:t>
      </w:r>
      <w:r w:rsidRPr="008420EF">
        <w:rPr>
          <w:rFonts w:ascii="Arial" w:hAnsi="Arial" w:cs="Arial"/>
          <w:sz w:val="24"/>
          <w:szCs w:val="24"/>
        </w:rPr>
        <w:t xml:space="preserve"> and Lewis, 2022). </w:t>
      </w:r>
    </w:p>
    <w:p w14:paraId="09370994" w14:textId="349132A0" w:rsidR="008420EF" w:rsidRPr="008420EF" w:rsidRDefault="00F34220" w:rsidP="008420EF">
      <w:pPr>
        <w:rPr>
          <w:rFonts w:ascii="Arial" w:hAnsi="Arial" w:cs="Arial"/>
          <w:sz w:val="24"/>
          <w:szCs w:val="24"/>
        </w:rPr>
      </w:pPr>
      <w:r>
        <w:rPr>
          <w:rFonts w:ascii="Arial" w:hAnsi="Arial" w:cs="Arial"/>
          <w:sz w:val="24"/>
          <w:szCs w:val="24"/>
        </w:rPr>
        <w:t xml:space="preserve">The video from Norfolk and Suffolk NHS Foundation Trust (2021) </w:t>
      </w:r>
      <w:r w:rsidR="005A3F84">
        <w:rPr>
          <w:rFonts w:ascii="Arial" w:hAnsi="Arial" w:cs="Arial"/>
          <w:sz w:val="24"/>
          <w:szCs w:val="24"/>
        </w:rPr>
        <w:t>briefly introduces</w:t>
      </w:r>
      <w:r>
        <w:rPr>
          <w:rFonts w:ascii="Arial" w:hAnsi="Arial" w:cs="Arial"/>
          <w:sz w:val="24"/>
          <w:szCs w:val="24"/>
        </w:rPr>
        <w:t xml:space="preserve"> Child and Adolescent Mental Health Services (CAMHS) and illustrates the referral process, assessment, treatment, and discharge pathways. This critical commentary examines the factors involved in CAMHS support, from referral to discharge, and evaluates the strengths and weaknesses presented in the video. Additionally, it focuses on the approaches and interventions that may impact a child's well-being, drawing on </w:t>
      </w:r>
      <w:r w:rsidR="004E3E3E">
        <w:rPr>
          <w:rFonts w:ascii="Arial" w:hAnsi="Arial" w:cs="Arial"/>
          <w:sz w:val="24"/>
          <w:szCs w:val="24"/>
        </w:rPr>
        <w:t>organisational</w:t>
      </w:r>
      <w:r>
        <w:rPr>
          <w:rFonts w:ascii="Arial" w:hAnsi="Arial" w:cs="Arial"/>
          <w:sz w:val="24"/>
          <w:szCs w:val="24"/>
        </w:rPr>
        <w:t xml:space="preserve"> guidelines from CAMHS in the United Kingdom (Oxford Health NHS Foundation Trust, 2021).</w:t>
      </w:r>
    </w:p>
    <w:p w14:paraId="1F772DD0" w14:textId="264AF002" w:rsidR="008420EF" w:rsidRPr="008420EF" w:rsidRDefault="008420EF" w:rsidP="008420EF">
      <w:pPr>
        <w:rPr>
          <w:rFonts w:ascii="Arial" w:hAnsi="Arial" w:cs="Arial"/>
          <w:sz w:val="24"/>
          <w:szCs w:val="24"/>
        </w:rPr>
      </w:pPr>
      <w:r w:rsidRPr="008420EF">
        <w:rPr>
          <w:rFonts w:ascii="Arial" w:hAnsi="Arial" w:cs="Arial"/>
          <w:b/>
          <w:bCs/>
          <w:sz w:val="24"/>
          <w:szCs w:val="24"/>
        </w:rPr>
        <w:t>Referral Process and Initial Assessment</w:t>
      </w:r>
      <w:r w:rsidRPr="008420EF">
        <w:rPr>
          <w:rFonts w:ascii="Arial" w:hAnsi="Arial" w:cs="Arial"/>
          <w:sz w:val="24"/>
          <w:szCs w:val="24"/>
        </w:rPr>
        <w:t> </w:t>
      </w:r>
      <w:r w:rsidRPr="008420EF">
        <w:rPr>
          <w:rFonts w:ascii="Arial" w:hAnsi="Arial" w:cs="Arial"/>
          <w:sz w:val="24"/>
          <w:szCs w:val="24"/>
        </w:rPr>
        <w:br/>
      </w:r>
      <w:r w:rsidR="00D618E6">
        <w:rPr>
          <w:rFonts w:ascii="Arial" w:hAnsi="Arial" w:cs="Arial"/>
          <w:sz w:val="24"/>
          <w:szCs w:val="24"/>
        </w:rPr>
        <w:t>The referral process begins when a concern is raised by a parent, guardian, teacher, or healthcare professional (Catty, 2021). After receiving a referral, CAMHS conducts an initial assessment to see if the child's challenges meet their criteria. This process can create stress for the child and family due to fears of stigma and uncertainty about a diagnosis. Early intervention and prompt referrals are crucial for improved treatment outcomes (Emme-Lina, Grip and Axberg, 2024).</w:t>
      </w:r>
    </w:p>
    <w:p w14:paraId="3A253D22" w14:textId="14745D8A" w:rsidR="008420EF" w:rsidRPr="008420EF" w:rsidRDefault="007C2C5E" w:rsidP="008420EF">
      <w:pPr>
        <w:rPr>
          <w:rFonts w:ascii="Arial" w:hAnsi="Arial" w:cs="Arial"/>
          <w:sz w:val="24"/>
          <w:szCs w:val="24"/>
        </w:rPr>
      </w:pPr>
      <w:r>
        <w:rPr>
          <w:rFonts w:ascii="Arial" w:hAnsi="Arial" w:cs="Arial"/>
          <w:sz w:val="24"/>
          <w:szCs w:val="24"/>
        </w:rPr>
        <w:t>The CAMHS care service provides essential support; however, it encounters notable challenges, particularly concerning extended waiting times, which remain a primary concern (Thomas, Schroder, and Rickwood, 2020)</w:t>
      </w:r>
      <w:r w:rsidR="00D618E6">
        <w:rPr>
          <w:rFonts w:ascii="Arial" w:hAnsi="Arial" w:cs="Arial"/>
          <w:sz w:val="24"/>
          <w:szCs w:val="24"/>
        </w:rPr>
        <w:t xml:space="preserve">. Reducing these waiting periods would improve access to timely care and better outcomes for young individuals </w:t>
      </w:r>
      <w:r>
        <w:rPr>
          <w:rFonts w:ascii="Arial" w:hAnsi="Arial" w:cs="Arial"/>
          <w:sz w:val="24"/>
          <w:szCs w:val="24"/>
        </w:rPr>
        <w:t>requesting</w:t>
      </w:r>
      <w:r w:rsidR="00D618E6">
        <w:rPr>
          <w:rFonts w:ascii="Arial" w:hAnsi="Arial" w:cs="Arial"/>
          <w:sz w:val="24"/>
          <w:szCs w:val="24"/>
        </w:rPr>
        <w:t xml:space="preserve"> mental health support. Enhancing service delivery could increase </w:t>
      </w:r>
      <w:r w:rsidR="00D618E6">
        <w:rPr>
          <w:rFonts w:ascii="Arial" w:hAnsi="Arial" w:cs="Arial"/>
          <w:sz w:val="24"/>
          <w:szCs w:val="24"/>
        </w:rPr>
        <w:lastRenderedPageBreak/>
        <w:t>efficiency and reduce anxiety for patients and their families (NICE, 2021; Valentine et al., 2024).</w:t>
      </w:r>
    </w:p>
    <w:p w14:paraId="41A72083" w14:textId="5645ED51" w:rsidR="008420EF" w:rsidRPr="008420EF" w:rsidRDefault="008420EF" w:rsidP="008420EF">
      <w:pPr>
        <w:rPr>
          <w:rFonts w:ascii="Arial" w:hAnsi="Arial" w:cs="Arial"/>
          <w:sz w:val="24"/>
          <w:szCs w:val="24"/>
        </w:rPr>
      </w:pPr>
      <w:r w:rsidRPr="008420EF">
        <w:rPr>
          <w:rFonts w:ascii="Arial" w:hAnsi="Arial" w:cs="Arial"/>
          <w:b/>
          <w:bCs/>
          <w:sz w:val="24"/>
          <w:szCs w:val="24"/>
        </w:rPr>
        <w:t>Comprehensive Assessment and Formulation</w:t>
      </w:r>
      <w:r w:rsidRPr="008420EF">
        <w:rPr>
          <w:rFonts w:ascii="Arial" w:hAnsi="Arial" w:cs="Arial"/>
          <w:sz w:val="24"/>
          <w:szCs w:val="24"/>
        </w:rPr>
        <w:t> </w:t>
      </w:r>
      <w:r w:rsidRPr="008420EF">
        <w:rPr>
          <w:rFonts w:ascii="Arial" w:hAnsi="Arial" w:cs="Arial"/>
          <w:sz w:val="24"/>
          <w:szCs w:val="24"/>
        </w:rPr>
        <w:br/>
        <w:t xml:space="preserve">Following the referral, </w:t>
      </w:r>
      <w:r w:rsidR="005A3F84">
        <w:rPr>
          <w:rFonts w:ascii="Arial" w:hAnsi="Arial" w:cs="Arial"/>
          <w:sz w:val="24"/>
          <w:szCs w:val="24"/>
        </w:rPr>
        <w:t>Child and Adolescent Mental Health Services (CAMHS) professionals conduct a comprehensive assessment using</w:t>
      </w:r>
      <w:r w:rsidRPr="008420EF">
        <w:rPr>
          <w:rFonts w:ascii="Arial" w:hAnsi="Arial" w:cs="Arial"/>
          <w:sz w:val="24"/>
          <w:szCs w:val="24"/>
        </w:rPr>
        <w:t xml:space="preserve"> interviews, questionnaires, and observations. This assessment aims to develop a nuanced understanding of the child's situation, underscoring the importance of considering the child's developmental history, family dynamics, and environmental influences</w:t>
      </w:r>
      <w:r w:rsidR="005A3F84">
        <w:rPr>
          <w:rFonts w:ascii="Arial" w:hAnsi="Arial" w:cs="Arial"/>
          <w:sz w:val="24"/>
          <w:szCs w:val="24"/>
        </w:rPr>
        <w:t xml:space="preserve"> </w:t>
      </w:r>
      <w:r w:rsidR="005A3F84" w:rsidRPr="005A3F84">
        <w:rPr>
          <w:rFonts w:ascii="Arial" w:hAnsi="Arial" w:cs="Arial"/>
          <w:sz w:val="24"/>
          <w:szCs w:val="24"/>
        </w:rPr>
        <w:t>(Buchanan, Blackburn and Hayhurst, 2022)</w:t>
      </w:r>
      <w:r w:rsidR="005A3F84">
        <w:rPr>
          <w:rFonts w:ascii="Arial" w:hAnsi="Arial" w:cs="Arial"/>
          <w:sz w:val="24"/>
          <w:szCs w:val="24"/>
        </w:rPr>
        <w:t>.</w:t>
      </w:r>
      <w:r w:rsidRPr="008420EF">
        <w:rPr>
          <w:rFonts w:ascii="Arial" w:hAnsi="Arial" w:cs="Arial"/>
          <w:sz w:val="24"/>
          <w:szCs w:val="24"/>
        </w:rPr>
        <w:t>  </w:t>
      </w:r>
    </w:p>
    <w:p w14:paraId="43970F4A" w14:textId="5A22CEA8" w:rsidR="008420EF" w:rsidRPr="008420EF" w:rsidRDefault="008420EF" w:rsidP="008420EF">
      <w:pPr>
        <w:rPr>
          <w:rFonts w:ascii="Arial" w:hAnsi="Arial" w:cs="Arial"/>
          <w:sz w:val="24"/>
          <w:szCs w:val="24"/>
        </w:rPr>
      </w:pPr>
      <w:r w:rsidRPr="008420EF">
        <w:rPr>
          <w:rFonts w:ascii="Arial" w:hAnsi="Arial" w:cs="Arial"/>
          <w:sz w:val="24"/>
          <w:szCs w:val="24"/>
        </w:rPr>
        <w:t xml:space="preserve">By adopting a biopsychosocial approach that integrates emotions, behaviours, and social determinants, such as cultural influences and family support, practitioners are empowered to identify </w:t>
      </w:r>
      <w:r w:rsidR="005A3F84">
        <w:rPr>
          <w:rFonts w:ascii="Arial" w:hAnsi="Arial" w:cs="Arial"/>
          <w:sz w:val="24"/>
          <w:szCs w:val="24"/>
        </w:rPr>
        <w:t>psychological factors and</w:t>
      </w:r>
      <w:r w:rsidRPr="008420EF">
        <w:rPr>
          <w:rFonts w:ascii="Arial" w:hAnsi="Arial" w:cs="Arial"/>
          <w:sz w:val="24"/>
          <w:szCs w:val="24"/>
        </w:rPr>
        <w:t xml:space="preserve"> contextual elements. These elements include socioeconomic status, the educational setting, and cultural background (Vizard, 2020). </w:t>
      </w:r>
    </w:p>
    <w:p w14:paraId="18A17312" w14:textId="75C94490" w:rsidR="00F27592" w:rsidRDefault="00D33581" w:rsidP="008420EF">
      <w:pPr>
        <w:rPr>
          <w:rFonts w:ascii="Arial" w:hAnsi="Arial" w:cs="Arial"/>
          <w:sz w:val="24"/>
          <w:szCs w:val="24"/>
        </w:rPr>
      </w:pPr>
      <w:r>
        <w:rPr>
          <w:rFonts w:ascii="Arial" w:hAnsi="Arial" w:cs="Arial"/>
          <w:sz w:val="24"/>
          <w:szCs w:val="24"/>
        </w:rPr>
        <w:t xml:space="preserve">Effective information sharing among professionals within Child and Adolescent Mental Health Services (CAMHS) and various associated agencies, such as social services, multidisciplinary teams, educational psychologists, and youth justice </w:t>
      </w:r>
      <w:r w:rsidR="009F7F9C">
        <w:rPr>
          <w:rFonts w:ascii="Arial" w:hAnsi="Arial" w:cs="Arial"/>
          <w:sz w:val="24"/>
          <w:szCs w:val="24"/>
        </w:rPr>
        <w:t>organisations</w:t>
      </w:r>
      <w:r>
        <w:rPr>
          <w:rFonts w:ascii="Arial" w:hAnsi="Arial" w:cs="Arial"/>
          <w:sz w:val="24"/>
          <w:szCs w:val="24"/>
        </w:rPr>
        <w:t>, is critical for achieving a comprehensive understanding of the challenges confronted by children (Evans et al., 2021).</w:t>
      </w:r>
    </w:p>
    <w:p w14:paraId="15327196" w14:textId="03BA2EC8" w:rsidR="008420EF" w:rsidRPr="008420EF" w:rsidRDefault="008420EF" w:rsidP="008420EF">
      <w:pPr>
        <w:rPr>
          <w:rFonts w:ascii="Arial" w:hAnsi="Arial" w:cs="Arial"/>
          <w:sz w:val="24"/>
          <w:szCs w:val="24"/>
        </w:rPr>
      </w:pPr>
      <w:r w:rsidRPr="008420EF">
        <w:rPr>
          <w:rFonts w:ascii="Arial" w:hAnsi="Arial" w:cs="Arial"/>
          <w:sz w:val="24"/>
          <w:szCs w:val="24"/>
        </w:rPr>
        <w:t xml:space="preserve">Additionally, the assessment process requests </w:t>
      </w:r>
      <w:r w:rsidR="008102F7">
        <w:rPr>
          <w:rFonts w:ascii="Arial" w:hAnsi="Arial" w:cs="Arial"/>
          <w:sz w:val="24"/>
          <w:szCs w:val="24"/>
        </w:rPr>
        <w:t>collaboration</w:t>
      </w:r>
      <w:r w:rsidRPr="008420EF">
        <w:rPr>
          <w:rFonts w:ascii="Arial" w:hAnsi="Arial" w:cs="Arial"/>
          <w:sz w:val="24"/>
          <w:szCs w:val="24"/>
        </w:rPr>
        <w:t xml:space="preserve">, prioritising the young person's voice in </w:t>
      </w:r>
      <w:r w:rsidR="00F27592">
        <w:rPr>
          <w:rFonts w:ascii="Arial" w:hAnsi="Arial" w:cs="Arial"/>
          <w:sz w:val="24"/>
          <w:szCs w:val="24"/>
        </w:rPr>
        <w:t>decision-making</w:t>
      </w:r>
      <w:r w:rsidRPr="008420EF">
        <w:rPr>
          <w:rFonts w:ascii="Arial" w:hAnsi="Arial" w:cs="Arial"/>
          <w:sz w:val="24"/>
          <w:szCs w:val="24"/>
        </w:rPr>
        <w:t>. Emphasising the child's autonomy and encouraging active participation during the assessment phase can enhance therapeutic engagement and improve adherence to subsequent interventions (Department of Health and Department of Education, 2017).  </w:t>
      </w:r>
    </w:p>
    <w:p w14:paraId="4B3C49F4" w14:textId="62DDAFFF" w:rsidR="008420EF" w:rsidRPr="008420EF" w:rsidRDefault="008420EF" w:rsidP="008420EF">
      <w:pPr>
        <w:rPr>
          <w:rFonts w:ascii="Arial" w:hAnsi="Arial" w:cs="Arial"/>
          <w:sz w:val="24"/>
          <w:szCs w:val="24"/>
        </w:rPr>
      </w:pPr>
      <w:r w:rsidRPr="008420EF">
        <w:rPr>
          <w:rFonts w:ascii="Arial" w:hAnsi="Arial" w:cs="Arial"/>
          <w:b/>
          <w:bCs/>
          <w:sz w:val="24"/>
          <w:szCs w:val="24"/>
        </w:rPr>
        <w:t>Intervention and Therapeutic Approaches</w:t>
      </w:r>
      <w:r w:rsidRPr="008420EF">
        <w:rPr>
          <w:rFonts w:ascii="Arial" w:hAnsi="Arial" w:cs="Arial"/>
          <w:sz w:val="24"/>
          <w:szCs w:val="24"/>
        </w:rPr>
        <w:t> </w:t>
      </w:r>
      <w:r w:rsidRPr="008420EF">
        <w:rPr>
          <w:rFonts w:ascii="Arial" w:hAnsi="Arial" w:cs="Arial"/>
          <w:sz w:val="24"/>
          <w:szCs w:val="24"/>
        </w:rPr>
        <w:br/>
      </w:r>
      <w:r w:rsidR="00D33581">
        <w:rPr>
          <w:rFonts w:ascii="Arial" w:hAnsi="Arial" w:cs="Arial"/>
          <w:sz w:val="24"/>
          <w:szCs w:val="24"/>
        </w:rPr>
        <w:t xml:space="preserve">The integration of interventions such as psychotherapeutic approaches and specialised support is vital for effectively addressing the intricate mental health needs of children and adolescents. In current practice, evidence-based methodologies, including Cognitive-Behavioural Therapy (CBT), Interpersonal Therapy (IPT), and systemic family therapy, are frequently </w:t>
      </w:r>
      <w:r w:rsidR="009F7F9C">
        <w:rPr>
          <w:rFonts w:ascii="Arial" w:hAnsi="Arial" w:cs="Arial"/>
          <w:sz w:val="24"/>
          <w:szCs w:val="24"/>
        </w:rPr>
        <w:t>utilised</w:t>
      </w:r>
      <w:r w:rsidR="00D33581">
        <w:rPr>
          <w:rFonts w:ascii="Arial" w:hAnsi="Arial" w:cs="Arial"/>
          <w:sz w:val="24"/>
          <w:szCs w:val="24"/>
        </w:rPr>
        <w:t xml:space="preserve"> by Child and Adolescent Mental Health Services (CAMHS) to treat conditions such as depression, anxiety disorders, and conduct disorders (Balkin, 2023).</w:t>
      </w:r>
    </w:p>
    <w:p w14:paraId="566DA7F7" w14:textId="4C61D3F8" w:rsidR="00D618E6" w:rsidRDefault="00D618E6" w:rsidP="008420EF">
      <w:pPr>
        <w:rPr>
          <w:rFonts w:ascii="Arial" w:hAnsi="Arial" w:cs="Arial"/>
          <w:sz w:val="24"/>
          <w:szCs w:val="24"/>
        </w:rPr>
      </w:pPr>
      <w:r>
        <w:rPr>
          <w:rFonts w:ascii="Arial" w:hAnsi="Arial" w:cs="Arial"/>
          <w:sz w:val="24"/>
          <w:szCs w:val="24"/>
        </w:rPr>
        <w:t xml:space="preserve">In circumstances where psychological therapies may prove inadequate, medication is warranted as part of a comprehensive treatment plan, particularly for individuals experiencing moderate to severe mental health challenges. Such pharmacological interventions aim to </w:t>
      </w:r>
      <w:r w:rsidR="00D33581">
        <w:rPr>
          <w:rFonts w:ascii="Arial" w:hAnsi="Arial" w:cs="Arial"/>
          <w:sz w:val="24"/>
          <w:szCs w:val="24"/>
        </w:rPr>
        <w:t>improve</w:t>
      </w:r>
      <w:r>
        <w:rPr>
          <w:rFonts w:ascii="Arial" w:hAnsi="Arial" w:cs="Arial"/>
          <w:sz w:val="24"/>
          <w:szCs w:val="24"/>
        </w:rPr>
        <w:t xml:space="preserve"> symptoms and enhance the efficacy of psychotherapy, with careful consideration of the associated risks and benefits (Public Health England, 2022). </w:t>
      </w:r>
    </w:p>
    <w:p w14:paraId="5DB2ABB9" w14:textId="41D272E8" w:rsidR="008420EF" w:rsidRPr="008420EF" w:rsidRDefault="00D618E6" w:rsidP="008420EF">
      <w:pPr>
        <w:rPr>
          <w:rFonts w:ascii="Arial" w:hAnsi="Arial" w:cs="Arial"/>
          <w:sz w:val="24"/>
          <w:szCs w:val="24"/>
        </w:rPr>
      </w:pPr>
      <w:r>
        <w:rPr>
          <w:rFonts w:ascii="Arial" w:hAnsi="Arial" w:cs="Arial"/>
          <w:sz w:val="24"/>
          <w:szCs w:val="24"/>
        </w:rPr>
        <w:lastRenderedPageBreak/>
        <w:t>Additionally, the active involvement of parents or care</w:t>
      </w:r>
      <w:r w:rsidR="00D33581">
        <w:rPr>
          <w:rFonts w:ascii="Arial" w:hAnsi="Arial" w:cs="Arial"/>
          <w:sz w:val="24"/>
          <w:szCs w:val="24"/>
        </w:rPr>
        <w:t xml:space="preserve"> professionals</w:t>
      </w:r>
      <w:r>
        <w:rPr>
          <w:rFonts w:ascii="Arial" w:hAnsi="Arial" w:cs="Arial"/>
          <w:sz w:val="24"/>
          <w:szCs w:val="24"/>
        </w:rPr>
        <w:t xml:space="preserve"> has been identified as a crucial factor in treatment success, as recent research highlights the positive influence of a supportive home environment on therapeutic outcomes. An expanded discussion on strategies for family engagement and motivational techniques would further elucidate how Child and Adolescent Mental Health Services (CAMHS) practitioners develop therapeutic alliances and </w:t>
      </w:r>
      <w:r w:rsidR="00BF1CE3">
        <w:rPr>
          <w:rFonts w:ascii="Arial" w:hAnsi="Arial" w:cs="Arial"/>
          <w:sz w:val="24"/>
          <w:szCs w:val="24"/>
        </w:rPr>
        <w:t>optimise</w:t>
      </w:r>
      <w:r>
        <w:rPr>
          <w:rFonts w:ascii="Arial" w:hAnsi="Arial" w:cs="Arial"/>
          <w:sz w:val="24"/>
          <w:szCs w:val="24"/>
        </w:rPr>
        <w:t xml:space="preserve"> treatment interventions (British Psychological Society, 20</w:t>
      </w:r>
      <w:r w:rsidR="00D34D8C">
        <w:rPr>
          <w:rFonts w:ascii="Arial" w:hAnsi="Arial" w:cs="Arial"/>
          <w:sz w:val="24"/>
          <w:szCs w:val="24"/>
        </w:rPr>
        <w:t>17</w:t>
      </w:r>
      <w:r>
        <w:rPr>
          <w:rFonts w:ascii="Arial" w:hAnsi="Arial" w:cs="Arial"/>
          <w:sz w:val="24"/>
          <w:szCs w:val="24"/>
        </w:rPr>
        <w:t>).</w:t>
      </w:r>
      <w:r w:rsidR="008420EF" w:rsidRPr="008420EF">
        <w:rPr>
          <w:rFonts w:ascii="Arial" w:hAnsi="Arial" w:cs="Arial"/>
          <w:sz w:val="24"/>
          <w:szCs w:val="24"/>
        </w:rPr>
        <w:t> </w:t>
      </w:r>
    </w:p>
    <w:p w14:paraId="2A72CB00" w14:textId="5BC43960" w:rsidR="008420EF" w:rsidRPr="008420EF" w:rsidRDefault="008420EF" w:rsidP="008420EF">
      <w:pPr>
        <w:rPr>
          <w:rFonts w:ascii="Arial" w:hAnsi="Arial" w:cs="Arial"/>
          <w:sz w:val="24"/>
          <w:szCs w:val="24"/>
        </w:rPr>
      </w:pPr>
      <w:r w:rsidRPr="008420EF">
        <w:rPr>
          <w:rFonts w:ascii="Arial" w:hAnsi="Arial" w:cs="Arial"/>
          <w:b/>
          <w:bCs/>
          <w:sz w:val="24"/>
          <w:szCs w:val="24"/>
        </w:rPr>
        <w:t>Multi-Agency Collaboration and External Support</w:t>
      </w:r>
      <w:r w:rsidRPr="008420EF">
        <w:rPr>
          <w:rFonts w:ascii="Arial" w:hAnsi="Arial" w:cs="Arial"/>
          <w:sz w:val="24"/>
          <w:szCs w:val="24"/>
        </w:rPr>
        <w:t> </w:t>
      </w:r>
      <w:r w:rsidRPr="008420EF">
        <w:rPr>
          <w:rFonts w:ascii="Arial" w:hAnsi="Arial" w:cs="Arial"/>
          <w:sz w:val="24"/>
          <w:szCs w:val="24"/>
        </w:rPr>
        <w:br/>
        <w:t xml:space="preserve">Multi-agency coordination is </w:t>
      </w:r>
      <w:r w:rsidR="00D33581" w:rsidRPr="008420EF">
        <w:rPr>
          <w:rFonts w:ascii="Arial" w:hAnsi="Arial" w:cs="Arial"/>
          <w:sz w:val="24"/>
          <w:szCs w:val="24"/>
        </w:rPr>
        <w:t>needed</w:t>
      </w:r>
      <w:r w:rsidRPr="008420EF">
        <w:rPr>
          <w:rFonts w:ascii="Arial" w:hAnsi="Arial" w:cs="Arial"/>
          <w:sz w:val="24"/>
          <w:szCs w:val="24"/>
        </w:rPr>
        <w:t xml:space="preserve"> for children with complex needs, such as those with neurodevelopmental conditions or comorbid psychiatric presentations. The sharing of relevant information, with the necessary consent, is essential for preventing care fragmentation, reducing service duplication, and fostering a cohesive support network</w:t>
      </w:r>
      <w:r w:rsidR="00105780">
        <w:rPr>
          <w:rFonts w:ascii="Arial" w:hAnsi="Arial" w:cs="Arial"/>
          <w:sz w:val="24"/>
          <w:szCs w:val="24"/>
        </w:rPr>
        <w:t xml:space="preserve"> (</w:t>
      </w:r>
      <w:r w:rsidR="00105780" w:rsidRPr="00105780">
        <w:rPr>
          <w:rFonts w:ascii="Arial" w:hAnsi="Arial" w:cs="Arial"/>
          <w:sz w:val="24"/>
          <w:szCs w:val="24"/>
        </w:rPr>
        <w:t>Anna</w:t>
      </w:r>
      <w:r w:rsidR="00105780">
        <w:rPr>
          <w:rFonts w:ascii="Arial" w:hAnsi="Arial" w:cs="Arial"/>
          <w:sz w:val="24"/>
          <w:szCs w:val="24"/>
        </w:rPr>
        <w:t xml:space="preserve"> and</w:t>
      </w:r>
      <w:r w:rsidR="00105780" w:rsidRPr="00105780">
        <w:rPr>
          <w:rFonts w:ascii="Arial" w:hAnsi="Arial" w:cs="Arial"/>
          <w:sz w:val="24"/>
          <w:szCs w:val="24"/>
        </w:rPr>
        <w:t xml:space="preserve"> Emily, 2022)</w:t>
      </w:r>
      <w:r w:rsidR="00105780">
        <w:rPr>
          <w:rFonts w:ascii="Arial" w:hAnsi="Arial" w:cs="Arial"/>
          <w:sz w:val="24"/>
          <w:szCs w:val="24"/>
        </w:rPr>
        <w:t>.</w:t>
      </w:r>
    </w:p>
    <w:p w14:paraId="10E27CF8" w14:textId="16A99177" w:rsidR="008420EF" w:rsidRPr="008420EF" w:rsidRDefault="00D33581" w:rsidP="008420EF">
      <w:pPr>
        <w:rPr>
          <w:rFonts w:ascii="Arial" w:hAnsi="Arial" w:cs="Arial"/>
          <w:sz w:val="24"/>
          <w:szCs w:val="24"/>
        </w:rPr>
      </w:pPr>
      <w:r>
        <w:rPr>
          <w:rFonts w:ascii="Arial" w:hAnsi="Arial" w:cs="Arial"/>
          <w:sz w:val="24"/>
          <w:szCs w:val="24"/>
        </w:rPr>
        <w:t xml:space="preserve">Shah et al. (2024) assert that supportive relationships and effective communication are essential for managing mental health disorders in children. Optimal outcomes for children and adolescents are realised when multiple systems collaborate to develop interventions </w:t>
      </w:r>
      <w:r w:rsidR="00C9065E">
        <w:rPr>
          <w:rFonts w:ascii="Arial" w:hAnsi="Arial" w:cs="Arial"/>
          <w:sz w:val="24"/>
          <w:szCs w:val="24"/>
        </w:rPr>
        <w:t>adjusted</w:t>
      </w:r>
      <w:r>
        <w:rPr>
          <w:rFonts w:ascii="Arial" w:hAnsi="Arial" w:cs="Arial"/>
          <w:sz w:val="24"/>
          <w:szCs w:val="24"/>
        </w:rPr>
        <w:t xml:space="preserve"> to the needs of the family, school, community, and clinical environments.</w:t>
      </w:r>
    </w:p>
    <w:p w14:paraId="4457BCC5" w14:textId="73CA7EC5" w:rsidR="00CC1579" w:rsidRDefault="008420EF" w:rsidP="008420EF">
      <w:pPr>
        <w:rPr>
          <w:rFonts w:ascii="Arial" w:hAnsi="Arial" w:cs="Arial"/>
          <w:sz w:val="24"/>
          <w:szCs w:val="24"/>
        </w:rPr>
      </w:pPr>
      <w:r w:rsidRPr="008420EF">
        <w:rPr>
          <w:rFonts w:ascii="Arial" w:hAnsi="Arial" w:cs="Arial"/>
          <w:b/>
          <w:bCs/>
          <w:sz w:val="24"/>
          <w:szCs w:val="24"/>
        </w:rPr>
        <w:t>Discharge and Transition Planning</w:t>
      </w:r>
      <w:r w:rsidRPr="008420EF">
        <w:rPr>
          <w:rFonts w:ascii="Arial" w:hAnsi="Arial" w:cs="Arial"/>
          <w:sz w:val="24"/>
          <w:szCs w:val="24"/>
        </w:rPr>
        <w:t> </w:t>
      </w:r>
      <w:r w:rsidRPr="008420EF">
        <w:rPr>
          <w:rFonts w:ascii="Arial" w:hAnsi="Arial" w:cs="Arial"/>
          <w:sz w:val="24"/>
          <w:szCs w:val="24"/>
        </w:rPr>
        <w:br/>
      </w:r>
      <w:r w:rsidR="00D33581">
        <w:rPr>
          <w:rFonts w:ascii="Arial" w:hAnsi="Arial" w:cs="Arial"/>
          <w:sz w:val="24"/>
          <w:szCs w:val="24"/>
        </w:rPr>
        <w:t xml:space="preserve">Child and Adolescent Mental Health Services (CAMHS) </w:t>
      </w:r>
      <w:r w:rsidR="009F7F9C">
        <w:rPr>
          <w:rFonts w:ascii="Arial" w:hAnsi="Arial" w:cs="Arial"/>
          <w:sz w:val="24"/>
          <w:szCs w:val="24"/>
        </w:rPr>
        <w:t>are crucial</w:t>
      </w:r>
      <w:r w:rsidR="00D33581">
        <w:rPr>
          <w:rFonts w:ascii="Arial" w:hAnsi="Arial" w:cs="Arial"/>
          <w:sz w:val="24"/>
          <w:szCs w:val="24"/>
        </w:rPr>
        <w:t xml:space="preserve"> in preparing children and their families for life beyond </w:t>
      </w:r>
      <w:r w:rsidR="009F7F9C">
        <w:rPr>
          <w:rFonts w:ascii="Arial" w:hAnsi="Arial" w:cs="Arial"/>
          <w:sz w:val="24"/>
          <w:szCs w:val="24"/>
        </w:rPr>
        <w:t>specialised</w:t>
      </w:r>
      <w:r w:rsidR="00D33581">
        <w:rPr>
          <w:rFonts w:ascii="Arial" w:hAnsi="Arial" w:cs="Arial"/>
          <w:sz w:val="24"/>
          <w:szCs w:val="24"/>
        </w:rPr>
        <w:t xml:space="preserve"> care during the discharge planning phase. This stage </w:t>
      </w:r>
      <w:r w:rsidR="00A116A4">
        <w:rPr>
          <w:rFonts w:ascii="Arial" w:hAnsi="Arial" w:cs="Arial"/>
          <w:sz w:val="24"/>
          <w:szCs w:val="24"/>
        </w:rPr>
        <w:t>thoroughly evaluates treatment progress, provides relapse prevention strategies, and establishes</w:t>
      </w:r>
      <w:r w:rsidR="00D33581">
        <w:rPr>
          <w:rFonts w:ascii="Arial" w:hAnsi="Arial" w:cs="Arial"/>
          <w:sz w:val="24"/>
          <w:szCs w:val="24"/>
        </w:rPr>
        <w:t xml:space="preserve"> </w:t>
      </w:r>
      <w:r w:rsidR="009B408A">
        <w:rPr>
          <w:rFonts w:ascii="Arial" w:hAnsi="Arial" w:cs="Arial"/>
          <w:sz w:val="24"/>
          <w:szCs w:val="24"/>
        </w:rPr>
        <w:t>aftercare</w:t>
      </w:r>
      <w:r w:rsidR="00D33581">
        <w:rPr>
          <w:rFonts w:ascii="Arial" w:hAnsi="Arial" w:cs="Arial"/>
          <w:sz w:val="24"/>
          <w:szCs w:val="24"/>
        </w:rPr>
        <w:t xml:space="preserve"> arrangements. Transition planning is particularly essential for older adolescents who may require a transfer to adult mental health services (NHS England, 2023).</w:t>
      </w:r>
    </w:p>
    <w:p w14:paraId="4B32EA9E" w14:textId="165DF6AF" w:rsidR="00CC1579" w:rsidRPr="008420EF" w:rsidRDefault="008420EF" w:rsidP="008420EF">
      <w:pPr>
        <w:rPr>
          <w:rFonts w:ascii="Arial" w:hAnsi="Arial" w:cs="Arial"/>
          <w:sz w:val="24"/>
          <w:szCs w:val="24"/>
        </w:rPr>
      </w:pPr>
      <w:r w:rsidRPr="008420EF">
        <w:rPr>
          <w:rFonts w:ascii="Arial" w:hAnsi="Arial" w:cs="Arial"/>
          <w:sz w:val="24"/>
          <w:szCs w:val="24"/>
        </w:rPr>
        <w:t xml:space="preserve">The adverse effects of abrupt disruptions in care underscore the need to establish a meticulously organised transition process. Such sudden changes can </w:t>
      </w:r>
      <w:r w:rsidR="00713631">
        <w:rPr>
          <w:rFonts w:ascii="Arial" w:hAnsi="Arial" w:cs="Arial"/>
          <w:sz w:val="24"/>
          <w:szCs w:val="24"/>
        </w:rPr>
        <w:t>precipitate a relapse of symptoms and may</w:t>
      </w:r>
      <w:r w:rsidRPr="008420EF">
        <w:rPr>
          <w:rFonts w:ascii="Arial" w:hAnsi="Arial" w:cs="Arial"/>
          <w:sz w:val="24"/>
          <w:szCs w:val="24"/>
        </w:rPr>
        <w:t xml:space="preserve"> result in a disconnection from vital services, jeopardising the individual's overall well-being. This circumstance underscores the importance of a deliberate approach during transitions to ensure continuity of care and support (Zavras, 2022). </w:t>
      </w:r>
    </w:p>
    <w:p w14:paraId="7452A45E" w14:textId="0071F3BB" w:rsidR="008420EF" w:rsidRDefault="009B408A" w:rsidP="008420EF">
      <w:pPr>
        <w:rPr>
          <w:rFonts w:ascii="Arial" w:hAnsi="Arial" w:cs="Arial"/>
          <w:sz w:val="24"/>
          <w:szCs w:val="24"/>
        </w:rPr>
      </w:pPr>
      <w:r>
        <w:rPr>
          <w:rFonts w:ascii="Arial" w:hAnsi="Arial" w:cs="Arial"/>
          <w:sz w:val="24"/>
          <w:szCs w:val="24"/>
        </w:rPr>
        <w:t>According to the British Psychological Society (20</w:t>
      </w:r>
      <w:r w:rsidR="00D34D8C">
        <w:rPr>
          <w:rFonts w:ascii="Arial" w:hAnsi="Arial" w:cs="Arial"/>
          <w:sz w:val="24"/>
          <w:szCs w:val="24"/>
        </w:rPr>
        <w:t>17</w:t>
      </w:r>
      <w:r>
        <w:rPr>
          <w:rFonts w:ascii="Arial" w:hAnsi="Arial" w:cs="Arial"/>
          <w:sz w:val="24"/>
          <w:szCs w:val="24"/>
        </w:rPr>
        <w:t>), implementing graduated discharge protocols and facilitating referrals to voluntary or community services can significantly enhance resilience and foster sustained well-being. Illustrative examples of effective support mechanisms include participation in support groups, engagement in online forums, and access to community-based counselling services, all of which exemplify how continuity of care is effectively maintained.</w:t>
      </w:r>
    </w:p>
    <w:p w14:paraId="3916E46F" w14:textId="77777777" w:rsidR="009B408A" w:rsidRPr="008420EF" w:rsidRDefault="009B408A" w:rsidP="008420EF">
      <w:pPr>
        <w:rPr>
          <w:rFonts w:ascii="Arial" w:hAnsi="Arial" w:cs="Arial"/>
          <w:sz w:val="24"/>
          <w:szCs w:val="24"/>
        </w:rPr>
      </w:pPr>
    </w:p>
    <w:p w14:paraId="73455C83" w14:textId="2627EF1F" w:rsidR="00130E65" w:rsidRDefault="008420EF" w:rsidP="008420EF">
      <w:pPr>
        <w:rPr>
          <w:rFonts w:ascii="Arial" w:hAnsi="Arial" w:cs="Arial"/>
          <w:sz w:val="24"/>
          <w:szCs w:val="24"/>
        </w:rPr>
      </w:pPr>
      <w:r w:rsidRPr="008420EF">
        <w:rPr>
          <w:rFonts w:ascii="Arial" w:hAnsi="Arial" w:cs="Arial"/>
          <w:b/>
          <w:bCs/>
          <w:sz w:val="24"/>
          <w:szCs w:val="24"/>
        </w:rPr>
        <w:lastRenderedPageBreak/>
        <w:t>Conclusion</w:t>
      </w:r>
      <w:r w:rsidRPr="008420EF">
        <w:rPr>
          <w:rFonts w:ascii="Arial" w:hAnsi="Arial" w:cs="Arial"/>
          <w:sz w:val="24"/>
          <w:szCs w:val="24"/>
        </w:rPr>
        <w:t> </w:t>
      </w:r>
      <w:r w:rsidRPr="008420EF">
        <w:rPr>
          <w:rFonts w:ascii="Arial" w:hAnsi="Arial" w:cs="Arial"/>
          <w:sz w:val="24"/>
          <w:szCs w:val="24"/>
        </w:rPr>
        <w:br/>
      </w:r>
      <w:r w:rsidR="00130E65">
        <w:rPr>
          <w:rFonts w:ascii="Arial" w:hAnsi="Arial" w:cs="Arial"/>
          <w:sz w:val="24"/>
          <w:szCs w:val="24"/>
        </w:rPr>
        <w:t>Child and Adolescent Mental Health Services (CAMHS) provides a structured approach to supporting mental health in children and adolescents. With early referral pathways, multidisciplinary</w:t>
      </w:r>
      <w:r w:rsidR="00CC1579">
        <w:rPr>
          <w:rFonts w:ascii="Arial" w:hAnsi="Arial" w:cs="Arial"/>
          <w:sz w:val="24"/>
          <w:szCs w:val="24"/>
        </w:rPr>
        <w:t xml:space="preserve"> assessments, and evidence-based treatments, CAMHS tailors care plans to individual needs (Fiona et al., 2022). </w:t>
      </w:r>
    </w:p>
    <w:p w14:paraId="2BEA1EEE" w14:textId="64823C04" w:rsidR="008420EF" w:rsidRDefault="00CC1579" w:rsidP="008420EF">
      <w:pPr>
        <w:rPr>
          <w:rFonts w:ascii="Arial" w:hAnsi="Arial" w:cs="Arial"/>
          <w:sz w:val="24"/>
          <w:szCs w:val="24"/>
        </w:rPr>
      </w:pPr>
      <w:r>
        <w:rPr>
          <w:rFonts w:ascii="Arial" w:hAnsi="Arial" w:cs="Arial"/>
          <w:sz w:val="24"/>
          <w:szCs w:val="24"/>
        </w:rPr>
        <w:t>Collaboration among families, schools, and agencies enhances support and continuity, reducing risks associated with fragmented services. Additionally, focus on discharge planning for older adolescents transitioning to adult services ensures ongoing care and decreases relapse risk, promoting overall well-being and resilience (Andrews et al., 2022).</w:t>
      </w:r>
    </w:p>
    <w:p w14:paraId="5E3DED0B" w14:textId="31724FA4" w:rsidR="00396737" w:rsidRDefault="00396737" w:rsidP="008420EF">
      <w:pPr>
        <w:rPr>
          <w:rFonts w:ascii="Arial" w:hAnsi="Arial" w:cs="Arial"/>
          <w:sz w:val="24"/>
          <w:szCs w:val="24"/>
        </w:rPr>
      </w:pPr>
    </w:p>
    <w:p w14:paraId="2BA65530" w14:textId="77777777" w:rsidR="00994A33" w:rsidRDefault="00994A33" w:rsidP="008420EF">
      <w:pPr>
        <w:rPr>
          <w:rFonts w:ascii="Arial" w:hAnsi="Arial" w:cs="Arial"/>
          <w:sz w:val="24"/>
          <w:szCs w:val="24"/>
        </w:rPr>
      </w:pPr>
    </w:p>
    <w:p w14:paraId="220782E1" w14:textId="77777777" w:rsidR="00994A33" w:rsidRDefault="00994A33" w:rsidP="008420EF">
      <w:pPr>
        <w:rPr>
          <w:rFonts w:ascii="Arial" w:hAnsi="Arial" w:cs="Arial"/>
          <w:sz w:val="24"/>
          <w:szCs w:val="24"/>
        </w:rPr>
      </w:pPr>
    </w:p>
    <w:p w14:paraId="22119C5F" w14:textId="77777777" w:rsidR="00994A33" w:rsidRDefault="00994A33" w:rsidP="008420EF">
      <w:pPr>
        <w:rPr>
          <w:rFonts w:ascii="Arial" w:hAnsi="Arial" w:cs="Arial"/>
          <w:sz w:val="24"/>
          <w:szCs w:val="24"/>
        </w:rPr>
      </w:pPr>
    </w:p>
    <w:p w14:paraId="17F384E5" w14:textId="77777777" w:rsidR="00994A33" w:rsidRDefault="00994A33" w:rsidP="008420EF">
      <w:pPr>
        <w:rPr>
          <w:rFonts w:ascii="Arial" w:hAnsi="Arial" w:cs="Arial"/>
          <w:sz w:val="24"/>
          <w:szCs w:val="24"/>
        </w:rPr>
      </w:pPr>
    </w:p>
    <w:p w14:paraId="09FAB878" w14:textId="77777777" w:rsidR="00994A33" w:rsidRDefault="00994A33" w:rsidP="008420EF">
      <w:pPr>
        <w:rPr>
          <w:rFonts w:ascii="Arial" w:hAnsi="Arial" w:cs="Arial"/>
          <w:sz w:val="24"/>
          <w:szCs w:val="24"/>
        </w:rPr>
      </w:pPr>
    </w:p>
    <w:p w14:paraId="388BAA1D" w14:textId="77777777" w:rsidR="00994A33" w:rsidRDefault="00994A33" w:rsidP="008420EF">
      <w:pPr>
        <w:rPr>
          <w:rFonts w:ascii="Arial" w:hAnsi="Arial" w:cs="Arial"/>
          <w:sz w:val="24"/>
          <w:szCs w:val="24"/>
        </w:rPr>
      </w:pPr>
    </w:p>
    <w:p w14:paraId="521F8484" w14:textId="77777777" w:rsidR="00994A33" w:rsidRDefault="00994A33" w:rsidP="008420EF">
      <w:pPr>
        <w:rPr>
          <w:rFonts w:ascii="Arial" w:hAnsi="Arial" w:cs="Arial"/>
          <w:sz w:val="24"/>
          <w:szCs w:val="24"/>
        </w:rPr>
      </w:pPr>
    </w:p>
    <w:p w14:paraId="0C0F7C8A" w14:textId="77777777" w:rsidR="00994A33" w:rsidRDefault="00994A33" w:rsidP="008420EF">
      <w:pPr>
        <w:rPr>
          <w:rFonts w:ascii="Arial" w:hAnsi="Arial" w:cs="Arial"/>
          <w:sz w:val="24"/>
          <w:szCs w:val="24"/>
        </w:rPr>
      </w:pPr>
    </w:p>
    <w:p w14:paraId="5478D5B0" w14:textId="77777777" w:rsidR="00994A33" w:rsidRDefault="00994A33" w:rsidP="008420EF">
      <w:pPr>
        <w:rPr>
          <w:rFonts w:ascii="Arial" w:hAnsi="Arial" w:cs="Arial"/>
          <w:sz w:val="24"/>
          <w:szCs w:val="24"/>
        </w:rPr>
      </w:pPr>
    </w:p>
    <w:p w14:paraId="41592F6D" w14:textId="77777777" w:rsidR="00994A33" w:rsidRDefault="00994A33" w:rsidP="008420EF">
      <w:pPr>
        <w:rPr>
          <w:rFonts w:ascii="Arial" w:hAnsi="Arial" w:cs="Arial"/>
          <w:sz w:val="24"/>
          <w:szCs w:val="24"/>
        </w:rPr>
      </w:pPr>
    </w:p>
    <w:p w14:paraId="014815EA" w14:textId="77777777" w:rsidR="00994A33" w:rsidRDefault="00994A33" w:rsidP="008420EF">
      <w:pPr>
        <w:rPr>
          <w:rFonts w:ascii="Arial" w:hAnsi="Arial" w:cs="Arial"/>
          <w:sz w:val="24"/>
          <w:szCs w:val="24"/>
        </w:rPr>
      </w:pPr>
    </w:p>
    <w:p w14:paraId="7843455A" w14:textId="77777777" w:rsidR="00994A33" w:rsidRDefault="00994A33" w:rsidP="008420EF">
      <w:pPr>
        <w:rPr>
          <w:rFonts w:ascii="Arial" w:hAnsi="Arial" w:cs="Arial"/>
          <w:sz w:val="24"/>
          <w:szCs w:val="24"/>
        </w:rPr>
      </w:pPr>
    </w:p>
    <w:p w14:paraId="74296006" w14:textId="77777777" w:rsidR="00994A33" w:rsidRDefault="00994A33" w:rsidP="008420EF">
      <w:pPr>
        <w:rPr>
          <w:rFonts w:ascii="Arial" w:hAnsi="Arial" w:cs="Arial"/>
          <w:sz w:val="24"/>
          <w:szCs w:val="24"/>
        </w:rPr>
      </w:pPr>
    </w:p>
    <w:p w14:paraId="609704B0" w14:textId="77777777" w:rsidR="00994A33" w:rsidRDefault="00994A33" w:rsidP="008420EF">
      <w:pPr>
        <w:rPr>
          <w:rFonts w:ascii="Arial" w:hAnsi="Arial" w:cs="Arial"/>
          <w:sz w:val="24"/>
          <w:szCs w:val="24"/>
        </w:rPr>
      </w:pPr>
    </w:p>
    <w:p w14:paraId="1DEA6000" w14:textId="77777777" w:rsidR="00994A33" w:rsidRDefault="00994A33" w:rsidP="008420EF">
      <w:pPr>
        <w:rPr>
          <w:rFonts w:ascii="Arial" w:hAnsi="Arial" w:cs="Arial"/>
          <w:sz w:val="24"/>
          <w:szCs w:val="24"/>
        </w:rPr>
      </w:pPr>
    </w:p>
    <w:p w14:paraId="76C645E7" w14:textId="77777777" w:rsidR="00994A33" w:rsidRDefault="00994A33" w:rsidP="008420EF">
      <w:pPr>
        <w:rPr>
          <w:rFonts w:ascii="Arial" w:hAnsi="Arial" w:cs="Arial"/>
          <w:sz w:val="24"/>
          <w:szCs w:val="24"/>
        </w:rPr>
      </w:pPr>
    </w:p>
    <w:p w14:paraId="2AD6855B" w14:textId="77777777" w:rsidR="00994A33" w:rsidRDefault="00994A33" w:rsidP="008420EF">
      <w:pPr>
        <w:rPr>
          <w:rFonts w:ascii="Arial" w:hAnsi="Arial" w:cs="Arial"/>
          <w:sz w:val="24"/>
          <w:szCs w:val="24"/>
        </w:rPr>
      </w:pPr>
    </w:p>
    <w:p w14:paraId="1BD39066" w14:textId="77777777" w:rsidR="00994A33" w:rsidRDefault="00994A33" w:rsidP="008420EF">
      <w:pPr>
        <w:rPr>
          <w:rFonts w:ascii="Arial" w:hAnsi="Arial" w:cs="Arial"/>
          <w:sz w:val="24"/>
          <w:szCs w:val="24"/>
        </w:rPr>
      </w:pPr>
    </w:p>
    <w:p w14:paraId="18112FB6" w14:textId="77777777" w:rsidR="00994A33" w:rsidRDefault="00994A33" w:rsidP="008420EF">
      <w:pPr>
        <w:rPr>
          <w:rFonts w:ascii="Arial" w:hAnsi="Arial" w:cs="Arial"/>
          <w:sz w:val="24"/>
          <w:szCs w:val="24"/>
        </w:rPr>
      </w:pPr>
    </w:p>
    <w:p w14:paraId="071E0AA0" w14:textId="77777777" w:rsidR="00690902" w:rsidRDefault="00BC54D7" w:rsidP="00406DA4">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57728" behindDoc="1" locked="0" layoutInCell="1" allowOverlap="1" wp14:anchorId="753F982C" wp14:editId="4673F383">
            <wp:simplePos x="0" y="0"/>
            <wp:positionH relativeFrom="column">
              <wp:posOffset>-914400</wp:posOffset>
            </wp:positionH>
            <wp:positionV relativeFrom="page">
              <wp:posOffset>66675</wp:posOffset>
            </wp:positionV>
            <wp:extent cx="7515225" cy="10561955"/>
            <wp:effectExtent l="0" t="0" r="0" b="0"/>
            <wp:wrapTight wrapText="bothSides">
              <wp:wrapPolygon edited="0">
                <wp:start x="0" y="0"/>
                <wp:lineTo x="0" y="21544"/>
                <wp:lineTo x="21573" y="21544"/>
                <wp:lineTo x="21573" y="0"/>
                <wp:lineTo x="0" y="0"/>
              </wp:wrapPolygon>
            </wp:wrapTight>
            <wp:docPr id="1594362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362780" name="Picture 1594362780"/>
                    <pic:cNvPicPr/>
                  </pic:nvPicPr>
                  <pic:blipFill>
                    <a:blip r:embed="rId7">
                      <a:extLst>
                        <a:ext uri="{28A0092B-C50C-407E-A947-70E740481C1C}">
                          <a14:useLocalDpi xmlns:a14="http://schemas.microsoft.com/office/drawing/2010/main" val="0"/>
                        </a:ext>
                      </a:extLst>
                    </a:blip>
                    <a:stretch>
                      <a:fillRect/>
                    </a:stretch>
                  </pic:blipFill>
                  <pic:spPr>
                    <a:xfrm>
                      <a:off x="0" y="0"/>
                      <a:ext cx="7515225" cy="10561955"/>
                    </a:xfrm>
                    <a:prstGeom prst="rect">
                      <a:avLst/>
                    </a:prstGeom>
                  </pic:spPr>
                </pic:pic>
              </a:graphicData>
            </a:graphic>
            <wp14:sizeRelH relativeFrom="margin">
              <wp14:pctWidth>0</wp14:pctWidth>
            </wp14:sizeRelH>
            <wp14:sizeRelV relativeFrom="margin">
              <wp14:pctHeight>0</wp14:pctHeight>
            </wp14:sizeRelV>
          </wp:anchor>
        </w:drawing>
      </w:r>
    </w:p>
    <w:p w14:paraId="41D74FF9" w14:textId="26BBA10C" w:rsidR="00406DA4" w:rsidRPr="00406DA4" w:rsidRDefault="00406DA4" w:rsidP="00406DA4">
      <w:pPr>
        <w:rPr>
          <w:rFonts w:ascii="Arial" w:hAnsi="Arial" w:cs="Arial"/>
          <w:sz w:val="24"/>
          <w:szCs w:val="24"/>
        </w:rPr>
      </w:pPr>
      <w:r w:rsidRPr="00406DA4">
        <w:rPr>
          <w:rFonts w:ascii="Arial" w:hAnsi="Arial" w:cs="Arial"/>
          <w:sz w:val="24"/>
          <w:szCs w:val="24"/>
        </w:rPr>
        <w:lastRenderedPageBreak/>
        <w:t xml:space="preserve">Children’s Rights: </w:t>
      </w:r>
      <w:r w:rsidRPr="004C24E3">
        <w:rPr>
          <w:rFonts w:ascii="Arial" w:hAnsi="Arial" w:cs="Arial"/>
          <w:sz w:val="24"/>
          <w:szCs w:val="24"/>
        </w:rPr>
        <w:t>BLOGS</w:t>
      </w:r>
    </w:p>
    <w:p w14:paraId="2D1A7740" w14:textId="77777777" w:rsidR="004C24E3" w:rsidRPr="004C24E3" w:rsidRDefault="004C24E3" w:rsidP="004C24E3">
      <w:pPr>
        <w:rPr>
          <w:rFonts w:ascii="Arial" w:hAnsi="Arial" w:cs="Arial"/>
          <w:sz w:val="24"/>
          <w:szCs w:val="24"/>
        </w:rPr>
      </w:pPr>
      <w:r w:rsidRPr="004C24E3">
        <w:rPr>
          <w:rFonts w:ascii="Arial" w:hAnsi="Arial" w:cs="Arial"/>
          <w:sz w:val="24"/>
          <w:szCs w:val="24"/>
        </w:rPr>
        <w:t>Blog 1 – Article 19: Protection from Violence, Abuse and Neglect</w:t>
      </w:r>
    </w:p>
    <w:p w14:paraId="393F9D37" w14:textId="77777777" w:rsidR="005F4006" w:rsidRDefault="004E3E3E" w:rsidP="004C24E3">
      <w:pPr>
        <w:rPr>
          <w:rFonts w:ascii="Arial" w:hAnsi="Arial" w:cs="Arial"/>
          <w:sz w:val="24"/>
          <w:szCs w:val="24"/>
        </w:rPr>
      </w:pPr>
      <w:r>
        <w:rPr>
          <w:rFonts w:ascii="Arial" w:hAnsi="Arial" w:cs="Arial"/>
          <w:sz w:val="24"/>
          <w:szCs w:val="24"/>
        </w:rPr>
        <w:t>Article 19 of the United Nations Convention on the Rights of the Child (UNCRC) mandates that States implement measures to protect every child from physical and mental violence, injury, abuse, neglect, and exploitation</w:t>
      </w:r>
      <w:r w:rsidR="0006170E">
        <w:rPr>
          <w:rFonts w:ascii="Arial" w:hAnsi="Arial" w:cs="Arial"/>
          <w:sz w:val="24"/>
          <w:szCs w:val="24"/>
        </w:rPr>
        <w:t xml:space="preserve"> </w:t>
      </w:r>
      <w:r w:rsidR="0006170E" w:rsidRPr="0006170E">
        <w:rPr>
          <w:rFonts w:ascii="Arial" w:hAnsi="Arial" w:cs="Arial"/>
          <w:sz w:val="24"/>
          <w:szCs w:val="24"/>
        </w:rPr>
        <w:t>(Hoffman and Stern, 2020)</w:t>
      </w:r>
      <w:r>
        <w:rPr>
          <w:rFonts w:ascii="Arial" w:hAnsi="Arial" w:cs="Arial"/>
          <w:sz w:val="24"/>
          <w:szCs w:val="24"/>
        </w:rPr>
        <w:t xml:space="preserve">. Ensuring safety is essential, as </w:t>
      </w:r>
      <w:r w:rsidR="00E3433F">
        <w:rPr>
          <w:rFonts w:ascii="Arial" w:hAnsi="Arial" w:cs="Arial"/>
          <w:sz w:val="24"/>
          <w:szCs w:val="24"/>
        </w:rPr>
        <w:t>extended</w:t>
      </w:r>
      <w:r>
        <w:rPr>
          <w:rFonts w:ascii="Arial" w:hAnsi="Arial" w:cs="Arial"/>
          <w:sz w:val="24"/>
          <w:szCs w:val="24"/>
        </w:rPr>
        <w:t xml:space="preserve"> exposure to fear can elevate toxic stress levels, disrupt neural development, and increase the risk of cardiovascular, metabolic, and psychiatric disorders throughout a person's life (World Health Organisation, 2020). </w:t>
      </w:r>
    </w:p>
    <w:p w14:paraId="7F66F0A6" w14:textId="0DA2CA82" w:rsidR="004C24E3" w:rsidRPr="004C24E3" w:rsidRDefault="007124F5" w:rsidP="004C24E3">
      <w:pPr>
        <w:rPr>
          <w:rFonts w:ascii="Arial" w:hAnsi="Arial" w:cs="Arial"/>
          <w:sz w:val="24"/>
          <w:szCs w:val="24"/>
        </w:rPr>
      </w:pPr>
      <w:r>
        <w:rPr>
          <w:rFonts w:ascii="Arial" w:hAnsi="Arial" w:cs="Arial"/>
          <w:sz w:val="24"/>
          <w:szCs w:val="24"/>
        </w:rPr>
        <w:t>The United Nations International Children’s Emergency Fund</w:t>
      </w:r>
      <w:r w:rsidR="00720339">
        <w:rPr>
          <w:rFonts w:ascii="Arial" w:hAnsi="Arial" w:cs="Arial"/>
          <w:sz w:val="24"/>
          <w:szCs w:val="24"/>
        </w:rPr>
        <w:t>,</w:t>
      </w:r>
      <w:r>
        <w:rPr>
          <w:rFonts w:ascii="Arial" w:hAnsi="Arial" w:cs="Arial"/>
          <w:sz w:val="24"/>
          <w:szCs w:val="24"/>
        </w:rPr>
        <w:t xml:space="preserve"> </w:t>
      </w:r>
      <w:r w:rsidR="00720339">
        <w:rPr>
          <w:rFonts w:ascii="Arial" w:hAnsi="Arial" w:cs="Arial"/>
          <w:sz w:val="24"/>
          <w:szCs w:val="24"/>
        </w:rPr>
        <w:t xml:space="preserve">UNICEF </w:t>
      </w:r>
      <w:r>
        <w:rPr>
          <w:rFonts w:ascii="Arial" w:hAnsi="Arial" w:cs="Arial"/>
          <w:sz w:val="24"/>
          <w:szCs w:val="24"/>
        </w:rPr>
        <w:t>(2024)</w:t>
      </w:r>
      <w:r w:rsidR="00720339">
        <w:rPr>
          <w:rFonts w:ascii="Arial" w:hAnsi="Arial" w:cs="Arial"/>
          <w:sz w:val="24"/>
          <w:szCs w:val="24"/>
        </w:rPr>
        <w:t>,</w:t>
      </w:r>
      <w:r>
        <w:rPr>
          <w:rFonts w:ascii="Arial" w:hAnsi="Arial" w:cs="Arial"/>
          <w:sz w:val="24"/>
          <w:szCs w:val="24"/>
        </w:rPr>
        <w:t xml:space="preserve"> reports that global monitoring indicates one in two children experiences violence annually. </w:t>
      </w:r>
      <w:r w:rsidR="00720339">
        <w:rPr>
          <w:rFonts w:ascii="Arial" w:hAnsi="Arial" w:cs="Arial"/>
          <w:sz w:val="24"/>
          <w:szCs w:val="24"/>
        </w:rPr>
        <w:t>Additionally</w:t>
      </w:r>
      <w:r>
        <w:rPr>
          <w:rFonts w:ascii="Arial" w:hAnsi="Arial" w:cs="Arial"/>
          <w:sz w:val="24"/>
          <w:szCs w:val="24"/>
        </w:rPr>
        <w:t>, approximately 400 million children under the age of five endure violent disciplinary practices at home</w:t>
      </w:r>
      <w:r w:rsidR="00C166D3">
        <w:rPr>
          <w:rFonts w:ascii="Arial" w:hAnsi="Arial" w:cs="Arial"/>
          <w:sz w:val="24"/>
          <w:szCs w:val="24"/>
        </w:rPr>
        <w:t>.</w:t>
      </w:r>
      <w:r>
        <w:rPr>
          <w:rFonts w:ascii="Arial" w:hAnsi="Arial" w:cs="Arial"/>
          <w:sz w:val="24"/>
          <w:szCs w:val="24"/>
        </w:rPr>
        <w:t xml:space="preserve"> Such exposure can significantly </w:t>
      </w:r>
      <w:r w:rsidR="00E3433F">
        <w:rPr>
          <w:rFonts w:ascii="Arial" w:hAnsi="Arial" w:cs="Arial"/>
          <w:sz w:val="24"/>
          <w:szCs w:val="24"/>
        </w:rPr>
        <w:t>delay</w:t>
      </w:r>
      <w:r>
        <w:rPr>
          <w:rFonts w:ascii="Arial" w:hAnsi="Arial" w:cs="Arial"/>
          <w:sz w:val="24"/>
          <w:szCs w:val="24"/>
        </w:rPr>
        <w:t xml:space="preserve"> the development of secure attachments, causing children to perceive care as unpredictable, which fosters challenges in establishing trust, regulating emotions, and forming healthy peer relationships </w:t>
      </w:r>
      <w:r w:rsidR="00720339" w:rsidRPr="00720339">
        <w:rPr>
          <w:rFonts w:ascii="Arial" w:hAnsi="Arial" w:cs="Arial"/>
          <w:sz w:val="24"/>
          <w:szCs w:val="24"/>
        </w:rPr>
        <w:t>(Moylan et al., 2010)</w:t>
      </w:r>
      <w:r w:rsidR="00720339">
        <w:rPr>
          <w:rFonts w:ascii="Arial" w:hAnsi="Arial" w:cs="Arial"/>
          <w:sz w:val="24"/>
          <w:szCs w:val="24"/>
        </w:rPr>
        <w:t>.</w:t>
      </w:r>
    </w:p>
    <w:p w14:paraId="564E9124" w14:textId="3A6E4D6B" w:rsidR="00E3433F" w:rsidRDefault="001A4E95" w:rsidP="004C24E3">
      <w:pPr>
        <w:rPr>
          <w:rFonts w:ascii="Arial" w:hAnsi="Arial" w:cs="Arial"/>
          <w:sz w:val="24"/>
          <w:szCs w:val="24"/>
        </w:rPr>
      </w:pPr>
      <w:r w:rsidRPr="001A4E95">
        <w:rPr>
          <w:rFonts w:ascii="Arial" w:hAnsi="Arial" w:cs="Arial"/>
          <w:sz w:val="24"/>
          <w:szCs w:val="24"/>
        </w:rPr>
        <w:t xml:space="preserve">Attachment theory asserts the significant impact of violence, neglect, and inconsistent care on a child's development, </w:t>
      </w:r>
      <w:r>
        <w:rPr>
          <w:rFonts w:ascii="Arial" w:hAnsi="Arial" w:cs="Arial"/>
          <w:sz w:val="24"/>
          <w:szCs w:val="24"/>
        </w:rPr>
        <w:t>emphasising</w:t>
      </w:r>
      <w:r w:rsidRPr="001A4E95">
        <w:rPr>
          <w:rFonts w:ascii="Arial" w:hAnsi="Arial" w:cs="Arial"/>
          <w:sz w:val="24"/>
          <w:szCs w:val="24"/>
        </w:rPr>
        <w:t xml:space="preserve"> the </w:t>
      </w:r>
      <w:r>
        <w:rPr>
          <w:rFonts w:ascii="Arial" w:hAnsi="Arial" w:cs="Arial"/>
          <w:sz w:val="24"/>
          <w:szCs w:val="24"/>
        </w:rPr>
        <w:t>deep</w:t>
      </w:r>
      <w:r w:rsidRPr="001A4E95">
        <w:rPr>
          <w:rFonts w:ascii="Arial" w:hAnsi="Arial" w:cs="Arial"/>
          <w:sz w:val="24"/>
          <w:szCs w:val="24"/>
        </w:rPr>
        <w:t xml:space="preserve"> emotional and psychological trauma that these experiences inflict (Howe and Betts, 2023).</w:t>
      </w:r>
      <w:r>
        <w:rPr>
          <w:rFonts w:ascii="Arial" w:hAnsi="Arial" w:cs="Arial"/>
          <w:sz w:val="24"/>
          <w:szCs w:val="24"/>
        </w:rPr>
        <w:t xml:space="preserve"> Hughes and Gurney (2020) assert that secure and responsive relationships are essential for a child's psychological, emotional, and cognitive development. Furthermore, they indicate that instances of abuse or neglect can profoundly disrupt these critical connections.</w:t>
      </w:r>
    </w:p>
    <w:p w14:paraId="305883A0" w14:textId="1C0AD1E7" w:rsidR="004C24E3" w:rsidRPr="004C24E3" w:rsidRDefault="00282F2D" w:rsidP="004C24E3">
      <w:pPr>
        <w:rPr>
          <w:rFonts w:ascii="Arial" w:hAnsi="Arial" w:cs="Arial"/>
          <w:sz w:val="24"/>
          <w:szCs w:val="24"/>
        </w:rPr>
      </w:pPr>
      <w:r>
        <w:rPr>
          <w:rFonts w:ascii="Arial" w:hAnsi="Arial" w:cs="Arial"/>
          <w:sz w:val="24"/>
          <w:szCs w:val="24"/>
        </w:rPr>
        <w:t xml:space="preserve">A comprehensive public health strategy is essential </w:t>
      </w:r>
      <w:r w:rsidR="009F7F9C">
        <w:rPr>
          <w:rFonts w:ascii="Arial" w:hAnsi="Arial" w:cs="Arial"/>
          <w:sz w:val="24"/>
          <w:szCs w:val="24"/>
        </w:rPr>
        <w:t>to implement Article 19 effectively</w:t>
      </w:r>
      <w:r>
        <w:rPr>
          <w:rFonts w:ascii="Arial" w:hAnsi="Arial" w:cs="Arial"/>
          <w:sz w:val="24"/>
          <w:szCs w:val="24"/>
        </w:rPr>
        <w:t xml:space="preserve">. This strategy must encompass </w:t>
      </w:r>
      <w:r w:rsidR="009F7F9C">
        <w:rPr>
          <w:rFonts w:ascii="Arial" w:hAnsi="Arial" w:cs="Arial"/>
          <w:sz w:val="24"/>
          <w:szCs w:val="24"/>
        </w:rPr>
        <w:t>establishing laws prohibiting corporal punishment, introducing evidence-based parenting programs, and developing community initiatives to challenge</w:t>
      </w:r>
      <w:r>
        <w:rPr>
          <w:rFonts w:ascii="Arial" w:hAnsi="Arial" w:cs="Arial"/>
          <w:sz w:val="24"/>
          <w:szCs w:val="24"/>
        </w:rPr>
        <w:t xml:space="preserve"> harmful societal norms (Clark et al., 2020). Also, </w:t>
      </w:r>
      <w:r w:rsidR="009F7F9C">
        <w:rPr>
          <w:rFonts w:ascii="Arial" w:hAnsi="Arial" w:cs="Arial"/>
          <w:sz w:val="24"/>
          <w:szCs w:val="24"/>
        </w:rPr>
        <w:t>establishing</w:t>
      </w:r>
      <w:r>
        <w:rPr>
          <w:rFonts w:ascii="Arial" w:hAnsi="Arial" w:cs="Arial"/>
          <w:sz w:val="24"/>
          <w:szCs w:val="24"/>
        </w:rPr>
        <w:t xml:space="preserve"> child-friendly reporting mechanisms and integrated support systems is </w:t>
      </w:r>
      <w:r w:rsidR="009F7F9C">
        <w:rPr>
          <w:rFonts w:ascii="Arial" w:hAnsi="Arial" w:cs="Arial"/>
          <w:sz w:val="24"/>
          <w:szCs w:val="24"/>
        </w:rPr>
        <w:t>important</w:t>
      </w:r>
      <w:r>
        <w:rPr>
          <w:rFonts w:ascii="Arial" w:hAnsi="Arial" w:cs="Arial"/>
          <w:sz w:val="24"/>
          <w:szCs w:val="24"/>
        </w:rPr>
        <w:t xml:space="preserve"> (Cross, Vandervort, and Block, 2023). Trauma-informed services should prioritise the </w:t>
      </w:r>
      <w:r w:rsidR="009F7F9C">
        <w:rPr>
          <w:rFonts w:ascii="Arial" w:hAnsi="Arial" w:cs="Arial"/>
          <w:sz w:val="24"/>
          <w:szCs w:val="24"/>
        </w:rPr>
        <w:t>child's voice</w:t>
      </w:r>
      <w:r>
        <w:rPr>
          <w:rFonts w:ascii="Arial" w:hAnsi="Arial" w:cs="Arial"/>
          <w:sz w:val="24"/>
          <w:szCs w:val="24"/>
        </w:rPr>
        <w:t>, ensuring confidentiality and cultural safety. It is imperative to recognise that many individuals may carry invisible trauma into adulthood, which can hinder personal fulfilment and national advancement (Pletcher et al., 2019).</w:t>
      </w:r>
    </w:p>
    <w:p w14:paraId="258470B9" w14:textId="72721053" w:rsidR="001A4E95" w:rsidRDefault="00282F2D" w:rsidP="004C24E3">
      <w:pPr>
        <w:rPr>
          <w:rFonts w:ascii="Arial" w:hAnsi="Arial" w:cs="Arial"/>
          <w:sz w:val="24"/>
          <w:szCs w:val="24"/>
        </w:rPr>
      </w:pPr>
      <w:r>
        <w:rPr>
          <w:rFonts w:ascii="Arial" w:hAnsi="Arial" w:cs="Arial"/>
          <w:sz w:val="24"/>
          <w:szCs w:val="24"/>
        </w:rPr>
        <w:t>Prevention offers substantial and quantifiable benefits. A recent economic analysis by the World Health Organisation (2020) reveals that the annual global costs associated with child maltreatment divert resources that could be more effectively allocated to educational and health initiatives. Upholding Article 19 not only safeguards children in the present but also contributes to long-term prosperity by interrupting intergenerational cycles of violence, enabling future generations to succeed (Conti, Morris, and Melnychuk, 2017).</w:t>
      </w:r>
    </w:p>
    <w:p w14:paraId="49D24B5B" w14:textId="1D7CFB55" w:rsidR="004C24E3" w:rsidRPr="004C24E3" w:rsidRDefault="004C24E3" w:rsidP="004C24E3">
      <w:pPr>
        <w:rPr>
          <w:rFonts w:ascii="Arial" w:hAnsi="Arial" w:cs="Arial"/>
          <w:sz w:val="24"/>
          <w:szCs w:val="24"/>
        </w:rPr>
      </w:pPr>
      <w:r w:rsidRPr="004C24E3">
        <w:rPr>
          <w:rFonts w:ascii="Arial" w:hAnsi="Arial" w:cs="Arial"/>
          <w:sz w:val="24"/>
          <w:szCs w:val="24"/>
        </w:rPr>
        <w:lastRenderedPageBreak/>
        <w:t>Blog 2 – Article 23: Rights of Children with Disabilities</w:t>
      </w:r>
    </w:p>
    <w:p w14:paraId="6F4ED6EF" w14:textId="121A9E44" w:rsidR="0036301B" w:rsidRPr="0036301B" w:rsidRDefault="00A562B2" w:rsidP="0036301B">
      <w:pPr>
        <w:rPr>
          <w:rFonts w:ascii="Arial" w:hAnsi="Arial" w:cs="Arial"/>
          <w:sz w:val="24"/>
          <w:szCs w:val="24"/>
        </w:rPr>
      </w:pPr>
      <w:r>
        <w:rPr>
          <w:rFonts w:ascii="Arial" w:hAnsi="Arial" w:cs="Arial"/>
          <w:sz w:val="24"/>
          <w:szCs w:val="24"/>
        </w:rPr>
        <w:t xml:space="preserve">Article 23 of the United Nations Convention on the Rights of the Child (UNCRC) emphasises the entitlement of children with disabilities to lead fulfilling and self-sufficient lives while actively engaging in society. </w:t>
      </w:r>
      <w:r w:rsidR="00E75AC1">
        <w:rPr>
          <w:rFonts w:ascii="Arial" w:hAnsi="Arial" w:cs="Arial"/>
          <w:sz w:val="24"/>
          <w:szCs w:val="24"/>
        </w:rPr>
        <w:t>UNICEF (2021) estimated</w:t>
      </w:r>
      <w:r>
        <w:rPr>
          <w:rFonts w:ascii="Arial" w:hAnsi="Arial" w:cs="Arial"/>
          <w:sz w:val="24"/>
          <w:szCs w:val="24"/>
        </w:rPr>
        <w:t xml:space="preserve"> that approximately 240 million children worldwide are affected by disabilities, which results in a likelihood that they are 49 per cent </w:t>
      </w:r>
      <w:r w:rsidR="00E75AC1">
        <w:rPr>
          <w:rFonts w:ascii="Arial" w:hAnsi="Arial" w:cs="Arial"/>
          <w:sz w:val="24"/>
          <w:szCs w:val="24"/>
        </w:rPr>
        <w:t xml:space="preserve">likely </w:t>
      </w:r>
      <w:r w:rsidR="002E3CC8">
        <w:rPr>
          <w:rFonts w:ascii="Arial" w:hAnsi="Arial" w:cs="Arial"/>
          <w:sz w:val="24"/>
          <w:szCs w:val="24"/>
        </w:rPr>
        <w:t>never to attend school</w:t>
      </w:r>
      <w:r w:rsidR="00E75AC1">
        <w:rPr>
          <w:rFonts w:ascii="Arial" w:hAnsi="Arial" w:cs="Arial"/>
          <w:sz w:val="24"/>
          <w:szCs w:val="24"/>
        </w:rPr>
        <w:t>.</w:t>
      </w:r>
      <w:r>
        <w:rPr>
          <w:rFonts w:ascii="Arial" w:hAnsi="Arial" w:cs="Arial"/>
          <w:sz w:val="24"/>
          <w:szCs w:val="24"/>
        </w:rPr>
        <w:t xml:space="preserve"> The challenges posed by limited access to healthcare, education, and rehabilitation further heighten their vulnerability to malnutrition, social isolation, and poverty.</w:t>
      </w:r>
    </w:p>
    <w:p w14:paraId="5DF9E9B9" w14:textId="6D6014EE" w:rsidR="00541B5B" w:rsidRDefault="0063173F" w:rsidP="0036301B">
      <w:pPr>
        <w:rPr>
          <w:rFonts w:ascii="Arial" w:hAnsi="Arial" w:cs="Arial"/>
          <w:sz w:val="24"/>
          <w:szCs w:val="24"/>
        </w:rPr>
      </w:pPr>
      <w:r>
        <w:rPr>
          <w:rFonts w:ascii="Arial" w:hAnsi="Arial" w:cs="Arial"/>
          <w:sz w:val="24"/>
          <w:szCs w:val="24"/>
        </w:rPr>
        <w:t>Sen (1999) articulated that</w:t>
      </w:r>
      <w:r w:rsidR="002E3CC8">
        <w:rPr>
          <w:rFonts w:ascii="Arial" w:hAnsi="Arial" w:cs="Arial"/>
          <w:sz w:val="24"/>
          <w:szCs w:val="24"/>
        </w:rPr>
        <w:t xml:space="preserve"> the capabilities approach </w:t>
      </w:r>
      <w:r w:rsidR="00E75AC1">
        <w:rPr>
          <w:rFonts w:ascii="Arial" w:hAnsi="Arial" w:cs="Arial"/>
          <w:sz w:val="24"/>
          <w:szCs w:val="24"/>
        </w:rPr>
        <w:t>provides a compelling theoretical framework for analysing Article 23. This approach highlights that authentic inclusion necessitates the empowerment of every child to realise their full potential</w:t>
      </w:r>
      <w:r w:rsidR="002E3CC8">
        <w:rPr>
          <w:rFonts w:ascii="Arial" w:hAnsi="Arial" w:cs="Arial"/>
          <w:sz w:val="24"/>
          <w:szCs w:val="24"/>
        </w:rPr>
        <w:t xml:space="preserve"> </w:t>
      </w:r>
      <w:r w:rsidR="002E3CC8" w:rsidRPr="002E3CC8">
        <w:rPr>
          <w:rFonts w:ascii="Arial" w:hAnsi="Arial" w:cs="Arial"/>
          <w:sz w:val="24"/>
          <w:szCs w:val="24"/>
        </w:rPr>
        <w:t>(Vizard, Fukuda</w:t>
      </w:r>
      <w:r w:rsidR="002E3CC8">
        <w:rPr>
          <w:rFonts w:ascii="Cambria Math" w:hAnsi="Cambria Math" w:cs="Cambria Math"/>
          <w:sz w:val="24"/>
          <w:szCs w:val="24"/>
        </w:rPr>
        <w:t xml:space="preserve"> </w:t>
      </w:r>
      <w:r w:rsidR="002E3CC8" w:rsidRPr="002E3CC8">
        <w:rPr>
          <w:rFonts w:ascii="Arial" w:hAnsi="Arial" w:cs="Arial"/>
          <w:sz w:val="24"/>
          <w:szCs w:val="24"/>
        </w:rPr>
        <w:t>and Elson, 2011</w:t>
      </w:r>
      <w:r w:rsidR="00541B5B">
        <w:rPr>
          <w:rFonts w:ascii="Arial" w:hAnsi="Arial" w:cs="Arial"/>
          <w:sz w:val="24"/>
          <w:szCs w:val="24"/>
        </w:rPr>
        <w:t>).</w:t>
      </w:r>
    </w:p>
    <w:p w14:paraId="5A516724" w14:textId="6C14AFF8" w:rsidR="00541B5B" w:rsidRDefault="00541B5B" w:rsidP="0036301B">
      <w:pPr>
        <w:rPr>
          <w:rFonts w:ascii="Arial" w:hAnsi="Arial" w:cs="Arial"/>
          <w:sz w:val="24"/>
          <w:szCs w:val="24"/>
        </w:rPr>
      </w:pPr>
      <w:r>
        <w:rPr>
          <w:rFonts w:ascii="Arial" w:hAnsi="Arial" w:cs="Arial"/>
          <w:sz w:val="24"/>
          <w:szCs w:val="24"/>
        </w:rPr>
        <w:t>From this perspective, disability is viewed as more than just an individual impairment; it is seen as a complex interaction between a person's unique challenges and the societal constraints that hinder their opportunities</w:t>
      </w:r>
      <w:r w:rsidR="0063173F">
        <w:rPr>
          <w:rFonts w:ascii="Arial" w:hAnsi="Arial" w:cs="Arial"/>
          <w:sz w:val="24"/>
          <w:szCs w:val="24"/>
        </w:rPr>
        <w:t xml:space="preserve"> </w:t>
      </w:r>
      <w:r w:rsidR="0063173F" w:rsidRPr="0063173F">
        <w:rPr>
          <w:rFonts w:ascii="Arial" w:hAnsi="Arial" w:cs="Arial"/>
          <w:sz w:val="24"/>
          <w:szCs w:val="24"/>
        </w:rPr>
        <w:t>(Department for International Development, 2010)</w:t>
      </w:r>
      <w:r w:rsidR="0063173F">
        <w:rPr>
          <w:rFonts w:ascii="Arial" w:hAnsi="Arial" w:cs="Arial"/>
          <w:sz w:val="24"/>
          <w:szCs w:val="24"/>
        </w:rPr>
        <w:t>.</w:t>
      </w:r>
      <w:r>
        <w:rPr>
          <w:rFonts w:ascii="Arial" w:hAnsi="Arial" w:cs="Arial"/>
          <w:sz w:val="24"/>
          <w:szCs w:val="24"/>
        </w:rPr>
        <w:t xml:space="preserve"> These constraints can include environmental barriers, lack of access to resources, and social stigmas that restrict the full participation of children with disabilities in everyday activities</w:t>
      </w:r>
      <w:r w:rsidR="003E3ECD">
        <w:rPr>
          <w:rFonts w:ascii="Arial" w:hAnsi="Arial" w:cs="Arial"/>
          <w:sz w:val="24"/>
          <w:szCs w:val="24"/>
        </w:rPr>
        <w:t xml:space="preserve"> </w:t>
      </w:r>
      <w:r w:rsidR="003E3ECD" w:rsidRPr="003E3ECD">
        <w:rPr>
          <w:rFonts w:ascii="Arial" w:hAnsi="Arial" w:cs="Arial"/>
          <w:sz w:val="24"/>
          <w:szCs w:val="24"/>
        </w:rPr>
        <w:t>(Apgar, 2023)</w:t>
      </w:r>
      <w:r w:rsidR="003E3ECD">
        <w:rPr>
          <w:rFonts w:ascii="Arial" w:hAnsi="Arial" w:cs="Arial"/>
          <w:sz w:val="24"/>
          <w:szCs w:val="24"/>
        </w:rPr>
        <w:t>.</w:t>
      </w:r>
    </w:p>
    <w:p w14:paraId="3F227C98" w14:textId="5D8B54E0" w:rsidR="002E3CC8" w:rsidRDefault="00541B5B" w:rsidP="0036301B">
      <w:pPr>
        <w:rPr>
          <w:rFonts w:ascii="Arial" w:hAnsi="Arial" w:cs="Arial"/>
          <w:sz w:val="24"/>
          <w:szCs w:val="24"/>
        </w:rPr>
      </w:pPr>
      <w:r>
        <w:rPr>
          <w:rFonts w:ascii="Arial" w:hAnsi="Arial" w:cs="Arial"/>
          <w:sz w:val="24"/>
          <w:szCs w:val="24"/>
        </w:rPr>
        <w:t xml:space="preserve">Understanding the impact of disability, societal attitudes and structural factors influencing a child's ability to succeed and develop within their community. This comprehensive perspective necessitates addressing not only the specific needs of children with disabilities but also advocating for systemic reforms that foster a more inclusive society </w:t>
      </w:r>
      <w:r w:rsidR="002E3CC8" w:rsidRPr="002E3CC8">
        <w:rPr>
          <w:rFonts w:ascii="Arial" w:hAnsi="Arial" w:cs="Arial"/>
          <w:sz w:val="24"/>
          <w:szCs w:val="24"/>
        </w:rPr>
        <w:t>(Babik and Gardner, 2021)</w:t>
      </w:r>
      <w:r w:rsidR="002E3CC8">
        <w:rPr>
          <w:rFonts w:ascii="Arial" w:hAnsi="Arial" w:cs="Arial"/>
          <w:sz w:val="24"/>
          <w:szCs w:val="24"/>
        </w:rPr>
        <w:t>.</w:t>
      </w:r>
    </w:p>
    <w:p w14:paraId="7D60751D" w14:textId="6431555E" w:rsidR="0036301B" w:rsidRPr="0036301B" w:rsidRDefault="003E3ECD" w:rsidP="0036301B">
      <w:pPr>
        <w:rPr>
          <w:rFonts w:ascii="Arial" w:hAnsi="Arial" w:cs="Arial"/>
          <w:sz w:val="24"/>
          <w:szCs w:val="24"/>
        </w:rPr>
      </w:pPr>
      <w:r>
        <w:rPr>
          <w:rFonts w:ascii="Arial" w:hAnsi="Arial" w:cs="Arial"/>
          <w:sz w:val="24"/>
          <w:szCs w:val="24"/>
        </w:rPr>
        <w:t xml:space="preserve">Bronfenbrenner's </w:t>
      </w:r>
      <w:r w:rsidR="001B3A7B">
        <w:rPr>
          <w:rFonts w:ascii="Arial" w:hAnsi="Arial" w:cs="Arial"/>
          <w:sz w:val="24"/>
          <w:szCs w:val="24"/>
        </w:rPr>
        <w:t xml:space="preserve">(1979) </w:t>
      </w:r>
      <w:r>
        <w:rPr>
          <w:rFonts w:ascii="Arial" w:hAnsi="Arial" w:cs="Arial"/>
          <w:sz w:val="24"/>
          <w:szCs w:val="24"/>
        </w:rPr>
        <w:t xml:space="preserve">ecological systems theory further emphasises the importance of collaborative support networks, </w:t>
      </w:r>
      <w:r w:rsidR="001B3A7B">
        <w:rPr>
          <w:rFonts w:ascii="Arial" w:hAnsi="Arial" w:cs="Arial"/>
          <w:sz w:val="24"/>
          <w:szCs w:val="24"/>
        </w:rPr>
        <w:t>including families, educational institutions, communities, and policies, in fostering an inclusive environment</w:t>
      </w:r>
      <w:r>
        <w:rPr>
          <w:rFonts w:ascii="Arial" w:hAnsi="Arial" w:cs="Arial"/>
          <w:sz w:val="24"/>
          <w:szCs w:val="24"/>
        </w:rPr>
        <w:t xml:space="preserve">. </w:t>
      </w:r>
      <w:r w:rsidR="00E43B12">
        <w:rPr>
          <w:rFonts w:ascii="Arial" w:hAnsi="Arial" w:cs="Arial"/>
          <w:sz w:val="24"/>
          <w:szCs w:val="24"/>
        </w:rPr>
        <w:t>Particularly</w:t>
      </w:r>
      <w:r>
        <w:rPr>
          <w:rFonts w:ascii="Arial" w:hAnsi="Arial" w:cs="Arial"/>
          <w:sz w:val="24"/>
          <w:szCs w:val="24"/>
        </w:rPr>
        <w:t>, UNESCO UIS (2022) reports a concerning increase in the number of out-of-school disabled children, thereby highlighting significant discrepancies between policy frameworks and their implementation in practice.</w:t>
      </w:r>
    </w:p>
    <w:p w14:paraId="545467D6" w14:textId="1CC49A18" w:rsidR="004C24E3" w:rsidRDefault="0026444C" w:rsidP="004C24E3">
      <w:pPr>
        <w:rPr>
          <w:rFonts w:ascii="Arial" w:hAnsi="Arial" w:cs="Arial"/>
          <w:sz w:val="24"/>
          <w:szCs w:val="24"/>
        </w:rPr>
      </w:pPr>
      <w:r>
        <w:rPr>
          <w:rFonts w:ascii="Arial" w:hAnsi="Arial" w:cs="Arial"/>
          <w:sz w:val="24"/>
          <w:szCs w:val="24"/>
        </w:rPr>
        <w:t>According to the Department of Health, GOV UK (2009), implementing</w:t>
      </w:r>
      <w:r w:rsidR="00E35185">
        <w:rPr>
          <w:rFonts w:ascii="Arial" w:hAnsi="Arial" w:cs="Arial"/>
          <w:sz w:val="24"/>
          <w:szCs w:val="24"/>
        </w:rPr>
        <w:t xml:space="preserve"> inclusive education</w:t>
      </w:r>
      <w:r>
        <w:rPr>
          <w:rFonts w:ascii="Arial" w:hAnsi="Arial" w:cs="Arial"/>
          <w:sz w:val="24"/>
          <w:szCs w:val="24"/>
        </w:rPr>
        <w:t xml:space="preserve"> with early identification, assistive technology, and peer-mediated support</w:t>
      </w:r>
      <w:r w:rsidR="00E35185">
        <w:rPr>
          <w:rFonts w:ascii="Arial" w:hAnsi="Arial" w:cs="Arial"/>
          <w:sz w:val="24"/>
          <w:szCs w:val="24"/>
        </w:rPr>
        <w:t xml:space="preserve"> significantly enhances children's health, mental well-being and future employment opportunities. </w:t>
      </w:r>
      <w:r w:rsidR="00E43B12">
        <w:rPr>
          <w:rFonts w:ascii="Arial" w:hAnsi="Arial" w:cs="Arial"/>
          <w:sz w:val="24"/>
          <w:szCs w:val="24"/>
        </w:rPr>
        <w:t>This Article</w:t>
      </w:r>
      <w:r w:rsidR="00E35185">
        <w:rPr>
          <w:rFonts w:ascii="Arial" w:hAnsi="Arial" w:cs="Arial"/>
          <w:sz w:val="24"/>
          <w:szCs w:val="24"/>
        </w:rPr>
        <w:t xml:space="preserve"> mandates dedicated investment in inclusive systems, targeted support for families, and proactive initiatives to combat stigma. Facilitating the capabilities of every child transcends ethical considerations, as it is also a legal obligation. This commitment not only fortifies social cohesion and fosters economic innovation but also fully realises the potential of every young individual</w:t>
      </w:r>
      <w:r w:rsidR="00B44D75">
        <w:rPr>
          <w:rFonts w:ascii="Arial" w:hAnsi="Arial" w:cs="Arial"/>
          <w:sz w:val="24"/>
          <w:szCs w:val="24"/>
        </w:rPr>
        <w:t xml:space="preserve"> </w:t>
      </w:r>
      <w:r w:rsidR="00B44D75" w:rsidRPr="00B44D75">
        <w:rPr>
          <w:rFonts w:ascii="Arial" w:hAnsi="Arial" w:cs="Arial"/>
          <w:sz w:val="24"/>
          <w:szCs w:val="24"/>
        </w:rPr>
        <w:t>(Collett, 2018)</w:t>
      </w:r>
      <w:r w:rsidR="00B44D75">
        <w:rPr>
          <w:rFonts w:ascii="Arial" w:hAnsi="Arial" w:cs="Arial"/>
          <w:sz w:val="24"/>
          <w:szCs w:val="24"/>
        </w:rPr>
        <w:t>.</w:t>
      </w:r>
    </w:p>
    <w:p w14:paraId="1E5D3C9F" w14:textId="77777777" w:rsidR="00C170EB" w:rsidRDefault="00C170EB" w:rsidP="004C24E3">
      <w:pPr>
        <w:rPr>
          <w:rFonts w:ascii="Arial" w:hAnsi="Arial" w:cs="Arial"/>
          <w:sz w:val="24"/>
          <w:szCs w:val="24"/>
        </w:rPr>
      </w:pPr>
    </w:p>
    <w:p w14:paraId="45205755" w14:textId="77777777" w:rsidR="004C24E3" w:rsidRPr="004C24E3" w:rsidRDefault="004C24E3" w:rsidP="004C24E3">
      <w:pPr>
        <w:rPr>
          <w:rFonts w:ascii="Arial" w:hAnsi="Arial" w:cs="Arial"/>
          <w:sz w:val="24"/>
          <w:szCs w:val="24"/>
        </w:rPr>
      </w:pPr>
      <w:r w:rsidRPr="004C24E3">
        <w:rPr>
          <w:rFonts w:ascii="Arial" w:hAnsi="Arial" w:cs="Arial"/>
          <w:sz w:val="24"/>
          <w:szCs w:val="24"/>
        </w:rPr>
        <w:lastRenderedPageBreak/>
        <w:t>Blog 3 – Article 24: The Right to Health and Health Services</w:t>
      </w:r>
    </w:p>
    <w:p w14:paraId="041C6987" w14:textId="552468D0" w:rsidR="00702B9F" w:rsidRDefault="00D809F1" w:rsidP="00E26C04">
      <w:pPr>
        <w:rPr>
          <w:rFonts w:ascii="Arial" w:hAnsi="Arial" w:cs="Arial"/>
          <w:sz w:val="24"/>
          <w:szCs w:val="24"/>
        </w:rPr>
      </w:pPr>
      <w:r w:rsidRPr="00D809F1">
        <w:rPr>
          <w:rFonts w:ascii="Arial" w:hAnsi="Arial" w:cs="Arial"/>
          <w:sz w:val="24"/>
          <w:szCs w:val="24"/>
        </w:rPr>
        <w:t xml:space="preserve">Article 24 affirms </w:t>
      </w:r>
      <w:r w:rsidR="00702B9F">
        <w:rPr>
          <w:rFonts w:ascii="Arial" w:hAnsi="Arial" w:cs="Arial"/>
          <w:sz w:val="24"/>
          <w:szCs w:val="24"/>
        </w:rPr>
        <w:t>that every child is entitled</w:t>
      </w:r>
      <w:r w:rsidRPr="00D809F1">
        <w:rPr>
          <w:rFonts w:ascii="Arial" w:hAnsi="Arial" w:cs="Arial"/>
          <w:sz w:val="24"/>
          <w:szCs w:val="24"/>
        </w:rPr>
        <w:t xml:space="preserve"> to achieve "the highest attainable standard of health," which includes access to healthcare services, nutritious food, clean water, and a safe environment</w:t>
      </w:r>
      <w:r>
        <w:rPr>
          <w:rFonts w:ascii="Arial" w:hAnsi="Arial" w:cs="Arial"/>
          <w:sz w:val="24"/>
          <w:szCs w:val="24"/>
        </w:rPr>
        <w:t xml:space="preserve"> </w:t>
      </w:r>
      <w:r w:rsidRPr="00D809F1">
        <w:rPr>
          <w:rFonts w:ascii="Arial" w:hAnsi="Arial" w:cs="Arial"/>
          <w:sz w:val="24"/>
          <w:szCs w:val="24"/>
        </w:rPr>
        <w:t xml:space="preserve">(Ruck et al., 2014). </w:t>
      </w:r>
    </w:p>
    <w:p w14:paraId="06231889" w14:textId="31D6F514" w:rsidR="00E26C04" w:rsidRPr="00E26C04" w:rsidRDefault="00D809F1" w:rsidP="00E26C04">
      <w:pPr>
        <w:rPr>
          <w:rFonts w:ascii="Arial" w:hAnsi="Arial" w:cs="Arial"/>
          <w:sz w:val="24"/>
          <w:szCs w:val="24"/>
        </w:rPr>
      </w:pPr>
      <w:r w:rsidRPr="00D809F1">
        <w:rPr>
          <w:rFonts w:ascii="Arial" w:hAnsi="Arial" w:cs="Arial"/>
          <w:sz w:val="24"/>
          <w:szCs w:val="24"/>
        </w:rPr>
        <w:t xml:space="preserve">Good health </w:t>
      </w:r>
      <w:r w:rsidR="009B11FC">
        <w:rPr>
          <w:rFonts w:ascii="Arial" w:hAnsi="Arial" w:cs="Arial"/>
          <w:sz w:val="24"/>
          <w:szCs w:val="24"/>
        </w:rPr>
        <w:t>is</w:t>
      </w:r>
      <w:r w:rsidRPr="00D809F1">
        <w:rPr>
          <w:rFonts w:ascii="Arial" w:hAnsi="Arial" w:cs="Arial"/>
          <w:sz w:val="24"/>
          <w:szCs w:val="24"/>
        </w:rPr>
        <w:t xml:space="preserve"> a fundamental cornerstone for </w:t>
      </w:r>
      <w:r w:rsidR="00FC7F4D">
        <w:rPr>
          <w:rFonts w:ascii="Arial" w:hAnsi="Arial" w:cs="Arial"/>
          <w:sz w:val="24"/>
          <w:szCs w:val="24"/>
        </w:rPr>
        <w:t>realising all other rights; illness and malnutrition reduce children's physical energy, disrupt cognitive development,</w:t>
      </w:r>
      <w:r w:rsidRPr="00D809F1">
        <w:rPr>
          <w:rFonts w:ascii="Arial" w:hAnsi="Arial" w:cs="Arial"/>
          <w:sz w:val="24"/>
          <w:szCs w:val="24"/>
        </w:rPr>
        <w:t xml:space="preserve"> and inhibit overall growth. </w:t>
      </w:r>
      <w:r w:rsidR="00E43B12">
        <w:rPr>
          <w:rFonts w:ascii="Arial" w:hAnsi="Arial" w:cs="Arial"/>
          <w:sz w:val="24"/>
          <w:szCs w:val="24"/>
        </w:rPr>
        <w:t>Malnutrition is a significant contributing factor in nearly fifty per cent of mortality rates among children under the age of five worldwide. Additionally, adverse health outcomes disadvantage educational achievement and restrict future economic opportunities for those impacted (Mark et al., 2020).</w:t>
      </w:r>
    </w:p>
    <w:p w14:paraId="41B252EC" w14:textId="6B5360BE" w:rsidR="009716B6" w:rsidRDefault="00017033" w:rsidP="00E26C04">
      <w:pPr>
        <w:rPr>
          <w:rFonts w:ascii="Arial" w:hAnsi="Arial" w:cs="Arial"/>
          <w:sz w:val="24"/>
          <w:szCs w:val="24"/>
        </w:rPr>
      </w:pPr>
      <w:r>
        <w:rPr>
          <w:rFonts w:ascii="Arial" w:hAnsi="Arial" w:cs="Arial"/>
          <w:sz w:val="24"/>
          <w:szCs w:val="24"/>
        </w:rPr>
        <w:t>Karatekin et al. (2024) articulate that the Social Determinants of Health Framework distinctly highlights the significant impact of socioeconomic status, housing conditions, educational opportunities, discrimination, and environmental changes on children’s health outcomes. Addressing these fundamental inequalities is essential to achieving the right to health equity.</w:t>
      </w:r>
    </w:p>
    <w:p w14:paraId="082A9E50" w14:textId="1690A904" w:rsidR="00E26C04" w:rsidRPr="00E26C04" w:rsidRDefault="009716B6" w:rsidP="00E26C04">
      <w:pPr>
        <w:rPr>
          <w:rFonts w:ascii="Arial" w:hAnsi="Arial" w:cs="Arial"/>
          <w:sz w:val="24"/>
          <w:szCs w:val="24"/>
        </w:rPr>
      </w:pPr>
      <w:r>
        <w:rPr>
          <w:rFonts w:ascii="Arial" w:hAnsi="Arial" w:cs="Arial"/>
          <w:sz w:val="24"/>
          <w:szCs w:val="24"/>
        </w:rPr>
        <w:t xml:space="preserve">Educational institutions serve as essential environments for health promotion. Health-Promoting Schools, which are </w:t>
      </w:r>
      <w:r w:rsidR="00AE2BA5">
        <w:rPr>
          <w:rFonts w:ascii="Arial" w:hAnsi="Arial" w:cs="Arial"/>
          <w:sz w:val="24"/>
          <w:szCs w:val="24"/>
        </w:rPr>
        <w:t>recognised</w:t>
      </w:r>
      <w:r>
        <w:rPr>
          <w:rFonts w:ascii="Arial" w:hAnsi="Arial" w:cs="Arial"/>
          <w:sz w:val="24"/>
          <w:szCs w:val="24"/>
        </w:rPr>
        <w:t xml:space="preserve"> </w:t>
      </w:r>
      <w:r w:rsidR="00483BC7">
        <w:rPr>
          <w:rFonts w:ascii="Arial" w:hAnsi="Arial" w:cs="Arial"/>
          <w:sz w:val="24"/>
          <w:szCs w:val="24"/>
        </w:rPr>
        <w:t>globally</w:t>
      </w:r>
      <w:r>
        <w:rPr>
          <w:rFonts w:ascii="Arial" w:hAnsi="Arial" w:cs="Arial"/>
          <w:sz w:val="24"/>
          <w:szCs w:val="24"/>
        </w:rPr>
        <w:t xml:space="preserve">, incorporate comprehensive policies addressing nutrition, mental health, physical activity, and the creation of safe learning environments. Evidence supports that this holistic approach </w:t>
      </w:r>
      <w:r w:rsidR="00C306D1">
        <w:rPr>
          <w:rFonts w:ascii="Arial" w:hAnsi="Arial" w:cs="Arial"/>
          <w:sz w:val="24"/>
          <w:szCs w:val="24"/>
        </w:rPr>
        <w:t>significantly enhances</w:t>
      </w:r>
      <w:r>
        <w:rPr>
          <w:rFonts w:ascii="Arial" w:hAnsi="Arial" w:cs="Arial"/>
          <w:sz w:val="24"/>
          <w:szCs w:val="24"/>
        </w:rPr>
        <w:t xml:space="preserve"> children's dietary practices, mental well-being, physical health, and academic achievement</w:t>
      </w:r>
      <w:r w:rsidR="00C306D1">
        <w:rPr>
          <w:rFonts w:ascii="Arial" w:hAnsi="Arial" w:cs="Arial"/>
          <w:sz w:val="24"/>
          <w:szCs w:val="24"/>
        </w:rPr>
        <w:t xml:space="preserve"> (</w:t>
      </w:r>
      <w:r w:rsidR="00C306D1" w:rsidRPr="00C306D1">
        <w:rPr>
          <w:rFonts w:ascii="Arial" w:hAnsi="Arial" w:cs="Arial"/>
          <w:sz w:val="24"/>
          <w:szCs w:val="24"/>
        </w:rPr>
        <w:t xml:space="preserve">WHO </w:t>
      </w:r>
      <w:r w:rsidR="00C306D1">
        <w:rPr>
          <w:rFonts w:ascii="Arial" w:hAnsi="Arial" w:cs="Arial"/>
          <w:sz w:val="24"/>
          <w:szCs w:val="24"/>
        </w:rPr>
        <w:t xml:space="preserve">and UNESCO </w:t>
      </w:r>
      <w:r w:rsidR="00C306D1" w:rsidRPr="00C306D1">
        <w:rPr>
          <w:rFonts w:ascii="Arial" w:hAnsi="Arial" w:cs="Arial"/>
          <w:sz w:val="24"/>
          <w:szCs w:val="24"/>
        </w:rPr>
        <w:t>2021)</w:t>
      </w:r>
      <w:r w:rsidR="00C306D1">
        <w:rPr>
          <w:rFonts w:ascii="Arial" w:hAnsi="Arial" w:cs="Arial"/>
          <w:sz w:val="24"/>
          <w:szCs w:val="24"/>
        </w:rPr>
        <w:t>.</w:t>
      </w:r>
    </w:p>
    <w:p w14:paraId="5123CAAE" w14:textId="0C3F0CED" w:rsidR="00C306D1" w:rsidRDefault="00C306D1" w:rsidP="004C24E3">
      <w:pPr>
        <w:rPr>
          <w:rFonts w:ascii="Arial" w:hAnsi="Arial" w:cs="Arial"/>
          <w:sz w:val="24"/>
          <w:szCs w:val="24"/>
        </w:rPr>
      </w:pPr>
      <w:r>
        <w:rPr>
          <w:rFonts w:ascii="Arial" w:hAnsi="Arial" w:cs="Arial"/>
          <w:sz w:val="24"/>
          <w:szCs w:val="24"/>
        </w:rPr>
        <w:t xml:space="preserve">The </w:t>
      </w:r>
      <w:r w:rsidR="006010D5">
        <w:rPr>
          <w:rFonts w:ascii="Arial" w:hAnsi="Arial" w:cs="Arial"/>
          <w:sz w:val="24"/>
          <w:szCs w:val="24"/>
        </w:rPr>
        <w:t>practical</w:t>
      </w:r>
      <w:r>
        <w:rPr>
          <w:rFonts w:ascii="Arial" w:hAnsi="Arial" w:cs="Arial"/>
          <w:sz w:val="24"/>
          <w:szCs w:val="24"/>
        </w:rPr>
        <w:t xml:space="preserve"> implementation of Article 24 requires a comprehensive strategy that addresses essential social determinants</w:t>
      </w:r>
      <w:r w:rsidR="00017033">
        <w:rPr>
          <w:rFonts w:ascii="Arial" w:hAnsi="Arial" w:cs="Arial"/>
          <w:sz w:val="24"/>
          <w:szCs w:val="24"/>
        </w:rPr>
        <w:t>, including</w:t>
      </w:r>
      <w:r w:rsidR="00A628BB">
        <w:rPr>
          <w:rFonts w:ascii="Arial" w:hAnsi="Arial" w:cs="Arial"/>
          <w:sz w:val="24"/>
          <w:szCs w:val="24"/>
        </w:rPr>
        <w:t xml:space="preserve"> universal healthcare access</w:t>
      </w:r>
      <w:r>
        <w:rPr>
          <w:rFonts w:ascii="Arial" w:hAnsi="Arial" w:cs="Arial"/>
          <w:sz w:val="24"/>
          <w:szCs w:val="24"/>
        </w:rPr>
        <w:t xml:space="preserve">, </w:t>
      </w:r>
      <w:r w:rsidR="006010D5">
        <w:rPr>
          <w:rFonts w:ascii="Arial" w:hAnsi="Arial" w:cs="Arial"/>
          <w:sz w:val="24"/>
          <w:szCs w:val="24"/>
        </w:rPr>
        <w:t>establishing robust primary care systems, developing adequate sanitation infrastructure, creating resilient food systems, and adopting</w:t>
      </w:r>
      <w:r>
        <w:rPr>
          <w:rFonts w:ascii="Arial" w:hAnsi="Arial" w:cs="Arial"/>
          <w:sz w:val="24"/>
          <w:szCs w:val="24"/>
        </w:rPr>
        <w:t xml:space="preserve"> proactive preventive measures, including vaccinations and micronutrient supplementation</w:t>
      </w:r>
      <w:r w:rsidR="002A6522">
        <w:rPr>
          <w:rFonts w:ascii="Arial" w:hAnsi="Arial" w:cs="Arial"/>
          <w:sz w:val="24"/>
          <w:szCs w:val="24"/>
        </w:rPr>
        <w:t xml:space="preserve"> </w:t>
      </w:r>
      <w:r w:rsidR="002A6522" w:rsidRPr="002A6522">
        <w:rPr>
          <w:rFonts w:ascii="Arial" w:hAnsi="Arial" w:cs="Arial"/>
          <w:sz w:val="24"/>
          <w:szCs w:val="24"/>
        </w:rPr>
        <w:t>(Cecil et al., 2024)</w:t>
      </w:r>
      <w:r w:rsidR="002A6522">
        <w:rPr>
          <w:rFonts w:ascii="Arial" w:hAnsi="Arial" w:cs="Arial"/>
          <w:sz w:val="24"/>
          <w:szCs w:val="24"/>
        </w:rPr>
        <w:t>.</w:t>
      </w:r>
    </w:p>
    <w:p w14:paraId="388FEE36" w14:textId="65C94CD4" w:rsidR="004C24E3" w:rsidRDefault="00473C13" w:rsidP="004C24E3">
      <w:pPr>
        <w:rPr>
          <w:rFonts w:ascii="Arial" w:hAnsi="Arial" w:cs="Arial"/>
          <w:sz w:val="24"/>
          <w:szCs w:val="24"/>
        </w:rPr>
      </w:pPr>
      <w:r>
        <w:rPr>
          <w:rFonts w:ascii="Arial" w:hAnsi="Arial" w:cs="Arial"/>
          <w:sz w:val="24"/>
          <w:szCs w:val="24"/>
        </w:rPr>
        <w:t>Implementing collaborative and culturally responsive health services that empower children's voices in the decision-making process is essential</w:t>
      </w:r>
      <w:r w:rsidR="00A628BB">
        <w:rPr>
          <w:rFonts w:ascii="Arial" w:hAnsi="Arial" w:cs="Arial"/>
          <w:sz w:val="24"/>
          <w:szCs w:val="24"/>
        </w:rPr>
        <w:t xml:space="preserve">. Adhering to Article 24 not only safeguards children's immediate survival but also fosters the development of lifelong competencies. This approach promotes the establishment of healthier and more resilient societies </w:t>
      </w:r>
      <w:r w:rsidR="00CD7B98">
        <w:rPr>
          <w:rFonts w:ascii="Arial" w:hAnsi="Arial" w:cs="Arial"/>
          <w:sz w:val="24"/>
          <w:szCs w:val="24"/>
        </w:rPr>
        <w:t>where</w:t>
      </w:r>
      <w:r w:rsidR="00A628BB">
        <w:rPr>
          <w:rFonts w:ascii="Arial" w:hAnsi="Arial" w:cs="Arial"/>
          <w:sz w:val="24"/>
          <w:szCs w:val="24"/>
        </w:rPr>
        <w:t xml:space="preserve"> all children can </w:t>
      </w:r>
      <w:r w:rsidR="00017033">
        <w:rPr>
          <w:rFonts w:ascii="Arial" w:hAnsi="Arial" w:cs="Arial"/>
          <w:sz w:val="24"/>
          <w:szCs w:val="24"/>
        </w:rPr>
        <w:t>prosper</w:t>
      </w:r>
      <w:r w:rsidR="00A628BB">
        <w:rPr>
          <w:rFonts w:ascii="Arial" w:hAnsi="Arial" w:cs="Arial"/>
          <w:sz w:val="24"/>
          <w:szCs w:val="24"/>
        </w:rPr>
        <w:t xml:space="preserve"> (NSPCC, 2024).</w:t>
      </w:r>
    </w:p>
    <w:p w14:paraId="27054B7F" w14:textId="77777777" w:rsidR="00C170EB" w:rsidRDefault="00C170EB" w:rsidP="004C24E3">
      <w:pPr>
        <w:rPr>
          <w:rFonts w:ascii="Arial" w:hAnsi="Arial" w:cs="Arial"/>
          <w:sz w:val="24"/>
          <w:szCs w:val="24"/>
        </w:rPr>
      </w:pPr>
    </w:p>
    <w:p w14:paraId="2D55BACD" w14:textId="77777777" w:rsidR="00C170EB" w:rsidRDefault="00C170EB" w:rsidP="004C24E3">
      <w:pPr>
        <w:rPr>
          <w:rFonts w:ascii="Arial" w:hAnsi="Arial" w:cs="Arial"/>
          <w:sz w:val="24"/>
          <w:szCs w:val="24"/>
        </w:rPr>
      </w:pPr>
    </w:p>
    <w:p w14:paraId="18EF519C" w14:textId="77777777" w:rsidR="00C170EB" w:rsidRDefault="00C170EB" w:rsidP="004C24E3">
      <w:pPr>
        <w:rPr>
          <w:rFonts w:ascii="Arial" w:hAnsi="Arial" w:cs="Arial"/>
          <w:sz w:val="24"/>
          <w:szCs w:val="24"/>
        </w:rPr>
      </w:pPr>
    </w:p>
    <w:p w14:paraId="1BA2A146" w14:textId="77777777" w:rsidR="00C306D1" w:rsidRPr="004C24E3" w:rsidRDefault="00C306D1" w:rsidP="004C24E3">
      <w:pPr>
        <w:rPr>
          <w:rFonts w:ascii="Arial" w:hAnsi="Arial" w:cs="Arial"/>
          <w:sz w:val="24"/>
          <w:szCs w:val="24"/>
        </w:rPr>
      </w:pPr>
    </w:p>
    <w:p w14:paraId="42A2EF43" w14:textId="77777777" w:rsidR="00017033" w:rsidRDefault="00017033" w:rsidP="004C24E3">
      <w:pPr>
        <w:rPr>
          <w:rFonts w:ascii="Arial" w:hAnsi="Arial" w:cs="Arial"/>
          <w:sz w:val="24"/>
          <w:szCs w:val="24"/>
        </w:rPr>
      </w:pPr>
    </w:p>
    <w:p w14:paraId="04B26DC1" w14:textId="69DF9D50" w:rsidR="004C24E3" w:rsidRPr="004C24E3" w:rsidRDefault="004C24E3" w:rsidP="004C24E3">
      <w:pPr>
        <w:rPr>
          <w:rFonts w:ascii="Arial" w:hAnsi="Arial" w:cs="Arial"/>
          <w:sz w:val="24"/>
          <w:szCs w:val="24"/>
        </w:rPr>
      </w:pPr>
      <w:r w:rsidRPr="004C24E3">
        <w:rPr>
          <w:rFonts w:ascii="Arial" w:hAnsi="Arial" w:cs="Arial"/>
          <w:sz w:val="24"/>
          <w:szCs w:val="24"/>
        </w:rPr>
        <w:lastRenderedPageBreak/>
        <w:t>Blog 4 – Article 28: The Right to Education</w:t>
      </w:r>
    </w:p>
    <w:p w14:paraId="0F981C3C" w14:textId="77777777" w:rsidR="00A116A4" w:rsidRDefault="00942437" w:rsidP="00473C13">
      <w:pPr>
        <w:rPr>
          <w:rFonts w:ascii="Arial" w:hAnsi="Arial" w:cs="Arial"/>
          <w:sz w:val="24"/>
          <w:szCs w:val="24"/>
        </w:rPr>
      </w:pPr>
      <w:r>
        <w:rPr>
          <w:rFonts w:ascii="Arial" w:hAnsi="Arial" w:cs="Arial"/>
          <w:sz w:val="24"/>
          <w:szCs w:val="24"/>
        </w:rPr>
        <w:t>Article 28 protects the right of every child to receive a free primary education, access secondary schooling, and enjoy equitable opportunities for higher education</w:t>
      </w:r>
      <w:r w:rsidR="00D35E12">
        <w:rPr>
          <w:rFonts w:ascii="Arial" w:hAnsi="Arial" w:cs="Arial"/>
          <w:sz w:val="24"/>
          <w:szCs w:val="24"/>
        </w:rPr>
        <w:t xml:space="preserve">. </w:t>
      </w:r>
      <w:r>
        <w:rPr>
          <w:rFonts w:ascii="Arial" w:hAnsi="Arial" w:cs="Arial"/>
          <w:sz w:val="24"/>
          <w:szCs w:val="24"/>
        </w:rPr>
        <w:t>Education is a powerful catalyst for transformation. Global initiatives, such as the United Nations' Sustainable Development Goal 4, aim to guarantee inclusive and equitable quality education for all by 2030</w:t>
      </w:r>
      <w:r w:rsidR="00D35E12">
        <w:rPr>
          <w:rFonts w:ascii="Arial" w:hAnsi="Arial" w:cs="Arial"/>
          <w:sz w:val="24"/>
          <w:szCs w:val="24"/>
        </w:rPr>
        <w:t xml:space="preserve"> </w:t>
      </w:r>
      <w:r w:rsidR="00D35E12" w:rsidRPr="00D35E12">
        <w:rPr>
          <w:rFonts w:ascii="Arial" w:hAnsi="Arial" w:cs="Arial"/>
          <w:sz w:val="24"/>
          <w:szCs w:val="24"/>
        </w:rPr>
        <w:t>(Adipat and Chotikapanich, 2022)</w:t>
      </w:r>
      <w:r>
        <w:rPr>
          <w:rFonts w:ascii="Arial" w:hAnsi="Arial" w:cs="Arial"/>
          <w:sz w:val="24"/>
          <w:szCs w:val="24"/>
        </w:rPr>
        <w:t xml:space="preserve">. </w:t>
      </w:r>
    </w:p>
    <w:p w14:paraId="7645EE98" w14:textId="05382E34" w:rsidR="00D35E12" w:rsidRDefault="00942437" w:rsidP="00473C13">
      <w:pPr>
        <w:rPr>
          <w:rFonts w:ascii="Arial" w:hAnsi="Arial" w:cs="Arial"/>
          <w:sz w:val="24"/>
          <w:szCs w:val="24"/>
        </w:rPr>
      </w:pPr>
      <w:r>
        <w:rPr>
          <w:rFonts w:ascii="Arial" w:hAnsi="Arial" w:cs="Arial"/>
          <w:sz w:val="24"/>
          <w:szCs w:val="24"/>
        </w:rPr>
        <w:t xml:space="preserve">Additionally, programs like the Global Partnership for Education </w:t>
      </w:r>
      <w:r w:rsidR="00D35E12">
        <w:rPr>
          <w:rFonts w:ascii="Arial" w:hAnsi="Arial" w:cs="Arial"/>
          <w:sz w:val="24"/>
          <w:szCs w:val="24"/>
        </w:rPr>
        <w:t>fund and support</w:t>
      </w:r>
      <w:r>
        <w:rPr>
          <w:rFonts w:ascii="Arial" w:hAnsi="Arial" w:cs="Arial"/>
          <w:sz w:val="24"/>
          <w:szCs w:val="24"/>
        </w:rPr>
        <w:t xml:space="preserve"> educational systems in developing nations</w:t>
      </w:r>
      <w:r w:rsidR="00096C16">
        <w:rPr>
          <w:rFonts w:ascii="Arial" w:hAnsi="Arial" w:cs="Arial"/>
          <w:sz w:val="24"/>
          <w:szCs w:val="24"/>
        </w:rPr>
        <w:t>,</w:t>
      </w:r>
      <w:r>
        <w:rPr>
          <w:rFonts w:ascii="Arial" w:hAnsi="Arial" w:cs="Arial"/>
          <w:sz w:val="24"/>
          <w:szCs w:val="24"/>
        </w:rPr>
        <w:t xml:space="preserve"> </w:t>
      </w:r>
      <w:r w:rsidR="00096C16">
        <w:rPr>
          <w:rFonts w:ascii="Arial" w:hAnsi="Arial" w:cs="Arial"/>
          <w:sz w:val="24"/>
          <w:szCs w:val="24"/>
        </w:rPr>
        <w:t>o</w:t>
      </w:r>
      <w:r w:rsidR="00D35E12">
        <w:rPr>
          <w:rFonts w:ascii="Arial" w:hAnsi="Arial" w:cs="Arial"/>
          <w:sz w:val="24"/>
          <w:szCs w:val="24"/>
        </w:rPr>
        <w:t>rganisations</w:t>
      </w:r>
      <w:r>
        <w:rPr>
          <w:rFonts w:ascii="Arial" w:hAnsi="Arial" w:cs="Arial"/>
          <w:sz w:val="24"/>
          <w:szCs w:val="24"/>
        </w:rPr>
        <w:t xml:space="preserve"> such as UNICEF and UNESCO play a</w:t>
      </w:r>
      <w:r w:rsidR="00732862">
        <w:rPr>
          <w:rFonts w:ascii="Arial" w:hAnsi="Arial" w:cs="Arial"/>
          <w:sz w:val="24"/>
          <w:szCs w:val="24"/>
        </w:rPr>
        <w:t>n important</w:t>
      </w:r>
      <w:r>
        <w:rPr>
          <w:rFonts w:ascii="Arial" w:hAnsi="Arial" w:cs="Arial"/>
          <w:sz w:val="24"/>
          <w:szCs w:val="24"/>
        </w:rPr>
        <w:t xml:space="preserve"> role in enhancing educational access and outcomes on a global scale</w:t>
      </w:r>
      <w:r w:rsidR="00275562">
        <w:rPr>
          <w:rFonts w:ascii="Arial" w:hAnsi="Arial" w:cs="Arial"/>
          <w:sz w:val="24"/>
          <w:szCs w:val="24"/>
        </w:rPr>
        <w:t xml:space="preserve"> (</w:t>
      </w:r>
      <w:r w:rsidR="00275562" w:rsidRPr="00275562">
        <w:rPr>
          <w:rFonts w:ascii="Arial" w:hAnsi="Arial" w:cs="Arial"/>
          <w:sz w:val="24"/>
          <w:szCs w:val="24"/>
        </w:rPr>
        <w:t>United Nations Sustainable Development Group</w:t>
      </w:r>
      <w:r w:rsidR="00275562">
        <w:rPr>
          <w:rFonts w:ascii="Arial" w:hAnsi="Arial" w:cs="Arial"/>
          <w:sz w:val="24"/>
          <w:szCs w:val="24"/>
        </w:rPr>
        <w:t xml:space="preserve">, </w:t>
      </w:r>
      <w:r w:rsidR="00275562" w:rsidRPr="00275562">
        <w:rPr>
          <w:rFonts w:ascii="Arial" w:hAnsi="Arial" w:cs="Arial"/>
          <w:sz w:val="24"/>
          <w:szCs w:val="24"/>
        </w:rPr>
        <w:t>2024)</w:t>
      </w:r>
      <w:r w:rsidR="00275562">
        <w:rPr>
          <w:rFonts w:ascii="Arial" w:hAnsi="Arial" w:cs="Arial"/>
          <w:sz w:val="24"/>
          <w:szCs w:val="24"/>
        </w:rPr>
        <w:t>.</w:t>
      </w:r>
    </w:p>
    <w:p w14:paraId="32C9A329" w14:textId="2A257814" w:rsidR="00473C13" w:rsidRPr="00473C13" w:rsidRDefault="0095585A" w:rsidP="00473C13">
      <w:pPr>
        <w:rPr>
          <w:rFonts w:ascii="Arial" w:hAnsi="Arial" w:cs="Arial"/>
          <w:sz w:val="24"/>
          <w:szCs w:val="24"/>
        </w:rPr>
      </w:pPr>
      <w:r>
        <w:rPr>
          <w:rFonts w:ascii="Arial" w:hAnsi="Arial" w:cs="Arial"/>
          <w:sz w:val="24"/>
          <w:szCs w:val="24"/>
        </w:rPr>
        <w:t xml:space="preserve">The World Bank (2023) underscores the vital role of education in </w:t>
      </w:r>
      <w:r w:rsidR="00425B62">
        <w:rPr>
          <w:rFonts w:ascii="Arial" w:hAnsi="Arial" w:cs="Arial"/>
          <w:sz w:val="24"/>
          <w:szCs w:val="24"/>
        </w:rPr>
        <w:t>lifting</w:t>
      </w:r>
      <w:r>
        <w:rPr>
          <w:rFonts w:ascii="Arial" w:hAnsi="Arial" w:cs="Arial"/>
          <w:sz w:val="24"/>
          <w:szCs w:val="24"/>
        </w:rPr>
        <w:t xml:space="preserve"> poverty, improving health outcomes, advancing gender equality, and promoting peace. Similarly, the United Kingdom Department for Education (2021) draws comparable conclusions regarding the educational landscape in </w:t>
      </w:r>
      <w:r w:rsidR="00732862">
        <w:rPr>
          <w:rFonts w:ascii="Arial" w:hAnsi="Arial" w:cs="Arial"/>
          <w:sz w:val="24"/>
          <w:szCs w:val="24"/>
        </w:rPr>
        <w:t>the United Kingdom</w:t>
      </w:r>
      <w:r>
        <w:rPr>
          <w:rFonts w:ascii="Arial" w:hAnsi="Arial" w:cs="Arial"/>
          <w:sz w:val="24"/>
          <w:szCs w:val="24"/>
        </w:rPr>
        <w:t>.</w:t>
      </w:r>
    </w:p>
    <w:p w14:paraId="1BE395C0" w14:textId="20819D95" w:rsidR="0095585A" w:rsidRDefault="0095585A" w:rsidP="00473C13">
      <w:pPr>
        <w:rPr>
          <w:rFonts w:ascii="Arial" w:hAnsi="Arial" w:cs="Arial"/>
          <w:sz w:val="24"/>
          <w:szCs w:val="24"/>
        </w:rPr>
      </w:pPr>
      <w:r>
        <w:rPr>
          <w:rFonts w:ascii="Arial" w:hAnsi="Arial" w:cs="Arial"/>
          <w:sz w:val="24"/>
          <w:szCs w:val="24"/>
        </w:rPr>
        <w:t xml:space="preserve">UNESCO (2023) reported that approximately 244 million children and adolescents were out of school in 2021, with a disproportionate impact on girls, children with disabilities, and those residing in conflict-affected areas. The </w:t>
      </w:r>
      <w:r w:rsidR="005B5C50">
        <w:rPr>
          <w:rFonts w:ascii="Arial" w:hAnsi="Arial" w:cs="Arial"/>
          <w:sz w:val="24"/>
          <w:szCs w:val="24"/>
        </w:rPr>
        <w:t>failure</w:t>
      </w:r>
      <w:r>
        <w:rPr>
          <w:rFonts w:ascii="Arial" w:hAnsi="Arial" w:cs="Arial"/>
          <w:sz w:val="24"/>
          <w:szCs w:val="24"/>
        </w:rPr>
        <w:t xml:space="preserve"> of educational opportunities exacerbates social inequality and obstructs national development, with projections indicating that learning poverty may cost low- and middle-income</w:t>
      </w:r>
      <w:r w:rsidR="00BF1CE3">
        <w:rPr>
          <w:rFonts w:ascii="Arial" w:hAnsi="Arial" w:cs="Arial"/>
          <w:sz w:val="24"/>
          <w:szCs w:val="24"/>
        </w:rPr>
        <w:t xml:space="preserve"> countries</w:t>
      </w:r>
      <w:r>
        <w:rPr>
          <w:rFonts w:ascii="Arial" w:hAnsi="Arial" w:cs="Arial"/>
          <w:sz w:val="24"/>
          <w:szCs w:val="24"/>
        </w:rPr>
        <w:t>.</w:t>
      </w:r>
    </w:p>
    <w:p w14:paraId="1B49178B" w14:textId="5CAC1A9B" w:rsidR="00473C13" w:rsidRPr="00473C13" w:rsidRDefault="005B5C50" w:rsidP="00473C13">
      <w:pPr>
        <w:rPr>
          <w:rFonts w:ascii="Arial" w:hAnsi="Arial" w:cs="Arial"/>
          <w:sz w:val="24"/>
          <w:szCs w:val="24"/>
        </w:rPr>
      </w:pPr>
      <w:r>
        <w:rPr>
          <w:rFonts w:ascii="Arial" w:hAnsi="Arial" w:cs="Arial"/>
          <w:color w:val="000000" w:themeColor="text1"/>
          <w:sz w:val="24"/>
          <w:szCs w:val="24"/>
        </w:rPr>
        <w:t>The Capability Approach, developed by Amartya Sen</w:t>
      </w:r>
      <w:r w:rsidR="00732862">
        <w:rPr>
          <w:rFonts w:ascii="Arial" w:hAnsi="Arial" w:cs="Arial"/>
          <w:color w:val="000000" w:themeColor="text1"/>
          <w:sz w:val="24"/>
          <w:szCs w:val="24"/>
        </w:rPr>
        <w:t xml:space="preserve">, </w:t>
      </w:r>
      <w:r w:rsidR="00732862" w:rsidRPr="00732862">
        <w:rPr>
          <w:rFonts w:ascii="Arial" w:hAnsi="Arial" w:cs="Arial"/>
          <w:color w:val="000000" w:themeColor="text1"/>
          <w:sz w:val="24"/>
          <w:szCs w:val="24"/>
        </w:rPr>
        <w:t>articulated in the 1980s</w:t>
      </w:r>
      <w:r>
        <w:rPr>
          <w:rFonts w:ascii="Arial" w:hAnsi="Arial" w:cs="Arial"/>
          <w:color w:val="000000" w:themeColor="text1"/>
          <w:sz w:val="24"/>
          <w:szCs w:val="24"/>
        </w:rPr>
        <w:t>, emphasises education as an economic tool essential for expanding individual freedoms. It empowers children by providing vital skills like literacy and critical reasoning, enabling their active participation in personal and community development. Additionally, developmental psychology highlights the importance of nurturing educational environments for cognitive growth and emotional resilience (Garces-Velastegui, 2023).</w:t>
      </w:r>
    </w:p>
    <w:p w14:paraId="61150718" w14:textId="4CB9946C" w:rsidR="00C01D7A" w:rsidRDefault="00C01D7A" w:rsidP="00473C13">
      <w:pPr>
        <w:rPr>
          <w:rFonts w:ascii="Arial" w:hAnsi="Arial" w:cs="Arial"/>
          <w:sz w:val="24"/>
          <w:szCs w:val="24"/>
        </w:rPr>
      </w:pPr>
      <w:r>
        <w:rPr>
          <w:rFonts w:ascii="Arial" w:hAnsi="Arial" w:cs="Arial"/>
          <w:sz w:val="24"/>
          <w:szCs w:val="24"/>
        </w:rPr>
        <w:t xml:space="preserve">Article 28 necessitates </w:t>
      </w:r>
      <w:r w:rsidR="00182DB5">
        <w:rPr>
          <w:rFonts w:ascii="Arial" w:hAnsi="Arial" w:cs="Arial"/>
          <w:sz w:val="24"/>
          <w:szCs w:val="24"/>
        </w:rPr>
        <w:t>removing financial barriers, recruiting qualified educators, implementing inclusive curricula, and enhancing educational infrastructure. Equitable funding must prioritise marginalised communities and assist children affected by crises (Atherton, Lewis,</w:t>
      </w:r>
      <w:r w:rsidR="0089758C" w:rsidRPr="0089758C">
        <w:rPr>
          <w:rFonts w:ascii="Arial" w:hAnsi="Arial" w:cs="Arial"/>
          <w:sz w:val="24"/>
          <w:szCs w:val="24"/>
        </w:rPr>
        <w:t xml:space="preserve"> and Bolton, 2024)</w:t>
      </w:r>
      <w:r w:rsidR="0089758C">
        <w:rPr>
          <w:rFonts w:ascii="Arial" w:hAnsi="Arial" w:cs="Arial"/>
          <w:sz w:val="24"/>
          <w:szCs w:val="24"/>
        </w:rPr>
        <w:t>.</w:t>
      </w:r>
    </w:p>
    <w:p w14:paraId="0C1F725F" w14:textId="7B9F48E5" w:rsidR="00C01D7A" w:rsidRDefault="00182DB5" w:rsidP="00473C13">
      <w:pPr>
        <w:rPr>
          <w:rFonts w:ascii="Arial" w:hAnsi="Arial" w:cs="Arial"/>
          <w:sz w:val="24"/>
          <w:szCs w:val="24"/>
        </w:rPr>
      </w:pPr>
      <w:r>
        <w:rPr>
          <w:rFonts w:ascii="Arial" w:hAnsi="Arial" w:cs="Arial"/>
          <w:sz w:val="24"/>
          <w:szCs w:val="24"/>
        </w:rPr>
        <w:t xml:space="preserve">According to the </w:t>
      </w:r>
      <w:r w:rsidR="00E116F9">
        <w:rPr>
          <w:rFonts w:ascii="Arial" w:hAnsi="Arial" w:cs="Arial"/>
          <w:sz w:val="24"/>
          <w:szCs w:val="24"/>
        </w:rPr>
        <w:t>United Kingdom Government (GOV.UK, 2024)</w:t>
      </w:r>
      <w:r>
        <w:rPr>
          <w:rFonts w:ascii="Arial" w:hAnsi="Arial" w:cs="Arial"/>
          <w:sz w:val="24"/>
          <w:szCs w:val="24"/>
        </w:rPr>
        <w:t>, educational institutions' requirements are designed to uphold the dignity of all children by prohibiting corporal punishment and degrading practices. Ensuring universal access to quality education and fostering equity empower all children to lead healthier, more fulfilling lives and to contribute meaningfully to sustainable societal progress (Lokot et al., 2020).</w:t>
      </w:r>
    </w:p>
    <w:p w14:paraId="49EE893E" w14:textId="77777777" w:rsidR="006C7F5E" w:rsidRDefault="006C7F5E" w:rsidP="000371B4">
      <w:pPr>
        <w:rPr>
          <w:rFonts w:ascii="Arial" w:hAnsi="Arial" w:cs="Arial"/>
          <w:b/>
          <w:bCs/>
          <w:sz w:val="24"/>
          <w:szCs w:val="24"/>
        </w:rPr>
      </w:pPr>
    </w:p>
    <w:p w14:paraId="21FDA68B" w14:textId="1AF87D60" w:rsidR="000371B4" w:rsidRDefault="000371B4" w:rsidP="000371B4">
      <w:pPr>
        <w:rPr>
          <w:rFonts w:ascii="Arial" w:hAnsi="Arial" w:cs="Arial"/>
          <w:b/>
          <w:bCs/>
          <w:sz w:val="24"/>
          <w:szCs w:val="24"/>
        </w:rPr>
      </w:pPr>
      <w:r w:rsidRPr="000371B4">
        <w:rPr>
          <w:rFonts w:ascii="Arial" w:hAnsi="Arial" w:cs="Arial"/>
          <w:b/>
          <w:bCs/>
          <w:sz w:val="24"/>
          <w:szCs w:val="24"/>
        </w:rPr>
        <w:lastRenderedPageBreak/>
        <w:t>Safeguarding Legislation Timeline: 1960s–2020s (UK)</w:t>
      </w:r>
    </w:p>
    <w:p w14:paraId="6E5A1434" w14:textId="12F3E9AD" w:rsidR="00956B00" w:rsidRDefault="00956B00" w:rsidP="000371B4">
      <w:pPr>
        <w:rPr>
          <w:rFonts w:ascii="Arial" w:hAnsi="Arial" w:cs="Arial"/>
          <w:sz w:val="24"/>
          <w:szCs w:val="24"/>
        </w:rPr>
      </w:pPr>
      <w:r>
        <w:rPr>
          <w:rFonts w:ascii="Arial" w:hAnsi="Arial" w:cs="Arial"/>
          <w:sz w:val="24"/>
          <w:szCs w:val="24"/>
        </w:rPr>
        <w:t>Over the past sixty years, the evolution of safeguarding legislation in the United Kingdom has undergone significant changes, influenced by shifting social attitudes, public tragedies, and a better understanding of children's needs and rights (Featherstone and Gupta, 2018). This journey reflects the nation’s response to crises and the growing importance of protecting vulnerable young people (Firmin and Lloyd, 2023).</w:t>
      </w:r>
    </w:p>
    <w:p w14:paraId="2D62B44E" w14:textId="2A9FA6F4" w:rsidR="00956B00" w:rsidRDefault="00956B00" w:rsidP="000371B4">
      <w:pPr>
        <w:rPr>
          <w:rFonts w:ascii="Arial" w:hAnsi="Arial" w:cs="Arial"/>
          <w:sz w:val="24"/>
          <w:szCs w:val="24"/>
        </w:rPr>
      </w:pPr>
      <w:r>
        <w:rPr>
          <w:rFonts w:ascii="Arial" w:hAnsi="Arial" w:cs="Arial"/>
          <w:sz w:val="24"/>
          <w:szCs w:val="24"/>
        </w:rPr>
        <w:t>Since the Children and Young Persons Act of 1969 (Hoffman, 2020), which established the State's role in safeguarding, to the Domestic Abuse Act of 2020 (Jones, 2021), Parliament has strengthened its commitment to supporting children, young people, and families. This evolution emphasises the need to protect these populations while ensuring their voices are heard (Douglas and Barlow, 2023).</w:t>
      </w:r>
    </w:p>
    <w:p w14:paraId="269C6F79" w14:textId="349CD378" w:rsidR="00D368D2" w:rsidRPr="00A016FE" w:rsidRDefault="00956B00" w:rsidP="000371B4">
      <w:pPr>
        <w:rPr>
          <w:rFonts w:ascii="Arial" w:hAnsi="Arial" w:cs="Arial"/>
          <w:sz w:val="24"/>
          <w:szCs w:val="24"/>
        </w:rPr>
      </w:pPr>
      <w:r>
        <w:rPr>
          <w:rFonts w:ascii="Arial" w:hAnsi="Arial" w:cs="Arial"/>
          <w:sz w:val="24"/>
          <w:szCs w:val="24"/>
        </w:rPr>
        <w:t>Each legislative act has expanded local authority responsibilities and promoted multi-agency collaboration, addressing specific vulnerabilities such as care leavers and domestic abuse.  Understanding this progression is essential for practitioners and policymakers, as it highlights achievements and gaps in current safeguarding practices (Davies and Duckett, 2016).</w:t>
      </w:r>
    </w:p>
    <w:p w14:paraId="1AEAECAD" w14:textId="77777777" w:rsidR="000371B4" w:rsidRPr="000371B4" w:rsidRDefault="000371B4" w:rsidP="000371B4">
      <w:pPr>
        <w:rPr>
          <w:rFonts w:ascii="Arial" w:hAnsi="Arial" w:cs="Arial"/>
          <w:b/>
          <w:bCs/>
          <w:sz w:val="24"/>
          <w:szCs w:val="24"/>
        </w:rPr>
      </w:pPr>
      <w:r w:rsidRPr="000371B4">
        <w:rPr>
          <w:rFonts w:ascii="Arial" w:hAnsi="Arial" w:cs="Arial"/>
          <w:b/>
          <w:bCs/>
          <w:sz w:val="24"/>
          <w:szCs w:val="24"/>
        </w:rPr>
        <w:t>1969 – Children and Young Persons Act</w:t>
      </w:r>
    </w:p>
    <w:p w14:paraId="41867BF2" w14:textId="372910C6" w:rsidR="000371B4" w:rsidRPr="000371B4" w:rsidRDefault="00274EAB" w:rsidP="000371B4">
      <w:pPr>
        <w:rPr>
          <w:rFonts w:ascii="Arial" w:hAnsi="Arial" w:cs="Arial"/>
          <w:sz w:val="24"/>
          <w:szCs w:val="24"/>
        </w:rPr>
      </w:pPr>
      <w:r>
        <w:rPr>
          <w:rFonts w:ascii="Arial" w:hAnsi="Arial" w:cs="Arial"/>
          <w:sz w:val="24"/>
          <w:szCs w:val="24"/>
        </w:rPr>
        <w:t xml:space="preserve">This legislation established foundational principles for contemporary safeguarding practices by emphasising </w:t>
      </w:r>
      <w:r w:rsidR="006141B7">
        <w:rPr>
          <w:rFonts w:ascii="Arial" w:hAnsi="Arial" w:cs="Arial"/>
          <w:sz w:val="24"/>
          <w:szCs w:val="24"/>
        </w:rPr>
        <w:t>vulnerable children's care, protection, and welfare</w:t>
      </w:r>
      <w:r>
        <w:rPr>
          <w:rFonts w:ascii="Arial" w:hAnsi="Arial" w:cs="Arial"/>
          <w:sz w:val="24"/>
          <w:szCs w:val="24"/>
        </w:rPr>
        <w:t>. It described the state's obligation to intervene in parental failure and introduced legal responsibilities for local authorities to evaluate and address concerns effectively. Importantly, it granted courts the authority to issue care and supervision orders in cases of neglect or abuse</w:t>
      </w:r>
      <w:r w:rsidR="007D746E">
        <w:rPr>
          <w:rFonts w:ascii="Arial" w:hAnsi="Arial" w:cs="Arial"/>
          <w:sz w:val="24"/>
          <w:szCs w:val="24"/>
        </w:rPr>
        <w:t xml:space="preserve"> </w:t>
      </w:r>
      <w:r w:rsidR="007D746E" w:rsidRPr="007D746E">
        <w:rPr>
          <w:rFonts w:ascii="Arial" w:hAnsi="Arial" w:cs="Arial"/>
          <w:sz w:val="24"/>
          <w:szCs w:val="24"/>
        </w:rPr>
        <w:t>(Davidson and Bifulco, 2018)</w:t>
      </w:r>
      <w:r w:rsidR="007D746E">
        <w:rPr>
          <w:rFonts w:ascii="Arial" w:hAnsi="Arial" w:cs="Arial"/>
          <w:sz w:val="24"/>
          <w:szCs w:val="24"/>
        </w:rPr>
        <w:t>.</w:t>
      </w:r>
    </w:p>
    <w:p w14:paraId="5F4DB73F" w14:textId="039B3028" w:rsidR="000371B4" w:rsidRPr="000371B4" w:rsidRDefault="000371B4" w:rsidP="000371B4">
      <w:pPr>
        <w:rPr>
          <w:rFonts w:ascii="Arial" w:hAnsi="Arial" w:cs="Arial"/>
          <w:sz w:val="24"/>
          <w:szCs w:val="24"/>
        </w:rPr>
      </w:pPr>
      <w:r w:rsidRPr="00C170EB">
        <w:rPr>
          <w:rFonts w:ascii="Arial" w:hAnsi="Arial" w:cs="Arial"/>
          <w:sz w:val="24"/>
          <w:szCs w:val="24"/>
        </w:rPr>
        <w:t>Impact:</w:t>
      </w:r>
      <w:r w:rsidRPr="000371B4">
        <w:rPr>
          <w:rFonts w:ascii="Arial" w:hAnsi="Arial" w:cs="Arial"/>
          <w:sz w:val="24"/>
          <w:szCs w:val="24"/>
        </w:rPr>
        <w:br/>
      </w:r>
      <w:r w:rsidR="00CC3D29">
        <w:rPr>
          <w:rFonts w:ascii="Arial" w:hAnsi="Arial" w:cs="Arial"/>
          <w:sz w:val="24"/>
          <w:szCs w:val="24"/>
        </w:rPr>
        <w:t>The 1969 Act significantly transformed the perception of child protection, establishing it as a collective societal responsibility. Additionally, it enhanced the role of local authorities in the early intervention framework (NSPCC, 2024).</w:t>
      </w:r>
    </w:p>
    <w:p w14:paraId="437BDEE7" w14:textId="39703D91" w:rsidR="000371B4" w:rsidRDefault="000371B4" w:rsidP="000371B4">
      <w:pPr>
        <w:rPr>
          <w:rFonts w:ascii="Arial" w:hAnsi="Arial" w:cs="Arial"/>
          <w:sz w:val="24"/>
          <w:szCs w:val="24"/>
        </w:rPr>
      </w:pPr>
      <w:r w:rsidRPr="00C170EB">
        <w:rPr>
          <w:rFonts w:ascii="Arial" w:hAnsi="Arial" w:cs="Arial"/>
          <w:sz w:val="24"/>
          <w:szCs w:val="24"/>
        </w:rPr>
        <w:t>Evaluation:</w:t>
      </w:r>
      <w:r w:rsidRPr="000371B4">
        <w:rPr>
          <w:rFonts w:ascii="Arial" w:hAnsi="Arial" w:cs="Arial"/>
          <w:sz w:val="24"/>
          <w:szCs w:val="24"/>
        </w:rPr>
        <w:br/>
      </w:r>
      <w:r w:rsidR="00DC71F9">
        <w:rPr>
          <w:rFonts w:ascii="Arial" w:hAnsi="Arial" w:cs="Arial"/>
          <w:sz w:val="24"/>
          <w:szCs w:val="24"/>
        </w:rPr>
        <w:t xml:space="preserve">Although the 1969 Act marked a significant milestone, it failed to establish a rights-based framework and lacked comprehensive guidance for inter-agency collaboration, shortcomings that later legislation aimed to address. Furthermore, its language and provisions did not adequately reflect </w:t>
      </w:r>
      <w:r w:rsidR="00A116A4">
        <w:rPr>
          <w:rFonts w:ascii="Arial" w:hAnsi="Arial" w:cs="Arial"/>
          <w:sz w:val="24"/>
          <w:szCs w:val="24"/>
        </w:rPr>
        <w:t>children's voices</w:t>
      </w:r>
      <w:r w:rsidR="00DC71F9">
        <w:rPr>
          <w:rFonts w:ascii="Arial" w:hAnsi="Arial" w:cs="Arial"/>
          <w:sz w:val="24"/>
          <w:szCs w:val="24"/>
        </w:rPr>
        <w:t xml:space="preserve"> in </w:t>
      </w:r>
      <w:r w:rsidR="00A116A4">
        <w:rPr>
          <w:rFonts w:ascii="Arial" w:hAnsi="Arial" w:cs="Arial"/>
          <w:sz w:val="24"/>
          <w:szCs w:val="24"/>
        </w:rPr>
        <w:t xml:space="preserve">decision-making </w:t>
      </w:r>
      <w:r w:rsidR="00DC71F9">
        <w:rPr>
          <w:rFonts w:ascii="Arial" w:hAnsi="Arial" w:cs="Arial"/>
          <w:sz w:val="24"/>
          <w:szCs w:val="24"/>
        </w:rPr>
        <w:t>(Independent Care Review, 2020).</w:t>
      </w:r>
    </w:p>
    <w:p w14:paraId="0A8F9BD3" w14:textId="77777777" w:rsidR="00956B00" w:rsidRPr="000371B4" w:rsidRDefault="00956B00" w:rsidP="000371B4">
      <w:pPr>
        <w:rPr>
          <w:rFonts w:ascii="Arial" w:hAnsi="Arial" w:cs="Arial"/>
          <w:sz w:val="24"/>
          <w:szCs w:val="24"/>
        </w:rPr>
      </w:pPr>
    </w:p>
    <w:p w14:paraId="022316CB" w14:textId="256432F9" w:rsidR="000371B4" w:rsidRPr="000371B4" w:rsidRDefault="000371B4" w:rsidP="000371B4">
      <w:pPr>
        <w:rPr>
          <w:rFonts w:ascii="Arial" w:hAnsi="Arial" w:cs="Arial"/>
          <w:sz w:val="24"/>
          <w:szCs w:val="24"/>
        </w:rPr>
      </w:pPr>
    </w:p>
    <w:p w14:paraId="72480675" w14:textId="77777777" w:rsidR="00A84058" w:rsidRDefault="00A84058" w:rsidP="000371B4">
      <w:pPr>
        <w:rPr>
          <w:rFonts w:ascii="Arial" w:hAnsi="Arial" w:cs="Arial"/>
          <w:b/>
          <w:bCs/>
          <w:sz w:val="24"/>
          <w:szCs w:val="24"/>
        </w:rPr>
      </w:pPr>
    </w:p>
    <w:p w14:paraId="172E192E" w14:textId="301D6212" w:rsidR="000371B4" w:rsidRPr="000371B4" w:rsidRDefault="000371B4" w:rsidP="000371B4">
      <w:pPr>
        <w:rPr>
          <w:rFonts w:ascii="Arial" w:hAnsi="Arial" w:cs="Arial"/>
          <w:b/>
          <w:bCs/>
          <w:sz w:val="24"/>
          <w:szCs w:val="24"/>
        </w:rPr>
      </w:pPr>
      <w:r w:rsidRPr="000371B4">
        <w:rPr>
          <w:rFonts w:ascii="Arial" w:hAnsi="Arial" w:cs="Arial"/>
          <w:b/>
          <w:bCs/>
          <w:sz w:val="24"/>
          <w:szCs w:val="24"/>
        </w:rPr>
        <w:lastRenderedPageBreak/>
        <w:t>1989 – Children Act</w:t>
      </w:r>
    </w:p>
    <w:p w14:paraId="1E5A6BFC" w14:textId="0430D909" w:rsidR="008C27FD" w:rsidRPr="000371B4" w:rsidRDefault="006141B7" w:rsidP="000371B4">
      <w:pPr>
        <w:rPr>
          <w:rFonts w:ascii="Arial" w:hAnsi="Arial" w:cs="Arial"/>
          <w:sz w:val="24"/>
          <w:szCs w:val="24"/>
        </w:rPr>
      </w:pPr>
      <w:r>
        <w:rPr>
          <w:rFonts w:ascii="Arial" w:hAnsi="Arial" w:cs="Arial"/>
          <w:sz w:val="24"/>
          <w:szCs w:val="24"/>
        </w:rPr>
        <w:t xml:space="preserve">The Children Act 1989 represented a pivotal development in child welfare. It established the principle that "the child's welfare is </w:t>
      </w:r>
      <w:r w:rsidR="00956B00">
        <w:rPr>
          <w:rFonts w:ascii="Arial" w:hAnsi="Arial" w:cs="Arial"/>
          <w:sz w:val="24"/>
          <w:szCs w:val="24"/>
        </w:rPr>
        <w:t>vital</w:t>
      </w:r>
      <w:r>
        <w:rPr>
          <w:rFonts w:ascii="Arial" w:hAnsi="Arial" w:cs="Arial"/>
          <w:sz w:val="24"/>
          <w:szCs w:val="24"/>
        </w:rPr>
        <w:t>." This legislation defined the responsibilities of local authorities in safeguarding and promoting the welfare of children, clarified the roles assigned to social workers, and advocated for collaboration with families, except in circumstances where a child's safety is at risk</w:t>
      </w:r>
      <w:r w:rsidR="008C27FD">
        <w:rPr>
          <w:rFonts w:ascii="Arial" w:hAnsi="Arial" w:cs="Arial"/>
          <w:sz w:val="24"/>
          <w:szCs w:val="24"/>
        </w:rPr>
        <w:t xml:space="preserve"> </w:t>
      </w:r>
      <w:r w:rsidR="008C27FD" w:rsidRPr="008C27FD">
        <w:rPr>
          <w:rFonts w:ascii="Arial" w:hAnsi="Arial" w:cs="Arial"/>
          <w:sz w:val="24"/>
          <w:szCs w:val="24"/>
        </w:rPr>
        <w:t>(Department for Education, 2014)</w:t>
      </w:r>
      <w:r w:rsidR="008C27FD">
        <w:rPr>
          <w:rFonts w:ascii="Arial" w:hAnsi="Arial" w:cs="Arial"/>
          <w:sz w:val="24"/>
          <w:szCs w:val="24"/>
        </w:rPr>
        <w:t>.</w:t>
      </w:r>
    </w:p>
    <w:p w14:paraId="3C495489" w14:textId="1F69D0B8" w:rsidR="000371B4" w:rsidRPr="000371B4" w:rsidRDefault="000371B4" w:rsidP="000371B4">
      <w:pPr>
        <w:rPr>
          <w:rFonts w:ascii="Arial" w:hAnsi="Arial" w:cs="Arial"/>
          <w:sz w:val="24"/>
          <w:szCs w:val="24"/>
        </w:rPr>
      </w:pPr>
      <w:r w:rsidRPr="00C170EB">
        <w:rPr>
          <w:rFonts w:ascii="Arial" w:hAnsi="Arial" w:cs="Arial"/>
          <w:sz w:val="24"/>
          <w:szCs w:val="24"/>
        </w:rPr>
        <w:t>Impact:</w:t>
      </w:r>
      <w:r w:rsidRPr="000371B4">
        <w:rPr>
          <w:rFonts w:ascii="Arial" w:hAnsi="Arial" w:cs="Arial"/>
          <w:sz w:val="24"/>
          <w:szCs w:val="24"/>
        </w:rPr>
        <w:br/>
      </w:r>
      <w:r w:rsidR="0076135C">
        <w:rPr>
          <w:rFonts w:ascii="Arial" w:hAnsi="Arial" w:cs="Arial"/>
          <w:sz w:val="24"/>
          <w:szCs w:val="24"/>
        </w:rPr>
        <w:t xml:space="preserve">The Act substantially improved legal consistency and prioritised the welfare of the child. It established definitive legal criteria for state intervention and mandated </w:t>
      </w:r>
      <w:r w:rsidR="000F4715">
        <w:rPr>
          <w:rFonts w:ascii="Arial" w:hAnsi="Arial" w:cs="Arial"/>
          <w:sz w:val="24"/>
          <w:szCs w:val="24"/>
        </w:rPr>
        <w:t xml:space="preserve">convening </w:t>
      </w:r>
      <w:r w:rsidR="0076135C">
        <w:rPr>
          <w:rFonts w:ascii="Arial" w:hAnsi="Arial" w:cs="Arial"/>
          <w:sz w:val="24"/>
          <w:szCs w:val="24"/>
        </w:rPr>
        <w:t xml:space="preserve">child protection conferences and conducting core assessments </w:t>
      </w:r>
      <w:r w:rsidR="0076135C" w:rsidRPr="0076135C">
        <w:rPr>
          <w:rFonts w:ascii="Arial" w:hAnsi="Arial" w:cs="Arial"/>
          <w:sz w:val="24"/>
          <w:szCs w:val="24"/>
        </w:rPr>
        <w:t>(Department for Education, 2021)</w:t>
      </w:r>
      <w:r w:rsidR="0076135C">
        <w:rPr>
          <w:rFonts w:ascii="Arial" w:hAnsi="Arial" w:cs="Arial"/>
          <w:sz w:val="24"/>
          <w:szCs w:val="24"/>
        </w:rPr>
        <w:t>.</w:t>
      </w:r>
    </w:p>
    <w:p w14:paraId="0FBA3BD2" w14:textId="5AA088C2" w:rsidR="00AB3FC2" w:rsidRPr="000371B4" w:rsidRDefault="000371B4" w:rsidP="000371B4">
      <w:pPr>
        <w:rPr>
          <w:rFonts w:ascii="Arial" w:hAnsi="Arial" w:cs="Arial"/>
          <w:sz w:val="24"/>
          <w:szCs w:val="24"/>
        </w:rPr>
      </w:pPr>
      <w:r w:rsidRPr="00C170EB">
        <w:rPr>
          <w:rFonts w:ascii="Arial" w:hAnsi="Arial" w:cs="Arial"/>
          <w:sz w:val="24"/>
          <w:szCs w:val="24"/>
        </w:rPr>
        <w:t>Evaluation:</w:t>
      </w:r>
      <w:r w:rsidRPr="000371B4">
        <w:rPr>
          <w:rFonts w:ascii="Arial" w:hAnsi="Arial" w:cs="Arial"/>
          <w:sz w:val="24"/>
          <w:szCs w:val="24"/>
        </w:rPr>
        <w:br/>
      </w:r>
      <w:r w:rsidR="00A84058">
        <w:rPr>
          <w:rFonts w:ascii="Arial" w:hAnsi="Arial" w:cs="Arial"/>
          <w:sz w:val="24"/>
          <w:szCs w:val="24"/>
        </w:rPr>
        <w:t xml:space="preserve">The Act is known for its child-centred approach, but challenges in interpretation and inconsistent implementation across local authorities have led to criticisms. This variability can result in unequal access to essential support for children and families. Some argue that systemic pressures and austerity measures have </w:t>
      </w:r>
      <w:r w:rsidR="004D672B">
        <w:rPr>
          <w:rFonts w:ascii="Arial" w:hAnsi="Arial" w:cs="Arial"/>
          <w:sz w:val="24"/>
          <w:szCs w:val="24"/>
        </w:rPr>
        <w:t>weakened</w:t>
      </w:r>
      <w:r w:rsidR="00A84058">
        <w:rPr>
          <w:rFonts w:ascii="Arial" w:hAnsi="Arial" w:cs="Arial"/>
          <w:sz w:val="24"/>
          <w:szCs w:val="24"/>
        </w:rPr>
        <w:t xml:space="preserve"> the Act's effectiveness (Helen and Nina, 2016). </w:t>
      </w:r>
      <w:r w:rsidR="004D672B">
        <w:rPr>
          <w:rFonts w:ascii="Arial" w:hAnsi="Arial" w:cs="Arial"/>
          <w:sz w:val="24"/>
          <w:szCs w:val="24"/>
        </w:rPr>
        <w:t>The government should provide clear guidelines and resources to ensure consistent application and increase funding, enabling practitioners to deliver high-quality services</w:t>
      </w:r>
      <w:r w:rsidR="00A84058">
        <w:rPr>
          <w:rFonts w:ascii="Arial" w:hAnsi="Arial" w:cs="Arial"/>
          <w:sz w:val="24"/>
          <w:szCs w:val="24"/>
        </w:rPr>
        <w:t xml:space="preserve">. Regular monitoring and evaluation are essential to identify </w:t>
      </w:r>
      <w:r w:rsidR="004D672B">
        <w:rPr>
          <w:rFonts w:ascii="Arial" w:hAnsi="Arial" w:cs="Arial"/>
          <w:sz w:val="24"/>
          <w:szCs w:val="24"/>
        </w:rPr>
        <w:t xml:space="preserve">areas for improvement </w:t>
      </w:r>
      <w:r w:rsidR="00A84058">
        <w:rPr>
          <w:rFonts w:ascii="Arial" w:hAnsi="Arial" w:cs="Arial"/>
          <w:sz w:val="24"/>
          <w:szCs w:val="24"/>
        </w:rPr>
        <w:t>and maintain the Act's focus on children nationwide (Helen and Nina, 2016).</w:t>
      </w:r>
    </w:p>
    <w:p w14:paraId="3532F014" w14:textId="77777777" w:rsidR="000371B4" w:rsidRPr="000371B4" w:rsidRDefault="000371B4" w:rsidP="000371B4">
      <w:pPr>
        <w:rPr>
          <w:rFonts w:ascii="Arial" w:hAnsi="Arial" w:cs="Arial"/>
          <w:b/>
          <w:bCs/>
          <w:sz w:val="24"/>
          <w:szCs w:val="24"/>
        </w:rPr>
      </w:pPr>
      <w:r w:rsidRPr="000371B4">
        <w:rPr>
          <w:rFonts w:ascii="Arial" w:hAnsi="Arial" w:cs="Arial"/>
          <w:b/>
          <w:bCs/>
          <w:sz w:val="24"/>
          <w:szCs w:val="24"/>
        </w:rPr>
        <w:t>2000 – The Children (Leaving Care) Act</w:t>
      </w:r>
    </w:p>
    <w:p w14:paraId="7E30F0C0" w14:textId="5DD53FC9" w:rsidR="000371B4" w:rsidRPr="006F5082" w:rsidRDefault="006F5082" w:rsidP="000371B4">
      <w:pPr>
        <w:rPr>
          <w:rFonts w:ascii="Arial" w:hAnsi="Arial" w:cs="Arial"/>
          <w:b/>
          <w:bCs/>
          <w:sz w:val="24"/>
          <w:szCs w:val="24"/>
        </w:rPr>
      </w:pPr>
      <w:r>
        <w:rPr>
          <w:rFonts w:ascii="Arial" w:hAnsi="Arial" w:cs="Arial"/>
          <w:sz w:val="24"/>
          <w:szCs w:val="24"/>
        </w:rPr>
        <w:t>The Children (Leaving Care) Act of 2000 was introduced to support young individuals transitioning from care to independent living. This legislation aims to mitigate social exclusion and enhance outcomes for care leavers. It requires local authorities to develop pathway plans and provide personal advisers to these individuals until the age of 21 or until the age of 25 if they are engaged in educational interests</w:t>
      </w:r>
      <w:r w:rsidR="004E0E36">
        <w:rPr>
          <w:rFonts w:ascii="Arial" w:hAnsi="Arial" w:cs="Arial"/>
          <w:sz w:val="24"/>
          <w:szCs w:val="24"/>
        </w:rPr>
        <w:t xml:space="preserve"> </w:t>
      </w:r>
      <w:r w:rsidR="004E0E36" w:rsidRPr="004E0E36">
        <w:rPr>
          <w:rFonts w:ascii="Arial" w:hAnsi="Arial" w:cs="Arial"/>
          <w:sz w:val="24"/>
          <w:szCs w:val="24"/>
        </w:rPr>
        <w:t>(Department of Health, 2011)</w:t>
      </w:r>
      <w:r w:rsidR="004E0E36">
        <w:rPr>
          <w:rFonts w:ascii="Arial" w:hAnsi="Arial" w:cs="Arial"/>
          <w:sz w:val="24"/>
          <w:szCs w:val="24"/>
        </w:rPr>
        <w:t>.</w:t>
      </w:r>
    </w:p>
    <w:p w14:paraId="3690EC83" w14:textId="077B3D58" w:rsidR="000371B4" w:rsidRDefault="000371B4" w:rsidP="000371B4">
      <w:pPr>
        <w:rPr>
          <w:rFonts w:ascii="Arial" w:hAnsi="Arial" w:cs="Arial"/>
          <w:sz w:val="24"/>
          <w:szCs w:val="24"/>
        </w:rPr>
      </w:pPr>
      <w:r w:rsidRPr="00C170EB">
        <w:rPr>
          <w:rFonts w:ascii="Arial" w:hAnsi="Arial" w:cs="Arial"/>
          <w:sz w:val="24"/>
          <w:szCs w:val="24"/>
        </w:rPr>
        <w:t>Impact:</w:t>
      </w:r>
      <w:r w:rsidRPr="000371B4">
        <w:rPr>
          <w:rFonts w:ascii="Arial" w:hAnsi="Arial" w:cs="Arial"/>
          <w:sz w:val="24"/>
          <w:szCs w:val="24"/>
        </w:rPr>
        <w:br/>
      </w:r>
      <w:r w:rsidR="004E0E36">
        <w:rPr>
          <w:rFonts w:ascii="Arial" w:hAnsi="Arial" w:cs="Arial"/>
          <w:sz w:val="24"/>
          <w:szCs w:val="24"/>
        </w:rPr>
        <w:t xml:space="preserve">The Act acknowledges that the necessity for care and support extends beyond </w:t>
      </w:r>
      <w:r w:rsidR="000F4715">
        <w:rPr>
          <w:rFonts w:ascii="Arial" w:hAnsi="Arial" w:cs="Arial"/>
          <w:sz w:val="24"/>
          <w:szCs w:val="24"/>
        </w:rPr>
        <w:t xml:space="preserve">age </w:t>
      </w:r>
      <w:r w:rsidR="004E0E36">
        <w:rPr>
          <w:rFonts w:ascii="Arial" w:hAnsi="Arial" w:cs="Arial"/>
          <w:sz w:val="24"/>
          <w:szCs w:val="24"/>
        </w:rPr>
        <w:t xml:space="preserve">18, facilitating the development of comprehensive support frameworks that persist into adulthood. This important recognition facilitated improved planning </w:t>
      </w:r>
      <w:r w:rsidR="000F4715">
        <w:rPr>
          <w:rFonts w:ascii="Arial" w:hAnsi="Arial" w:cs="Arial"/>
          <w:sz w:val="24"/>
          <w:szCs w:val="24"/>
        </w:rPr>
        <w:t>for educational opportunities, vocational training, and housing solutions, ensuring that young adults receive the resources and guidance they require to succeed as they transition to independence (Palmer, Norris,</w:t>
      </w:r>
      <w:r w:rsidR="00A1688D" w:rsidRPr="00A1688D">
        <w:rPr>
          <w:rFonts w:ascii="Arial" w:hAnsi="Arial" w:cs="Arial"/>
          <w:sz w:val="24"/>
          <w:szCs w:val="24"/>
        </w:rPr>
        <w:t xml:space="preserve"> and Kelleher, 2022)</w:t>
      </w:r>
      <w:r w:rsidR="00A1688D">
        <w:rPr>
          <w:rFonts w:ascii="Arial" w:hAnsi="Arial" w:cs="Arial"/>
          <w:sz w:val="24"/>
          <w:szCs w:val="24"/>
        </w:rPr>
        <w:t>.</w:t>
      </w:r>
    </w:p>
    <w:p w14:paraId="560B01E4" w14:textId="77777777" w:rsidR="004D672B" w:rsidRDefault="004D672B" w:rsidP="000371B4">
      <w:pPr>
        <w:rPr>
          <w:rFonts w:ascii="Arial" w:hAnsi="Arial" w:cs="Arial"/>
          <w:sz w:val="24"/>
          <w:szCs w:val="24"/>
        </w:rPr>
      </w:pPr>
    </w:p>
    <w:p w14:paraId="64E2DB64" w14:textId="77777777" w:rsidR="004D672B" w:rsidRPr="000371B4" w:rsidRDefault="004D672B" w:rsidP="000371B4">
      <w:pPr>
        <w:rPr>
          <w:rFonts w:ascii="Arial" w:hAnsi="Arial" w:cs="Arial"/>
          <w:sz w:val="24"/>
          <w:szCs w:val="24"/>
        </w:rPr>
      </w:pPr>
    </w:p>
    <w:p w14:paraId="6CD95595" w14:textId="5A36106B" w:rsidR="0092309D" w:rsidRPr="000371B4" w:rsidRDefault="000371B4" w:rsidP="000371B4">
      <w:pPr>
        <w:rPr>
          <w:rFonts w:ascii="Arial" w:hAnsi="Arial" w:cs="Arial"/>
          <w:sz w:val="24"/>
          <w:szCs w:val="24"/>
        </w:rPr>
      </w:pPr>
      <w:r w:rsidRPr="00C170EB">
        <w:rPr>
          <w:rFonts w:ascii="Arial" w:hAnsi="Arial" w:cs="Arial"/>
          <w:sz w:val="24"/>
          <w:szCs w:val="24"/>
        </w:rPr>
        <w:lastRenderedPageBreak/>
        <w:t>Evaluation:</w:t>
      </w:r>
      <w:r w:rsidRPr="000371B4">
        <w:rPr>
          <w:rFonts w:ascii="Arial" w:hAnsi="Arial" w:cs="Arial"/>
          <w:sz w:val="24"/>
          <w:szCs w:val="24"/>
        </w:rPr>
        <w:br/>
      </w:r>
      <w:r w:rsidR="00C170EB">
        <w:rPr>
          <w:rFonts w:ascii="Arial" w:hAnsi="Arial" w:cs="Arial"/>
          <w:sz w:val="24"/>
          <w:szCs w:val="24"/>
        </w:rPr>
        <w:t>The legislation enhancing rights for care leavers marks a significant advancement in support for young individuals transitioning from care. However, evaluations reveal inconsistencies in assistance and outcomes across local authorities. Many care leavers still face critical issues like homelessness and limited educational opportunities, hindering their potential for successful futures (Sadovnik, Semel, and Coughlan, 2018).</w:t>
      </w:r>
    </w:p>
    <w:p w14:paraId="1DFB99B6" w14:textId="77777777" w:rsidR="000371B4" w:rsidRPr="000371B4" w:rsidRDefault="000371B4" w:rsidP="000371B4">
      <w:pPr>
        <w:rPr>
          <w:rFonts w:ascii="Arial" w:hAnsi="Arial" w:cs="Arial"/>
          <w:b/>
          <w:bCs/>
          <w:sz w:val="24"/>
          <w:szCs w:val="24"/>
        </w:rPr>
      </w:pPr>
      <w:r w:rsidRPr="000371B4">
        <w:rPr>
          <w:rFonts w:ascii="Arial" w:hAnsi="Arial" w:cs="Arial"/>
          <w:b/>
          <w:bCs/>
          <w:sz w:val="24"/>
          <w:szCs w:val="24"/>
        </w:rPr>
        <w:t>2004 – Children Act (Every Child Matters)</w:t>
      </w:r>
    </w:p>
    <w:p w14:paraId="5844969C" w14:textId="5C77D4EC" w:rsidR="000371B4" w:rsidRPr="000371B4" w:rsidRDefault="0092309D" w:rsidP="000371B4">
      <w:pPr>
        <w:rPr>
          <w:rFonts w:ascii="Arial" w:hAnsi="Arial" w:cs="Arial"/>
          <w:sz w:val="24"/>
          <w:szCs w:val="24"/>
        </w:rPr>
      </w:pPr>
      <w:r>
        <w:rPr>
          <w:rFonts w:ascii="Arial" w:hAnsi="Arial" w:cs="Arial"/>
          <w:sz w:val="24"/>
          <w:szCs w:val="24"/>
        </w:rPr>
        <w:t xml:space="preserve">The reform was initiated in response to the tragic death of Victoria Climbié. This Act established a mandate for key agencies, specifically those in health, education, and law enforcement, to collaborate effectively in </w:t>
      </w:r>
      <w:r w:rsidR="00AA6385">
        <w:rPr>
          <w:rFonts w:ascii="Arial" w:hAnsi="Arial" w:cs="Arial"/>
          <w:sz w:val="24"/>
          <w:szCs w:val="24"/>
        </w:rPr>
        <w:t xml:space="preserve">safeguarding </w:t>
      </w:r>
      <w:r>
        <w:rPr>
          <w:rFonts w:ascii="Arial" w:hAnsi="Arial" w:cs="Arial"/>
          <w:sz w:val="24"/>
          <w:szCs w:val="24"/>
        </w:rPr>
        <w:t>children. Additionally, it created Local Safeguarding Children Boards (</w:t>
      </w:r>
      <w:r w:rsidR="00AA6385">
        <w:rPr>
          <w:rFonts w:ascii="Arial" w:hAnsi="Arial" w:cs="Arial"/>
          <w:sz w:val="24"/>
          <w:szCs w:val="24"/>
        </w:rPr>
        <w:t>LSCBS</w:t>
      </w:r>
      <w:r>
        <w:rPr>
          <w:rFonts w:ascii="Arial" w:hAnsi="Arial" w:cs="Arial"/>
          <w:sz w:val="24"/>
          <w:szCs w:val="24"/>
        </w:rPr>
        <w:t>) and introduced the position of Director of Children’s Services (Foster, 2024</w:t>
      </w:r>
      <w:r w:rsidR="00AA6385">
        <w:rPr>
          <w:rFonts w:ascii="Arial" w:hAnsi="Arial" w:cs="Arial"/>
          <w:sz w:val="24"/>
          <w:szCs w:val="24"/>
        </w:rPr>
        <w:t xml:space="preserve">; </w:t>
      </w:r>
      <w:r w:rsidR="00AA6385" w:rsidRPr="00AA6385">
        <w:rPr>
          <w:rFonts w:ascii="Arial" w:hAnsi="Arial" w:cs="Arial"/>
          <w:sz w:val="24"/>
          <w:szCs w:val="24"/>
        </w:rPr>
        <w:t>Chambers, Cantrell and Booth, 202</w:t>
      </w:r>
      <w:r w:rsidR="00D816C5">
        <w:rPr>
          <w:rFonts w:ascii="Arial" w:hAnsi="Arial" w:cs="Arial"/>
          <w:sz w:val="24"/>
          <w:szCs w:val="24"/>
        </w:rPr>
        <w:t>1</w:t>
      </w:r>
      <w:r>
        <w:rPr>
          <w:rFonts w:ascii="Arial" w:hAnsi="Arial" w:cs="Arial"/>
          <w:sz w:val="24"/>
          <w:szCs w:val="24"/>
        </w:rPr>
        <w:t>).</w:t>
      </w:r>
    </w:p>
    <w:p w14:paraId="5A52C10D" w14:textId="780CE46B" w:rsidR="000371B4" w:rsidRPr="000371B4" w:rsidRDefault="000371B4" w:rsidP="000371B4">
      <w:pPr>
        <w:rPr>
          <w:rFonts w:ascii="Arial" w:hAnsi="Arial" w:cs="Arial"/>
          <w:sz w:val="24"/>
          <w:szCs w:val="24"/>
        </w:rPr>
      </w:pPr>
      <w:r w:rsidRPr="00C170EB">
        <w:rPr>
          <w:rFonts w:ascii="Arial" w:hAnsi="Arial" w:cs="Arial"/>
          <w:sz w:val="24"/>
          <w:szCs w:val="24"/>
        </w:rPr>
        <w:t>Impact:</w:t>
      </w:r>
      <w:r w:rsidRPr="000371B4">
        <w:rPr>
          <w:rFonts w:ascii="Arial" w:hAnsi="Arial" w:cs="Arial"/>
          <w:sz w:val="24"/>
          <w:szCs w:val="24"/>
        </w:rPr>
        <w:br/>
      </w:r>
      <w:r w:rsidR="00D816C5">
        <w:rPr>
          <w:rFonts w:ascii="Arial" w:hAnsi="Arial" w:cs="Arial"/>
          <w:sz w:val="24"/>
          <w:szCs w:val="24"/>
        </w:rPr>
        <w:t xml:space="preserve">The initiative incorporated a multi-agency framework, emphasising the importance of early intervention while striving to reduce service duplication. The "Every Child Matters" agenda </w:t>
      </w:r>
      <w:r w:rsidR="000F4715">
        <w:rPr>
          <w:rFonts w:ascii="Arial" w:hAnsi="Arial" w:cs="Arial"/>
          <w:sz w:val="24"/>
          <w:szCs w:val="24"/>
        </w:rPr>
        <w:t xml:space="preserve">focused on five fundamental outcomes, primarily focusing on children's safety and well-being, </w:t>
      </w:r>
      <w:r w:rsidR="00D816C5">
        <w:rPr>
          <w:rFonts w:ascii="Arial" w:hAnsi="Arial" w:cs="Arial"/>
          <w:sz w:val="24"/>
          <w:szCs w:val="24"/>
        </w:rPr>
        <w:t>promoting a holistic approach to their care and development</w:t>
      </w:r>
      <w:r w:rsidR="004C57F5">
        <w:rPr>
          <w:rFonts w:ascii="Arial" w:hAnsi="Arial" w:cs="Arial"/>
          <w:sz w:val="24"/>
          <w:szCs w:val="24"/>
        </w:rPr>
        <w:t xml:space="preserve"> </w:t>
      </w:r>
      <w:r w:rsidR="004C57F5" w:rsidRPr="004C57F5">
        <w:rPr>
          <w:rFonts w:ascii="Arial" w:hAnsi="Arial" w:cs="Arial"/>
          <w:sz w:val="24"/>
          <w:szCs w:val="24"/>
        </w:rPr>
        <w:t>(</w:t>
      </w:r>
      <w:r w:rsidR="00684BBD" w:rsidRPr="00684BBD">
        <w:rPr>
          <w:rFonts w:ascii="Arial" w:hAnsi="Arial" w:cs="Arial"/>
          <w:sz w:val="24"/>
          <w:szCs w:val="24"/>
        </w:rPr>
        <w:t>O’Dean et al., 2025)</w:t>
      </w:r>
      <w:r w:rsidR="004C57F5">
        <w:rPr>
          <w:rFonts w:ascii="Arial" w:hAnsi="Arial" w:cs="Arial"/>
          <w:sz w:val="24"/>
          <w:szCs w:val="24"/>
        </w:rPr>
        <w:t>.</w:t>
      </w:r>
    </w:p>
    <w:p w14:paraId="4BE50E4F" w14:textId="45AE7783" w:rsidR="00D816C5" w:rsidRDefault="000371B4" w:rsidP="000371B4">
      <w:pPr>
        <w:rPr>
          <w:rFonts w:ascii="Arial" w:hAnsi="Arial" w:cs="Arial"/>
          <w:sz w:val="24"/>
          <w:szCs w:val="24"/>
        </w:rPr>
      </w:pPr>
      <w:r w:rsidRPr="00C170EB">
        <w:rPr>
          <w:rFonts w:ascii="Arial" w:hAnsi="Arial" w:cs="Arial"/>
          <w:sz w:val="24"/>
          <w:szCs w:val="24"/>
        </w:rPr>
        <w:t>Evaluation:</w:t>
      </w:r>
      <w:r w:rsidRPr="000371B4">
        <w:rPr>
          <w:rFonts w:ascii="Arial" w:hAnsi="Arial" w:cs="Arial"/>
          <w:sz w:val="24"/>
          <w:szCs w:val="24"/>
        </w:rPr>
        <w:br/>
      </w:r>
      <w:r w:rsidR="000F4715">
        <w:rPr>
          <w:rFonts w:ascii="Arial" w:hAnsi="Arial" w:cs="Arial"/>
          <w:sz w:val="24"/>
          <w:szCs w:val="24"/>
        </w:rPr>
        <w:t>Implementing</w:t>
      </w:r>
      <w:r w:rsidR="00D816C5">
        <w:rPr>
          <w:rFonts w:ascii="Arial" w:hAnsi="Arial" w:cs="Arial"/>
          <w:sz w:val="24"/>
          <w:szCs w:val="24"/>
        </w:rPr>
        <w:t xml:space="preserve"> the Act initially facilitated the integration of services, promoting a cohesive approach among various sectors. However, over time, the emergence of bureaucratic complexities and substantial funding reductions has adversely impacted its effectiveness. Critics contend that the Act's reliance on performance targets may have overshadowed the importance of relational practices with families, which are essential for fostering trust and delivering meaningful support</w:t>
      </w:r>
      <w:r w:rsidR="004C57F5">
        <w:rPr>
          <w:rFonts w:ascii="Arial" w:hAnsi="Arial" w:cs="Arial"/>
          <w:sz w:val="24"/>
          <w:szCs w:val="24"/>
        </w:rPr>
        <w:t xml:space="preserve"> </w:t>
      </w:r>
      <w:r w:rsidR="004C57F5" w:rsidRPr="004C57F5">
        <w:rPr>
          <w:rFonts w:ascii="Arial" w:hAnsi="Arial" w:cs="Arial"/>
          <w:sz w:val="24"/>
          <w:szCs w:val="24"/>
        </w:rPr>
        <w:t>(Baginsky, Manthorpe and Moriarty, 2020)</w:t>
      </w:r>
      <w:r w:rsidR="004C57F5">
        <w:rPr>
          <w:rFonts w:ascii="Arial" w:hAnsi="Arial" w:cs="Arial"/>
          <w:sz w:val="24"/>
          <w:szCs w:val="24"/>
        </w:rPr>
        <w:t>.</w:t>
      </w:r>
    </w:p>
    <w:p w14:paraId="69E5E546" w14:textId="01A256B5" w:rsidR="000371B4" w:rsidRPr="000371B4" w:rsidRDefault="000371B4" w:rsidP="000371B4">
      <w:pPr>
        <w:rPr>
          <w:rFonts w:ascii="Arial" w:hAnsi="Arial" w:cs="Arial"/>
          <w:b/>
          <w:bCs/>
          <w:sz w:val="24"/>
          <w:szCs w:val="24"/>
        </w:rPr>
      </w:pPr>
      <w:r w:rsidRPr="000371B4">
        <w:rPr>
          <w:rFonts w:ascii="Arial" w:hAnsi="Arial" w:cs="Arial"/>
          <w:b/>
          <w:bCs/>
          <w:sz w:val="24"/>
          <w:szCs w:val="24"/>
        </w:rPr>
        <w:t>2014 – Children and Families Act</w:t>
      </w:r>
    </w:p>
    <w:p w14:paraId="33998EB7" w14:textId="2DD43746" w:rsidR="000371B4" w:rsidRDefault="00C252A2" w:rsidP="000371B4">
      <w:pPr>
        <w:rPr>
          <w:rFonts w:ascii="Arial" w:hAnsi="Arial" w:cs="Arial"/>
          <w:sz w:val="24"/>
          <w:szCs w:val="24"/>
        </w:rPr>
      </w:pPr>
      <w:r>
        <w:rPr>
          <w:rFonts w:ascii="Arial" w:hAnsi="Arial" w:cs="Arial"/>
          <w:sz w:val="24"/>
          <w:szCs w:val="24"/>
        </w:rPr>
        <w:t>The Special Educational Needs and Disability (</w:t>
      </w:r>
      <w:r w:rsidR="004461A4">
        <w:rPr>
          <w:rFonts w:ascii="Arial" w:hAnsi="Arial" w:cs="Arial"/>
          <w:sz w:val="24"/>
          <w:szCs w:val="24"/>
        </w:rPr>
        <w:t>SEND</w:t>
      </w:r>
      <w:r>
        <w:rPr>
          <w:rFonts w:ascii="Arial" w:hAnsi="Arial" w:cs="Arial"/>
          <w:sz w:val="24"/>
          <w:szCs w:val="24"/>
        </w:rPr>
        <w:t>)</w:t>
      </w:r>
      <w:r w:rsidR="004461A4">
        <w:rPr>
          <w:rFonts w:ascii="Arial" w:hAnsi="Arial" w:cs="Arial"/>
          <w:sz w:val="24"/>
          <w:szCs w:val="24"/>
        </w:rPr>
        <w:t xml:space="preserve"> reforms, established by the 2014 Act, aim to improve support for children with special educational needs and disabilities. A significant aspect of this legislation is the introduction of Education, Health, and Care Plans (EHCPS), which replace the previous Statements of Special Educational Needs. These plans take an integrated approach by combining educational, health, and social care needs in one document. The Act also empowers families, giving them more control and choice over the support services for their children (Tysoe, Vincent, and Boulton, 2021).</w:t>
      </w:r>
    </w:p>
    <w:p w14:paraId="31C8BA5B" w14:textId="77777777" w:rsidR="004D672B" w:rsidRDefault="004D672B" w:rsidP="000371B4">
      <w:pPr>
        <w:rPr>
          <w:rFonts w:ascii="Arial" w:hAnsi="Arial" w:cs="Arial"/>
          <w:sz w:val="24"/>
          <w:szCs w:val="24"/>
        </w:rPr>
      </w:pPr>
    </w:p>
    <w:p w14:paraId="6F5EE805" w14:textId="77777777" w:rsidR="004D672B" w:rsidRPr="000371B4" w:rsidRDefault="004D672B" w:rsidP="000371B4">
      <w:pPr>
        <w:rPr>
          <w:rFonts w:ascii="Arial" w:hAnsi="Arial" w:cs="Arial"/>
          <w:sz w:val="24"/>
          <w:szCs w:val="24"/>
        </w:rPr>
      </w:pPr>
    </w:p>
    <w:p w14:paraId="05114F1B" w14:textId="26F7ED0C" w:rsidR="00C252A2" w:rsidRPr="000371B4" w:rsidRDefault="000371B4" w:rsidP="000371B4">
      <w:pPr>
        <w:rPr>
          <w:rFonts w:ascii="Arial" w:hAnsi="Arial" w:cs="Arial"/>
          <w:sz w:val="24"/>
          <w:szCs w:val="24"/>
        </w:rPr>
      </w:pPr>
      <w:r w:rsidRPr="00C170EB">
        <w:rPr>
          <w:rFonts w:ascii="Arial" w:hAnsi="Arial" w:cs="Arial"/>
          <w:sz w:val="24"/>
          <w:szCs w:val="24"/>
        </w:rPr>
        <w:lastRenderedPageBreak/>
        <w:t>Impact:</w:t>
      </w:r>
      <w:r w:rsidRPr="000371B4">
        <w:rPr>
          <w:rFonts w:ascii="Arial" w:hAnsi="Arial" w:cs="Arial"/>
          <w:sz w:val="24"/>
          <w:szCs w:val="24"/>
        </w:rPr>
        <w:br/>
      </w:r>
      <w:r w:rsidR="00C252A2">
        <w:rPr>
          <w:rFonts w:ascii="Arial" w:hAnsi="Arial" w:cs="Arial"/>
          <w:sz w:val="24"/>
          <w:szCs w:val="24"/>
        </w:rPr>
        <w:t xml:space="preserve">The legislation acknowledged </w:t>
      </w:r>
      <w:r w:rsidR="000F4715">
        <w:rPr>
          <w:rFonts w:ascii="Arial" w:hAnsi="Arial" w:cs="Arial"/>
          <w:sz w:val="24"/>
          <w:szCs w:val="24"/>
        </w:rPr>
        <w:t>children's comprehensive and interconnected needs</w:t>
      </w:r>
      <w:r w:rsidR="00C252A2">
        <w:rPr>
          <w:rFonts w:ascii="Arial" w:hAnsi="Arial" w:cs="Arial"/>
          <w:sz w:val="24"/>
          <w:szCs w:val="24"/>
        </w:rPr>
        <w:t>, prioritising an efficient method for accessing support services across various agencies. Additionally, it encompassed significant reforms in adoption processes and the family court system, reflecting a commitment to creating a nurturing and efficient environment for children's welfare (Tucker, 2025).</w:t>
      </w:r>
    </w:p>
    <w:p w14:paraId="5999654E" w14:textId="0F3B13D4" w:rsidR="00F1304B" w:rsidRDefault="000371B4" w:rsidP="000371B4">
      <w:pPr>
        <w:rPr>
          <w:rFonts w:ascii="Arial" w:hAnsi="Arial" w:cs="Arial"/>
          <w:sz w:val="24"/>
          <w:szCs w:val="24"/>
        </w:rPr>
      </w:pPr>
      <w:r w:rsidRPr="00C170EB">
        <w:rPr>
          <w:rFonts w:ascii="Arial" w:hAnsi="Arial" w:cs="Arial"/>
          <w:sz w:val="24"/>
          <w:szCs w:val="24"/>
        </w:rPr>
        <w:t>Evaluation:</w:t>
      </w:r>
      <w:r w:rsidRPr="000371B4">
        <w:rPr>
          <w:rFonts w:ascii="Arial" w:hAnsi="Arial" w:cs="Arial"/>
          <w:sz w:val="24"/>
          <w:szCs w:val="24"/>
        </w:rPr>
        <w:br/>
      </w:r>
      <w:r w:rsidR="00F55725">
        <w:rPr>
          <w:rFonts w:ascii="Arial" w:hAnsi="Arial" w:cs="Arial"/>
          <w:sz w:val="24"/>
          <w:szCs w:val="24"/>
        </w:rPr>
        <w:t xml:space="preserve">The Special Educational Needs and Disability (SEND) reforms were established </w:t>
      </w:r>
      <w:r w:rsidR="00F1304B">
        <w:rPr>
          <w:rFonts w:ascii="Arial" w:hAnsi="Arial" w:cs="Arial"/>
          <w:sz w:val="24"/>
          <w:szCs w:val="24"/>
        </w:rPr>
        <w:t>to enhance</w:t>
      </w:r>
      <w:r w:rsidR="00F55725">
        <w:rPr>
          <w:rFonts w:ascii="Arial" w:hAnsi="Arial" w:cs="Arial"/>
          <w:sz w:val="24"/>
          <w:szCs w:val="24"/>
        </w:rPr>
        <w:t xml:space="preserve"> support for children with special educational needs and disabilities. However, these reforms have </w:t>
      </w:r>
      <w:r w:rsidR="00F1304B">
        <w:rPr>
          <w:rFonts w:ascii="Arial" w:hAnsi="Arial" w:cs="Arial"/>
          <w:sz w:val="24"/>
          <w:szCs w:val="24"/>
        </w:rPr>
        <w:t>been subject to</w:t>
      </w:r>
      <w:r w:rsidR="00F55725">
        <w:rPr>
          <w:rFonts w:ascii="Arial" w:hAnsi="Arial" w:cs="Arial"/>
          <w:sz w:val="24"/>
          <w:szCs w:val="24"/>
        </w:rPr>
        <w:t xml:space="preserve"> substantial examination due to inconsistent implementation across various regions and </w:t>
      </w:r>
      <w:r w:rsidR="00F1304B">
        <w:rPr>
          <w:rFonts w:ascii="Arial" w:hAnsi="Arial" w:cs="Arial"/>
          <w:sz w:val="24"/>
          <w:szCs w:val="24"/>
        </w:rPr>
        <w:t>insufficient</w:t>
      </w:r>
      <w:r w:rsidR="00F55725">
        <w:rPr>
          <w:rFonts w:ascii="Arial" w:hAnsi="Arial" w:cs="Arial"/>
          <w:sz w:val="24"/>
          <w:szCs w:val="24"/>
        </w:rPr>
        <w:t xml:space="preserve"> funding for the required services (Cosma and Mulcare, 2022). </w:t>
      </w:r>
    </w:p>
    <w:p w14:paraId="7324BE62" w14:textId="37A718C1" w:rsidR="000371B4" w:rsidRPr="000371B4" w:rsidRDefault="00F1304B" w:rsidP="000371B4">
      <w:pPr>
        <w:rPr>
          <w:rFonts w:ascii="Arial" w:hAnsi="Arial" w:cs="Arial"/>
          <w:sz w:val="24"/>
          <w:szCs w:val="24"/>
        </w:rPr>
      </w:pPr>
      <w:r>
        <w:rPr>
          <w:rFonts w:ascii="Arial" w:hAnsi="Arial" w:cs="Arial"/>
          <w:sz w:val="24"/>
          <w:szCs w:val="24"/>
        </w:rPr>
        <w:t>Therefore</w:t>
      </w:r>
      <w:r w:rsidR="00F55725">
        <w:rPr>
          <w:rFonts w:ascii="Arial" w:hAnsi="Arial" w:cs="Arial"/>
          <w:sz w:val="24"/>
          <w:szCs w:val="24"/>
        </w:rPr>
        <w:t xml:space="preserve">, numerous families experience continual delays and are often </w:t>
      </w:r>
      <w:r w:rsidR="004D0F6A">
        <w:rPr>
          <w:rFonts w:ascii="Arial" w:hAnsi="Arial" w:cs="Arial"/>
          <w:sz w:val="24"/>
          <w:szCs w:val="24"/>
        </w:rPr>
        <w:t>constrained</w:t>
      </w:r>
      <w:r w:rsidR="00F55725">
        <w:rPr>
          <w:rFonts w:ascii="Arial" w:hAnsi="Arial" w:cs="Arial"/>
          <w:sz w:val="24"/>
          <w:szCs w:val="24"/>
        </w:rPr>
        <w:t xml:space="preserve"> to engage in legal disputes to secure essential support for their children. This ongoing issue underscores the disconnect between the </w:t>
      </w:r>
      <w:r>
        <w:rPr>
          <w:rFonts w:ascii="Arial" w:hAnsi="Arial" w:cs="Arial"/>
          <w:sz w:val="24"/>
          <w:szCs w:val="24"/>
        </w:rPr>
        <w:t>reforms' intended objectives</w:t>
      </w:r>
      <w:r w:rsidR="00F55725">
        <w:rPr>
          <w:rFonts w:ascii="Arial" w:hAnsi="Arial" w:cs="Arial"/>
          <w:sz w:val="24"/>
          <w:szCs w:val="24"/>
        </w:rPr>
        <w:t xml:space="preserve"> and the actual experiences of the families they were designed to assist </w:t>
      </w:r>
      <w:r w:rsidR="00F55725" w:rsidRPr="00F55725">
        <w:rPr>
          <w:rFonts w:ascii="Arial" w:hAnsi="Arial" w:cs="Arial"/>
          <w:sz w:val="24"/>
          <w:szCs w:val="24"/>
        </w:rPr>
        <w:t>(Salem and Kelly Browe Olson, 2024)</w:t>
      </w:r>
      <w:r w:rsidR="00F55725">
        <w:rPr>
          <w:rFonts w:ascii="Arial" w:hAnsi="Arial" w:cs="Arial"/>
          <w:sz w:val="24"/>
          <w:szCs w:val="24"/>
        </w:rPr>
        <w:t>.</w:t>
      </w:r>
    </w:p>
    <w:p w14:paraId="63A8ABC3" w14:textId="77777777" w:rsidR="000371B4" w:rsidRPr="000371B4" w:rsidRDefault="000371B4" w:rsidP="000371B4">
      <w:pPr>
        <w:rPr>
          <w:rFonts w:ascii="Arial" w:hAnsi="Arial" w:cs="Arial"/>
          <w:b/>
          <w:bCs/>
          <w:sz w:val="24"/>
          <w:szCs w:val="24"/>
        </w:rPr>
      </w:pPr>
      <w:r w:rsidRPr="000371B4">
        <w:rPr>
          <w:rFonts w:ascii="Arial" w:hAnsi="Arial" w:cs="Arial"/>
          <w:b/>
          <w:bCs/>
          <w:sz w:val="24"/>
          <w:szCs w:val="24"/>
        </w:rPr>
        <w:t>2020 – Domestic Abuse Act</w:t>
      </w:r>
    </w:p>
    <w:p w14:paraId="58D242E9" w14:textId="58628F3B" w:rsidR="000371B4" w:rsidRPr="000371B4" w:rsidRDefault="00F1304B" w:rsidP="000371B4">
      <w:pPr>
        <w:rPr>
          <w:rFonts w:ascii="Arial" w:hAnsi="Arial" w:cs="Arial"/>
          <w:sz w:val="24"/>
          <w:szCs w:val="24"/>
        </w:rPr>
      </w:pPr>
      <w:r>
        <w:rPr>
          <w:rFonts w:ascii="Arial" w:hAnsi="Arial" w:cs="Arial"/>
          <w:sz w:val="24"/>
          <w:szCs w:val="24"/>
        </w:rPr>
        <w:t xml:space="preserve">The Act acknowledges children as victims and expands the legal definitions of domestic abuse to include both </w:t>
      </w:r>
      <w:r w:rsidR="000F4715">
        <w:rPr>
          <w:rFonts w:ascii="Arial" w:hAnsi="Arial" w:cs="Arial"/>
          <w:sz w:val="24"/>
          <w:szCs w:val="24"/>
        </w:rPr>
        <w:t>strict</w:t>
      </w:r>
      <w:r>
        <w:rPr>
          <w:rFonts w:ascii="Arial" w:hAnsi="Arial" w:cs="Arial"/>
          <w:sz w:val="24"/>
          <w:szCs w:val="24"/>
        </w:rPr>
        <w:t xml:space="preserve"> control and emotional abuse. This significant enhancement recognises the detrimental effects these forms of abuse can have on children's mental and emotional health</w:t>
      </w:r>
      <w:r w:rsidR="00781AD5">
        <w:rPr>
          <w:rFonts w:ascii="Arial" w:hAnsi="Arial" w:cs="Arial"/>
          <w:sz w:val="24"/>
          <w:szCs w:val="24"/>
        </w:rPr>
        <w:t xml:space="preserve"> </w:t>
      </w:r>
      <w:r w:rsidR="00781AD5" w:rsidRPr="00781AD5">
        <w:rPr>
          <w:rFonts w:ascii="Arial" w:hAnsi="Arial" w:cs="Arial"/>
          <w:sz w:val="24"/>
          <w:szCs w:val="24"/>
        </w:rPr>
        <w:t>(Williams, 2023)</w:t>
      </w:r>
      <w:r>
        <w:rPr>
          <w:rFonts w:ascii="Arial" w:hAnsi="Arial" w:cs="Arial"/>
          <w:sz w:val="24"/>
          <w:szCs w:val="24"/>
        </w:rPr>
        <w:t xml:space="preserve">. </w:t>
      </w:r>
      <w:r w:rsidR="004D0F6A">
        <w:rPr>
          <w:rFonts w:ascii="Arial" w:hAnsi="Arial" w:cs="Arial"/>
          <w:sz w:val="24"/>
          <w:szCs w:val="24"/>
        </w:rPr>
        <w:t>Also</w:t>
      </w:r>
      <w:r>
        <w:rPr>
          <w:rFonts w:ascii="Arial" w:hAnsi="Arial" w:cs="Arial"/>
          <w:sz w:val="24"/>
          <w:szCs w:val="24"/>
        </w:rPr>
        <w:t>, the Act establishes new obligations for local authorities, requiring them to provide secure accommodation and necessary support services to safeguard the well-being of affected children and their families</w:t>
      </w:r>
      <w:r w:rsidR="00DF41FC">
        <w:rPr>
          <w:rFonts w:ascii="Arial" w:hAnsi="Arial" w:cs="Arial"/>
          <w:sz w:val="24"/>
          <w:szCs w:val="24"/>
        </w:rPr>
        <w:t xml:space="preserve"> </w:t>
      </w:r>
      <w:r w:rsidR="00DF41FC" w:rsidRPr="00DF41FC">
        <w:rPr>
          <w:rFonts w:ascii="Arial" w:hAnsi="Arial" w:cs="Arial"/>
          <w:sz w:val="24"/>
          <w:szCs w:val="24"/>
        </w:rPr>
        <w:t>(NSPCC, 2024)</w:t>
      </w:r>
      <w:r w:rsidR="00DF41FC">
        <w:rPr>
          <w:rFonts w:ascii="Arial" w:hAnsi="Arial" w:cs="Arial"/>
          <w:sz w:val="24"/>
          <w:szCs w:val="24"/>
        </w:rPr>
        <w:t>.</w:t>
      </w:r>
    </w:p>
    <w:p w14:paraId="155DD424" w14:textId="65501B10" w:rsidR="000371B4" w:rsidRPr="000371B4" w:rsidRDefault="000371B4" w:rsidP="000371B4">
      <w:pPr>
        <w:rPr>
          <w:rFonts w:ascii="Arial" w:hAnsi="Arial" w:cs="Arial"/>
          <w:sz w:val="24"/>
          <w:szCs w:val="24"/>
        </w:rPr>
      </w:pPr>
      <w:r w:rsidRPr="00C170EB">
        <w:rPr>
          <w:rFonts w:ascii="Arial" w:hAnsi="Arial" w:cs="Arial"/>
          <w:sz w:val="24"/>
          <w:szCs w:val="24"/>
        </w:rPr>
        <w:t>Impact:</w:t>
      </w:r>
      <w:r w:rsidRPr="000371B4">
        <w:rPr>
          <w:rFonts w:ascii="Arial" w:hAnsi="Arial" w:cs="Arial"/>
          <w:sz w:val="24"/>
          <w:szCs w:val="24"/>
        </w:rPr>
        <w:br/>
      </w:r>
      <w:r w:rsidR="002028ED">
        <w:rPr>
          <w:rFonts w:ascii="Arial" w:hAnsi="Arial" w:cs="Arial"/>
          <w:sz w:val="24"/>
          <w:szCs w:val="24"/>
        </w:rPr>
        <w:t xml:space="preserve">This legislation has significantly enhanced the legal framework for addressing domestic abuse, necessitating that services actively consider the experiences of children who are exposed to violence in the home. </w:t>
      </w:r>
      <w:r w:rsidR="004D0F6A">
        <w:rPr>
          <w:rFonts w:ascii="Arial" w:hAnsi="Arial" w:cs="Arial"/>
          <w:sz w:val="24"/>
          <w:szCs w:val="24"/>
        </w:rPr>
        <w:t>Moreover</w:t>
      </w:r>
      <w:r w:rsidR="002028ED">
        <w:rPr>
          <w:rFonts w:ascii="Arial" w:hAnsi="Arial" w:cs="Arial"/>
          <w:sz w:val="24"/>
          <w:szCs w:val="24"/>
        </w:rPr>
        <w:t xml:space="preserve">, it established the role of the Domestic Abuse Commissioner, whose responsibilities include monitoring practices in the field and promoting optimal outcomes for individuals affected by domestic abuse </w:t>
      </w:r>
      <w:r w:rsidR="00CA7D9C" w:rsidRPr="00CA7D9C">
        <w:rPr>
          <w:rFonts w:ascii="Arial" w:hAnsi="Arial" w:cs="Arial"/>
          <w:sz w:val="24"/>
          <w:szCs w:val="24"/>
        </w:rPr>
        <w:t>(Lawyer, 2021)</w:t>
      </w:r>
      <w:r w:rsidR="00CA7D9C">
        <w:rPr>
          <w:rFonts w:ascii="Arial" w:hAnsi="Arial" w:cs="Arial"/>
          <w:sz w:val="24"/>
          <w:szCs w:val="24"/>
        </w:rPr>
        <w:t>.</w:t>
      </w:r>
    </w:p>
    <w:p w14:paraId="5A1232A2" w14:textId="3B4BAA6B" w:rsidR="000371B4" w:rsidRPr="000371B4" w:rsidRDefault="000371B4" w:rsidP="000371B4">
      <w:pPr>
        <w:rPr>
          <w:rFonts w:ascii="Arial" w:hAnsi="Arial" w:cs="Arial"/>
          <w:sz w:val="24"/>
          <w:szCs w:val="24"/>
        </w:rPr>
      </w:pPr>
      <w:r w:rsidRPr="00451766">
        <w:rPr>
          <w:rFonts w:ascii="Arial" w:hAnsi="Arial" w:cs="Arial"/>
          <w:sz w:val="24"/>
          <w:szCs w:val="24"/>
        </w:rPr>
        <w:t>Evaluation:</w:t>
      </w:r>
      <w:r w:rsidRPr="000371B4">
        <w:rPr>
          <w:rFonts w:ascii="Arial" w:hAnsi="Arial" w:cs="Arial"/>
          <w:sz w:val="24"/>
          <w:szCs w:val="24"/>
        </w:rPr>
        <w:br/>
      </w:r>
      <w:r w:rsidR="00451766">
        <w:rPr>
          <w:rFonts w:ascii="Arial" w:hAnsi="Arial" w:cs="Arial"/>
          <w:sz w:val="24"/>
          <w:szCs w:val="24"/>
        </w:rPr>
        <w:t xml:space="preserve">Challenges remain in providing consistent assistance and resources across England and Wales, particularly for migrant families in unstable housing, leading to increased vulnerabilities (Hock et al., 2024). Local authorities face limited funding and staffing, which restricts their support capabilities. Complex bureaucratic processes further delay essential services, </w:t>
      </w:r>
      <w:r w:rsidR="007C7D26">
        <w:rPr>
          <w:rFonts w:ascii="Arial" w:hAnsi="Arial" w:cs="Arial"/>
          <w:sz w:val="24"/>
          <w:szCs w:val="24"/>
        </w:rPr>
        <w:t>exacerbating</w:t>
      </w:r>
      <w:r w:rsidR="00451766">
        <w:rPr>
          <w:rFonts w:ascii="Arial" w:hAnsi="Arial" w:cs="Arial"/>
          <w:sz w:val="24"/>
          <w:szCs w:val="24"/>
        </w:rPr>
        <w:t xml:space="preserve"> the difficulties for vulnerable populations. Effective collaboration among agencies is crucial, but differing priorities and resource limitations often lead to inconsistent service provision (Russell et al., 2022).</w:t>
      </w:r>
    </w:p>
    <w:p w14:paraId="072D5EA0" w14:textId="77777777" w:rsidR="000371B4" w:rsidRPr="000371B4" w:rsidRDefault="000371B4" w:rsidP="000371B4">
      <w:pPr>
        <w:rPr>
          <w:rFonts w:ascii="Arial" w:hAnsi="Arial" w:cs="Arial"/>
          <w:b/>
          <w:bCs/>
          <w:sz w:val="24"/>
          <w:szCs w:val="24"/>
        </w:rPr>
      </w:pPr>
      <w:r w:rsidRPr="000371B4">
        <w:rPr>
          <w:rFonts w:ascii="Arial" w:hAnsi="Arial" w:cs="Arial"/>
          <w:b/>
          <w:bCs/>
          <w:sz w:val="24"/>
          <w:szCs w:val="24"/>
        </w:rPr>
        <w:lastRenderedPageBreak/>
        <w:t>Conclusion</w:t>
      </w:r>
    </w:p>
    <w:p w14:paraId="264D1747" w14:textId="1A7ECAF1" w:rsidR="008B30EF" w:rsidRDefault="008B30EF" w:rsidP="000371B4">
      <w:pPr>
        <w:rPr>
          <w:rFonts w:ascii="Arial" w:hAnsi="Arial" w:cs="Arial"/>
          <w:sz w:val="24"/>
          <w:szCs w:val="24"/>
        </w:rPr>
      </w:pPr>
      <w:r>
        <w:rPr>
          <w:rFonts w:ascii="Arial" w:hAnsi="Arial" w:cs="Arial"/>
          <w:sz w:val="24"/>
          <w:szCs w:val="24"/>
        </w:rPr>
        <w:t>Over the six decades, safeguarding legislation in the United Kingdom has transitioned from a reactive framework to a proactive, rights-based, and multi-agency approach. Each legislative development has significantly contributed to establishing a safer environment for children and families (</w:t>
      </w:r>
      <w:r w:rsidRPr="000371B4">
        <w:rPr>
          <w:rFonts w:ascii="Arial" w:hAnsi="Arial" w:cs="Arial"/>
          <w:sz w:val="24"/>
          <w:szCs w:val="24"/>
        </w:rPr>
        <w:t xml:space="preserve">Laming, 2009) </w:t>
      </w:r>
    </w:p>
    <w:p w14:paraId="2CC1E5C4" w14:textId="796997C8" w:rsidR="000371B4" w:rsidRPr="000371B4" w:rsidRDefault="008B30EF" w:rsidP="000371B4">
      <w:pPr>
        <w:rPr>
          <w:rFonts w:ascii="Arial" w:hAnsi="Arial" w:cs="Arial"/>
          <w:sz w:val="24"/>
          <w:szCs w:val="24"/>
        </w:rPr>
      </w:pPr>
      <w:r>
        <w:rPr>
          <w:rFonts w:ascii="Arial" w:hAnsi="Arial" w:cs="Arial"/>
          <w:sz w:val="24"/>
          <w:szCs w:val="24"/>
        </w:rPr>
        <w:t>While considerable progress has been achieved in centring children's voices and enhancing institutional systems, challenges related to implementation, resource limitations, and persistent inequalities continue to exist. Future reforms were built upon these foundational achievements, focusing on strengthening preventative measures and addressing gaps in practice to ensure that every child is effectively safeguarded, supported, and heard</w:t>
      </w:r>
      <w:r w:rsidR="004A6E5B">
        <w:rPr>
          <w:rFonts w:ascii="Arial" w:hAnsi="Arial" w:cs="Arial"/>
          <w:sz w:val="24"/>
          <w:szCs w:val="24"/>
        </w:rPr>
        <w:t xml:space="preserve"> </w:t>
      </w:r>
      <w:r w:rsidR="004A6E5B" w:rsidRPr="004A6E5B">
        <w:rPr>
          <w:rFonts w:ascii="Arial" w:hAnsi="Arial" w:cs="Arial"/>
          <w:sz w:val="24"/>
          <w:szCs w:val="24"/>
        </w:rPr>
        <w:t>(Toros, 2021)</w:t>
      </w:r>
      <w:r w:rsidR="004A6E5B">
        <w:rPr>
          <w:rFonts w:ascii="Arial" w:hAnsi="Arial" w:cs="Arial"/>
          <w:sz w:val="24"/>
          <w:szCs w:val="24"/>
        </w:rPr>
        <w:t>.</w:t>
      </w:r>
    </w:p>
    <w:p w14:paraId="04CF67BC" w14:textId="77777777" w:rsidR="000371B4" w:rsidRDefault="000371B4">
      <w:pPr>
        <w:rPr>
          <w:rFonts w:ascii="Arial" w:hAnsi="Arial" w:cs="Arial"/>
          <w:sz w:val="24"/>
          <w:szCs w:val="24"/>
        </w:rPr>
      </w:pPr>
    </w:p>
    <w:p w14:paraId="1AFD82B7" w14:textId="77777777" w:rsidR="000371B4" w:rsidRDefault="000371B4">
      <w:pPr>
        <w:rPr>
          <w:rFonts w:ascii="Arial" w:hAnsi="Arial" w:cs="Arial"/>
          <w:sz w:val="24"/>
          <w:szCs w:val="24"/>
        </w:rPr>
      </w:pPr>
    </w:p>
    <w:p w14:paraId="46E50C59" w14:textId="77777777" w:rsidR="000371B4" w:rsidRDefault="000371B4">
      <w:pPr>
        <w:rPr>
          <w:rFonts w:ascii="Arial" w:hAnsi="Arial" w:cs="Arial"/>
          <w:sz w:val="24"/>
          <w:szCs w:val="24"/>
        </w:rPr>
      </w:pPr>
    </w:p>
    <w:p w14:paraId="0C13608F" w14:textId="77777777" w:rsidR="000371B4" w:rsidRDefault="000371B4">
      <w:pPr>
        <w:rPr>
          <w:rFonts w:ascii="Arial" w:hAnsi="Arial" w:cs="Arial"/>
          <w:sz w:val="24"/>
          <w:szCs w:val="24"/>
        </w:rPr>
      </w:pPr>
    </w:p>
    <w:p w14:paraId="377F9651" w14:textId="77777777" w:rsidR="006312AF" w:rsidRDefault="006312AF">
      <w:pPr>
        <w:rPr>
          <w:rFonts w:ascii="Arial" w:hAnsi="Arial" w:cs="Arial"/>
          <w:b/>
          <w:bCs/>
          <w:color w:val="FF0000"/>
          <w:sz w:val="24"/>
          <w:szCs w:val="24"/>
          <w:u w:val="single"/>
        </w:rPr>
      </w:pPr>
    </w:p>
    <w:p w14:paraId="58AC257A" w14:textId="77777777" w:rsidR="006312AF" w:rsidRDefault="006312AF">
      <w:pPr>
        <w:rPr>
          <w:rFonts w:ascii="Arial" w:hAnsi="Arial" w:cs="Arial"/>
          <w:b/>
          <w:bCs/>
          <w:color w:val="FF0000"/>
          <w:sz w:val="24"/>
          <w:szCs w:val="24"/>
          <w:u w:val="single"/>
        </w:rPr>
      </w:pPr>
    </w:p>
    <w:p w14:paraId="49600D39" w14:textId="77777777" w:rsidR="00755A54" w:rsidRDefault="00755A54">
      <w:pPr>
        <w:rPr>
          <w:rFonts w:ascii="Arial" w:hAnsi="Arial" w:cs="Arial"/>
          <w:b/>
          <w:bCs/>
          <w:sz w:val="24"/>
          <w:szCs w:val="24"/>
          <w:u w:val="single"/>
        </w:rPr>
      </w:pPr>
    </w:p>
    <w:p w14:paraId="579177BB" w14:textId="77777777" w:rsidR="00755A54" w:rsidRDefault="00755A54">
      <w:pPr>
        <w:rPr>
          <w:rFonts w:ascii="Arial" w:hAnsi="Arial" w:cs="Arial"/>
          <w:b/>
          <w:bCs/>
          <w:sz w:val="24"/>
          <w:szCs w:val="24"/>
          <w:u w:val="single"/>
        </w:rPr>
      </w:pPr>
    </w:p>
    <w:p w14:paraId="781DDBE2" w14:textId="77777777" w:rsidR="00755A54" w:rsidRDefault="00755A54">
      <w:pPr>
        <w:rPr>
          <w:rFonts w:ascii="Arial" w:hAnsi="Arial" w:cs="Arial"/>
          <w:b/>
          <w:bCs/>
          <w:sz w:val="24"/>
          <w:szCs w:val="24"/>
          <w:u w:val="single"/>
        </w:rPr>
      </w:pPr>
    </w:p>
    <w:p w14:paraId="304FC549" w14:textId="77777777" w:rsidR="00755A54" w:rsidRDefault="00755A54">
      <w:pPr>
        <w:rPr>
          <w:rFonts w:ascii="Arial" w:hAnsi="Arial" w:cs="Arial"/>
          <w:b/>
          <w:bCs/>
          <w:sz w:val="24"/>
          <w:szCs w:val="24"/>
          <w:u w:val="single"/>
        </w:rPr>
      </w:pPr>
    </w:p>
    <w:p w14:paraId="44C5B886" w14:textId="77777777" w:rsidR="00755A54" w:rsidRDefault="00755A54">
      <w:pPr>
        <w:rPr>
          <w:rFonts w:ascii="Arial" w:hAnsi="Arial" w:cs="Arial"/>
          <w:b/>
          <w:bCs/>
          <w:sz w:val="24"/>
          <w:szCs w:val="24"/>
          <w:u w:val="single"/>
        </w:rPr>
      </w:pPr>
    </w:p>
    <w:p w14:paraId="16F14B7A" w14:textId="77777777" w:rsidR="00755A54" w:rsidRDefault="00755A54">
      <w:pPr>
        <w:rPr>
          <w:rFonts w:ascii="Arial" w:hAnsi="Arial" w:cs="Arial"/>
          <w:b/>
          <w:bCs/>
          <w:sz w:val="24"/>
          <w:szCs w:val="24"/>
          <w:u w:val="single"/>
        </w:rPr>
      </w:pPr>
    </w:p>
    <w:p w14:paraId="2E4A55B6" w14:textId="77777777" w:rsidR="00755A54" w:rsidRDefault="00755A54">
      <w:pPr>
        <w:rPr>
          <w:rFonts w:ascii="Arial" w:hAnsi="Arial" w:cs="Arial"/>
          <w:b/>
          <w:bCs/>
          <w:sz w:val="24"/>
          <w:szCs w:val="24"/>
          <w:u w:val="single"/>
        </w:rPr>
      </w:pPr>
    </w:p>
    <w:p w14:paraId="0DBC73E0" w14:textId="77777777" w:rsidR="00755A54" w:rsidRDefault="00755A54">
      <w:pPr>
        <w:rPr>
          <w:rFonts w:ascii="Arial" w:hAnsi="Arial" w:cs="Arial"/>
          <w:b/>
          <w:bCs/>
          <w:sz w:val="24"/>
          <w:szCs w:val="24"/>
          <w:u w:val="single"/>
        </w:rPr>
      </w:pPr>
    </w:p>
    <w:p w14:paraId="0F2E04AA" w14:textId="77777777" w:rsidR="00755A54" w:rsidRDefault="00755A54">
      <w:pPr>
        <w:rPr>
          <w:rFonts w:ascii="Arial" w:hAnsi="Arial" w:cs="Arial"/>
          <w:b/>
          <w:bCs/>
          <w:sz w:val="24"/>
          <w:szCs w:val="24"/>
          <w:u w:val="single"/>
        </w:rPr>
      </w:pPr>
    </w:p>
    <w:p w14:paraId="04667913" w14:textId="77777777" w:rsidR="00755A54" w:rsidRDefault="00755A54">
      <w:pPr>
        <w:rPr>
          <w:rFonts w:ascii="Arial" w:hAnsi="Arial" w:cs="Arial"/>
          <w:b/>
          <w:bCs/>
          <w:sz w:val="24"/>
          <w:szCs w:val="24"/>
          <w:u w:val="single"/>
        </w:rPr>
      </w:pPr>
    </w:p>
    <w:p w14:paraId="209B4030" w14:textId="77777777" w:rsidR="00755A54" w:rsidRDefault="00755A54">
      <w:pPr>
        <w:rPr>
          <w:rFonts w:ascii="Arial" w:hAnsi="Arial" w:cs="Arial"/>
          <w:b/>
          <w:bCs/>
          <w:sz w:val="24"/>
          <w:szCs w:val="24"/>
          <w:u w:val="single"/>
        </w:rPr>
      </w:pPr>
    </w:p>
    <w:p w14:paraId="625D7D84" w14:textId="77777777" w:rsidR="00755A54" w:rsidRDefault="00755A54">
      <w:pPr>
        <w:rPr>
          <w:rFonts w:ascii="Arial" w:hAnsi="Arial" w:cs="Arial"/>
          <w:b/>
          <w:bCs/>
          <w:sz w:val="24"/>
          <w:szCs w:val="24"/>
          <w:u w:val="single"/>
        </w:rPr>
      </w:pPr>
    </w:p>
    <w:p w14:paraId="52A7219B" w14:textId="77777777" w:rsidR="007C7D26" w:rsidRDefault="007C7D26">
      <w:pPr>
        <w:rPr>
          <w:rFonts w:ascii="Arial" w:hAnsi="Arial" w:cs="Arial"/>
          <w:sz w:val="24"/>
          <w:szCs w:val="24"/>
          <w:u w:val="single"/>
        </w:rPr>
      </w:pPr>
    </w:p>
    <w:p w14:paraId="5AE45CB4" w14:textId="17C3EEA6" w:rsidR="00692624" w:rsidRPr="00755A54" w:rsidRDefault="00CC33FE">
      <w:pPr>
        <w:rPr>
          <w:rFonts w:ascii="Arial" w:hAnsi="Arial" w:cs="Arial"/>
          <w:sz w:val="24"/>
          <w:szCs w:val="24"/>
          <w:u w:val="single"/>
        </w:rPr>
      </w:pPr>
      <w:r w:rsidRPr="00755A54">
        <w:rPr>
          <w:rFonts w:ascii="Arial" w:hAnsi="Arial" w:cs="Arial"/>
          <w:sz w:val="24"/>
          <w:szCs w:val="24"/>
          <w:u w:val="single"/>
        </w:rPr>
        <w:lastRenderedPageBreak/>
        <w:t>References</w:t>
      </w:r>
      <w:r w:rsidR="00C5591D" w:rsidRPr="00755A54">
        <w:rPr>
          <w:rFonts w:ascii="Arial" w:hAnsi="Arial" w:cs="Arial"/>
          <w:sz w:val="24"/>
          <w:szCs w:val="24"/>
          <w:u w:val="single"/>
        </w:rPr>
        <w:t xml:space="preserve"> list</w:t>
      </w:r>
    </w:p>
    <w:p w14:paraId="53F01C42" w14:textId="18EDE3AD" w:rsidR="00096C16" w:rsidRDefault="00096C16">
      <w:pPr>
        <w:rPr>
          <w:rFonts w:ascii="Arial" w:hAnsi="Arial" w:cs="Arial"/>
          <w:sz w:val="24"/>
          <w:szCs w:val="24"/>
        </w:rPr>
      </w:pPr>
      <w:r w:rsidRPr="00096C16">
        <w:rPr>
          <w:rFonts w:ascii="Arial" w:hAnsi="Arial" w:cs="Arial"/>
          <w:sz w:val="24"/>
          <w:szCs w:val="24"/>
        </w:rPr>
        <w:t>Adipat, S. and Chotikapanich, R. (2022)</w:t>
      </w:r>
      <w:r>
        <w:rPr>
          <w:rFonts w:ascii="Arial" w:hAnsi="Arial" w:cs="Arial"/>
          <w:sz w:val="24"/>
          <w:szCs w:val="24"/>
        </w:rPr>
        <w:t xml:space="preserve"> ‘</w:t>
      </w:r>
      <w:r w:rsidRPr="00096C16">
        <w:rPr>
          <w:rFonts w:ascii="Arial" w:hAnsi="Arial" w:cs="Arial"/>
          <w:sz w:val="24"/>
          <w:szCs w:val="24"/>
        </w:rPr>
        <w:t>Sustainable Development Goal 4: An Education Goal to Achieve Equitable Quality Education</w:t>
      </w:r>
      <w:r>
        <w:rPr>
          <w:rFonts w:ascii="Arial" w:hAnsi="Arial" w:cs="Arial"/>
          <w:sz w:val="24"/>
          <w:szCs w:val="24"/>
        </w:rPr>
        <w:t>’,</w:t>
      </w:r>
      <w:r w:rsidRPr="00096C16">
        <w:rPr>
          <w:rFonts w:ascii="Arial" w:hAnsi="Arial" w:cs="Arial"/>
          <w:sz w:val="24"/>
          <w:szCs w:val="24"/>
        </w:rPr>
        <w:t> </w:t>
      </w:r>
      <w:r w:rsidRPr="00096C16">
        <w:rPr>
          <w:rFonts w:ascii="Arial" w:hAnsi="Arial" w:cs="Arial"/>
          <w:i/>
          <w:iCs/>
          <w:sz w:val="24"/>
          <w:szCs w:val="24"/>
        </w:rPr>
        <w:t>Academic Journal of Interdisciplinary Studies</w:t>
      </w:r>
      <w:r w:rsidRPr="00096C16">
        <w:rPr>
          <w:rFonts w:ascii="Arial" w:hAnsi="Arial" w:cs="Arial"/>
          <w:sz w:val="24"/>
          <w:szCs w:val="24"/>
        </w:rPr>
        <w:t>, 11(6), p</w:t>
      </w:r>
      <w:r>
        <w:rPr>
          <w:rFonts w:ascii="Arial" w:hAnsi="Arial" w:cs="Arial"/>
          <w:sz w:val="24"/>
          <w:szCs w:val="24"/>
        </w:rPr>
        <w:t>p</w:t>
      </w:r>
      <w:r w:rsidRPr="00096C16">
        <w:rPr>
          <w:rFonts w:ascii="Arial" w:hAnsi="Arial" w:cs="Arial"/>
          <w:sz w:val="24"/>
          <w:szCs w:val="24"/>
        </w:rPr>
        <w:t xml:space="preserve">.174. </w:t>
      </w:r>
      <w:r>
        <w:rPr>
          <w:rFonts w:ascii="Arial" w:hAnsi="Arial" w:cs="Arial"/>
          <w:sz w:val="24"/>
          <w:szCs w:val="24"/>
        </w:rPr>
        <w:t xml:space="preserve">Available at: </w:t>
      </w:r>
      <w:hyperlink r:id="rId8" w:history="1">
        <w:r w:rsidRPr="004E2E97">
          <w:rPr>
            <w:rStyle w:val="Hyperlink"/>
            <w:rFonts w:ascii="Arial" w:hAnsi="Arial" w:cs="Arial"/>
            <w:sz w:val="24"/>
            <w:szCs w:val="24"/>
          </w:rPr>
          <w:t>https://www.richtmann.org/journal/index.php/ajis/article/view/13111/12703</w:t>
        </w:r>
      </w:hyperlink>
      <w:r>
        <w:rPr>
          <w:rFonts w:ascii="Arial" w:hAnsi="Arial" w:cs="Arial"/>
          <w:sz w:val="24"/>
          <w:szCs w:val="24"/>
        </w:rPr>
        <w:t xml:space="preserve"> (Accessed 28 April 2025).</w:t>
      </w:r>
    </w:p>
    <w:p w14:paraId="13251FCE" w14:textId="3C60DCD5" w:rsidR="003E3ECD" w:rsidRDefault="003E3ECD">
      <w:pPr>
        <w:rPr>
          <w:rFonts w:ascii="Arial" w:hAnsi="Arial" w:cs="Arial"/>
          <w:sz w:val="24"/>
          <w:szCs w:val="24"/>
        </w:rPr>
      </w:pPr>
      <w:r w:rsidRPr="00692624">
        <w:rPr>
          <w:rFonts w:ascii="Arial" w:hAnsi="Arial" w:cs="Arial"/>
          <w:sz w:val="24"/>
          <w:szCs w:val="24"/>
        </w:rPr>
        <w:t>Ani, C., Ayyash, H.F. and Ogundele, M.O. (2022)</w:t>
      </w:r>
      <w:r>
        <w:rPr>
          <w:rFonts w:ascii="Arial" w:hAnsi="Arial" w:cs="Arial"/>
          <w:sz w:val="24"/>
          <w:szCs w:val="24"/>
        </w:rPr>
        <w:t xml:space="preserve"> ‘</w:t>
      </w:r>
      <w:r w:rsidRPr="00692624">
        <w:rPr>
          <w:rFonts w:ascii="Arial" w:hAnsi="Arial" w:cs="Arial"/>
          <w:sz w:val="24"/>
          <w:szCs w:val="24"/>
        </w:rPr>
        <w:t>Community paediatricians’ experience of joint working with child and adolescent mental health services: findings from a British national survey</w:t>
      </w:r>
      <w:r>
        <w:rPr>
          <w:rFonts w:ascii="Arial" w:hAnsi="Arial" w:cs="Arial"/>
          <w:sz w:val="24"/>
          <w:szCs w:val="24"/>
        </w:rPr>
        <w:t xml:space="preserve">’, </w:t>
      </w:r>
      <w:r w:rsidRPr="00692624">
        <w:rPr>
          <w:rFonts w:ascii="Arial" w:hAnsi="Arial" w:cs="Arial"/>
          <w:i/>
          <w:iCs/>
          <w:sz w:val="24"/>
          <w:szCs w:val="24"/>
        </w:rPr>
        <w:t>BMJ Paediatrics Open</w:t>
      </w:r>
      <w:r w:rsidRPr="00692624">
        <w:rPr>
          <w:rFonts w:ascii="Arial" w:hAnsi="Arial" w:cs="Arial"/>
          <w:sz w:val="24"/>
          <w:szCs w:val="24"/>
        </w:rPr>
        <w:t>, 6(1), p</w:t>
      </w:r>
      <w:r>
        <w:rPr>
          <w:rFonts w:ascii="Arial" w:hAnsi="Arial" w:cs="Arial"/>
          <w:sz w:val="24"/>
          <w:szCs w:val="24"/>
        </w:rPr>
        <w:t>p.</w:t>
      </w:r>
      <w:r w:rsidR="00D34D8C">
        <w:rPr>
          <w:rFonts w:ascii="Arial" w:hAnsi="Arial" w:cs="Arial"/>
          <w:sz w:val="24"/>
          <w:szCs w:val="24"/>
        </w:rPr>
        <w:t>1–10</w:t>
      </w:r>
      <w:r w:rsidRPr="00692624">
        <w:rPr>
          <w:rFonts w:ascii="Arial" w:hAnsi="Arial" w:cs="Arial"/>
          <w:sz w:val="24"/>
          <w:szCs w:val="24"/>
        </w:rPr>
        <w:t xml:space="preserve">. </w:t>
      </w:r>
      <w:r>
        <w:rPr>
          <w:rFonts w:ascii="Arial" w:hAnsi="Arial" w:cs="Arial"/>
          <w:sz w:val="24"/>
          <w:szCs w:val="24"/>
        </w:rPr>
        <w:t xml:space="preserve">Available at: </w:t>
      </w:r>
      <w:hyperlink r:id="rId9" w:history="1">
        <w:r w:rsidRPr="007F6911">
          <w:rPr>
            <w:rStyle w:val="Hyperlink"/>
            <w:rFonts w:ascii="Arial" w:hAnsi="Arial" w:cs="Arial"/>
            <w:sz w:val="24"/>
            <w:szCs w:val="24"/>
          </w:rPr>
          <w:t>https://bmjpaedsopen.bmj.com/content/bmjpo/6/1/e001381.full.pdf</w:t>
        </w:r>
      </w:hyperlink>
      <w:r>
        <w:rPr>
          <w:rFonts w:ascii="Arial" w:hAnsi="Arial" w:cs="Arial"/>
          <w:sz w:val="24"/>
          <w:szCs w:val="24"/>
        </w:rPr>
        <w:t xml:space="preserve"> (Accessed 23 March 2025).</w:t>
      </w:r>
    </w:p>
    <w:p w14:paraId="5797D297" w14:textId="13BD2477" w:rsidR="00105780" w:rsidRDefault="00105780">
      <w:pPr>
        <w:rPr>
          <w:rFonts w:ascii="Arial" w:hAnsi="Arial" w:cs="Arial"/>
          <w:sz w:val="24"/>
          <w:szCs w:val="24"/>
        </w:rPr>
      </w:pPr>
      <w:r w:rsidRPr="00105780">
        <w:rPr>
          <w:rFonts w:ascii="Arial" w:hAnsi="Arial" w:cs="Arial"/>
          <w:sz w:val="24"/>
          <w:szCs w:val="24"/>
        </w:rPr>
        <w:t>Anna, E., Emily, S. (2022) International Review of Research in Developmental Disabilities</w:t>
      </w:r>
      <w:r w:rsidRPr="00105780">
        <w:rPr>
          <w:rFonts w:ascii="Arial" w:hAnsi="Arial" w:cs="Arial"/>
          <w:i/>
          <w:iCs/>
          <w:sz w:val="24"/>
          <w:szCs w:val="24"/>
        </w:rPr>
        <w:t>: Contemporary Issues in Evaluating Treatment in Neurodevelopmental Disorders</w:t>
      </w:r>
      <w:r w:rsidRPr="00105780">
        <w:rPr>
          <w:rFonts w:ascii="Arial" w:hAnsi="Arial" w:cs="Arial"/>
          <w:sz w:val="24"/>
          <w:szCs w:val="24"/>
        </w:rPr>
        <w:t xml:space="preserve">. </w:t>
      </w:r>
      <w:r>
        <w:rPr>
          <w:rFonts w:ascii="Arial" w:hAnsi="Arial" w:cs="Arial"/>
          <w:sz w:val="24"/>
          <w:szCs w:val="24"/>
        </w:rPr>
        <w:t>1</w:t>
      </w:r>
      <w:r w:rsidRPr="00105780">
        <w:rPr>
          <w:rFonts w:ascii="Arial" w:hAnsi="Arial" w:cs="Arial"/>
          <w:sz w:val="24"/>
          <w:szCs w:val="24"/>
          <w:vertAlign w:val="superscript"/>
        </w:rPr>
        <w:t>st</w:t>
      </w:r>
      <w:r>
        <w:rPr>
          <w:rFonts w:ascii="Arial" w:hAnsi="Arial" w:cs="Arial"/>
          <w:sz w:val="24"/>
          <w:szCs w:val="24"/>
        </w:rPr>
        <w:t xml:space="preserve"> edn. </w:t>
      </w:r>
      <w:r w:rsidR="00D34D8C">
        <w:rPr>
          <w:rFonts w:ascii="Arial" w:hAnsi="Arial" w:cs="Arial"/>
          <w:sz w:val="24"/>
          <w:szCs w:val="24"/>
        </w:rPr>
        <w:t xml:space="preserve">London: </w:t>
      </w:r>
      <w:r w:rsidRPr="00105780">
        <w:rPr>
          <w:rFonts w:ascii="Arial" w:hAnsi="Arial" w:cs="Arial"/>
          <w:sz w:val="24"/>
          <w:szCs w:val="24"/>
        </w:rPr>
        <w:t>Elsevier</w:t>
      </w:r>
      <w:r w:rsidR="00D34D8C">
        <w:rPr>
          <w:rFonts w:ascii="Arial" w:hAnsi="Arial" w:cs="Arial"/>
          <w:sz w:val="24"/>
          <w:szCs w:val="24"/>
        </w:rPr>
        <w:t>.</w:t>
      </w:r>
    </w:p>
    <w:p w14:paraId="2564A860" w14:textId="394D1780" w:rsidR="003E3ECD" w:rsidRDefault="003E3ECD">
      <w:pPr>
        <w:rPr>
          <w:rFonts w:ascii="Arial" w:hAnsi="Arial" w:cs="Arial"/>
          <w:sz w:val="24"/>
          <w:szCs w:val="24"/>
        </w:rPr>
      </w:pPr>
      <w:r w:rsidRPr="003E3ECD">
        <w:rPr>
          <w:rFonts w:ascii="Arial" w:hAnsi="Arial" w:cs="Arial"/>
          <w:sz w:val="24"/>
          <w:szCs w:val="24"/>
        </w:rPr>
        <w:t xml:space="preserve">Amanda A. (2023) The Disabled Child: </w:t>
      </w:r>
      <w:r w:rsidRPr="003E3ECD">
        <w:rPr>
          <w:rFonts w:ascii="Arial" w:hAnsi="Arial" w:cs="Arial"/>
          <w:i/>
          <w:iCs/>
          <w:sz w:val="24"/>
          <w:szCs w:val="24"/>
        </w:rPr>
        <w:t>Memoirs of a Normal Future</w:t>
      </w:r>
      <w:r w:rsidRPr="003E3ECD">
        <w:rPr>
          <w:rFonts w:ascii="Arial" w:hAnsi="Arial" w:cs="Arial"/>
          <w:sz w:val="24"/>
          <w:szCs w:val="24"/>
        </w:rPr>
        <w:t>.</w:t>
      </w:r>
      <w:r>
        <w:rPr>
          <w:rFonts w:ascii="Arial" w:hAnsi="Arial" w:cs="Arial"/>
          <w:sz w:val="24"/>
          <w:szCs w:val="24"/>
        </w:rPr>
        <w:t xml:space="preserve"> 1</w:t>
      </w:r>
      <w:r>
        <w:rPr>
          <w:rFonts w:ascii="Arial" w:hAnsi="Arial" w:cs="Arial"/>
          <w:sz w:val="24"/>
          <w:szCs w:val="24"/>
          <w:vertAlign w:val="superscript"/>
        </w:rPr>
        <w:t xml:space="preserve">st </w:t>
      </w:r>
      <w:r>
        <w:rPr>
          <w:rFonts w:ascii="Arial" w:hAnsi="Arial" w:cs="Arial"/>
          <w:sz w:val="24"/>
          <w:szCs w:val="24"/>
        </w:rPr>
        <w:t>edn.</w:t>
      </w:r>
      <w:r w:rsidRPr="003E3ECD">
        <w:rPr>
          <w:rFonts w:ascii="Arial" w:hAnsi="Arial" w:cs="Arial"/>
          <w:sz w:val="24"/>
          <w:szCs w:val="24"/>
        </w:rPr>
        <w:t xml:space="preserve"> USA: University of Michigan Press</w:t>
      </w:r>
      <w:r>
        <w:rPr>
          <w:rFonts w:ascii="Arial" w:hAnsi="Arial" w:cs="Arial"/>
          <w:sz w:val="24"/>
          <w:szCs w:val="24"/>
        </w:rPr>
        <w:t>.</w:t>
      </w:r>
    </w:p>
    <w:p w14:paraId="4DDA9FCF" w14:textId="40F84970" w:rsidR="004C57F5" w:rsidRDefault="0089758C">
      <w:pPr>
        <w:rPr>
          <w:rFonts w:ascii="Arial" w:hAnsi="Arial" w:cs="Arial"/>
          <w:sz w:val="24"/>
          <w:szCs w:val="24"/>
        </w:rPr>
      </w:pPr>
      <w:r w:rsidRPr="0089758C">
        <w:rPr>
          <w:rFonts w:ascii="Arial" w:hAnsi="Arial" w:cs="Arial"/>
          <w:sz w:val="24"/>
          <w:szCs w:val="24"/>
        </w:rPr>
        <w:t>Atherton, G., Lewis, J. and Bolton, P. (2024)</w:t>
      </w:r>
      <w:r>
        <w:rPr>
          <w:rFonts w:ascii="Arial" w:hAnsi="Arial" w:cs="Arial"/>
          <w:sz w:val="24"/>
          <w:szCs w:val="24"/>
        </w:rPr>
        <w:t xml:space="preserve"> </w:t>
      </w:r>
      <w:r w:rsidRPr="0089758C">
        <w:rPr>
          <w:rFonts w:ascii="Arial" w:hAnsi="Arial" w:cs="Arial"/>
          <w:sz w:val="24"/>
          <w:szCs w:val="24"/>
        </w:rPr>
        <w:t>‘Higher education in the UK: Systems, policy approaches, and challenges’,</w:t>
      </w:r>
      <w:r>
        <w:rPr>
          <w:rFonts w:ascii="Arial" w:hAnsi="Arial" w:cs="Arial"/>
          <w:sz w:val="24"/>
          <w:szCs w:val="24"/>
        </w:rPr>
        <w:t xml:space="preserve"> </w:t>
      </w:r>
      <w:r w:rsidRPr="0089758C">
        <w:rPr>
          <w:rFonts w:ascii="Arial" w:hAnsi="Arial" w:cs="Arial"/>
          <w:i/>
          <w:iCs/>
          <w:sz w:val="24"/>
          <w:szCs w:val="24"/>
        </w:rPr>
        <w:t>House of Commons Library</w:t>
      </w:r>
      <w:r w:rsidR="00D34D8C">
        <w:rPr>
          <w:rFonts w:ascii="Arial" w:hAnsi="Arial" w:cs="Arial"/>
          <w:sz w:val="24"/>
          <w:szCs w:val="24"/>
        </w:rPr>
        <w:t>, pp. 1–98.</w:t>
      </w:r>
      <w:r w:rsidRPr="0089758C">
        <w:rPr>
          <w:rFonts w:ascii="Arial" w:hAnsi="Arial" w:cs="Arial"/>
          <w:sz w:val="24"/>
          <w:szCs w:val="24"/>
        </w:rPr>
        <w:t xml:space="preserve"> Available at: </w:t>
      </w:r>
      <w:hyperlink r:id="rId10" w:history="1">
        <w:r w:rsidR="00D34D8C" w:rsidRPr="00764F30">
          <w:rPr>
            <w:rStyle w:val="Hyperlink"/>
            <w:rFonts w:ascii="Arial" w:hAnsi="Arial" w:cs="Arial"/>
            <w:sz w:val="24"/>
            <w:szCs w:val="24"/>
          </w:rPr>
          <w:t>https://researchbriefings.files.parliament.uk/documents/CBP-9640/CBP-9640.pdf</w:t>
        </w:r>
      </w:hyperlink>
      <w:r w:rsidR="00D34D8C">
        <w:rPr>
          <w:rFonts w:ascii="Arial" w:hAnsi="Arial" w:cs="Arial"/>
          <w:sz w:val="24"/>
          <w:szCs w:val="24"/>
        </w:rPr>
        <w:t xml:space="preserve"> </w:t>
      </w:r>
      <w:r>
        <w:rPr>
          <w:rFonts w:ascii="Arial" w:hAnsi="Arial" w:cs="Arial"/>
          <w:sz w:val="24"/>
          <w:szCs w:val="24"/>
        </w:rPr>
        <w:t xml:space="preserve"> (Accessed 24 April 2025).</w:t>
      </w:r>
    </w:p>
    <w:p w14:paraId="6653F06C" w14:textId="32E740C1" w:rsidR="00EF205F" w:rsidRDefault="00EF205F">
      <w:pPr>
        <w:rPr>
          <w:rFonts w:ascii="Arial" w:hAnsi="Arial" w:cs="Arial"/>
          <w:sz w:val="24"/>
          <w:szCs w:val="24"/>
        </w:rPr>
      </w:pPr>
      <w:r w:rsidRPr="00EF205F">
        <w:rPr>
          <w:rFonts w:ascii="Arial" w:hAnsi="Arial" w:cs="Arial"/>
          <w:sz w:val="24"/>
          <w:szCs w:val="24"/>
        </w:rPr>
        <w:t>Balkin, R.S. (2023) Counselling Youth</w:t>
      </w:r>
      <w:r w:rsidRPr="00EF205F">
        <w:rPr>
          <w:rFonts w:ascii="Arial" w:hAnsi="Arial" w:cs="Arial"/>
          <w:i/>
          <w:iCs/>
          <w:sz w:val="24"/>
          <w:szCs w:val="24"/>
        </w:rPr>
        <w:t>: Systemic Issues and Interventions</w:t>
      </w:r>
      <w:r w:rsidRPr="00EF205F">
        <w:rPr>
          <w:rFonts w:ascii="Arial" w:hAnsi="Arial" w:cs="Arial"/>
          <w:sz w:val="24"/>
          <w:szCs w:val="24"/>
        </w:rPr>
        <w:t xml:space="preserve">. </w:t>
      </w:r>
      <w:r>
        <w:rPr>
          <w:rFonts w:ascii="Arial" w:hAnsi="Arial" w:cs="Arial"/>
          <w:sz w:val="24"/>
          <w:szCs w:val="24"/>
        </w:rPr>
        <w:t>1</w:t>
      </w:r>
      <w:r w:rsidRPr="00EF205F">
        <w:rPr>
          <w:rFonts w:ascii="Arial" w:hAnsi="Arial" w:cs="Arial"/>
          <w:sz w:val="24"/>
          <w:szCs w:val="24"/>
          <w:vertAlign w:val="superscript"/>
        </w:rPr>
        <w:t>st</w:t>
      </w:r>
      <w:r>
        <w:rPr>
          <w:rFonts w:ascii="Arial" w:hAnsi="Arial" w:cs="Arial"/>
          <w:sz w:val="24"/>
          <w:szCs w:val="24"/>
        </w:rPr>
        <w:t xml:space="preserve"> edn. </w:t>
      </w:r>
      <w:r w:rsidRPr="00EF205F">
        <w:rPr>
          <w:rFonts w:ascii="Arial" w:hAnsi="Arial" w:cs="Arial"/>
          <w:sz w:val="24"/>
          <w:szCs w:val="24"/>
        </w:rPr>
        <w:t>USA</w:t>
      </w:r>
      <w:r>
        <w:rPr>
          <w:rFonts w:ascii="Arial" w:hAnsi="Arial" w:cs="Arial"/>
          <w:sz w:val="24"/>
          <w:szCs w:val="24"/>
        </w:rPr>
        <w:t xml:space="preserve">: </w:t>
      </w:r>
      <w:r w:rsidRPr="00EF205F">
        <w:rPr>
          <w:rFonts w:ascii="Arial" w:hAnsi="Arial" w:cs="Arial"/>
          <w:sz w:val="24"/>
          <w:szCs w:val="24"/>
        </w:rPr>
        <w:t>Oxford University Press</w:t>
      </w:r>
      <w:r>
        <w:rPr>
          <w:rFonts w:ascii="Arial" w:hAnsi="Arial" w:cs="Arial"/>
          <w:sz w:val="24"/>
          <w:szCs w:val="24"/>
        </w:rPr>
        <w:t>.</w:t>
      </w:r>
    </w:p>
    <w:p w14:paraId="1A375F35" w14:textId="26C9C7BD" w:rsidR="004C57F5" w:rsidRDefault="004C57F5">
      <w:pPr>
        <w:rPr>
          <w:rFonts w:ascii="Arial" w:hAnsi="Arial" w:cs="Arial"/>
          <w:sz w:val="24"/>
          <w:szCs w:val="24"/>
        </w:rPr>
      </w:pPr>
      <w:r w:rsidRPr="004C57F5">
        <w:rPr>
          <w:rFonts w:ascii="Arial" w:hAnsi="Arial" w:cs="Arial"/>
          <w:sz w:val="24"/>
          <w:szCs w:val="24"/>
        </w:rPr>
        <w:t>Baginsky, M., Manthorpe, J. and Moriarty, J. (2020)</w:t>
      </w:r>
      <w:r>
        <w:rPr>
          <w:rFonts w:ascii="Arial" w:hAnsi="Arial" w:cs="Arial"/>
          <w:sz w:val="24"/>
          <w:szCs w:val="24"/>
        </w:rPr>
        <w:t xml:space="preserve"> ‘</w:t>
      </w:r>
      <w:r w:rsidRPr="004C57F5">
        <w:rPr>
          <w:rFonts w:ascii="Arial" w:hAnsi="Arial" w:cs="Arial"/>
          <w:sz w:val="24"/>
          <w:szCs w:val="24"/>
        </w:rPr>
        <w:t>The Framework for the Assessment of Children in Need and Their Families and Signs of Safety: Competing or Complementary Frameworks?</w:t>
      </w:r>
      <w:r>
        <w:rPr>
          <w:rFonts w:ascii="Arial" w:hAnsi="Arial" w:cs="Arial"/>
          <w:sz w:val="24"/>
          <w:szCs w:val="24"/>
        </w:rPr>
        <w:t>’,</w:t>
      </w:r>
      <w:r w:rsidRPr="004C57F5">
        <w:rPr>
          <w:rFonts w:ascii="Arial" w:hAnsi="Arial" w:cs="Arial"/>
          <w:sz w:val="24"/>
          <w:szCs w:val="24"/>
        </w:rPr>
        <w:t> </w:t>
      </w:r>
      <w:r w:rsidRPr="004C57F5">
        <w:rPr>
          <w:rFonts w:ascii="Arial" w:hAnsi="Arial" w:cs="Arial"/>
          <w:i/>
          <w:iCs/>
          <w:sz w:val="24"/>
          <w:szCs w:val="24"/>
        </w:rPr>
        <w:t>The British Journal of Social Work</w:t>
      </w:r>
      <w:r w:rsidRPr="004C57F5">
        <w:rPr>
          <w:rFonts w:ascii="Arial" w:hAnsi="Arial" w:cs="Arial"/>
          <w:sz w:val="24"/>
          <w:szCs w:val="24"/>
        </w:rPr>
        <w:t xml:space="preserve">, 51(7), pp.2571–2589. </w:t>
      </w:r>
      <w:r>
        <w:rPr>
          <w:rFonts w:ascii="Arial" w:hAnsi="Arial" w:cs="Arial"/>
          <w:sz w:val="24"/>
          <w:szCs w:val="24"/>
        </w:rPr>
        <w:t xml:space="preserve">Available at: </w:t>
      </w:r>
      <w:hyperlink r:id="rId11" w:history="1">
        <w:r w:rsidRPr="00800668">
          <w:rPr>
            <w:rStyle w:val="Hyperlink"/>
            <w:rFonts w:ascii="Arial" w:hAnsi="Arial" w:cs="Arial"/>
            <w:sz w:val="24"/>
            <w:szCs w:val="24"/>
          </w:rPr>
          <w:t>https://doi.org/10.1093/bjsw/bcaa058</w:t>
        </w:r>
      </w:hyperlink>
      <w:r>
        <w:rPr>
          <w:rFonts w:ascii="Arial" w:hAnsi="Arial" w:cs="Arial"/>
          <w:sz w:val="24"/>
          <w:szCs w:val="24"/>
        </w:rPr>
        <w:t xml:space="preserve"> (Accessed 24 April 2025).</w:t>
      </w:r>
    </w:p>
    <w:p w14:paraId="4098337C" w14:textId="65C4364F" w:rsidR="00070CCB" w:rsidRDefault="00070CCB" w:rsidP="00070CCB">
      <w:pPr>
        <w:rPr>
          <w:rFonts w:ascii="Arial" w:hAnsi="Arial" w:cs="Arial"/>
          <w:sz w:val="24"/>
          <w:szCs w:val="24"/>
        </w:rPr>
      </w:pPr>
      <w:r w:rsidRPr="00CC33FE">
        <w:rPr>
          <w:rFonts w:ascii="Arial" w:hAnsi="Arial" w:cs="Arial"/>
          <w:sz w:val="24"/>
          <w:szCs w:val="24"/>
        </w:rPr>
        <w:t>British Psychological Society (20</w:t>
      </w:r>
      <w:r w:rsidR="00D34D8C">
        <w:rPr>
          <w:rFonts w:ascii="Arial" w:hAnsi="Arial" w:cs="Arial"/>
          <w:sz w:val="24"/>
          <w:szCs w:val="24"/>
        </w:rPr>
        <w:t>17</w:t>
      </w:r>
      <w:r w:rsidRPr="00CC33FE">
        <w:rPr>
          <w:rFonts w:ascii="Arial" w:hAnsi="Arial" w:cs="Arial"/>
          <w:sz w:val="24"/>
          <w:szCs w:val="24"/>
        </w:rPr>
        <w:t>)</w:t>
      </w:r>
      <w:r>
        <w:rPr>
          <w:rFonts w:ascii="Arial" w:hAnsi="Arial" w:cs="Arial"/>
          <w:sz w:val="24"/>
          <w:szCs w:val="24"/>
        </w:rPr>
        <w:t xml:space="preserve"> </w:t>
      </w:r>
      <w:r w:rsidR="00D34D8C" w:rsidRPr="00D34D8C">
        <w:rPr>
          <w:rFonts w:ascii="Arial" w:hAnsi="Arial" w:cs="Arial"/>
          <w:i/>
          <w:iCs/>
          <w:sz w:val="24"/>
          <w:szCs w:val="24"/>
        </w:rPr>
        <w:t>Children and young people's mental health</w:t>
      </w:r>
      <w:r w:rsidRPr="00CC33FE">
        <w:rPr>
          <w:rFonts w:ascii="Arial" w:hAnsi="Arial" w:cs="Arial"/>
          <w:sz w:val="24"/>
          <w:szCs w:val="24"/>
        </w:rPr>
        <w:t xml:space="preserve">. Available at: </w:t>
      </w:r>
      <w:hyperlink r:id="rId12" w:history="1">
        <w:r w:rsidR="00D34D8C" w:rsidRPr="00764F30">
          <w:rPr>
            <w:rStyle w:val="Hyperlink"/>
            <w:rFonts w:ascii="Arial" w:hAnsi="Arial" w:cs="Arial"/>
            <w:sz w:val="24"/>
            <w:szCs w:val="24"/>
          </w:rPr>
          <w:t>https://cms.bps.org.uk/sites/default/files/2022-06/BPS%20Response%20-%20HSCC%20consultation%20on%20Children%20and%20Young%20Peoples%20Mental%20Health.pdf</w:t>
        </w:r>
      </w:hyperlink>
      <w:r w:rsidR="00D34D8C">
        <w:rPr>
          <w:rFonts w:ascii="Arial" w:hAnsi="Arial" w:cs="Arial"/>
          <w:sz w:val="24"/>
          <w:szCs w:val="24"/>
        </w:rPr>
        <w:t xml:space="preserve"> </w:t>
      </w:r>
      <w:r w:rsidRPr="00CC33FE">
        <w:rPr>
          <w:rFonts w:ascii="Arial" w:hAnsi="Arial" w:cs="Arial"/>
          <w:sz w:val="24"/>
          <w:szCs w:val="24"/>
        </w:rPr>
        <w:t>(Accessed: 24 March 2025).</w:t>
      </w:r>
    </w:p>
    <w:p w14:paraId="0F90D235" w14:textId="212B20DD" w:rsidR="001B3A7B" w:rsidRDefault="001B3A7B" w:rsidP="00070CCB">
      <w:pPr>
        <w:rPr>
          <w:rFonts w:ascii="Arial" w:hAnsi="Arial" w:cs="Arial"/>
          <w:sz w:val="24"/>
          <w:szCs w:val="24"/>
        </w:rPr>
      </w:pPr>
      <w:r w:rsidRPr="001B3A7B">
        <w:rPr>
          <w:rFonts w:ascii="Arial" w:hAnsi="Arial" w:cs="Arial"/>
          <w:sz w:val="24"/>
          <w:szCs w:val="24"/>
        </w:rPr>
        <w:t>Bronfenbrenner, U. (1979)</w:t>
      </w:r>
      <w:r>
        <w:rPr>
          <w:rFonts w:ascii="Arial" w:hAnsi="Arial" w:cs="Arial"/>
          <w:sz w:val="24"/>
          <w:szCs w:val="24"/>
        </w:rPr>
        <w:t xml:space="preserve"> The Ecology of Human Development</w:t>
      </w:r>
      <w:r w:rsidRPr="001B3A7B">
        <w:rPr>
          <w:rFonts w:ascii="Arial" w:hAnsi="Arial" w:cs="Arial"/>
          <w:sz w:val="24"/>
          <w:szCs w:val="24"/>
        </w:rPr>
        <w:t>:</w:t>
      </w:r>
      <w:r w:rsidRPr="001B3A7B">
        <w:rPr>
          <w:rFonts w:ascii="Arial" w:hAnsi="Arial" w:cs="Arial"/>
          <w:i/>
          <w:iCs/>
          <w:sz w:val="24"/>
          <w:szCs w:val="24"/>
        </w:rPr>
        <w:t xml:space="preserve"> Experiments by Nature and Design</w:t>
      </w:r>
      <w:r w:rsidRPr="001B3A7B">
        <w:rPr>
          <w:rFonts w:ascii="Arial" w:hAnsi="Arial" w:cs="Arial"/>
          <w:sz w:val="24"/>
          <w:szCs w:val="24"/>
        </w:rPr>
        <w:t>.</w:t>
      </w:r>
      <w:r>
        <w:rPr>
          <w:rFonts w:ascii="Arial" w:hAnsi="Arial" w:cs="Arial"/>
          <w:sz w:val="24"/>
          <w:szCs w:val="24"/>
        </w:rPr>
        <w:t xml:space="preserve"> 1</w:t>
      </w:r>
      <w:r w:rsidR="00D34D8C">
        <w:rPr>
          <w:rFonts w:ascii="Arial" w:hAnsi="Arial" w:cs="Arial"/>
          <w:sz w:val="24"/>
          <w:szCs w:val="24"/>
          <w:vertAlign w:val="superscript"/>
        </w:rPr>
        <w:t xml:space="preserve">st </w:t>
      </w:r>
      <w:r w:rsidR="00D34D8C">
        <w:rPr>
          <w:rFonts w:ascii="Arial" w:hAnsi="Arial" w:cs="Arial"/>
          <w:sz w:val="24"/>
          <w:szCs w:val="24"/>
        </w:rPr>
        <w:t>edn</w:t>
      </w:r>
      <w:r>
        <w:rPr>
          <w:rFonts w:ascii="Arial" w:hAnsi="Arial" w:cs="Arial"/>
          <w:sz w:val="24"/>
          <w:szCs w:val="24"/>
        </w:rPr>
        <w:t>.</w:t>
      </w:r>
      <w:r w:rsidRPr="001B3A7B">
        <w:rPr>
          <w:rFonts w:ascii="Arial" w:hAnsi="Arial" w:cs="Arial"/>
          <w:sz w:val="24"/>
          <w:szCs w:val="24"/>
        </w:rPr>
        <w:t xml:space="preserve"> Cambridge: Harvard University Press.</w:t>
      </w:r>
    </w:p>
    <w:p w14:paraId="0E41DE9D" w14:textId="77777777" w:rsidR="00D34D8C" w:rsidRDefault="00D34D8C" w:rsidP="00070CCB">
      <w:pPr>
        <w:rPr>
          <w:rFonts w:ascii="Arial" w:hAnsi="Arial" w:cs="Arial"/>
          <w:sz w:val="24"/>
          <w:szCs w:val="24"/>
        </w:rPr>
      </w:pPr>
    </w:p>
    <w:p w14:paraId="4AEAA5A0" w14:textId="77777777" w:rsidR="00D34D8C" w:rsidRDefault="00D34D8C" w:rsidP="00070CCB">
      <w:pPr>
        <w:rPr>
          <w:rFonts w:ascii="Arial" w:hAnsi="Arial" w:cs="Arial"/>
          <w:sz w:val="24"/>
          <w:szCs w:val="24"/>
        </w:rPr>
      </w:pPr>
    </w:p>
    <w:p w14:paraId="615B2F9C" w14:textId="62B838F8" w:rsidR="005A3F84" w:rsidRPr="00070CCB" w:rsidRDefault="005A3F84" w:rsidP="00070CCB">
      <w:pPr>
        <w:rPr>
          <w:rFonts w:ascii="Arial" w:hAnsi="Arial" w:cs="Arial"/>
          <w:sz w:val="24"/>
          <w:szCs w:val="24"/>
        </w:rPr>
      </w:pPr>
      <w:r w:rsidRPr="005A3F84">
        <w:rPr>
          <w:rFonts w:ascii="Arial" w:hAnsi="Arial" w:cs="Arial"/>
          <w:sz w:val="24"/>
          <w:szCs w:val="24"/>
        </w:rPr>
        <w:lastRenderedPageBreak/>
        <w:t>Buchanan, M., Blackburn, R. and Hayhurst, C. (2022)</w:t>
      </w:r>
      <w:r>
        <w:rPr>
          <w:rFonts w:ascii="Arial" w:hAnsi="Arial" w:cs="Arial"/>
          <w:sz w:val="24"/>
          <w:szCs w:val="24"/>
        </w:rPr>
        <w:t xml:space="preserve"> ‘</w:t>
      </w:r>
      <w:r w:rsidRPr="005A3F84">
        <w:rPr>
          <w:rFonts w:ascii="Arial" w:hAnsi="Arial" w:cs="Arial"/>
          <w:sz w:val="24"/>
          <w:szCs w:val="24"/>
        </w:rPr>
        <w:t>1902 Children and adolescent mental health (CAMH) services in the emergency department</w:t>
      </w:r>
      <w:r>
        <w:rPr>
          <w:rFonts w:ascii="Arial" w:hAnsi="Arial" w:cs="Arial"/>
          <w:sz w:val="24"/>
          <w:szCs w:val="24"/>
        </w:rPr>
        <w:t xml:space="preserve">’, </w:t>
      </w:r>
      <w:r w:rsidRPr="005A3F84">
        <w:rPr>
          <w:rFonts w:ascii="Arial" w:hAnsi="Arial" w:cs="Arial"/>
          <w:i/>
          <w:iCs/>
          <w:sz w:val="24"/>
          <w:szCs w:val="24"/>
        </w:rPr>
        <w:t>BMJ Paediatrics Open</w:t>
      </w:r>
      <w:r w:rsidRPr="005A3F84">
        <w:rPr>
          <w:rFonts w:ascii="Arial" w:hAnsi="Arial" w:cs="Arial"/>
          <w:sz w:val="24"/>
          <w:szCs w:val="24"/>
        </w:rPr>
        <w:t>, 6(1).</w:t>
      </w:r>
      <w:r>
        <w:rPr>
          <w:rFonts w:ascii="Arial" w:hAnsi="Arial" w:cs="Arial"/>
          <w:sz w:val="24"/>
          <w:szCs w:val="24"/>
        </w:rPr>
        <w:t xml:space="preserve"> Available at: </w:t>
      </w:r>
      <w:hyperlink r:id="rId13" w:history="1">
        <w:r w:rsidRPr="004513E9">
          <w:rPr>
            <w:rStyle w:val="Hyperlink"/>
            <w:rFonts w:ascii="Arial" w:hAnsi="Arial" w:cs="Arial"/>
            <w:sz w:val="24"/>
            <w:szCs w:val="24"/>
          </w:rPr>
          <w:t>https://doi.org/10.1136/bmjpo-2022-RCPCH.41</w:t>
        </w:r>
      </w:hyperlink>
      <w:r>
        <w:rPr>
          <w:rFonts w:ascii="Arial" w:hAnsi="Arial" w:cs="Arial"/>
          <w:sz w:val="24"/>
          <w:szCs w:val="24"/>
        </w:rPr>
        <w:t xml:space="preserve"> (Accessed 23 March 2025).</w:t>
      </w:r>
    </w:p>
    <w:p w14:paraId="2B9D24E4" w14:textId="4340FC2F" w:rsidR="00E743F3" w:rsidRDefault="00E743F3">
      <w:pPr>
        <w:rPr>
          <w:rFonts w:ascii="Arial" w:hAnsi="Arial" w:cs="Arial"/>
          <w:sz w:val="24"/>
          <w:szCs w:val="24"/>
        </w:rPr>
      </w:pPr>
      <w:r w:rsidRPr="00E743F3">
        <w:rPr>
          <w:rFonts w:ascii="Arial" w:hAnsi="Arial" w:cs="Arial"/>
          <w:sz w:val="24"/>
          <w:szCs w:val="24"/>
        </w:rPr>
        <w:t>Catty, J. (2021)</w:t>
      </w:r>
      <w:r>
        <w:rPr>
          <w:rFonts w:ascii="Arial" w:hAnsi="Arial" w:cs="Arial"/>
          <w:sz w:val="24"/>
          <w:szCs w:val="24"/>
        </w:rPr>
        <w:t xml:space="preserve"> ‘</w:t>
      </w:r>
      <w:r w:rsidRPr="00E743F3">
        <w:rPr>
          <w:rFonts w:ascii="Arial" w:hAnsi="Arial" w:cs="Arial"/>
          <w:sz w:val="24"/>
          <w:szCs w:val="24"/>
        </w:rPr>
        <w:t>Out of time: adolescents and those who wait for them</w:t>
      </w:r>
      <w:r>
        <w:rPr>
          <w:rFonts w:ascii="Arial" w:hAnsi="Arial" w:cs="Arial"/>
          <w:sz w:val="24"/>
          <w:szCs w:val="24"/>
        </w:rPr>
        <w:t>’,</w:t>
      </w:r>
      <w:r w:rsidRPr="00E743F3">
        <w:rPr>
          <w:rFonts w:ascii="Arial" w:hAnsi="Arial" w:cs="Arial"/>
          <w:i/>
          <w:iCs/>
          <w:sz w:val="24"/>
          <w:szCs w:val="24"/>
        </w:rPr>
        <w:t xml:space="preserve"> Journal of Child Psychotherapy</w:t>
      </w:r>
      <w:r w:rsidRPr="00E743F3">
        <w:rPr>
          <w:rFonts w:ascii="Arial" w:hAnsi="Arial" w:cs="Arial"/>
          <w:sz w:val="24"/>
          <w:szCs w:val="24"/>
        </w:rPr>
        <w:t xml:space="preserve">, 47(1), </w:t>
      </w:r>
      <w:r>
        <w:rPr>
          <w:rFonts w:ascii="Arial" w:hAnsi="Arial" w:cs="Arial"/>
          <w:sz w:val="24"/>
          <w:szCs w:val="24"/>
        </w:rPr>
        <w:t>pp.</w:t>
      </w:r>
      <w:r w:rsidRPr="00E743F3">
        <w:rPr>
          <w:rFonts w:ascii="Arial" w:hAnsi="Arial" w:cs="Arial"/>
          <w:sz w:val="24"/>
          <w:szCs w:val="24"/>
        </w:rPr>
        <w:t xml:space="preserve">20–34. </w:t>
      </w:r>
      <w:r>
        <w:rPr>
          <w:rFonts w:ascii="Arial" w:hAnsi="Arial" w:cs="Arial"/>
          <w:sz w:val="24"/>
          <w:szCs w:val="24"/>
        </w:rPr>
        <w:t xml:space="preserve">Available at: </w:t>
      </w:r>
      <w:hyperlink r:id="rId14" w:history="1">
        <w:r w:rsidR="00C3286F" w:rsidRPr="00764F30">
          <w:rPr>
            <w:rStyle w:val="Hyperlink"/>
            <w:rFonts w:ascii="Arial" w:hAnsi="Arial" w:cs="Arial"/>
            <w:sz w:val="24"/>
            <w:szCs w:val="24"/>
          </w:rPr>
          <w:t>https://pmc.ncbi.nlm.nih.gov/articles/PMC7612633/</w:t>
        </w:r>
      </w:hyperlink>
      <w:r w:rsidR="00C3286F">
        <w:rPr>
          <w:rFonts w:ascii="Arial" w:hAnsi="Arial" w:cs="Arial"/>
          <w:sz w:val="24"/>
          <w:szCs w:val="24"/>
        </w:rPr>
        <w:t xml:space="preserve"> </w:t>
      </w:r>
      <w:r>
        <w:rPr>
          <w:rFonts w:ascii="Arial" w:hAnsi="Arial" w:cs="Arial"/>
          <w:sz w:val="24"/>
          <w:szCs w:val="24"/>
        </w:rPr>
        <w:t>(Accessed 23 March 2025).</w:t>
      </w:r>
    </w:p>
    <w:p w14:paraId="5D1427F3" w14:textId="46AF0433" w:rsidR="00DC1F2A" w:rsidRDefault="00DC1F2A">
      <w:pPr>
        <w:rPr>
          <w:rFonts w:ascii="Arial" w:hAnsi="Arial" w:cs="Arial"/>
          <w:sz w:val="24"/>
          <w:szCs w:val="24"/>
        </w:rPr>
      </w:pPr>
      <w:r w:rsidRPr="00DC1F2A">
        <w:rPr>
          <w:rFonts w:ascii="Arial" w:hAnsi="Arial" w:cs="Arial"/>
          <w:sz w:val="24"/>
          <w:szCs w:val="24"/>
        </w:rPr>
        <w:t xml:space="preserve">Cecil, E., Forman, J., Newham, J., Hu, N., Lingam, R. and Wolfe, I. (2024) </w:t>
      </w:r>
      <w:r>
        <w:rPr>
          <w:rFonts w:ascii="Arial" w:hAnsi="Arial" w:cs="Arial"/>
          <w:sz w:val="24"/>
          <w:szCs w:val="24"/>
        </w:rPr>
        <w:t>‘</w:t>
      </w:r>
      <w:r w:rsidRPr="00DC1F2A">
        <w:rPr>
          <w:rFonts w:ascii="Arial" w:hAnsi="Arial" w:cs="Arial"/>
          <w:sz w:val="24"/>
          <w:szCs w:val="24"/>
        </w:rPr>
        <w:t>Investigating a novel population health management system to increase access to healthcare for children: a nested cross-sectional study within a cluster randomised controlled trial</w:t>
      </w:r>
      <w:r>
        <w:rPr>
          <w:rFonts w:ascii="Arial" w:hAnsi="Arial" w:cs="Arial"/>
          <w:sz w:val="24"/>
          <w:szCs w:val="24"/>
        </w:rPr>
        <w:t>’,</w:t>
      </w:r>
      <w:r w:rsidRPr="00DC1F2A">
        <w:rPr>
          <w:rFonts w:ascii="Arial" w:hAnsi="Arial" w:cs="Arial"/>
          <w:sz w:val="24"/>
          <w:szCs w:val="24"/>
        </w:rPr>
        <w:t> </w:t>
      </w:r>
      <w:r w:rsidRPr="00DC1F2A">
        <w:rPr>
          <w:rFonts w:ascii="Arial" w:hAnsi="Arial" w:cs="Arial"/>
          <w:i/>
          <w:iCs/>
          <w:sz w:val="24"/>
          <w:szCs w:val="24"/>
        </w:rPr>
        <w:t xml:space="preserve">BMJ quality </w:t>
      </w:r>
      <w:r>
        <w:rPr>
          <w:rFonts w:ascii="Arial" w:hAnsi="Arial" w:cs="Arial"/>
          <w:i/>
          <w:iCs/>
          <w:sz w:val="24"/>
          <w:szCs w:val="24"/>
        </w:rPr>
        <w:t>and</w:t>
      </w:r>
      <w:r w:rsidRPr="00DC1F2A">
        <w:rPr>
          <w:rFonts w:ascii="Arial" w:hAnsi="Arial" w:cs="Arial"/>
          <w:i/>
          <w:iCs/>
          <w:sz w:val="24"/>
          <w:szCs w:val="24"/>
        </w:rPr>
        <w:t xml:space="preserve"> safety</w:t>
      </w:r>
      <w:r w:rsidRPr="00DC1F2A">
        <w:rPr>
          <w:rFonts w:ascii="Arial" w:hAnsi="Arial" w:cs="Arial"/>
          <w:sz w:val="24"/>
          <w:szCs w:val="24"/>
        </w:rPr>
        <w:t>, 33 (11), pp.694-703</w:t>
      </w:r>
      <w:r>
        <w:rPr>
          <w:rFonts w:ascii="Arial" w:hAnsi="Arial" w:cs="Arial"/>
          <w:sz w:val="24"/>
          <w:szCs w:val="24"/>
        </w:rPr>
        <w:t xml:space="preserve"> Available at: </w:t>
      </w:r>
      <w:hyperlink r:id="rId15" w:history="1">
        <w:r w:rsidR="00C3286F" w:rsidRPr="00764F30">
          <w:rPr>
            <w:rStyle w:val="Hyperlink"/>
            <w:rFonts w:ascii="Arial" w:hAnsi="Arial" w:cs="Arial"/>
            <w:sz w:val="24"/>
            <w:szCs w:val="24"/>
          </w:rPr>
          <w:t>https://qualitysafety.bmj.com/content/qhc/33/11/694.full.pdf</w:t>
        </w:r>
      </w:hyperlink>
      <w:r w:rsidR="00C3286F">
        <w:rPr>
          <w:rFonts w:ascii="Arial" w:hAnsi="Arial" w:cs="Arial"/>
          <w:sz w:val="24"/>
          <w:szCs w:val="24"/>
        </w:rPr>
        <w:t xml:space="preserve"> </w:t>
      </w:r>
      <w:r>
        <w:rPr>
          <w:rFonts w:ascii="Arial" w:hAnsi="Arial" w:cs="Arial"/>
          <w:sz w:val="24"/>
          <w:szCs w:val="24"/>
        </w:rPr>
        <w:t>(Accessed 22 April 2025).</w:t>
      </w:r>
    </w:p>
    <w:p w14:paraId="05CEDC98" w14:textId="1A31155A" w:rsidR="00AA6385" w:rsidRDefault="00AA6385" w:rsidP="00070CCB">
      <w:pPr>
        <w:rPr>
          <w:rFonts w:ascii="Arial" w:hAnsi="Arial" w:cs="Arial"/>
          <w:sz w:val="24"/>
          <w:szCs w:val="24"/>
        </w:rPr>
      </w:pPr>
      <w:r w:rsidRPr="00AA6385">
        <w:rPr>
          <w:rFonts w:ascii="Arial" w:hAnsi="Arial" w:cs="Arial"/>
          <w:sz w:val="24"/>
          <w:szCs w:val="24"/>
        </w:rPr>
        <w:t>Chambers, D., Cantrell, A. and Booth, A. (2021)</w:t>
      </w:r>
      <w:r>
        <w:rPr>
          <w:rFonts w:ascii="Arial" w:hAnsi="Arial" w:cs="Arial"/>
          <w:sz w:val="24"/>
          <w:szCs w:val="24"/>
        </w:rPr>
        <w:t xml:space="preserve"> ‘</w:t>
      </w:r>
      <w:r w:rsidRPr="00AA6385">
        <w:rPr>
          <w:rFonts w:ascii="Arial" w:hAnsi="Arial" w:cs="Arial"/>
          <w:sz w:val="24"/>
          <w:szCs w:val="24"/>
        </w:rPr>
        <w:t xml:space="preserve">Recognition of Risk and Prevention in Safeguarding of Children and Young </w:t>
      </w:r>
      <w:r>
        <w:rPr>
          <w:rFonts w:ascii="Arial" w:hAnsi="Arial" w:cs="Arial"/>
          <w:sz w:val="24"/>
          <w:szCs w:val="24"/>
        </w:rPr>
        <w:t>People</w:t>
      </w:r>
      <w:r w:rsidRPr="00AA6385">
        <w:rPr>
          <w:rFonts w:ascii="Arial" w:hAnsi="Arial" w:cs="Arial"/>
          <w:sz w:val="24"/>
          <w:szCs w:val="24"/>
        </w:rPr>
        <w:t>: a Mapping Review and Component Analysis of Service Development Interventions Aimed at Health and Social Care Professionals</w:t>
      </w:r>
      <w:r w:rsidR="00D816C5">
        <w:rPr>
          <w:rFonts w:ascii="Arial" w:hAnsi="Arial" w:cs="Arial"/>
          <w:sz w:val="24"/>
          <w:szCs w:val="24"/>
        </w:rPr>
        <w:t>’,</w:t>
      </w:r>
      <w:r w:rsidRPr="00AA6385">
        <w:rPr>
          <w:rFonts w:ascii="Arial" w:hAnsi="Arial" w:cs="Arial"/>
          <w:sz w:val="24"/>
          <w:szCs w:val="24"/>
        </w:rPr>
        <w:t> </w:t>
      </w:r>
      <w:r w:rsidRPr="00AA6385">
        <w:rPr>
          <w:rFonts w:ascii="Arial" w:hAnsi="Arial" w:cs="Arial"/>
          <w:i/>
          <w:iCs/>
          <w:sz w:val="24"/>
          <w:szCs w:val="24"/>
        </w:rPr>
        <w:t>BMC Health Services Research</w:t>
      </w:r>
      <w:r w:rsidRPr="00AA6385">
        <w:rPr>
          <w:rFonts w:ascii="Arial" w:hAnsi="Arial" w:cs="Arial"/>
          <w:sz w:val="24"/>
          <w:szCs w:val="24"/>
        </w:rPr>
        <w:t>, 21(1)</w:t>
      </w:r>
      <w:r w:rsidR="00C3286F">
        <w:rPr>
          <w:rFonts w:ascii="Arial" w:hAnsi="Arial" w:cs="Arial"/>
          <w:sz w:val="24"/>
          <w:szCs w:val="24"/>
        </w:rPr>
        <w:t xml:space="preserve">, pp. 1–11. </w:t>
      </w:r>
      <w:r w:rsidR="00D816C5">
        <w:rPr>
          <w:rFonts w:ascii="Arial" w:hAnsi="Arial" w:cs="Arial"/>
          <w:sz w:val="24"/>
          <w:szCs w:val="24"/>
        </w:rPr>
        <w:t xml:space="preserve">Available at: </w:t>
      </w:r>
      <w:hyperlink r:id="rId16" w:history="1">
        <w:r w:rsidR="00D816C5" w:rsidRPr="00800668">
          <w:rPr>
            <w:rStyle w:val="Hyperlink"/>
            <w:rFonts w:ascii="Arial" w:hAnsi="Arial" w:cs="Arial"/>
            <w:sz w:val="24"/>
            <w:szCs w:val="24"/>
          </w:rPr>
          <w:t>https://doi.org/10.1186/s12913-021-07257-8</w:t>
        </w:r>
      </w:hyperlink>
      <w:r w:rsidR="00D816C5">
        <w:rPr>
          <w:rFonts w:ascii="Arial" w:hAnsi="Arial" w:cs="Arial"/>
          <w:sz w:val="24"/>
          <w:szCs w:val="24"/>
        </w:rPr>
        <w:t xml:space="preserve"> (Accessed 25 April 2025).</w:t>
      </w:r>
    </w:p>
    <w:p w14:paraId="043C7EA9" w14:textId="29E0614D" w:rsidR="00E3433F" w:rsidRDefault="00C40FBD" w:rsidP="00070CCB">
      <w:pPr>
        <w:rPr>
          <w:rFonts w:ascii="Arial" w:hAnsi="Arial" w:cs="Arial"/>
          <w:sz w:val="24"/>
          <w:szCs w:val="24"/>
        </w:rPr>
      </w:pPr>
      <w:r w:rsidRPr="00C40FBD">
        <w:rPr>
          <w:rFonts w:ascii="Arial" w:hAnsi="Arial" w:cs="Arial"/>
          <w:sz w:val="24"/>
          <w:szCs w:val="24"/>
        </w:rPr>
        <w:t>Clark, H., Awa, M., Coll-Seck, Banerjee, A., Peterson, S., Dalglish, S., Ameratunga, S., Balabanova, D., Kishan Bhan, M., Bhutta, Z., Borrazzo, J., Claeson, M., Doherty, T., El-Jardali, F., George, A., Gichaga, A., Gram, L., Hipgrave, D., Kwamie, A. and Meng, Q. (2020)</w:t>
      </w:r>
      <w:r>
        <w:rPr>
          <w:rFonts w:ascii="Arial" w:hAnsi="Arial" w:cs="Arial"/>
          <w:sz w:val="24"/>
          <w:szCs w:val="24"/>
        </w:rPr>
        <w:t xml:space="preserve"> ‘</w:t>
      </w:r>
      <w:r w:rsidRPr="00C40FBD">
        <w:rPr>
          <w:rFonts w:ascii="Arial" w:hAnsi="Arial" w:cs="Arial"/>
          <w:sz w:val="24"/>
          <w:szCs w:val="24"/>
        </w:rPr>
        <w:t>The Lancet Commissions</w:t>
      </w:r>
      <w:r>
        <w:rPr>
          <w:rFonts w:ascii="Arial" w:hAnsi="Arial" w:cs="Arial"/>
          <w:i/>
          <w:iCs/>
          <w:sz w:val="24"/>
          <w:szCs w:val="24"/>
        </w:rPr>
        <w:t>:</w:t>
      </w:r>
      <w:r w:rsidRPr="00C40FBD">
        <w:rPr>
          <w:rFonts w:ascii="Arial" w:hAnsi="Arial" w:cs="Arial"/>
          <w:i/>
          <w:iCs/>
          <w:sz w:val="24"/>
          <w:szCs w:val="24"/>
        </w:rPr>
        <w:t xml:space="preserve"> </w:t>
      </w:r>
      <w:r w:rsidRPr="00C40FBD">
        <w:rPr>
          <w:rFonts w:ascii="Arial" w:hAnsi="Arial" w:cs="Arial"/>
          <w:sz w:val="24"/>
          <w:szCs w:val="24"/>
        </w:rPr>
        <w:t>A future for the world’s children?</w:t>
      </w:r>
      <w:r>
        <w:rPr>
          <w:rFonts w:ascii="Arial" w:hAnsi="Arial" w:cs="Arial"/>
          <w:i/>
          <w:iCs/>
          <w:sz w:val="24"/>
          <w:szCs w:val="24"/>
        </w:rPr>
        <w:t>’,</w:t>
      </w:r>
      <w:r w:rsidRPr="00C40FBD">
        <w:rPr>
          <w:rFonts w:ascii="Arial" w:hAnsi="Arial" w:cs="Arial"/>
          <w:i/>
          <w:iCs/>
          <w:sz w:val="24"/>
          <w:szCs w:val="24"/>
        </w:rPr>
        <w:t xml:space="preserve"> A WHO-UNICEF-Lancet Commission Executive summary</w:t>
      </w:r>
      <w:r w:rsidR="00C3286F">
        <w:rPr>
          <w:rFonts w:ascii="Arial" w:hAnsi="Arial" w:cs="Arial"/>
          <w:sz w:val="24"/>
          <w:szCs w:val="24"/>
        </w:rPr>
        <w:t>, 395 (22),</w:t>
      </w:r>
      <w:r w:rsidRPr="00C40FBD">
        <w:rPr>
          <w:rFonts w:ascii="Arial" w:hAnsi="Arial" w:cs="Arial"/>
          <w:sz w:val="24"/>
          <w:szCs w:val="24"/>
        </w:rPr>
        <w:t xml:space="preserve">  </w:t>
      </w:r>
      <w:r>
        <w:rPr>
          <w:rFonts w:ascii="Arial" w:hAnsi="Arial" w:cs="Arial"/>
          <w:sz w:val="24"/>
          <w:szCs w:val="24"/>
        </w:rPr>
        <w:t>p</w:t>
      </w:r>
      <w:r w:rsidRPr="00C40FBD">
        <w:rPr>
          <w:rFonts w:ascii="Arial" w:hAnsi="Arial" w:cs="Arial"/>
          <w:sz w:val="24"/>
          <w:szCs w:val="24"/>
        </w:rPr>
        <w:t>p.</w:t>
      </w:r>
      <w:r w:rsidR="00C3286F">
        <w:rPr>
          <w:rFonts w:ascii="Arial" w:hAnsi="Arial" w:cs="Arial"/>
          <w:sz w:val="24"/>
          <w:szCs w:val="24"/>
        </w:rPr>
        <w:t xml:space="preserve"> 1–54</w:t>
      </w:r>
      <w:r w:rsidRPr="00C40FBD">
        <w:rPr>
          <w:rFonts w:ascii="Arial" w:hAnsi="Arial" w:cs="Arial"/>
          <w:sz w:val="24"/>
          <w:szCs w:val="24"/>
        </w:rPr>
        <w:t xml:space="preserve">. Available at: </w:t>
      </w:r>
      <w:hyperlink r:id="rId17" w:history="1">
        <w:r w:rsidRPr="00C40FBD">
          <w:rPr>
            <w:rStyle w:val="Hyperlink"/>
            <w:rFonts w:ascii="Arial" w:hAnsi="Arial" w:cs="Arial"/>
            <w:sz w:val="24"/>
            <w:szCs w:val="24"/>
          </w:rPr>
          <w:t>https://www.thelancet.com/action/showPdf?pii=S0140-6736%2819%2932540-1</w:t>
        </w:r>
      </w:hyperlink>
      <w:r>
        <w:rPr>
          <w:rFonts w:ascii="Arial" w:hAnsi="Arial" w:cs="Arial"/>
          <w:sz w:val="24"/>
          <w:szCs w:val="24"/>
        </w:rPr>
        <w:t xml:space="preserve"> </w:t>
      </w:r>
      <w:r w:rsidR="00B44D75">
        <w:rPr>
          <w:rFonts w:ascii="Arial" w:hAnsi="Arial" w:cs="Arial"/>
          <w:sz w:val="24"/>
          <w:szCs w:val="24"/>
        </w:rPr>
        <w:t>(</w:t>
      </w:r>
      <w:r>
        <w:rPr>
          <w:rFonts w:ascii="Arial" w:hAnsi="Arial" w:cs="Arial"/>
          <w:sz w:val="24"/>
          <w:szCs w:val="24"/>
        </w:rPr>
        <w:t>Accessed 22 April 2025</w:t>
      </w:r>
      <w:r w:rsidR="00B44D75">
        <w:rPr>
          <w:rFonts w:ascii="Arial" w:hAnsi="Arial" w:cs="Arial"/>
          <w:sz w:val="24"/>
          <w:szCs w:val="24"/>
        </w:rPr>
        <w:t>)</w:t>
      </w:r>
      <w:r>
        <w:rPr>
          <w:rFonts w:ascii="Arial" w:hAnsi="Arial" w:cs="Arial"/>
          <w:sz w:val="24"/>
          <w:szCs w:val="24"/>
        </w:rPr>
        <w:t>.</w:t>
      </w:r>
    </w:p>
    <w:p w14:paraId="2A217FA8" w14:textId="2FDF308A" w:rsidR="00B44D75" w:rsidRDefault="00B44D75" w:rsidP="00070CCB">
      <w:pPr>
        <w:rPr>
          <w:rFonts w:ascii="Arial" w:hAnsi="Arial" w:cs="Arial"/>
          <w:sz w:val="24"/>
          <w:szCs w:val="24"/>
        </w:rPr>
      </w:pPr>
      <w:r w:rsidRPr="00B44D75">
        <w:rPr>
          <w:rFonts w:ascii="Arial" w:hAnsi="Arial" w:cs="Arial"/>
          <w:sz w:val="24"/>
          <w:szCs w:val="24"/>
        </w:rPr>
        <w:t>Collett, C. (2018)</w:t>
      </w:r>
      <w:r>
        <w:rPr>
          <w:rFonts w:ascii="Arial" w:hAnsi="Arial" w:cs="Arial"/>
          <w:sz w:val="24"/>
          <w:szCs w:val="24"/>
        </w:rPr>
        <w:t xml:space="preserve"> </w:t>
      </w:r>
      <w:r w:rsidR="00D809F1">
        <w:rPr>
          <w:rFonts w:ascii="Arial" w:hAnsi="Arial" w:cs="Arial"/>
          <w:sz w:val="24"/>
          <w:szCs w:val="24"/>
        </w:rPr>
        <w:t xml:space="preserve">Diversity and Inclusion in the Early Years: </w:t>
      </w:r>
      <w:r w:rsidRPr="00B44D75">
        <w:rPr>
          <w:rFonts w:ascii="Arial" w:hAnsi="Arial" w:cs="Arial"/>
          <w:i/>
          <w:iCs/>
          <w:sz w:val="24"/>
          <w:szCs w:val="24"/>
        </w:rPr>
        <w:t>Disability and inclusion in early years education</w:t>
      </w:r>
      <w:r w:rsidRPr="00B44D75">
        <w:rPr>
          <w:rFonts w:ascii="Arial" w:hAnsi="Arial" w:cs="Arial"/>
          <w:sz w:val="24"/>
          <w:szCs w:val="24"/>
        </w:rPr>
        <w:t>.</w:t>
      </w:r>
      <w:r>
        <w:rPr>
          <w:rFonts w:ascii="Arial" w:hAnsi="Arial" w:cs="Arial"/>
          <w:sz w:val="24"/>
          <w:szCs w:val="24"/>
        </w:rPr>
        <w:t xml:space="preserve"> 1</w:t>
      </w:r>
      <w:r w:rsidRPr="00B44D75">
        <w:rPr>
          <w:rFonts w:ascii="Arial" w:hAnsi="Arial" w:cs="Arial"/>
          <w:sz w:val="24"/>
          <w:szCs w:val="24"/>
          <w:vertAlign w:val="superscript"/>
        </w:rPr>
        <w:t>st</w:t>
      </w:r>
      <w:r>
        <w:rPr>
          <w:rFonts w:ascii="Arial" w:hAnsi="Arial" w:cs="Arial"/>
          <w:sz w:val="24"/>
          <w:szCs w:val="24"/>
        </w:rPr>
        <w:t xml:space="preserve"> edn.</w:t>
      </w:r>
      <w:r w:rsidRPr="00B44D75">
        <w:rPr>
          <w:rFonts w:ascii="Arial" w:hAnsi="Arial" w:cs="Arial"/>
          <w:sz w:val="24"/>
          <w:szCs w:val="24"/>
        </w:rPr>
        <w:t xml:space="preserve"> </w:t>
      </w:r>
      <w:r w:rsidR="00D809F1">
        <w:rPr>
          <w:rFonts w:ascii="Arial" w:hAnsi="Arial" w:cs="Arial"/>
          <w:sz w:val="24"/>
          <w:szCs w:val="24"/>
        </w:rPr>
        <w:t>London: Routledge.</w:t>
      </w:r>
    </w:p>
    <w:p w14:paraId="1C7B4C45" w14:textId="2A414644" w:rsidR="00E3433F" w:rsidRDefault="00E3433F" w:rsidP="00070CCB">
      <w:pPr>
        <w:rPr>
          <w:rFonts w:ascii="Arial" w:hAnsi="Arial" w:cs="Arial"/>
          <w:sz w:val="24"/>
          <w:szCs w:val="24"/>
        </w:rPr>
      </w:pPr>
      <w:r w:rsidRPr="00E3433F">
        <w:rPr>
          <w:rFonts w:ascii="Arial" w:hAnsi="Arial" w:cs="Arial"/>
          <w:sz w:val="24"/>
          <w:szCs w:val="24"/>
        </w:rPr>
        <w:t>Conti, G., Morris, S. and Melnychuk, M. (2017)</w:t>
      </w:r>
      <w:r>
        <w:rPr>
          <w:rFonts w:ascii="Arial" w:hAnsi="Arial" w:cs="Arial"/>
          <w:sz w:val="24"/>
          <w:szCs w:val="24"/>
        </w:rPr>
        <w:t xml:space="preserve"> </w:t>
      </w:r>
      <w:r w:rsidR="00C3286F">
        <w:rPr>
          <w:rFonts w:ascii="Arial" w:hAnsi="Arial" w:cs="Arial"/>
          <w:sz w:val="24"/>
          <w:szCs w:val="24"/>
        </w:rPr>
        <w:t>‘</w:t>
      </w:r>
      <w:r w:rsidRPr="00E3433F">
        <w:rPr>
          <w:rFonts w:ascii="Arial" w:hAnsi="Arial" w:cs="Arial"/>
          <w:sz w:val="24"/>
          <w:szCs w:val="24"/>
        </w:rPr>
        <w:t>The Economic Costs of Child Maltreatment in the UK</w:t>
      </w:r>
      <w:r w:rsidR="00C3286F">
        <w:rPr>
          <w:rFonts w:ascii="Arial" w:hAnsi="Arial" w:cs="Arial"/>
          <w:sz w:val="24"/>
          <w:szCs w:val="24"/>
        </w:rPr>
        <w:t>’,</w:t>
      </w:r>
      <w:r>
        <w:rPr>
          <w:rFonts w:ascii="Arial" w:hAnsi="Arial" w:cs="Arial"/>
          <w:i/>
          <w:iCs/>
          <w:sz w:val="24"/>
          <w:szCs w:val="24"/>
        </w:rPr>
        <w:t xml:space="preserve"> A</w:t>
      </w:r>
      <w:r w:rsidRPr="00E3433F">
        <w:rPr>
          <w:rFonts w:ascii="Arial" w:hAnsi="Arial" w:cs="Arial"/>
          <w:i/>
          <w:iCs/>
          <w:sz w:val="24"/>
          <w:szCs w:val="24"/>
        </w:rPr>
        <w:t xml:space="preserve"> Preliminary Study</w:t>
      </w:r>
      <w:r w:rsidR="00C3286F">
        <w:rPr>
          <w:rFonts w:ascii="Arial" w:hAnsi="Arial" w:cs="Arial"/>
          <w:sz w:val="24"/>
          <w:szCs w:val="24"/>
        </w:rPr>
        <w:t>, pp. 1–59.</w:t>
      </w:r>
      <w:r w:rsidRPr="00E3433F">
        <w:rPr>
          <w:rFonts w:ascii="Arial" w:hAnsi="Arial" w:cs="Arial"/>
          <w:sz w:val="24"/>
          <w:szCs w:val="24"/>
        </w:rPr>
        <w:t xml:space="preserve"> Available at: </w:t>
      </w:r>
      <w:bookmarkStart w:id="0" w:name="_Hlk196293068"/>
      <w:r>
        <w:rPr>
          <w:rFonts w:ascii="Arial" w:hAnsi="Arial" w:cs="Arial"/>
          <w:sz w:val="24"/>
          <w:szCs w:val="24"/>
        </w:rPr>
        <w:fldChar w:fldCharType="begin"/>
      </w:r>
      <w:r>
        <w:rPr>
          <w:rFonts w:ascii="Arial" w:hAnsi="Arial" w:cs="Arial"/>
          <w:sz w:val="24"/>
          <w:szCs w:val="24"/>
        </w:rPr>
        <w:instrText>HYPERLINK "</w:instrText>
      </w:r>
      <w:r w:rsidRPr="00E3433F">
        <w:rPr>
          <w:rFonts w:ascii="Arial" w:hAnsi="Arial" w:cs="Arial"/>
          <w:sz w:val="24"/>
          <w:szCs w:val="24"/>
        </w:rPr>
        <w:instrText>https://learning.nspcc.org.uk/media/1094/economic-cost-child-maltreatment-united-kingdom-preliminary-study.pdf</w:instrText>
      </w:r>
      <w:r>
        <w:rPr>
          <w:rFonts w:ascii="Arial" w:hAnsi="Arial" w:cs="Arial"/>
          <w:sz w:val="24"/>
          <w:szCs w:val="24"/>
        </w:rPr>
        <w:instrText>"</w:instrText>
      </w:r>
      <w:r>
        <w:rPr>
          <w:rFonts w:ascii="Arial" w:hAnsi="Arial" w:cs="Arial"/>
          <w:sz w:val="24"/>
          <w:szCs w:val="24"/>
        </w:rPr>
      </w:r>
      <w:r>
        <w:rPr>
          <w:rFonts w:ascii="Arial" w:hAnsi="Arial" w:cs="Arial"/>
          <w:sz w:val="24"/>
          <w:szCs w:val="24"/>
        </w:rPr>
        <w:fldChar w:fldCharType="separate"/>
      </w:r>
      <w:r w:rsidRPr="00E81C14">
        <w:rPr>
          <w:rStyle w:val="Hyperlink"/>
          <w:rFonts w:ascii="Arial" w:hAnsi="Arial" w:cs="Arial"/>
          <w:sz w:val="24"/>
          <w:szCs w:val="24"/>
        </w:rPr>
        <w:t>https://learning.nspcc.org.uk/media/1094/economic-cost-child-maltreatment-united-kingdom-preliminary-study.pdf</w:t>
      </w:r>
      <w:r>
        <w:rPr>
          <w:rFonts w:ascii="Arial" w:hAnsi="Arial" w:cs="Arial"/>
          <w:sz w:val="24"/>
          <w:szCs w:val="24"/>
        </w:rPr>
        <w:fldChar w:fldCharType="end"/>
      </w:r>
      <w:bookmarkEnd w:id="0"/>
      <w:r>
        <w:rPr>
          <w:rFonts w:ascii="Arial" w:hAnsi="Arial" w:cs="Arial"/>
          <w:sz w:val="24"/>
          <w:szCs w:val="24"/>
        </w:rPr>
        <w:t xml:space="preserve"> (Accessed 22 April 2025).</w:t>
      </w:r>
    </w:p>
    <w:p w14:paraId="63C5C164" w14:textId="4997CFEF" w:rsidR="00595D73" w:rsidRDefault="00595D73" w:rsidP="00070CCB">
      <w:pPr>
        <w:rPr>
          <w:rFonts w:ascii="Arial" w:hAnsi="Arial" w:cs="Arial"/>
          <w:sz w:val="24"/>
          <w:szCs w:val="24"/>
        </w:rPr>
      </w:pPr>
      <w:r w:rsidRPr="00595D73">
        <w:rPr>
          <w:rFonts w:ascii="Arial" w:hAnsi="Arial" w:cs="Arial"/>
          <w:sz w:val="24"/>
          <w:szCs w:val="24"/>
        </w:rPr>
        <w:t>Cosma, P. and Mulcare, R. (2022)</w:t>
      </w:r>
      <w:r>
        <w:rPr>
          <w:rFonts w:ascii="Arial" w:hAnsi="Arial" w:cs="Arial"/>
          <w:sz w:val="24"/>
          <w:szCs w:val="24"/>
        </w:rPr>
        <w:t xml:space="preserve"> ‘EHCPS: A help or a hindrance</w:t>
      </w:r>
      <w:r w:rsidRPr="00595D73">
        <w:rPr>
          <w:rFonts w:ascii="Arial" w:hAnsi="Arial" w:cs="Arial"/>
          <w:sz w:val="24"/>
          <w:szCs w:val="24"/>
        </w:rPr>
        <w:t xml:space="preserve"> to the inclusion of young people who have offended? An exploration of EP’s perceptions of the facilitating factors and barriers of </w:t>
      </w:r>
      <w:r>
        <w:rPr>
          <w:rFonts w:ascii="Arial" w:hAnsi="Arial" w:cs="Arial"/>
          <w:sz w:val="24"/>
          <w:szCs w:val="24"/>
        </w:rPr>
        <w:t>EHCPS</w:t>
      </w:r>
      <w:r w:rsidRPr="00595D73">
        <w:rPr>
          <w:rFonts w:ascii="Arial" w:hAnsi="Arial" w:cs="Arial"/>
          <w:sz w:val="24"/>
          <w:szCs w:val="24"/>
        </w:rPr>
        <w:t xml:space="preserve"> and the SEN processes involved in Youth Justice</w:t>
      </w:r>
      <w:r>
        <w:rPr>
          <w:rFonts w:ascii="Arial" w:hAnsi="Arial" w:cs="Arial"/>
          <w:sz w:val="24"/>
          <w:szCs w:val="24"/>
        </w:rPr>
        <w:t>,</w:t>
      </w:r>
      <w:r w:rsidRPr="00595D73">
        <w:rPr>
          <w:rFonts w:ascii="Arial" w:hAnsi="Arial" w:cs="Arial"/>
          <w:sz w:val="24"/>
          <w:szCs w:val="24"/>
        </w:rPr>
        <w:t> </w:t>
      </w:r>
      <w:r w:rsidRPr="00595D73">
        <w:rPr>
          <w:rFonts w:ascii="Arial" w:hAnsi="Arial" w:cs="Arial"/>
          <w:i/>
          <w:iCs/>
          <w:sz w:val="24"/>
          <w:szCs w:val="24"/>
        </w:rPr>
        <w:t>Educational and Child Psychology</w:t>
      </w:r>
      <w:r w:rsidRPr="00595D73">
        <w:rPr>
          <w:rFonts w:ascii="Arial" w:hAnsi="Arial" w:cs="Arial"/>
          <w:sz w:val="24"/>
          <w:szCs w:val="24"/>
        </w:rPr>
        <w:t xml:space="preserve">, 39(2) pp.42–55. </w:t>
      </w:r>
      <w:r>
        <w:rPr>
          <w:rFonts w:ascii="Arial" w:hAnsi="Arial" w:cs="Arial"/>
          <w:sz w:val="24"/>
          <w:szCs w:val="24"/>
        </w:rPr>
        <w:t xml:space="preserve">Available at: </w:t>
      </w:r>
      <w:hyperlink r:id="rId18" w:history="1">
        <w:r w:rsidRPr="00800668">
          <w:rPr>
            <w:rStyle w:val="Hyperlink"/>
            <w:rFonts w:ascii="Arial" w:hAnsi="Arial" w:cs="Arial"/>
            <w:sz w:val="24"/>
            <w:szCs w:val="24"/>
          </w:rPr>
          <w:t>https://doi.org/10.53841/bpsecp.2022.39.2.42</w:t>
        </w:r>
      </w:hyperlink>
      <w:r>
        <w:rPr>
          <w:rFonts w:ascii="Arial" w:hAnsi="Arial" w:cs="Arial"/>
          <w:sz w:val="24"/>
          <w:szCs w:val="24"/>
        </w:rPr>
        <w:t xml:space="preserve"> (Accessed 25 April 2025).</w:t>
      </w:r>
    </w:p>
    <w:p w14:paraId="04537A92" w14:textId="77777777" w:rsidR="00954A32" w:rsidRDefault="00954A32" w:rsidP="00070CCB">
      <w:pPr>
        <w:rPr>
          <w:rFonts w:ascii="Arial" w:hAnsi="Arial" w:cs="Arial"/>
          <w:sz w:val="24"/>
          <w:szCs w:val="24"/>
        </w:rPr>
      </w:pPr>
    </w:p>
    <w:p w14:paraId="6BC17796" w14:textId="6010ECA6" w:rsidR="007C1A0B" w:rsidRDefault="007C1A0B" w:rsidP="00070CCB">
      <w:pPr>
        <w:rPr>
          <w:rFonts w:ascii="Arial" w:hAnsi="Arial" w:cs="Arial"/>
          <w:sz w:val="24"/>
          <w:szCs w:val="24"/>
        </w:rPr>
      </w:pPr>
      <w:r w:rsidRPr="007C1A0B">
        <w:rPr>
          <w:rFonts w:ascii="Arial" w:hAnsi="Arial" w:cs="Arial"/>
          <w:sz w:val="24"/>
          <w:szCs w:val="24"/>
        </w:rPr>
        <w:lastRenderedPageBreak/>
        <w:t>Cross, T.P., Vandervort, F.E. and Block, S.D. (2023)</w:t>
      </w:r>
      <w:r>
        <w:rPr>
          <w:rFonts w:ascii="Arial" w:hAnsi="Arial" w:cs="Arial"/>
          <w:sz w:val="24"/>
          <w:szCs w:val="24"/>
        </w:rPr>
        <w:t xml:space="preserve"> </w:t>
      </w:r>
      <w:r w:rsidRPr="007C1A0B">
        <w:rPr>
          <w:rFonts w:ascii="Arial" w:hAnsi="Arial" w:cs="Arial"/>
          <w:i/>
          <w:iCs/>
          <w:sz w:val="24"/>
          <w:szCs w:val="24"/>
        </w:rPr>
        <w:t>Commentary: The Legal System Response to Child Maltreatment</w:t>
      </w:r>
      <w:r>
        <w:rPr>
          <w:rFonts w:ascii="Arial" w:hAnsi="Arial" w:cs="Arial"/>
          <w:sz w:val="24"/>
          <w:szCs w:val="24"/>
        </w:rPr>
        <w:t>,</w:t>
      </w:r>
      <w:r w:rsidR="00954A32">
        <w:rPr>
          <w:rFonts w:ascii="Arial" w:hAnsi="Arial" w:cs="Arial"/>
          <w:sz w:val="24"/>
          <w:szCs w:val="24"/>
        </w:rPr>
        <w:t xml:space="preserve"> 28(3)</w:t>
      </w:r>
      <w:r>
        <w:rPr>
          <w:rFonts w:ascii="Arial" w:hAnsi="Arial" w:cs="Arial"/>
          <w:sz w:val="24"/>
          <w:szCs w:val="24"/>
        </w:rPr>
        <w:t xml:space="preserve"> </w:t>
      </w:r>
      <w:r w:rsidRPr="007C1A0B">
        <w:rPr>
          <w:rFonts w:ascii="Arial" w:hAnsi="Arial" w:cs="Arial"/>
          <w:sz w:val="24"/>
          <w:szCs w:val="24"/>
        </w:rPr>
        <w:t>p</w:t>
      </w:r>
      <w:r>
        <w:rPr>
          <w:rFonts w:ascii="Arial" w:hAnsi="Arial" w:cs="Arial"/>
          <w:sz w:val="24"/>
          <w:szCs w:val="24"/>
        </w:rPr>
        <w:t>p</w:t>
      </w:r>
      <w:r w:rsidRPr="007C1A0B">
        <w:rPr>
          <w:rFonts w:ascii="Arial" w:hAnsi="Arial" w:cs="Arial"/>
          <w:sz w:val="24"/>
          <w:szCs w:val="24"/>
        </w:rPr>
        <w:t>.1</w:t>
      </w:r>
      <w:r w:rsidR="00954A32">
        <w:rPr>
          <w:rFonts w:ascii="Arial" w:hAnsi="Arial" w:cs="Arial"/>
          <w:sz w:val="24"/>
          <w:szCs w:val="24"/>
        </w:rPr>
        <w:t>–</w:t>
      </w:r>
      <w:r w:rsidRPr="007C1A0B">
        <w:rPr>
          <w:rFonts w:ascii="Arial" w:hAnsi="Arial" w:cs="Arial"/>
          <w:sz w:val="24"/>
          <w:szCs w:val="24"/>
        </w:rPr>
        <w:t xml:space="preserve">4. </w:t>
      </w:r>
      <w:r>
        <w:rPr>
          <w:rFonts w:ascii="Arial" w:hAnsi="Arial" w:cs="Arial"/>
          <w:sz w:val="24"/>
          <w:szCs w:val="24"/>
        </w:rPr>
        <w:t xml:space="preserve">Available at: </w:t>
      </w:r>
      <w:hyperlink r:id="rId19" w:history="1">
        <w:r w:rsidR="00954A32" w:rsidRPr="00764F30">
          <w:rPr>
            <w:rStyle w:val="Hyperlink"/>
            <w:rFonts w:ascii="Arial" w:hAnsi="Arial" w:cs="Arial"/>
            <w:sz w:val="24"/>
            <w:szCs w:val="24"/>
          </w:rPr>
          <w:t>https://journals.sagepub.com/doi/pdf/10.1177/10775595231176447?casa_token=0pojwXP1dewAAAAA:sEHp-0PKG0EHRI0YmaKBTgTFNjKsZKtz5IRQS3aJujbGn-30ni189bucA5xOFsGCzfMsfy2iNo4zyA</w:t>
        </w:r>
      </w:hyperlink>
      <w:r w:rsidR="00954A32">
        <w:rPr>
          <w:rFonts w:ascii="Arial" w:hAnsi="Arial" w:cs="Arial"/>
          <w:sz w:val="24"/>
          <w:szCs w:val="24"/>
        </w:rPr>
        <w:t xml:space="preserve"> </w:t>
      </w:r>
      <w:r>
        <w:rPr>
          <w:rFonts w:ascii="Arial" w:hAnsi="Arial" w:cs="Arial"/>
          <w:sz w:val="24"/>
          <w:szCs w:val="24"/>
        </w:rPr>
        <w:t xml:space="preserve"> (Accessed 22 April 2025).</w:t>
      </w:r>
    </w:p>
    <w:p w14:paraId="2A5D0E09" w14:textId="1191D37C" w:rsidR="00101978" w:rsidRDefault="007D746E">
      <w:pPr>
        <w:rPr>
          <w:rFonts w:ascii="Arial" w:hAnsi="Arial" w:cs="Arial"/>
          <w:sz w:val="24"/>
          <w:szCs w:val="24"/>
        </w:rPr>
      </w:pPr>
      <w:r w:rsidRPr="007D746E">
        <w:rPr>
          <w:rFonts w:ascii="Arial" w:hAnsi="Arial" w:cs="Arial"/>
          <w:sz w:val="24"/>
          <w:szCs w:val="24"/>
        </w:rPr>
        <w:t>Davidson, J.C. and Bifulco, A. (2018)</w:t>
      </w:r>
      <w:r>
        <w:rPr>
          <w:rFonts w:ascii="Arial" w:hAnsi="Arial" w:cs="Arial"/>
          <w:sz w:val="24"/>
          <w:szCs w:val="24"/>
        </w:rPr>
        <w:t xml:space="preserve"> </w:t>
      </w:r>
      <w:r w:rsidRPr="007D746E">
        <w:rPr>
          <w:rFonts w:ascii="Arial" w:hAnsi="Arial" w:cs="Arial"/>
          <w:sz w:val="24"/>
          <w:szCs w:val="24"/>
        </w:rPr>
        <w:t>Child abuse and protection</w:t>
      </w:r>
      <w:r w:rsidRPr="007D746E">
        <w:rPr>
          <w:rFonts w:ascii="Arial" w:hAnsi="Arial" w:cs="Arial"/>
          <w:i/>
          <w:iCs/>
          <w:sz w:val="24"/>
          <w:szCs w:val="24"/>
        </w:rPr>
        <w:t xml:space="preserve">: </w:t>
      </w:r>
      <w:r w:rsidR="009B557F">
        <w:rPr>
          <w:rFonts w:ascii="Arial" w:hAnsi="Arial" w:cs="Arial"/>
          <w:i/>
          <w:iCs/>
          <w:sz w:val="24"/>
          <w:szCs w:val="24"/>
        </w:rPr>
        <w:t>C</w:t>
      </w:r>
      <w:r w:rsidRPr="007D746E">
        <w:rPr>
          <w:rFonts w:ascii="Arial" w:hAnsi="Arial" w:cs="Arial"/>
          <w:i/>
          <w:iCs/>
          <w:sz w:val="24"/>
          <w:szCs w:val="24"/>
        </w:rPr>
        <w:t xml:space="preserve">ontemporary </w:t>
      </w:r>
      <w:r w:rsidR="009B557F">
        <w:rPr>
          <w:rFonts w:ascii="Arial" w:hAnsi="Arial" w:cs="Arial"/>
          <w:i/>
          <w:iCs/>
          <w:sz w:val="24"/>
          <w:szCs w:val="24"/>
        </w:rPr>
        <w:t>I</w:t>
      </w:r>
      <w:r w:rsidRPr="007D746E">
        <w:rPr>
          <w:rFonts w:ascii="Arial" w:hAnsi="Arial" w:cs="Arial"/>
          <w:i/>
          <w:iCs/>
          <w:sz w:val="24"/>
          <w:szCs w:val="24"/>
        </w:rPr>
        <w:t xml:space="preserve">ssues in </w:t>
      </w:r>
      <w:r w:rsidR="009B557F">
        <w:rPr>
          <w:rFonts w:ascii="Arial" w:hAnsi="Arial" w:cs="Arial"/>
          <w:i/>
          <w:iCs/>
          <w:sz w:val="24"/>
          <w:szCs w:val="24"/>
        </w:rPr>
        <w:t>R</w:t>
      </w:r>
      <w:r w:rsidRPr="007D746E">
        <w:rPr>
          <w:rFonts w:ascii="Arial" w:hAnsi="Arial" w:cs="Arial"/>
          <w:i/>
          <w:iCs/>
          <w:sz w:val="24"/>
          <w:szCs w:val="24"/>
        </w:rPr>
        <w:t xml:space="preserve">esearch, </w:t>
      </w:r>
      <w:r w:rsidR="009B557F">
        <w:rPr>
          <w:rFonts w:ascii="Arial" w:hAnsi="Arial" w:cs="Arial"/>
          <w:i/>
          <w:iCs/>
          <w:sz w:val="24"/>
          <w:szCs w:val="24"/>
        </w:rPr>
        <w:t>P</w:t>
      </w:r>
      <w:r w:rsidRPr="007D746E">
        <w:rPr>
          <w:rFonts w:ascii="Arial" w:hAnsi="Arial" w:cs="Arial"/>
          <w:i/>
          <w:iCs/>
          <w:sz w:val="24"/>
          <w:szCs w:val="24"/>
        </w:rPr>
        <w:t xml:space="preserve">olicy and </w:t>
      </w:r>
      <w:r w:rsidR="009B557F">
        <w:rPr>
          <w:rFonts w:ascii="Arial" w:hAnsi="Arial" w:cs="Arial"/>
          <w:i/>
          <w:iCs/>
          <w:sz w:val="24"/>
          <w:szCs w:val="24"/>
        </w:rPr>
        <w:t>P</w:t>
      </w:r>
      <w:r w:rsidRPr="007D746E">
        <w:rPr>
          <w:rFonts w:ascii="Arial" w:hAnsi="Arial" w:cs="Arial"/>
          <w:i/>
          <w:iCs/>
          <w:sz w:val="24"/>
          <w:szCs w:val="24"/>
        </w:rPr>
        <w:t>ractice</w:t>
      </w:r>
      <w:r w:rsidRPr="007D746E">
        <w:rPr>
          <w:rFonts w:ascii="Arial" w:hAnsi="Arial" w:cs="Arial"/>
          <w:sz w:val="24"/>
          <w:szCs w:val="24"/>
        </w:rPr>
        <w:t xml:space="preserve">. </w:t>
      </w:r>
      <w:r w:rsidR="009B557F">
        <w:rPr>
          <w:rFonts w:ascii="Arial" w:hAnsi="Arial" w:cs="Arial"/>
          <w:sz w:val="24"/>
          <w:szCs w:val="24"/>
        </w:rPr>
        <w:t>1</w:t>
      </w:r>
      <w:r w:rsidR="009B557F" w:rsidRPr="009B557F">
        <w:rPr>
          <w:rFonts w:ascii="Arial" w:hAnsi="Arial" w:cs="Arial"/>
          <w:sz w:val="24"/>
          <w:szCs w:val="24"/>
          <w:vertAlign w:val="superscript"/>
        </w:rPr>
        <w:t>st</w:t>
      </w:r>
      <w:r w:rsidR="009B557F">
        <w:rPr>
          <w:rFonts w:ascii="Arial" w:hAnsi="Arial" w:cs="Arial"/>
          <w:sz w:val="24"/>
          <w:szCs w:val="24"/>
        </w:rPr>
        <w:t xml:space="preserve"> edn. </w:t>
      </w:r>
      <w:r w:rsidRPr="007D746E">
        <w:rPr>
          <w:rFonts w:ascii="Arial" w:hAnsi="Arial" w:cs="Arial"/>
          <w:sz w:val="24"/>
          <w:szCs w:val="24"/>
        </w:rPr>
        <w:t>Oxon: Routledge</w:t>
      </w:r>
      <w:r w:rsidR="009B557F">
        <w:rPr>
          <w:rFonts w:ascii="Arial" w:hAnsi="Arial" w:cs="Arial"/>
          <w:sz w:val="24"/>
          <w:szCs w:val="24"/>
        </w:rPr>
        <w:t>.</w:t>
      </w:r>
    </w:p>
    <w:p w14:paraId="1E7BC190" w14:textId="56EFE8E0" w:rsidR="008C27FD" w:rsidRDefault="008C27FD">
      <w:pPr>
        <w:rPr>
          <w:rFonts w:ascii="Arial" w:hAnsi="Arial" w:cs="Arial"/>
          <w:sz w:val="24"/>
          <w:szCs w:val="24"/>
        </w:rPr>
      </w:pPr>
      <w:r w:rsidRPr="008C27FD">
        <w:rPr>
          <w:rFonts w:ascii="Arial" w:hAnsi="Arial" w:cs="Arial"/>
          <w:sz w:val="24"/>
          <w:szCs w:val="24"/>
        </w:rPr>
        <w:t>Department for Education (2014)</w:t>
      </w:r>
      <w:r>
        <w:rPr>
          <w:rFonts w:ascii="Arial" w:hAnsi="Arial" w:cs="Arial"/>
          <w:sz w:val="24"/>
          <w:szCs w:val="24"/>
        </w:rPr>
        <w:t xml:space="preserve"> </w:t>
      </w:r>
      <w:r w:rsidRPr="008C27FD">
        <w:rPr>
          <w:rFonts w:ascii="Arial" w:hAnsi="Arial" w:cs="Arial"/>
          <w:i/>
          <w:iCs/>
          <w:sz w:val="24"/>
          <w:szCs w:val="24"/>
        </w:rPr>
        <w:t>Court Orders and pre-proceedings for Local Authorities</w:t>
      </w:r>
      <w:r w:rsidR="00954A32">
        <w:rPr>
          <w:rFonts w:ascii="Arial" w:hAnsi="Arial" w:cs="Arial"/>
          <w:sz w:val="24"/>
          <w:szCs w:val="24"/>
        </w:rPr>
        <w:t>, pp. 1-63.</w:t>
      </w:r>
      <w:r w:rsidRPr="008C27FD">
        <w:rPr>
          <w:rFonts w:ascii="Arial" w:hAnsi="Arial" w:cs="Arial"/>
          <w:sz w:val="24"/>
          <w:szCs w:val="24"/>
        </w:rPr>
        <w:t xml:space="preserve"> Available at: </w:t>
      </w:r>
      <w:hyperlink r:id="rId20" w:history="1">
        <w:r w:rsidRPr="00800668">
          <w:rPr>
            <w:rStyle w:val="Hyperlink"/>
            <w:rFonts w:ascii="Arial" w:hAnsi="Arial" w:cs="Arial"/>
            <w:sz w:val="24"/>
            <w:szCs w:val="24"/>
          </w:rPr>
          <w:t>https://assets.publishing.service.gov.uk/media/5a7ebaab40f0b62305b82ce7/Statutory_guidance_on_court_orders_and_pre-proceedings.pdf</w:t>
        </w:r>
      </w:hyperlink>
      <w:r>
        <w:rPr>
          <w:rFonts w:ascii="Arial" w:hAnsi="Arial" w:cs="Arial"/>
          <w:sz w:val="24"/>
          <w:szCs w:val="24"/>
        </w:rPr>
        <w:t xml:space="preserve"> (Accessed 24 April 2025).</w:t>
      </w:r>
    </w:p>
    <w:p w14:paraId="37680E37" w14:textId="7D3DD8F9" w:rsidR="008C27FD" w:rsidRDefault="006F5082">
      <w:pPr>
        <w:rPr>
          <w:rFonts w:ascii="Arial" w:hAnsi="Arial" w:cs="Arial"/>
          <w:sz w:val="24"/>
          <w:szCs w:val="24"/>
        </w:rPr>
      </w:pPr>
      <w:r w:rsidRPr="006F5082">
        <w:rPr>
          <w:rFonts w:ascii="Arial" w:hAnsi="Arial" w:cs="Arial"/>
          <w:sz w:val="24"/>
          <w:szCs w:val="24"/>
        </w:rPr>
        <w:t>Department for Education (2021)</w:t>
      </w:r>
      <w:r>
        <w:rPr>
          <w:rFonts w:ascii="Arial" w:hAnsi="Arial" w:cs="Arial"/>
          <w:sz w:val="24"/>
          <w:szCs w:val="24"/>
        </w:rPr>
        <w:t xml:space="preserve"> </w:t>
      </w:r>
      <w:r w:rsidRPr="006F5082">
        <w:rPr>
          <w:rFonts w:ascii="Arial" w:hAnsi="Arial" w:cs="Arial"/>
          <w:sz w:val="24"/>
          <w:szCs w:val="24"/>
        </w:rPr>
        <w:t xml:space="preserve">The </w:t>
      </w:r>
      <w:r>
        <w:rPr>
          <w:rFonts w:ascii="Arial" w:hAnsi="Arial" w:cs="Arial"/>
          <w:sz w:val="24"/>
          <w:szCs w:val="24"/>
        </w:rPr>
        <w:t>Children Act</w:t>
      </w:r>
      <w:r w:rsidRPr="006F5082">
        <w:rPr>
          <w:rFonts w:ascii="Arial" w:hAnsi="Arial" w:cs="Arial"/>
          <w:sz w:val="24"/>
          <w:szCs w:val="24"/>
        </w:rPr>
        <w:t xml:space="preserve"> 1989 guidance and regulations volume 2: </w:t>
      </w:r>
      <w:r w:rsidRPr="006F5082">
        <w:rPr>
          <w:rFonts w:ascii="Arial" w:hAnsi="Arial" w:cs="Arial"/>
          <w:i/>
          <w:iCs/>
          <w:sz w:val="24"/>
          <w:szCs w:val="24"/>
        </w:rPr>
        <w:t>Care planning, placement and case review</w:t>
      </w:r>
      <w:r w:rsidR="00954A32">
        <w:rPr>
          <w:rFonts w:ascii="Arial" w:hAnsi="Arial" w:cs="Arial"/>
          <w:sz w:val="24"/>
          <w:szCs w:val="24"/>
        </w:rPr>
        <w:t>, pp. 1-191.</w:t>
      </w:r>
      <w:r w:rsidRPr="006F5082">
        <w:rPr>
          <w:rFonts w:ascii="Arial" w:hAnsi="Arial" w:cs="Arial"/>
          <w:sz w:val="24"/>
          <w:szCs w:val="24"/>
        </w:rPr>
        <w:t xml:space="preserve"> Available at: </w:t>
      </w:r>
      <w:hyperlink r:id="rId21" w:history="1">
        <w:r w:rsidRPr="00800668">
          <w:rPr>
            <w:rStyle w:val="Hyperlink"/>
            <w:rFonts w:ascii="Arial" w:hAnsi="Arial" w:cs="Arial"/>
            <w:sz w:val="24"/>
            <w:szCs w:val="24"/>
          </w:rPr>
          <w:t>https://assets.publishing.service.gov.uk/media/60e6fb43d3bf7f56896127e5/The_Children_Act_1989_guidance_and_regulations_Volume_2_care_planning__placement_and_case_review.pdf</w:t>
        </w:r>
      </w:hyperlink>
      <w:r>
        <w:rPr>
          <w:rFonts w:ascii="Arial" w:hAnsi="Arial" w:cs="Arial"/>
          <w:sz w:val="24"/>
          <w:szCs w:val="24"/>
        </w:rPr>
        <w:t xml:space="preserve"> (Accessed 25 April 2025).</w:t>
      </w:r>
    </w:p>
    <w:p w14:paraId="6F3323F5" w14:textId="378E3486" w:rsidR="0095585A" w:rsidRDefault="0095585A">
      <w:pPr>
        <w:rPr>
          <w:rFonts w:ascii="Arial" w:hAnsi="Arial" w:cs="Arial"/>
          <w:sz w:val="24"/>
          <w:szCs w:val="24"/>
        </w:rPr>
      </w:pPr>
      <w:r w:rsidRPr="00647ED2">
        <w:rPr>
          <w:rFonts w:ascii="Arial" w:hAnsi="Arial" w:cs="Arial"/>
          <w:sz w:val="24"/>
          <w:szCs w:val="24"/>
        </w:rPr>
        <w:t xml:space="preserve">Department for Education (2023) </w:t>
      </w:r>
      <w:r w:rsidRPr="00647ED2">
        <w:rPr>
          <w:rFonts w:ascii="Arial" w:hAnsi="Arial" w:cs="Arial"/>
          <w:i/>
          <w:iCs/>
          <w:sz w:val="24"/>
          <w:szCs w:val="24"/>
        </w:rPr>
        <w:t>Working Together to Improve School Attendance</w:t>
      </w:r>
      <w:r w:rsidR="00954A32">
        <w:rPr>
          <w:rFonts w:ascii="Arial" w:hAnsi="Arial" w:cs="Arial"/>
          <w:sz w:val="24"/>
          <w:szCs w:val="24"/>
        </w:rPr>
        <w:t xml:space="preserve">, pp. 1-94. </w:t>
      </w:r>
      <w:r w:rsidRPr="00647ED2">
        <w:rPr>
          <w:rFonts w:ascii="Arial" w:hAnsi="Arial" w:cs="Arial"/>
          <w:sz w:val="24"/>
          <w:szCs w:val="24"/>
        </w:rPr>
        <w:t xml:space="preserve">Available at: </w:t>
      </w:r>
      <w:hyperlink r:id="rId22" w:history="1">
        <w:r w:rsidRPr="001A3C91">
          <w:rPr>
            <w:rStyle w:val="Hyperlink"/>
            <w:rFonts w:ascii="Arial" w:hAnsi="Arial" w:cs="Arial"/>
            <w:sz w:val="24"/>
            <w:szCs w:val="24"/>
          </w:rPr>
          <w:t>https://assets.publishing.service.gov.uk/media/66bf300da44f1c4c23e5bd1b/Working_together_to_improve_school_attendance_-_August_2024.pdf</w:t>
        </w:r>
      </w:hyperlink>
      <w:r>
        <w:rPr>
          <w:rFonts w:ascii="Arial" w:hAnsi="Arial" w:cs="Arial"/>
          <w:sz w:val="24"/>
          <w:szCs w:val="24"/>
        </w:rPr>
        <w:t xml:space="preserve"> (Accessed 24 April 2025).</w:t>
      </w:r>
    </w:p>
    <w:p w14:paraId="723792B3" w14:textId="5319E928" w:rsidR="004E0E36" w:rsidRDefault="004E0E36">
      <w:pPr>
        <w:rPr>
          <w:rFonts w:ascii="Arial" w:hAnsi="Arial" w:cs="Arial"/>
          <w:sz w:val="24"/>
          <w:szCs w:val="24"/>
        </w:rPr>
      </w:pPr>
      <w:r w:rsidRPr="004E0E36">
        <w:rPr>
          <w:rFonts w:ascii="Arial" w:hAnsi="Arial" w:cs="Arial"/>
          <w:sz w:val="24"/>
          <w:szCs w:val="24"/>
        </w:rPr>
        <w:t>Department of Health (2011)</w:t>
      </w:r>
      <w:r>
        <w:rPr>
          <w:rFonts w:ascii="Arial" w:hAnsi="Arial" w:cs="Arial"/>
          <w:sz w:val="24"/>
          <w:szCs w:val="24"/>
        </w:rPr>
        <w:t xml:space="preserve"> </w:t>
      </w:r>
      <w:r w:rsidRPr="004E0E36">
        <w:rPr>
          <w:rFonts w:ascii="Arial" w:hAnsi="Arial" w:cs="Arial"/>
          <w:sz w:val="24"/>
          <w:szCs w:val="24"/>
        </w:rPr>
        <w:t xml:space="preserve">Children (Leaving Care) Act 2000 - Explanatory Notes. </w:t>
      </w:r>
      <w:r w:rsidRPr="004E0E36">
        <w:rPr>
          <w:rFonts w:ascii="Arial" w:hAnsi="Arial" w:cs="Arial"/>
          <w:i/>
          <w:iCs/>
          <w:sz w:val="24"/>
          <w:szCs w:val="24"/>
        </w:rPr>
        <w:t>Legislation.gov.uk</w:t>
      </w:r>
      <w:r w:rsidRPr="004E0E36">
        <w:rPr>
          <w:rFonts w:ascii="Arial" w:hAnsi="Arial" w:cs="Arial"/>
          <w:sz w:val="24"/>
          <w:szCs w:val="24"/>
        </w:rPr>
        <w:t xml:space="preserve">. Available at: </w:t>
      </w:r>
      <w:hyperlink r:id="rId23" w:anchor=":~:text=5.,give%20their%20carers%20a%20break" w:history="1">
        <w:r w:rsidRPr="00800668">
          <w:rPr>
            <w:rStyle w:val="Hyperlink"/>
            <w:rFonts w:ascii="Arial" w:hAnsi="Arial" w:cs="Arial"/>
            <w:sz w:val="24"/>
            <w:szCs w:val="24"/>
          </w:rPr>
          <w:t>https://www.legislation.gov.uk/ukpga/2000/35/notes/division/2#:~:text=5.,give%20their%20carers%20a%20break</w:t>
        </w:r>
      </w:hyperlink>
      <w:r w:rsidRPr="004E0E36">
        <w:rPr>
          <w:rFonts w:ascii="Arial" w:hAnsi="Arial" w:cs="Arial"/>
          <w:sz w:val="24"/>
          <w:szCs w:val="24"/>
        </w:rPr>
        <w:t>.</w:t>
      </w:r>
      <w:r>
        <w:rPr>
          <w:rFonts w:ascii="Arial" w:hAnsi="Arial" w:cs="Arial"/>
          <w:sz w:val="24"/>
          <w:szCs w:val="24"/>
        </w:rPr>
        <w:t xml:space="preserve"> (Accessed 25 April 2025).</w:t>
      </w:r>
    </w:p>
    <w:p w14:paraId="692BCD5A" w14:textId="79E9E354" w:rsidR="008C27FD" w:rsidRDefault="008C27FD" w:rsidP="008C27FD">
      <w:pPr>
        <w:rPr>
          <w:rFonts w:ascii="Arial" w:hAnsi="Arial" w:cs="Arial"/>
          <w:sz w:val="24"/>
          <w:szCs w:val="24"/>
        </w:rPr>
      </w:pPr>
      <w:r w:rsidRPr="00B710E0">
        <w:rPr>
          <w:rFonts w:ascii="Arial" w:hAnsi="Arial" w:cs="Arial"/>
          <w:sz w:val="24"/>
          <w:szCs w:val="24"/>
        </w:rPr>
        <w:t>Department of Health and Department of Education (2017)</w:t>
      </w:r>
      <w:r>
        <w:rPr>
          <w:rFonts w:ascii="Arial" w:hAnsi="Arial" w:cs="Arial"/>
          <w:sz w:val="24"/>
          <w:szCs w:val="24"/>
        </w:rPr>
        <w:t xml:space="preserve"> </w:t>
      </w:r>
      <w:r w:rsidRPr="00B710E0">
        <w:rPr>
          <w:rFonts w:ascii="Arial" w:hAnsi="Arial" w:cs="Arial"/>
          <w:sz w:val="24"/>
          <w:szCs w:val="24"/>
        </w:rPr>
        <w:t>Transforming Children and Young People’s Mental Health Provision:</w:t>
      </w:r>
      <w:r w:rsidRPr="00B710E0">
        <w:rPr>
          <w:rFonts w:ascii="Arial" w:hAnsi="Arial" w:cs="Arial"/>
          <w:i/>
          <w:iCs/>
          <w:sz w:val="24"/>
          <w:szCs w:val="24"/>
        </w:rPr>
        <w:t xml:space="preserve"> </w:t>
      </w:r>
      <w:r w:rsidR="00954A32" w:rsidRPr="00B710E0">
        <w:rPr>
          <w:rFonts w:ascii="Arial" w:hAnsi="Arial" w:cs="Arial"/>
          <w:i/>
          <w:iCs/>
          <w:sz w:val="24"/>
          <w:szCs w:val="24"/>
        </w:rPr>
        <w:t>A</w:t>
      </w:r>
      <w:r w:rsidRPr="00B710E0">
        <w:rPr>
          <w:rFonts w:ascii="Arial" w:hAnsi="Arial" w:cs="Arial"/>
          <w:i/>
          <w:iCs/>
          <w:sz w:val="24"/>
          <w:szCs w:val="24"/>
        </w:rPr>
        <w:t xml:space="preserve"> Green Paper</w:t>
      </w:r>
      <w:r w:rsidR="00954A32">
        <w:rPr>
          <w:rFonts w:ascii="Arial" w:hAnsi="Arial" w:cs="Arial"/>
          <w:sz w:val="24"/>
          <w:szCs w:val="24"/>
        </w:rPr>
        <w:t xml:space="preserve">, pp. 1-54. </w:t>
      </w:r>
      <w:r w:rsidRPr="00B710E0">
        <w:rPr>
          <w:rFonts w:ascii="Arial" w:hAnsi="Arial" w:cs="Arial"/>
          <w:sz w:val="24"/>
          <w:szCs w:val="24"/>
        </w:rPr>
        <w:t xml:space="preserve">Available at: </w:t>
      </w:r>
      <w:hyperlink r:id="rId24" w:history="1">
        <w:r w:rsidR="00954A32" w:rsidRPr="00764F30">
          <w:rPr>
            <w:rStyle w:val="Hyperlink"/>
            <w:rFonts w:ascii="Arial" w:hAnsi="Arial" w:cs="Arial"/>
            <w:sz w:val="24"/>
            <w:szCs w:val="24"/>
          </w:rPr>
          <w:t>https://assets.publishing.service.gov.uk/media/5a823518e5274a2e87dc1b56/Transforming_children_and_young_people_s_mental_health_provision.pdf</w:t>
        </w:r>
      </w:hyperlink>
      <w:r w:rsidR="00954A32">
        <w:rPr>
          <w:rFonts w:ascii="Arial" w:hAnsi="Arial" w:cs="Arial"/>
          <w:sz w:val="24"/>
          <w:szCs w:val="24"/>
        </w:rPr>
        <w:t xml:space="preserve"> </w:t>
      </w:r>
      <w:r w:rsidRPr="00CC33FE">
        <w:rPr>
          <w:rFonts w:ascii="Arial" w:hAnsi="Arial" w:cs="Arial"/>
          <w:sz w:val="24"/>
          <w:szCs w:val="24"/>
        </w:rPr>
        <w:t xml:space="preserve"> (Accessed: 24 March 2025).</w:t>
      </w:r>
    </w:p>
    <w:p w14:paraId="5071F60C" w14:textId="14F3DB84" w:rsidR="008C27FD" w:rsidRDefault="008C27FD" w:rsidP="008C27FD">
      <w:pPr>
        <w:rPr>
          <w:rFonts w:ascii="Arial" w:hAnsi="Arial" w:cs="Arial"/>
          <w:sz w:val="24"/>
          <w:szCs w:val="24"/>
        </w:rPr>
      </w:pPr>
      <w:r w:rsidRPr="0026444C">
        <w:rPr>
          <w:rFonts w:ascii="Arial" w:hAnsi="Arial" w:cs="Arial"/>
          <w:sz w:val="24"/>
          <w:szCs w:val="24"/>
        </w:rPr>
        <w:t xml:space="preserve">Department </w:t>
      </w:r>
      <w:r>
        <w:rPr>
          <w:rFonts w:ascii="Arial" w:hAnsi="Arial" w:cs="Arial"/>
          <w:sz w:val="24"/>
          <w:szCs w:val="24"/>
        </w:rPr>
        <w:t>of</w:t>
      </w:r>
      <w:r w:rsidRPr="0026444C">
        <w:rPr>
          <w:rFonts w:ascii="Arial" w:hAnsi="Arial" w:cs="Arial"/>
          <w:sz w:val="24"/>
          <w:szCs w:val="24"/>
        </w:rPr>
        <w:t xml:space="preserve"> Health (2009) Statutory Guidance on Promoting the Health and Wellbeing of Looked After Children</w:t>
      </w:r>
      <w:r w:rsidR="00CF3083">
        <w:rPr>
          <w:rFonts w:ascii="Arial" w:hAnsi="Arial" w:cs="Arial"/>
          <w:sz w:val="24"/>
          <w:szCs w:val="24"/>
        </w:rPr>
        <w:t>,</w:t>
      </w:r>
      <w:r>
        <w:rPr>
          <w:rFonts w:ascii="Arial" w:hAnsi="Arial" w:cs="Arial"/>
          <w:sz w:val="24"/>
          <w:szCs w:val="24"/>
        </w:rPr>
        <w:t xml:space="preserve"> </w:t>
      </w:r>
      <w:r>
        <w:rPr>
          <w:rFonts w:ascii="Arial" w:hAnsi="Arial" w:cs="Arial"/>
          <w:i/>
          <w:iCs/>
          <w:sz w:val="24"/>
          <w:szCs w:val="24"/>
        </w:rPr>
        <w:t>UK</w:t>
      </w:r>
      <w:r w:rsidR="00954A32">
        <w:rPr>
          <w:rFonts w:ascii="Arial" w:hAnsi="Arial" w:cs="Arial"/>
          <w:i/>
          <w:iCs/>
          <w:sz w:val="24"/>
          <w:szCs w:val="24"/>
        </w:rPr>
        <w:t xml:space="preserve"> Government</w:t>
      </w:r>
      <w:r w:rsidR="00CF3083">
        <w:rPr>
          <w:rFonts w:ascii="Arial" w:hAnsi="Arial" w:cs="Arial"/>
          <w:sz w:val="24"/>
          <w:szCs w:val="24"/>
        </w:rPr>
        <w:t>, pp. 1-93.</w:t>
      </w:r>
      <w:r>
        <w:rPr>
          <w:rFonts w:ascii="Arial" w:hAnsi="Arial" w:cs="Arial"/>
          <w:sz w:val="24"/>
          <w:szCs w:val="24"/>
        </w:rPr>
        <w:t xml:space="preserve"> Available at: </w:t>
      </w:r>
      <w:hyperlink r:id="rId25" w:history="1">
        <w:r w:rsidRPr="00E81C14">
          <w:rPr>
            <w:rStyle w:val="Hyperlink"/>
            <w:rFonts w:ascii="Arial" w:hAnsi="Arial" w:cs="Arial"/>
            <w:sz w:val="24"/>
            <w:szCs w:val="24"/>
          </w:rPr>
          <w:t>https://assets.publishing.service.gov.uk/media/5a7c0121ed915d41476222b1/promoting_health_of_looked_after_children.pdf</w:t>
        </w:r>
      </w:hyperlink>
      <w:r>
        <w:rPr>
          <w:rFonts w:ascii="Arial" w:hAnsi="Arial" w:cs="Arial"/>
          <w:sz w:val="24"/>
          <w:szCs w:val="24"/>
        </w:rPr>
        <w:t xml:space="preserve"> (Accessed 23 April 2025).</w:t>
      </w:r>
    </w:p>
    <w:p w14:paraId="0E0B78F3" w14:textId="5D8B2715" w:rsidR="008C27FD" w:rsidRDefault="008C27FD">
      <w:pPr>
        <w:rPr>
          <w:rFonts w:ascii="Arial" w:hAnsi="Arial" w:cs="Arial"/>
          <w:sz w:val="24"/>
          <w:szCs w:val="24"/>
        </w:rPr>
      </w:pPr>
      <w:r w:rsidRPr="0063173F">
        <w:rPr>
          <w:rFonts w:ascii="Arial" w:hAnsi="Arial" w:cs="Arial"/>
          <w:sz w:val="24"/>
          <w:szCs w:val="24"/>
        </w:rPr>
        <w:t>Department for International Development (2010)</w:t>
      </w:r>
      <w:r>
        <w:rPr>
          <w:rFonts w:ascii="Arial" w:hAnsi="Arial" w:cs="Arial"/>
          <w:sz w:val="24"/>
          <w:szCs w:val="24"/>
        </w:rPr>
        <w:t xml:space="preserve"> </w:t>
      </w:r>
      <w:r w:rsidRPr="0063173F">
        <w:rPr>
          <w:rFonts w:ascii="Arial" w:hAnsi="Arial" w:cs="Arial"/>
          <w:sz w:val="24"/>
          <w:szCs w:val="24"/>
        </w:rPr>
        <w:t>Education for children with disabilities: improving access and quality</w:t>
      </w:r>
      <w:r>
        <w:rPr>
          <w:rFonts w:ascii="Arial" w:hAnsi="Arial" w:cs="Arial"/>
          <w:sz w:val="24"/>
          <w:szCs w:val="24"/>
        </w:rPr>
        <w:t xml:space="preserve">, </w:t>
      </w:r>
      <w:r w:rsidR="00CF3083">
        <w:rPr>
          <w:rFonts w:ascii="Arial" w:hAnsi="Arial" w:cs="Arial"/>
          <w:i/>
          <w:iCs/>
          <w:sz w:val="24"/>
          <w:szCs w:val="24"/>
        </w:rPr>
        <w:t>UK Government</w:t>
      </w:r>
      <w:r w:rsidRPr="0063173F">
        <w:rPr>
          <w:rFonts w:ascii="Arial" w:hAnsi="Arial" w:cs="Arial"/>
          <w:sz w:val="24"/>
          <w:szCs w:val="24"/>
        </w:rPr>
        <w:t xml:space="preserve">. Available at: </w:t>
      </w:r>
      <w:hyperlink r:id="rId26" w:history="1">
        <w:r w:rsidRPr="0063173F">
          <w:rPr>
            <w:rStyle w:val="Hyperlink"/>
            <w:rFonts w:ascii="Arial" w:hAnsi="Arial" w:cs="Arial"/>
            <w:sz w:val="24"/>
            <w:szCs w:val="24"/>
          </w:rPr>
          <w:t>https://www.gov.uk/government/publications/education-for-children-with-disabilities-improving-access-and-quality-guidance-note-a-dfid-practice-paper/education-for-children-with-disabilities-improving-access-and-quality</w:t>
        </w:r>
      </w:hyperlink>
      <w:r>
        <w:rPr>
          <w:rFonts w:ascii="Arial" w:hAnsi="Arial" w:cs="Arial"/>
          <w:sz w:val="24"/>
          <w:szCs w:val="24"/>
        </w:rPr>
        <w:t xml:space="preserve"> (Accessed 23 April 2025).</w:t>
      </w:r>
    </w:p>
    <w:p w14:paraId="1B9D23F6" w14:textId="4DC5BFCF" w:rsidR="00F46D7B" w:rsidRDefault="00F46D7B">
      <w:pPr>
        <w:rPr>
          <w:rFonts w:ascii="Arial" w:hAnsi="Arial" w:cs="Arial"/>
          <w:sz w:val="24"/>
          <w:szCs w:val="24"/>
        </w:rPr>
      </w:pPr>
      <w:r w:rsidRPr="00F46D7B">
        <w:rPr>
          <w:rFonts w:ascii="Arial" w:hAnsi="Arial" w:cs="Arial"/>
          <w:sz w:val="24"/>
          <w:szCs w:val="24"/>
        </w:rPr>
        <w:lastRenderedPageBreak/>
        <w:t xml:space="preserve">Douglas, H. and Barlow, H. (2023) Social Work in Wales: </w:t>
      </w:r>
      <w:r w:rsidRPr="00F46D7B">
        <w:rPr>
          <w:rFonts w:ascii="Arial" w:hAnsi="Arial" w:cs="Arial"/>
          <w:i/>
          <w:iCs/>
          <w:sz w:val="24"/>
          <w:szCs w:val="24"/>
        </w:rPr>
        <w:t>A joint children and adult approach to safeguarding</w:t>
      </w:r>
      <w:r w:rsidRPr="00F46D7B">
        <w:rPr>
          <w:rFonts w:ascii="Arial" w:hAnsi="Arial" w:cs="Arial"/>
          <w:sz w:val="24"/>
          <w:szCs w:val="24"/>
        </w:rPr>
        <w:t>.</w:t>
      </w:r>
      <w:r>
        <w:rPr>
          <w:rFonts w:ascii="Arial" w:hAnsi="Arial" w:cs="Arial"/>
          <w:sz w:val="24"/>
          <w:szCs w:val="24"/>
        </w:rPr>
        <w:t xml:space="preserve"> 1</w:t>
      </w:r>
      <w:r w:rsidRPr="00F46D7B">
        <w:rPr>
          <w:rFonts w:ascii="Arial" w:hAnsi="Arial" w:cs="Arial"/>
          <w:sz w:val="24"/>
          <w:szCs w:val="24"/>
          <w:vertAlign w:val="superscript"/>
        </w:rPr>
        <w:t>st</w:t>
      </w:r>
      <w:r>
        <w:rPr>
          <w:rFonts w:ascii="Arial" w:hAnsi="Arial" w:cs="Arial"/>
          <w:sz w:val="24"/>
          <w:szCs w:val="24"/>
        </w:rPr>
        <w:t xml:space="preserve"> edn.</w:t>
      </w:r>
      <w:r w:rsidRPr="00F46D7B">
        <w:rPr>
          <w:rFonts w:ascii="Arial" w:hAnsi="Arial" w:cs="Arial"/>
          <w:sz w:val="24"/>
          <w:szCs w:val="24"/>
        </w:rPr>
        <w:t xml:space="preserve"> Bristol: Policy Press.</w:t>
      </w:r>
    </w:p>
    <w:p w14:paraId="738D84B4" w14:textId="6E469044" w:rsidR="00101978" w:rsidRDefault="00AA76E8">
      <w:pPr>
        <w:rPr>
          <w:rFonts w:ascii="Arial" w:hAnsi="Arial" w:cs="Arial"/>
          <w:sz w:val="24"/>
          <w:szCs w:val="24"/>
        </w:rPr>
      </w:pPr>
      <w:r w:rsidRPr="00AA76E8">
        <w:rPr>
          <w:rFonts w:ascii="Arial" w:hAnsi="Arial" w:cs="Arial"/>
          <w:sz w:val="24"/>
          <w:szCs w:val="24"/>
        </w:rPr>
        <w:t>Davies, L. and Duckett, N. (2016) </w:t>
      </w:r>
      <w:r w:rsidRPr="00AA76E8">
        <w:rPr>
          <w:rFonts w:ascii="Arial" w:hAnsi="Arial" w:cs="Arial"/>
          <w:i/>
          <w:iCs/>
          <w:sz w:val="24"/>
          <w:szCs w:val="24"/>
        </w:rPr>
        <w:t>Proactive Child Protection and Social Work</w:t>
      </w:r>
      <w:r w:rsidRPr="00AA76E8">
        <w:rPr>
          <w:rFonts w:ascii="Arial" w:hAnsi="Arial" w:cs="Arial"/>
          <w:sz w:val="24"/>
          <w:szCs w:val="24"/>
        </w:rPr>
        <w:t xml:space="preserve">. </w:t>
      </w:r>
      <w:r>
        <w:rPr>
          <w:rFonts w:ascii="Arial" w:hAnsi="Arial" w:cs="Arial"/>
          <w:sz w:val="24"/>
          <w:szCs w:val="24"/>
        </w:rPr>
        <w:t>2</w:t>
      </w:r>
      <w:r w:rsidRPr="00AA76E8">
        <w:rPr>
          <w:rFonts w:ascii="Arial" w:hAnsi="Arial" w:cs="Arial"/>
          <w:sz w:val="24"/>
          <w:szCs w:val="24"/>
          <w:vertAlign w:val="superscript"/>
        </w:rPr>
        <w:t>nd</w:t>
      </w:r>
      <w:r>
        <w:rPr>
          <w:rFonts w:ascii="Arial" w:hAnsi="Arial" w:cs="Arial"/>
          <w:sz w:val="24"/>
          <w:szCs w:val="24"/>
        </w:rPr>
        <w:t xml:space="preserve"> edn. London: Sage.</w:t>
      </w:r>
    </w:p>
    <w:p w14:paraId="2C835523" w14:textId="6DFF81F7" w:rsidR="00076A96" w:rsidRDefault="00076A96">
      <w:pPr>
        <w:rPr>
          <w:rFonts w:ascii="Arial" w:hAnsi="Arial" w:cs="Arial"/>
          <w:sz w:val="24"/>
          <w:szCs w:val="24"/>
        </w:rPr>
      </w:pPr>
      <w:r w:rsidRPr="00076A96">
        <w:rPr>
          <w:rFonts w:ascii="Arial" w:hAnsi="Arial" w:cs="Arial"/>
          <w:sz w:val="24"/>
          <w:szCs w:val="24"/>
        </w:rPr>
        <w:t>Emme-Lina</w:t>
      </w:r>
      <w:r>
        <w:rPr>
          <w:rFonts w:ascii="Arial" w:hAnsi="Arial" w:cs="Arial"/>
          <w:sz w:val="24"/>
          <w:szCs w:val="24"/>
        </w:rPr>
        <w:t>,</w:t>
      </w:r>
      <w:r w:rsidRPr="00076A96">
        <w:rPr>
          <w:rFonts w:ascii="Arial" w:hAnsi="Arial" w:cs="Arial"/>
          <w:sz w:val="24"/>
          <w:szCs w:val="24"/>
        </w:rPr>
        <w:t xml:space="preserve"> W</w:t>
      </w:r>
      <w:r>
        <w:rPr>
          <w:rFonts w:ascii="Arial" w:hAnsi="Arial" w:cs="Arial"/>
          <w:sz w:val="24"/>
          <w:szCs w:val="24"/>
        </w:rPr>
        <w:t xml:space="preserve">. </w:t>
      </w:r>
      <w:r w:rsidRPr="00076A96">
        <w:rPr>
          <w:rFonts w:ascii="Arial" w:hAnsi="Arial" w:cs="Arial"/>
          <w:sz w:val="24"/>
          <w:szCs w:val="24"/>
        </w:rPr>
        <w:t>N</w:t>
      </w:r>
      <w:r>
        <w:rPr>
          <w:rFonts w:ascii="Arial" w:hAnsi="Arial" w:cs="Arial"/>
          <w:sz w:val="24"/>
          <w:szCs w:val="24"/>
        </w:rPr>
        <w:t>.</w:t>
      </w:r>
      <w:r w:rsidRPr="00076A96">
        <w:rPr>
          <w:rFonts w:ascii="Arial" w:hAnsi="Arial" w:cs="Arial"/>
          <w:sz w:val="24"/>
          <w:szCs w:val="24"/>
        </w:rPr>
        <w:t>, Grip, K. and Axberg, U. (2024)</w:t>
      </w:r>
      <w:r>
        <w:rPr>
          <w:rFonts w:ascii="Arial" w:hAnsi="Arial" w:cs="Arial"/>
          <w:sz w:val="24"/>
          <w:szCs w:val="24"/>
        </w:rPr>
        <w:t xml:space="preserve"> ‘</w:t>
      </w:r>
      <w:r w:rsidRPr="00076A96">
        <w:rPr>
          <w:rFonts w:ascii="Arial" w:hAnsi="Arial" w:cs="Arial"/>
          <w:sz w:val="24"/>
          <w:szCs w:val="24"/>
        </w:rPr>
        <w:t>The patient and the family: investigating parental mental health problems, family functioning, and parent involvement in child and adolescent mental health services (CAMHS)</w:t>
      </w:r>
      <w:r>
        <w:rPr>
          <w:rFonts w:ascii="Arial" w:hAnsi="Arial" w:cs="Arial"/>
          <w:sz w:val="24"/>
          <w:szCs w:val="24"/>
        </w:rPr>
        <w:t xml:space="preserve">’, </w:t>
      </w:r>
      <w:r w:rsidRPr="00076A96">
        <w:rPr>
          <w:rFonts w:ascii="Arial" w:hAnsi="Arial" w:cs="Arial"/>
          <w:i/>
          <w:iCs/>
          <w:sz w:val="24"/>
          <w:szCs w:val="24"/>
        </w:rPr>
        <w:t xml:space="preserve">European Child </w:t>
      </w:r>
      <w:r>
        <w:rPr>
          <w:rFonts w:ascii="Arial" w:hAnsi="Arial" w:cs="Arial"/>
          <w:i/>
          <w:iCs/>
          <w:sz w:val="24"/>
          <w:szCs w:val="24"/>
        </w:rPr>
        <w:t>and</w:t>
      </w:r>
      <w:r w:rsidRPr="00076A96">
        <w:rPr>
          <w:rFonts w:ascii="Arial" w:hAnsi="Arial" w:cs="Arial"/>
          <w:i/>
          <w:iCs/>
          <w:sz w:val="24"/>
          <w:szCs w:val="24"/>
        </w:rPr>
        <w:t xml:space="preserve"> Adolescent Psychiatry</w:t>
      </w:r>
      <w:r w:rsidRPr="00076A96">
        <w:rPr>
          <w:rFonts w:ascii="Arial" w:hAnsi="Arial" w:cs="Arial"/>
          <w:sz w:val="24"/>
          <w:szCs w:val="24"/>
        </w:rPr>
        <w:t xml:space="preserve">. </w:t>
      </w:r>
      <w:r>
        <w:rPr>
          <w:rFonts w:ascii="Arial" w:hAnsi="Arial" w:cs="Arial"/>
          <w:sz w:val="24"/>
          <w:szCs w:val="24"/>
        </w:rPr>
        <w:t xml:space="preserve">Available </w:t>
      </w:r>
      <w:r w:rsidR="00CF3083">
        <w:rPr>
          <w:rFonts w:ascii="Arial" w:hAnsi="Arial" w:cs="Arial"/>
          <w:sz w:val="24"/>
          <w:szCs w:val="24"/>
        </w:rPr>
        <w:t xml:space="preserve">at: </w:t>
      </w:r>
      <w:hyperlink r:id="rId27" w:history="1">
        <w:r w:rsidR="00CF3083" w:rsidRPr="00764F30">
          <w:rPr>
            <w:rStyle w:val="Hyperlink"/>
            <w:rFonts w:ascii="Arial" w:hAnsi="Arial" w:cs="Arial"/>
            <w:sz w:val="24"/>
            <w:szCs w:val="24"/>
          </w:rPr>
          <w:t>file:///C:/Users/COMP/Downloads/s00787-024-02607-3.pdf</w:t>
        </w:r>
      </w:hyperlink>
      <w:r w:rsidR="00CF3083">
        <w:rPr>
          <w:rFonts w:ascii="Arial" w:hAnsi="Arial" w:cs="Arial"/>
          <w:sz w:val="24"/>
          <w:szCs w:val="24"/>
        </w:rPr>
        <w:t xml:space="preserve"> </w:t>
      </w:r>
      <w:r>
        <w:rPr>
          <w:rFonts w:ascii="Arial" w:hAnsi="Arial" w:cs="Arial"/>
          <w:sz w:val="24"/>
          <w:szCs w:val="24"/>
        </w:rPr>
        <w:t>(Accessed 23 March 2025).</w:t>
      </w:r>
    </w:p>
    <w:p w14:paraId="24177931" w14:textId="6CD2DFC6" w:rsidR="00F27592" w:rsidRDefault="00F27592">
      <w:pPr>
        <w:rPr>
          <w:rFonts w:ascii="Arial" w:hAnsi="Arial" w:cs="Arial"/>
          <w:sz w:val="24"/>
          <w:szCs w:val="24"/>
        </w:rPr>
      </w:pPr>
      <w:r w:rsidRPr="00F27592">
        <w:rPr>
          <w:rFonts w:ascii="Arial" w:hAnsi="Arial" w:cs="Arial"/>
          <w:sz w:val="24"/>
          <w:szCs w:val="24"/>
        </w:rPr>
        <w:t>Evans, R., Boffey, M., MacDonald, S., Noyes, J., Melendez-Torres, G.J., Morgan, H.E., Trubey, R., Robling, M., Willis, S. and Wooders, C. (2021)</w:t>
      </w:r>
      <w:r>
        <w:rPr>
          <w:rFonts w:ascii="Arial" w:hAnsi="Arial" w:cs="Arial"/>
          <w:sz w:val="24"/>
          <w:szCs w:val="24"/>
        </w:rPr>
        <w:t xml:space="preserve"> ‘</w:t>
      </w:r>
      <w:r w:rsidRPr="00F27592">
        <w:rPr>
          <w:rFonts w:ascii="Arial" w:hAnsi="Arial" w:cs="Arial"/>
          <w:sz w:val="24"/>
          <w:szCs w:val="24"/>
        </w:rPr>
        <w:t xml:space="preserve">Care-experienced </w:t>
      </w:r>
      <w:r>
        <w:rPr>
          <w:rFonts w:ascii="Arial" w:hAnsi="Arial" w:cs="Arial"/>
          <w:sz w:val="24"/>
          <w:szCs w:val="24"/>
        </w:rPr>
        <w:t>children</w:t>
      </w:r>
      <w:r w:rsidRPr="00F27592">
        <w:rPr>
          <w:rFonts w:ascii="Arial" w:hAnsi="Arial" w:cs="Arial"/>
          <w:sz w:val="24"/>
          <w:szCs w:val="24"/>
        </w:rPr>
        <w:t xml:space="preserve"> and young people’s Interventions to improve Mental health and </w:t>
      </w:r>
      <w:r>
        <w:rPr>
          <w:rFonts w:ascii="Arial" w:hAnsi="Arial" w:cs="Arial"/>
          <w:sz w:val="24"/>
          <w:szCs w:val="24"/>
        </w:rPr>
        <w:t>well-being</w:t>
      </w:r>
      <w:r w:rsidRPr="00F27592">
        <w:rPr>
          <w:rFonts w:ascii="Arial" w:hAnsi="Arial" w:cs="Arial"/>
          <w:sz w:val="24"/>
          <w:szCs w:val="24"/>
        </w:rPr>
        <w:t xml:space="preserve"> outcomes: Systematic review (CHIMES) protocol</w:t>
      </w:r>
      <w:r>
        <w:rPr>
          <w:rFonts w:ascii="Arial" w:hAnsi="Arial" w:cs="Arial"/>
          <w:sz w:val="24"/>
          <w:szCs w:val="24"/>
        </w:rPr>
        <w:t>’,</w:t>
      </w:r>
      <w:r w:rsidRPr="00F27592">
        <w:rPr>
          <w:rFonts w:ascii="Arial" w:hAnsi="Arial" w:cs="Arial"/>
          <w:sz w:val="24"/>
          <w:szCs w:val="24"/>
        </w:rPr>
        <w:t> </w:t>
      </w:r>
      <w:r w:rsidRPr="00F27592">
        <w:rPr>
          <w:rFonts w:ascii="Arial" w:hAnsi="Arial" w:cs="Arial"/>
          <w:i/>
          <w:iCs/>
          <w:sz w:val="24"/>
          <w:szCs w:val="24"/>
        </w:rPr>
        <w:t>BMJ Open</w:t>
      </w:r>
      <w:r w:rsidRPr="00F27592">
        <w:rPr>
          <w:rFonts w:ascii="Arial" w:hAnsi="Arial" w:cs="Arial"/>
          <w:sz w:val="24"/>
          <w:szCs w:val="24"/>
        </w:rPr>
        <w:t>, 11(1), p</w:t>
      </w:r>
      <w:r>
        <w:rPr>
          <w:rFonts w:ascii="Arial" w:hAnsi="Arial" w:cs="Arial"/>
          <w:sz w:val="24"/>
          <w:szCs w:val="24"/>
        </w:rPr>
        <w:t>p</w:t>
      </w:r>
      <w:r w:rsidRPr="00F27592">
        <w:rPr>
          <w:rFonts w:ascii="Arial" w:hAnsi="Arial" w:cs="Arial"/>
          <w:sz w:val="24"/>
          <w:szCs w:val="24"/>
        </w:rPr>
        <w:t>.</w:t>
      </w:r>
      <w:r w:rsidR="00CF3083">
        <w:rPr>
          <w:rFonts w:ascii="Arial" w:hAnsi="Arial" w:cs="Arial"/>
          <w:sz w:val="24"/>
          <w:szCs w:val="24"/>
        </w:rPr>
        <w:t xml:space="preserve"> 1–12</w:t>
      </w:r>
      <w:r w:rsidRPr="00F27592">
        <w:rPr>
          <w:rFonts w:ascii="Arial" w:hAnsi="Arial" w:cs="Arial"/>
          <w:sz w:val="24"/>
          <w:szCs w:val="24"/>
        </w:rPr>
        <w:t xml:space="preserve">. </w:t>
      </w:r>
      <w:r>
        <w:rPr>
          <w:rFonts w:ascii="Arial" w:hAnsi="Arial" w:cs="Arial"/>
          <w:sz w:val="24"/>
          <w:szCs w:val="24"/>
        </w:rPr>
        <w:t xml:space="preserve">Available at: </w:t>
      </w:r>
      <w:hyperlink r:id="rId28" w:history="1">
        <w:r w:rsidR="00CF3083" w:rsidRPr="00764F30">
          <w:rPr>
            <w:rStyle w:val="Hyperlink"/>
            <w:rFonts w:ascii="Arial" w:hAnsi="Arial" w:cs="Arial"/>
            <w:sz w:val="24"/>
            <w:szCs w:val="24"/>
          </w:rPr>
          <w:t>https://bmjopen.bmj.com/content/bmjopen/11/1/e042815.full.pdf?with-ds=yes</w:t>
        </w:r>
      </w:hyperlink>
      <w:r w:rsidR="00CF3083">
        <w:rPr>
          <w:rFonts w:ascii="Arial" w:hAnsi="Arial" w:cs="Arial"/>
          <w:sz w:val="24"/>
          <w:szCs w:val="24"/>
        </w:rPr>
        <w:t xml:space="preserve"> </w:t>
      </w:r>
      <w:r>
        <w:rPr>
          <w:rFonts w:ascii="Arial" w:hAnsi="Arial" w:cs="Arial"/>
          <w:sz w:val="24"/>
          <w:szCs w:val="24"/>
        </w:rPr>
        <w:t xml:space="preserve"> (Accessed 22 March</w:t>
      </w:r>
      <w:r w:rsidR="009716B6">
        <w:rPr>
          <w:rFonts w:ascii="Arial" w:hAnsi="Arial" w:cs="Arial"/>
          <w:sz w:val="24"/>
          <w:szCs w:val="24"/>
        </w:rPr>
        <w:t xml:space="preserve"> </w:t>
      </w:r>
      <w:r>
        <w:rPr>
          <w:rFonts w:ascii="Arial" w:hAnsi="Arial" w:cs="Arial"/>
          <w:sz w:val="24"/>
          <w:szCs w:val="24"/>
        </w:rPr>
        <w:t>2025).</w:t>
      </w:r>
    </w:p>
    <w:p w14:paraId="08C4187A" w14:textId="644D6B99" w:rsidR="00AE2BA5" w:rsidRDefault="00AE2BA5">
      <w:pPr>
        <w:rPr>
          <w:rFonts w:ascii="Arial" w:hAnsi="Arial" w:cs="Arial"/>
          <w:sz w:val="24"/>
          <w:szCs w:val="24"/>
        </w:rPr>
      </w:pPr>
      <w:r w:rsidRPr="00AE2BA5">
        <w:rPr>
          <w:rFonts w:ascii="Arial" w:hAnsi="Arial" w:cs="Arial"/>
          <w:sz w:val="24"/>
          <w:szCs w:val="24"/>
        </w:rPr>
        <w:t>Featherstone, B. and Gupta, A. (2018)</w:t>
      </w:r>
      <w:r>
        <w:rPr>
          <w:rFonts w:ascii="Arial" w:hAnsi="Arial" w:cs="Arial"/>
          <w:sz w:val="24"/>
          <w:szCs w:val="24"/>
        </w:rPr>
        <w:t xml:space="preserve"> </w:t>
      </w:r>
      <w:r w:rsidRPr="00AE2BA5">
        <w:rPr>
          <w:rFonts w:ascii="Arial" w:hAnsi="Arial" w:cs="Arial"/>
          <w:sz w:val="24"/>
          <w:szCs w:val="24"/>
        </w:rPr>
        <w:t>Protecting children</w:t>
      </w:r>
      <w:r>
        <w:rPr>
          <w:rFonts w:ascii="Arial" w:hAnsi="Arial" w:cs="Arial"/>
          <w:sz w:val="24"/>
          <w:szCs w:val="24"/>
        </w:rPr>
        <w:t xml:space="preserve">: </w:t>
      </w:r>
      <w:r w:rsidRPr="00AE2BA5">
        <w:rPr>
          <w:rFonts w:ascii="Arial" w:hAnsi="Arial" w:cs="Arial"/>
          <w:i/>
          <w:iCs/>
          <w:sz w:val="24"/>
          <w:szCs w:val="24"/>
        </w:rPr>
        <w:t>A Social Model</w:t>
      </w:r>
      <w:r>
        <w:rPr>
          <w:rFonts w:ascii="Arial" w:hAnsi="Arial" w:cs="Arial"/>
          <w:sz w:val="24"/>
          <w:szCs w:val="24"/>
        </w:rPr>
        <w:t>.</w:t>
      </w:r>
      <w:r w:rsidRPr="00AE2BA5">
        <w:rPr>
          <w:rFonts w:ascii="Arial" w:hAnsi="Arial" w:cs="Arial"/>
          <w:sz w:val="24"/>
          <w:szCs w:val="24"/>
        </w:rPr>
        <w:t xml:space="preserve"> </w:t>
      </w:r>
      <w:r>
        <w:rPr>
          <w:rFonts w:ascii="Arial" w:hAnsi="Arial" w:cs="Arial"/>
          <w:sz w:val="24"/>
          <w:szCs w:val="24"/>
        </w:rPr>
        <w:t>2</w:t>
      </w:r>
      <w:r w:rsidRPr="00AE2BA5">
        <w:rPr>
          <w:rFonts w:ascii="Arial" w:hAnsi="Arial" w:cs="Arial"/>
          <w:sz w:val="24"/>
          <w:szCs w:val="24"/>
          <w:vertAlign w:val="superscript"/>
        </w:rPr>
        <w:t>nd</w:t>
      </w:r>
      <w:r>
        <w:rPr>
          <w:rFonts w:ascii="Arial" w:hAnsi="Arial" w:cs="Arial"/>
          <w:sz w:val="24"/>
          <w:szCs w:val="24"/>
        </w:rPr>
        <w:t xml:space="preserve"> edn. Bristol: </w:t>
      </w:r>
      <w:r w:rsidRPr="00AE2BA5">
        <w:rPr>
          <w:rFonts w:ascii="Arial" w:hAnsi="Arial" w:cs="Arial"/>
          <w:sz w:val="24"/>
          <w:szCs w:val="24"/>
        </w:rPr>
        <w:t>Policy Press.</w:t>
      </w:r>
    </w:p>
    <w:p w14:paraId="629F35C1" w14:textId="6F4D6FBA" w:rsidR="00D368D2" w:rsidRDefault="00D368D2">
      <w:pPr>
        <w:rPr>
          <w:rFonts w:ascii="Arial" w:hAnsi="Arial" w:cs="Arial"/>
          <w:sz w:val="24"/>
          <w:szCs w:val="24"/>
        </w:rPr>
      </w:pPr>
      <w:r w:rsidRPr="00D368D2">
        <w:rPr>
          <w:rFonts w:ascii="Arial" w:hAnsi="Arial" w:cs="Arial"/>
          <w:sz w:val="24"/>
          <w:szCs w:val="24"/>
        </w:rPr>
        <w:t>Firmin, C. and Lloyd, J. (2023)</w:t>
      </w:r>
      <w:r>
        <w:rPr>
          <w:rFonts w:ascii="Arial" w:hAnsi="Arial" w:cs="Arial"/>
          <w:sz w:val="24"/>
          <w:szCs w:val="24"/>
        </w:rPr>
        <w:t xml:space="preserve"> </w:t>
      </w:r>
      <w:r w:rsidRPr="00D368D2">
        <w:rPr>
          <w:rFonts w:ascii="Arial" w:hAnsi="Arial" w:cs="Arial"/>
          <w:sz w:val="24"/>
          <w:szCs w:val="24"/>
        </w:rPr>
        <w:t>Contextual Safeguarding</w:t>
      </w:r>
      <w:r>
        <w:rPr>
          <w:rFonts w:ascii="Arial" w:hAnsi="Arial" w:cs="Arial"/>
          <w:sz w:val="24"/>
          <w:szCs w:val="24"/>
        </w:rPr>
        <w:t xml:space="preserve">: </w:t>
      </w:r>
      <w:r w:rsidRPr="00D368D2">
        <w:rPr>
          <w:rFonts w:ascii="Arial" w:hAnsi="Arial" w:cs="Arial"/>
          <w:i/>
          <w:iCs/>
          <w:sz w:val="24"/>
          <w:szCs w:val="24"/>
        </w:rPr>
        <w:t>The Next Chapter</w:t>
      </w:r>
      <w:r>
        <w:rPr>
          <w:rFonts w:ascii="Arial" w:hAnsi="Arial" w:cs="Arial"/>
          <w:sz w:val="24"/>
          <w:szCs w:val="24"/>
        </w:rPr>
        <w:t>.</w:t>
      </w:r>
      <w:r w:rsidR="00AE2BA5">
        <w:rPr>
          <w:rFonts w:ascii="Arial" w:hAnsi="Arial" w:cs="Arial"/>
          <w:sz w:val="24"/>
          <w:szCs w:val="24"/>
        </w:rPr>
        <w:t xml:space="preserve"> 1</w:t>
      </w:r>
      <w:r w:rsidR="00AE2BA5" w:rsidRPr="00AE2BA5">
        <w:rPr>
          <w:rFonts w:ascii="Arial" w:hAnsi="Arial" w:cs="Arial"/>
          <w:sz w:val="24"/>
          <w:szCs w:val="24"/>
          <w:vertAlign w:val="superscript"/>
        </w:rPr>
        <w:t>st</w:t>
      </w:r>
      <w:r w:rsidR="00AE2BA5">
        <w:rPr>
          <w:rFonts w:ascii="Arial" w:hAnsi="Arial" w:cs="Arial"/>
          <w:sz w:val="24"/>
          <w:szCs w:val="24"/>
        </w:rPr>
        <w:t xml:space="preserve"> edn. Bristol:</w:t>
      </w:r>
      <w:r>
        <w:rPr>
          <w:rFonts w:ascii="Arial" w:hAnsi="Arial" w:cs="Arial"/>
          <w:sz w:val="24"/>
          <w:szCs w:val="24"/>
        </w:rPr>
        <w:t xml:space="preserve"> </w:t>
      </w:r>
      <w:r w:rsidRPr="00D368D2">
        <w:rPr>
          <w:rFonts w:ascii="Arial" w:hAnsi="Arial" w:cs="Arial"/>
          <w:sz w:val="24"/>
          <w:szCs w:val="24"/>
        </w:rPr>
        <w:t xml:space="preserve"> Policy Press.</w:t>
      </w:r>
    </w:p>
    <w:p w14:paraId="5172A0BF" w14:textId="5B528C34" w:rsidR="000606D3" w:rsidRDefault="00246AFE">
      <w:pPr>
        <w:rPr>
          <w:rFonts w:ascii="Arial" w:hAnsi="Arial" w:cs="Arial"/>
          <w:sz w:val="24"/>
          <w:szCs w:val="24"/>
        </w:rPr>
      </w:pPr>
      <w:r w:rsidRPr="00246AFE">
        <w:rPr>
          <w:rFonts w:ascii="Arial" w:hAnsi="Arial" w:cs="Arial"/>
          <w:sz w:val="24"/>
          <w:szCs w:val="24"/>
        </w:rPr>
        <w:t xml:space="preserve">Fiona G., Ben A., Jessica E. B., Roberto F. C., Alisha D., Sebastien P., Roberta P., Ruth T., Charles T. (2022) </w:t>
      </w:r>
      <w:r>
        <w:rPr>
          <w:rFonts w:ascii="Arial" w:hAnsi="Arial" w:cs="Arial"/>
          <w:sz w:val="24"/>
          <w:szCs w:val="24"/>
        </w:rPr>
        <w:t>‘</w:t>
      </w:r>
      <w:r w:rsidRPr="00246AFE">
        <w:rPr>
          <w:rFonts w:ascii="Arial" w:hAnsi="Arial" w:cs="Arial"/>
          <w:sz w:val="24"/>
          <w:szCs w:val="24"/>
        </w:rPr>
        <w:t>Improving children and young people’s mental health services</w:t>
      </w:r>
      <w:r>
        <w:rPr>
          <w:rFonts w:ascii="Arial" w:hAnsi="Arial" w:cs="Arial"/>
          <w:sz w:val="24"/>
          <w:szCs w:val="24"/>
        </w:rPr>
        <w:t>:</w:t>
      </w:r>
      <w:r w:rsidRPr="00246AFE">
        <w:rPr>
          <w:rFonts w:ascii="Arial" w:hAnsi="Arial" w:cs="Arial"/>
          <w:sz w:val="24"/>
          <w:szCs w:val="24"/>
        </w:rPr>
        <w:t xml:space="preserve"> Local data insights from England, Scotland and Wales</w:t>
      </w:r>
      <w:r>
        <w:rPr>
          <w:rFonts w:ascii="Arial" w:hAnsi="Arial" w:cs="Arial"/>
          <w:sz w:val="24"/>
          <w:szCs w:val="24"/>
        </w:rPr>
        <w:t xml:space="preserve">’, </w:t>
      </w:r>
      <w:r w:rsidRPr="00246AFE">
        <w:rPr>
          <w:rFonts w:ascii="Arial" w:hAnsi="Arial" w:cs="Arial"/>
          <w:i/>
          <w:iCs/>
          <w:sz w:val="24"/>
          <w:szCs w:val="24"/>
        </w:rPr>
        <w:t>The Health Foundation</w:t>
      </w:r>
      <w:r w:rsidR="00787194">
        <w:rPr>
          <w:rFonts w:ascii="Arial" w:hAnsi="Arial" w:cs="Arial"/>
          <w:sz w:val="24"/>
          <w:szCs w:val="24"/>
        </w:rPr>
        <w:t>, pp. 1–38.</w:t>
      </w:r>
      <w:r>
        <w:rPr>
          <w:rFonts w:ascii="Arial" w:hAnsi="Arial" w:cs="Arial"/>
          <w:sz w:val="24"/>
          <w:szCs w:val="24"/>
        </w:rPr>
        <w:t xml:space="preserve"> Available at: </w:t>
      </w:r>
      <w:hyperlink r:id="rId29" w:history="1">
        <w:r w:rsidRPr="007F6911">
          <w:rPr>
            <w:rStyle w:val="Hyperlink"/>
            <w:rFonts w:ascii="Arial" w:hAnsi="Arial" w:cs="Arial"/>
            <w:sz w:val="24"/>
            <w:szCs w:val="24"/>
          </w:rPr>
          <w:t>file:///C:/Users/COMP/Downloads/CYPMHbriefing_Web_Final.pdf</w:t>
        </w:r>
      </w:hyperlink>
      <w:r>
        <w:rPr>
          <w:rFonts w:ascii="Arial" w:hAnsi="Arial" w:cs="Arial"/>
          <w:sz w:val="24"/>
          <w:szCs w:val="24"/>
        </w:rPr>
        <w:t xml:space="preserve"> (Accessed 22 March 2025).</w:t>
      </w:r>
    </w:p>
    <w:p w14:paraId="33D31A75" w14:textId="74AAE1CC" w:rsidR="0092309D" w:rsidRDefault="0092309D">
      <w:pPr>
        <w:rPr>
          <w:rFonts w:ascii="Arial" w:hAnsi="Arial" w:cs="Arial"/>
          <w:sz w:val="24"/>
          <w:szCs w:val="24"/>
        </w:rPr>
      </w:pPr>
      <w:r w:rsidRPr="0092309D">
        <w:rPr>
          <w:rFonts w:ascii="Arial" w:hAnsi="Arial" w:cs="Arial"/>
          <w:sz w:val="24"/>
          <w:szCs w:val="24"/>
        </w:rPr>
        <w:t xml:space="preserve">Foster, D. (2024) </w:t>
      </w:r>
      <w:r w:rsidR="00787194">
        <w:rPr>
          <w:rFonts w:ascii="Arial" w:hAnsi="Arial" w:cs="Arial"/>
          <w:sz w:val="24"/>
          <w:szCs w:val="24"/>
        </w:rPr>
        <w:t>‘</w:t>
      </w:r>
      <w:r w:rsidRPr="0092309D">
        <w:rPr>
          <w:rFonts w:ascii="Arial" w:hAnsi="Arial" w:cs="Arial"/>
          <w:sz w:val="24"/>
          <w:szCs w:val="24"/>
        </w:rPr>
        <w:t>An Overview of Child Protection Legislation in England</w:t>
      </w:r>
      <w:r w:rsidR="00787194">
        <w:rPr>
          <w:rFonts w:ascii="Arial" w:hAnsi="Arial" w:cs="Arial"/>
          <w:sz w:val="24"/>
          <w:szCs w:val="24"/>
        </w:rPr>
        <w:t>’,</w:t>
      </w:r>
      <w:r w:rsidRPr="0092309D">
        <w:rPr>
          <w:rFonts w:ascii="Arial" w:hAnsi="Arial" w:cs="Arial"/>
          <w:sz w:val="24"/>
          <w:szCs w:val="24"/>
        </w:rPr>
        <w:t xml:space="preserve"> </w:t>
      </w:r>
      <w:r w:rsidRPr="0092309D">
        <w:rPr>
          <w:rFonts w:ascii="Arial" w:hAnsi="Arial" w:cs="Arial"/>
          <w:i/>
          <w:iCs/>
          <w:sz w:val="24"/>
          <w:szCs w:val="24"/>
        </w:rPr>
        <w:t>Parliament</w:t>
      </w:r>
      <w:r w:rsidR="00787194" w:rsidRPr="0092309D">
        <w:rPr>
          <w:rFonts w:ascii="Arial" w:hAnsi="Arial" w:cs="Arial"/>
          <w:i/>
          <w:iCs/>
          <w:sz w:val="24"/>
          <w:szCs w:val="24"/>
        </w:rPr>
        <w:t xml:space="preserve">, </w:t>
      </w:r>
      <w:r w:rsidR="00787194">
        <w:rPr>
          <w:rFonts w:ascii="Arial" w:hAnsi="Arial" w:cs="Arial"/>
          <w:i/>
          <w:iCs/>
          <w:sz w:val="24"/>
          <w:szCs w:val="24"/>
        </w:rPr>
        <w:t>UK</w:t>
      </w:r>
      <w:r w:rsidR="00787194">
        <w:rPr>
          <w:rFonts w:ascii="Arial" w:hAnsi="Arial" w:cs="Arial"/>
          <w:sz w:val="24"/>
          <w:szCs w:val="24"/>
        </w:rPr>
        <w:t>, pp. 1–24.</w:t>
      </w:r>
      <w:r w:rsidRPr="0092309D">
        <w:rPr>
          <w:rFonts w:ascii="Arial" w:hAnsi="Arial" w:cs="Arial"/>
          <w:sz w:val="24"/>
          <w:szCs w:val="24"/>
        </w:rPr>
        <w:t xml:space="preserve"> Available at: </w:t>
      </w:r>
      <w:hyperlink r:id="rId30" w:history="1">
        <w:r w:rsidRPr="00800668">
          <w:rPr>
            <w:rStyle w:val="Hyperlink"/>
            <w:rFonts w:ascii="Arial" w:hAnsi="Arial" w:cs="Arial"/>
            <w:sz w:val="24"/>
            <w:szCs w:val="24"/>
          </w:rPr>
          <w:t>https://researchbriefings.files.parliament.uk/documents/SN06787/SN06787.pdf</w:t>
        </w:r>
      </w:hyperlink>
      <w:r>
        <w:rPr>
          <w:rFonts w:ascii="Arial" w:hAnsi="Arial" w:cs="Arial"/>
          <w:sz w:val="24"/>
          <w:szCs w:val="24"/>
        </w:rPr>
        <w:t xml:space="preserve">  (Accessed 22 March 2025).</w:t>
      </w:r>
    </w:p>
    <w:p w14:paraId="10F432EA" w14:textId="674C66EF" w:rsidR="00C01D7A" w:rsidRDefault="00C01D7A">
      <w:pPr>
        <w:rPr>
          <w:rFonts w:ascii="Arial" w:hAnsi="Arial" w:cs="Arial"/>
          <w:sz w:val="24"/>
          <w:szCs w:val="24"/>
        </w:rPr>
      </w:pPr>
      <w:r w:rsidRPr="00C01D7A">
        <w:rPr>
          <w:rFonts w:ascii="Arial" w:hAnsi="Arial" w:cs="Arial"/>
          <w:sz w:val="24"/>
          <w:szCs w:val="24"/>
        </w:rPr>
        <w:t>Garces-Velastegui, P. (2023)</w:t>
      </w:r>
      <w:r>
        <w:rPr>
          <w:rFonts w:ascii="Arial" w:hAnsi="Arial" w:cs="Arial"/>
          <w:sz w:val="24"/>
          <w:szCs w:val="24"/>
        </w:rPr>
        <w:t xml:space="preserve"> ‘</w:t>
      </w:r>
      <w:r w:rsidRPr="00C01D7A">
        <w:rPr>
          <w:rFonts w:ascii="Arial" w:hAnsi="Arial" w:cs="Arial"/>
          <w:sz w:val="24"/>
          <w:szCs w:val="24"/>
        </w:rPr>
        <w:t>Towards a behavioural capability approach: the contribution of behavioural economics to Amartya Sen’s framework</w:t>
      </w:r>
      <w:r>
        <w:rPr>
          <w:rFonts w:ascii="Arial" w:hAnsi="Arial" w:cs="Arial"/>
          <w:sz w:val="24"/>
          <w:szCs w:val="24"/>
        </w:rPr>
        <w:t>’,</w:t>
      </w:r>
      <w:r w:rsidRPr="00C01D7A">
        <w:rPr>
          <w:rFonts w:ascii="Arial" w:hAnsi="Arial" w:cs="Arial"/>
          <w:sz w:val="24"/>
          <w:szCs w:val="24"/>
        </w:rPr>
        <w:t> </w:t>
      </w:r>
      <w:r w:rsidRPr="00C01D7A">
        <w:rPr>
          <w:rFonts w:ascii="Arial" w:hAnsi="Arial" w:cs="Arial"/>
          <w:i/>
          <w:iCs/>
          <w:sz w:val="24"/>
          <w:szCs w:val="24"/>
        </w:rPr>
        <w:t>International Review of Economics</w:t>
      </w:r>
      <w:r w:rsidR="00787194">
        <w:rPr>
          <w:rFonts w:ascii="Arial" w:hAnsi="Arial" w:cs="Arial"/>
          <w:sz w:val="24"/>
          <w:szCs w:val="24"/>
        </w:rPr>
        <w:t>, 70(1) pp. 101</w:t>
      </w:r>
      <w:r w:rsidR="00074605">
        <w:rPr>
          <w:rFonts w:ascii="Arial" w:hAnsi="Arial" w:cs="Arial"/>
          <w:sz w:val="24"/>
          <w:szCs w:val="24"/>
        </w:rPr>
        <w:t>–</w:t>
      </w:r>
      <w:r w:rsidR="00787194">
        <w:rPr>
          <w:rFonts w:ascii="Arial" w:hAnsi="Arial" w:cs="Arial"/>
          <w:sz w:val="24"/>
          <w:szCs w:val="24"/>
        </w:rPr>
        <w:t>120.</w:t>
      </w:r>
      <w:r w:rsidRPr="00C01D7A">
        <w:rPr>
          <w:rFonts w:ascii="Arial" w:hAnsi="Arial" w:cs="Arial"/>
          <w:sz w:val="24"/>
          <w:szCs w:val="24"/>
        </w:rPr>
        <w:t xml:space="preserve"> </w:t>
      </w:r>
      <w:r>
        <w:rPr>
          <w:rFonts w:ascii="Arial" w:hAnsi="Arial" w:cs="Arial"/>
          <w:sz w:val="24"/>
          <w:szCs w:val="24"/>
        </w:rPr>
        <w:t xml:space="preserve">Available at: </w:t>
      </w:r>
      <w:hyperlink r:id="rId31" w:history="1">
        <w:r w:rsidRPr="00800668">
          <w:rPr>
            <w:rStyle w:val="Hyperlink"/>
            <w:rFonts w:ascii="Arial" w:hAnsi="Arial" w:cs="Arial"/>
            <w:sz w:val="24"/>
            <w:szCs w:val="24"/>
          </w:rPr>
          <w:t>https://doi.org/10.1007/s12232-023-00411-0</w:t>
        </w:r>
      </w:hyperlink>
      <w:r>
        <w:rPr>
          <w:rFonts w:ascii="Arial" w:hAnsi="Arial" w:cs="Arial"/>
          <w:sz w:val="24"/>
          <w:szCs w:val="24"/>
        </w:rPr>
        <w:t xml:space="preserve"> (Accessed 24 April 2025).</w:t>
      </w:r>
    </w:p>
    <w:p w14:paraId="13A346A9" w14:textId="77777777" w:rsidR="00074605" w:rsidRDefault="00074605">
      <w:pPr>
        <w:rPr>
          <w:rFonts w:ascii="Arial" w:hAnsi="Arial" w:cs="Arial"/>
          <w:sz w:val="24"/>
          <w:szCs w:val="24"/>
        </w:rPr>
      </w:pPr>
    </w:p>
    <w:p w14:paraId="4D2F9BC5" w14:textId="77777777" w:rsidR="00074605" w:rsidRDefault="00074605">
      <w:pPr>
        <w:rPr>
          <w:rFonts w:ascii="Arial" w:hAnsi="Arial" w:cs="Arial"/>
          <w:sz w:val="24"/>
          <w:szCs w:val="24"/>
        </w:rPr>
      </w:pPr>
    </w:p>
    <w:p w14:paraId="159780B5" w14:textId="5A65DB32" w:rsidR="0009078B" w:rsidRDefault="0009078B">
      <w:pPr>
        <w:rPr>
          <w:rFonts w:ascii="Arial" w:hAnsi="Arial" w:cs="Arial"/>
          <w:sz w:val="24"/>
          <w:szCs w:val="24"/>
        </w:rPr>
      </w:pPr>
      <w:r w:rsidRPr="0009078B">
        <w:rPr>
          <w:rFonts w:ascii="Arial" w:hAnsi="Arial" w:cs="Arial"/>
          <w:sz w:val="24"/>
          <w:szCs w:val="24"/>
        </w:rPr>
        <w:lastRenderedPageBreak/>
        <w:t xml:space="preserve">Harding, K.E., Camden, C., </w:t>
      </w:r>
      <w:r>
        <w:rPr>
          <w:rFonts w:ascii="Arial" w:hAnsi="Arial" w:cs="Arial"/>
          <w:sz w:val="24"/>
          <w:szCs w:val="24"/>
        </w:rPr>
        <w:t xml:space="preserve">and </w:t>
      </w:r>
      <w:r w:rsidRPr="0009078B">
        <w:rPr>
          <w:rFonts w:ascii="Arial" w:hAnsi="Arial" w:cs="Arial"/>
          <w:sz w:val="24"/>
          <w:szCs w:val="24"/>
        </w:rPr>
        <w:t>Lewis, A.K. (2022)</w:t>
      </w:r>
      <w:r>
        <w:rPr>
          <w:rFonts w:ascii="Arial" w:hAnsi="Arial" w:cs="Arial"/>
          <w:sz w:val="24"/>
          <w:szCs w:val="24"/>
        </w:rPr>
        <w:t xml:space="preserve"> </w:t>
      </w:r>
      <w:r w:rsidRPr="0009078B">
        <w:rPr>
          <w:rFonts w:ascii="Arial" w:hAnsi="Arial" w:cs="Arial"/>
          <w:sz w:val="24"/>
          <w:szCs w:val="24"/>
        </w:rPr>
        <w:t>‘Service redesign interventions to reduce waiting time for paediatric rehabilitation and therapy services: A systematic review of the literature</w:t>
      </w:r>
      <w:r>
        <w:rPr>
          <w:rFonts w:ascii="Arial" w:hAnsi="Arial" w:cs="Arial"/>
          <w:sz w:val="24"/>
          <w:szCs w:val="24"/>
        </w:rPr>
        <w:t xml:space="preserve">’, </w:t>
      </w:r>
      <w:r w:rsidRPr="0009078B">
        <w:rPr>
          <w:rFonts w:ascii="Arial" w:hAnsi="Arial" w:cs="Arial"/>
          <w:i/>
          <w:iCs/>
          <w:sz w:val="24"/>
          <w:szCs w:val="24"/>
        </w:rPr>
        <w:t xml:space="preserve">Health </w:t>
      </w:r>
      <w:r>
        <w:rPr>
          <w:rFonts w:ascii="Arial" w:hAnsi="Arial" w:cs="Arial"/>
          <w:i/>
          <w:iCs/>
          <w:sz w:val="24"/>
          <w:szCs w:val="24"/>
        </w:rPr>
        <w:t>and</w:t>
      </w:r>
      <w:r w:rsidRPr="0009078B">
        <w:rPr>
          <w:rFonts w:ascii="Arial" w:hAnsi="Arial" w:cs="Arial"/>
          <w:i/>
          <w:iCs/>
          <w:sz w:val="24"/>
          <w:szCs w:val="24"/>
        </w:rPr>
        <w:t xml:space="preserve"> Social Care in the Community</w:t>
      </w:r>
      <w:r w:rsidRPr="0009078B">
        <w:rPr>
          <w:rFonts w:ascii="Arial" w:hAnsi="Arial" w:cs="Arial"/>
          <w:sz w:val="24"/>
          <w:szCs w:val="24"/>
        </w:rPr>
        <w:t xml:space="preserve">, 30(6), </w:t>
      </w:r>
      <w:r>
        <w:rPr>
          <w:rFonts w:ascii="Arial" w:hAnsi="Arial" w:cs="Arial"/>
          <w:sz w:val="24"/>
          <w:szCs w:val="24"/>
        </w:rPr>
        <w:t>pp.</w:t>
      </w:r>
      <w:r w:rsidR="00074605">
        <w:rPr>
          <w:rFonts w:ascii="Arial" w:hAnsi="Arial" w:cs="Arial"/>
          <w:sz w:val="24"/>
          <w:szCs w:val="24"/>
        </w:rPr>
        <w:t>1</w:t>
      </w:r>
      <w:r w:rsidRPr="0009078B">
        <w:rPr>
          <w:rFonts w:ascii="Arial" w:hAnsi="Arial" w:cs="Arial"/>
          <w:sz w:val="24"/>
          <w:szCs w:val="24"/>
        </w:rPr>
        <w:t>–</w:t>
      </w:r>
      <w:r w:rsidR="00074605">
        <w:rPr>
          <w:rFonts w:ascii="Arial" w:hAnsi="Arial" w:cs="Arial"/>
          <w:sz w:val="24"/>
          <w:szCs w:val="24"/>
        </w:rPr>
        <w:t>14</w:t>
      </w:r>
      <w:r w:rsidRPr="0009078B">
        <w:rPr>
          <w:rFonts w:ascii="Arial" w:hAnsi="Arial" w:cs="Arial"/>
          <w:sz w:val="24"/>
          <w:szCs w:val="24"/>
        </w:rPr>
        <w:t xml:space="preserve">. </w:t>
      </w:r>
      <w:r>
        <w:rPr>
          <w:rFonts w:ascii="Arial" w:hAnsi="Arial" w:cs="Arial"/>
          <w:sz w:val="24"/>
          <w:szCs w:val="24"/>
        </w:rPr>
        <w:t xml:space="preserve">Available at: </w:t>
      </w:r>
      <w:hyperlink r:id="rId32" w:history="1">
        <w:r w:rsidR="00074605" w:rsidRPr="00764F30">
          <w:rPr>
            <w:rStyle w:val="Hyperlink"/>
            <w:rFonts w:ascii="Arial" w:hAnsi="Arial" w:cs="Arial"/>
            <w:sz w:val="24"/>
            <w:szCs w:val="24"/>
          </w:rPr>
          <w:t>https://onlinelibrary.wiley.com/doi/epdf/10.1111/hsc.13866</w:t>
        </w:r>
      </w:hyperlink>
      <w:r w:rsidR="00074605">
        <w:rPr>
          <w:rFonts w:ascii="Arial" w:hAnsi="Arial" w:cs="Arial"/>
          <w:sz w:val="24"/>
          <w:szCs w:val="24"/>
        </w:rPr>
        <w:t xml:space="preserve"> </w:t>
      </w:r>
      <w:r>
        <w:rPr>
          <w:rFonts w:ascii="Arial" w:hAnsi="Arial" w:cs="Arial"/>
          <w:sz w:val="24"/>
          <w:szCs w:val="24"/>
        </w:rPr>
        <w:t xml:space="preserve"> (Accessed 23 March 2025).</w:t>
      </w:r>
    </w:p>
    <w:p w14:paraId="6CCB8B43" w14:textId="6C62CE3C" w:rsidR="008C27FD" w:rsidRDefault="008C27FD">
      <w:pPr>
        <w:rPr>
          <w:rFonts w:ascii="Arial" w:hAnsi="Arial" w:cs="Arial"/>
          <w:sz w:val="24"/>
          <w:szCs w:val="24"/>
        </w:rPr>
      </w:pPr>
      <w:r w:rsidRPr="008C27FD">
        <w:rPr>
          <w:rFonts w:ascii="Arial" w:hAnsi="Arial" w:cs="Arial"/>
          <w:sz w:val="24"/>
          <w:szCs w:val="24"/>
        </w:rPr>
        <w:t xml:space="preserve">Helen, B. and Nina, B. (2016) Briefing on the English Child Protection System: </w:t>
      </w:r>
      <w:r w:rsidRPr="008C27FD">
        <w:rPr>
          <w:rFonts w:ascii="Arial" w:hAnsi="Arial" w:cs="Arial"/>
          <w:i/>
          <w:iCs/>
          <w:sz w:val="24"/>
          <w:szCs w:val="24"/>
        </w:rPr>
        <w:t>The policy framework</w:t>
      </w:r>
      <w:r w:rsidR="00074605">
        <w:rPr>
          <w:rFonts w:ascii="Arial" w:hAnsi="Arial" w:cs="Arial"/>
          <w:sz w:val="24"/>
          <w:szCs w:val="24"/>
        </w:rPr>
        <w:t>, pp. 1–7.</w:t>
      </w:r>
      <w:r w:rsidRPr="008C27FD">
        <w:rPr>
          <w:rFonts w:ascii="Arial" w:hAnsi="Arial" w:cs="Arial"/>
          <w:sz w:val="24"/>
          <w:szCs w:val="24"/>
        </w:rPr>
        <w:t xml:space="preserve"> Available at: </w:t>
      </w:r>
      <w:hyperlink r:id="rId33" w:history="1">
        <w:r w:rsidRPr="00800668">
          <w:rPr>
            <w:rStyle w:val="Hyperlink"/>
            <w:rFonts w:ascii="Arial" w:hAnsi="Arial" w:cs="Arial"/>
            <w:sz w:val="24"/>
            <w:szCs w:val="24"/>
          </w:rPr>
          <w:t>https://www.projecthestia.com/wp-content/uploads/2015/03/POLICY-BRIEFING-ENGLAND.pdf</w:t>
        </w:r>
      </w:hyperlink>
      <w:r>
        <w:rPr>
          <w:rFonts w:ascii="Arial" w:hAnsi="Arial" w:cs="Arial"/>
          <w:sz w:val="24"/>
          <w:szCs w:val="24"/>
        </w:rPr>
        <w:t xml:space="preserve"> (Accessed 25 April 2025).</w:t>
      </w:r>
    </w:p>
    <w:p w14:paraId="59EB5003" w14:textId="5483988A" w:rsidR="00EF4C05" w:rsidRDefault="00EF4C05">
      <w:pPr>
        <w:rPr>
          <w:rFonts w:ascii="Arial" w:hAnsi="Arial" w:cs="Arial"/>
          <w:sz w:val="24"/>
          <w:szCs w:val="24"/>
        </w:rPr>
      </w:pPr>
      <w:r w:rsidRPr="00EF4C05">
        <w:rPr>
          <w:rFonts w:ascii="Arial" w:hAnsi="Arial" w:cs="Arial"/>
          <w:sz w:val="24"/>
          <w:szCs w:val="24"/>
        </w:rPr>
        <w:t>Hock, E.S., Blank, L., Fairbrother, H., Clowes, M., Cuevas, D.C., Booth, A., Clair, A. and Goyder, E. (2024)</w:t>
      </w:r>
      <w:r>
        <w:rPr>
          <w:rFonts w:ascii="Arial" w:hAnsi="Arial" w:cs="Arial"/>
          <w:sz w:val="24"/>
          <w:szCs w:val="24"/>
        </w:rPr>
        <w:t xml:space="preserve"> ‘</w:t>
      </w:r>
      <w:r w:rsidRPr="00EF4C05">
        <w:rPr>
          <w:rFonts w:ascii="Arial" w:hAnsi="Arial" w:cs="Arial"/>
          <w:sz w:val="24"/>
          <w:szCs w:val="24"/>
        </w:rPr>
        <w:t>Exploring the impact of housing insecurity on the health and wellbeing of children and young people in the United Kingdom: a qualitative systematic review</w:t>
      </w:r>
      <w:r>
        <w:rPr>
          <w:rFonts w:ascii="Arial" w:hAnsi="Arial" w:cs="Arial"/>
          <w:sz w:val="24"/>
          <w:szCs w:val="24"/>
        </w:rPr>
        <w:t>’,</w:t>
      </w:r>
      <w:r w:rsidRPr="00EF4C05">
        <w:rPr>
          <w:rFonts w:ascii="Arial" w:hAnsi="Arial" w:cs="Arial"/>
          <w:sz w:val="24"/>
          <w:szCs w:val="24"/>
        </w:rPr>
        <w:t> </w:t>
      </w:r>
      <w:r w:rsidRPr="00EF4C05">
        <w:rPr>
          <w:rFonts w:ascii="Arial" w:hAnsi="Arial" w:cs="Arial"/>
          <w:i/>
          <w:iCs/>
          <w:sz w:val="24"/>
          <w:szCs w:val="24"/>
        </w:rPr>
        <w:t>BMC Public Health</w:t>
      </w:r>
      <w:r w:rsidRPr="00EF4C05">
        <w:rPr>
          <w:rFonts w:ascii="Arial" w:hAnsi="Arial" w:cs="Arial"/>
          <w:sz w:val="24"/>
          <w:szCs w:val="24"/>
        </w:rPr>
        <w:t>, 24(1)</w:t>
      </w:r>
      <w:r w:rsidR="00074605">
        <w:rPr>
          <w:rFonts w:ascii="Arial" w:hAnsi="Arial" w:cs="Arial"/>
          <w:sz w:val="24"/>
          <w:szCs w:val="24"/>
        </w:rPr>
        <w:t xml:space="preserve"> pp. 1–37</w:t>
      </w:r>
      <w:r w:rsidRPr="00EF4C05">
        <w:rPr>
          <w:rFonts w:ascii="Arial" w:hAnsi="Arial" w:cs="Arial"/>
          <w:sz w:val="24"/>
          <w:szCs w:val="24"/>
        </w:rPr>
        <w:t xml:space="preserve">. </w:t>
      </w:r>
      <w:r w:rsidR="008B30EF">
        <w:rPr>
          <w:rFonts w:ascii="Arial" w:hAnsi="Arial" w:cs="Arial"/>
          <w:sz w:val="24"/>
          <w:szCs w:val="24"/>
        </w:rPr>
        <w:t xml:space="preserve">Available at: </w:t>
      </w:r>
      <w:hyperlink r:id="rId34" w:history="1">
        <w:r w:rsidR="008B30EF" w:rsidRPr="00800668">
          <w:rPr>
            <w:rStyle w:val="Hyperlink"/>
            <w:rFonts w:ascii="Arial" w:hAnsi="Arial" w:cs="Arial"/>
            <w:sz w:val="24"/>
            <w:szCs w:val="24"/>
          </w:rPr>
          <w:t>https://doi.org/10.1186/s12889-024-19735-9</w:t>
        </w:r>
      </w:hyperlink>
      <w:r w:rsidR="008B30EF">
        <w:rPr>
          <w:rFonts w:ascii="Arial" w:hAnsi="Arial" w:cs="Arial"/>
          <w:sz w:val="24"/>
          <w:szCs w:val="24"/>
        </w:rPr>
        <w:t xml:space="preserve"> (Accessed 25 April 2025).</w:t>
      </w:r>
    </w:p>
    <w:p w14:paraId="3DCA0E5A" w14:textId="1B94B4FF" w:rsidR="006312AF" w:rsidRDefault="006312AF">
      <w:pPr>
        <w:rPr>
          <w:rFonts w:ascii="Arial" w:hAnsi="Arial" w:cs="Arial"/>
          <w:sz w:val="24"/>
          <w:szCs w:val="24"/>
        </w:rPr>
      </w:pPr>
      <w:r w:rsidRPr="006312AF">
        <w:rPr>
          <w:rFonts w:ascii="Arial" w:hAnsi="Arial" w:cs="Arial"/>
          <w:sz w:val="24"/>
          <w:szCs w:val="24"/>
        </w:rPr>
        <w:t>Hoffman, S. and Stern, R.T. (2020)</w:t>
      </w:r>
      <w:r>
        <w:rPr>
          <w:rFonts w:ascii="Arial" w:hAnsi="Arial" w:cs="Arial"/>
          <w:sz w:val="24"/>
          <w:szCs w:val="24"/>
        </w:rPr>
        <w:t xml:space="preserve"> ‘</w:t>
      </w:r>
      <w:r w:rsidRPr="006312AF">
        <w:rPr>
          <w:rFonts w:ascii="Arial" w:hAnsi="Arial" w:cs="Arial"/>
          <w:sz w:val="24"/>
          <w:szCs w:val="24"/>
        </w:rPr>
        <w:t>Incorporation of the UN Convention on the Rights of the Child in National Law</w:t>
      </w:r>
      <w:r>
        <w:rPr>
          <w:rFonts w:ascii="Arial" w:hAnsi="Arial" w:cs="Arial"/>
          <w:sz w:val="24"/>
          <w:szCs w:val="24"/>
        </w:rPr>
        <w:t>’,</w:t>
      </w:r>
      <w:r w:rsidRPr="006312AF">
        <w:rPr>
          <w:rFonts w:ascii="Arial" w:hAnsi="Arial" w:cs="Arial"/>
          <w:sz w:val="24"/>
          <w:szCs w:val="24"/>
        </w:rPr>
        <w:t> </w:t>
      </w:r>
      <w:r w:rsidRPr="006312AF">
        <w:rPr>
          <w:rFonts w:ascii="Arial" w:hAnsi="Arial" w:cs="Arial"/>
          <w:i/>
          <w:iCs/>
          <w:sz w:val="24"/>
          <w:szCs w:val="24"/>
        </w:rPr>
        <w:t>The International Journal of Children’s Rights</w:t>
      </w:r>
      <w:r w:rsidRPr="006312AF">
        <w:rPr>
          <w:rFonts w:ascii="Arial" w:hAnsi="Arial" w:cs="Arial"/>
          <w:sz w:val="24"/>
          <w:szCs w:val="24"/>
        </w:rPr>
        <w:t xml:space="preserve">, 28(1), pp.133–156. </w:t>
      </w:r>
      <w:r>
        <w:rPr>
          <w:rFonts w:ascii="Arial" w:hAnsi="Arial" w:cs="Arial"/>
          <w:sz w:val="24"/>
          <w:szCs w:val="24"/>
        </w:rPr>
        <w:t xml:space="preserve">Available at: </w:t>
      </w:r>
      <w:hyperlink r:id="rId35" w:history="1">
        <w:r w:rsidRPr="00E81C14">
          <w:rPr>
            <w:rStyle w:val="Hyperlink"/>
            <w:rFonts w:ascii="Arial" w:hAnsi="Arial" w:cs="Arial"/>
            <w:sz w:val="24"/>
            <w:szCs w:val="24"/>
          </w:rPr>
          <w:t>https://doi.org/10.1163/15718182-02801001</w:t>
        </w:r>
      </w:hyperlink>
      <w:r>
        <w:rPr>
          <w:rFonts w:ascii="Arial" w:hAnsi="Arial" w:cs="Arial"/>
          <w:sz w:val="24"/>
          <w:szCs w:val="24"/>
        </w:rPr>
        <w:t xml:space="preserve"> (Accessed 22 April 2025).</w:t>
      </w:r>
    </w:p>
    <w:p w14:paraId="281D3C61" w14:textId="25F24DCB" w:rsidR="00E62F9D" w:rsidRDefault="00E62F9D">
      <w:pPr>
        <w:rPr>
          <w:rFonts w:ascii="Arial" w:hAnsi="Arial" w:cs="Arial"/>
          <w:sz w:val="24"/>
          <w:szCs w:val="24"/>
        </w:rPr>
      </w:pPr>
      <w:r w:rsidRPr="00E62F9D">
        <w:rPr>
          <w:rFonts w:ascii="Arial" w:hAnsi="Arial" w:cs="Arial"/>
          <w:sz w:val="24"/>
          <w:szCs w:val="24"/>
        </w:rPr>
        <w:t xml:space="preserve">Hoffman, S. (2020) </w:t>
      </w:r>
      <w:r>
        <w:rPr>
          <w:rFonts w:ascii="Arial" w:hAnsi="Arial" w:cs="Arial"/>
          <w:sz w:val="24"/>
          <w:szCs w:val="24"/>
        </w:rPr>
        <w:t>‘</w:t>
      </w:r>
      <w:r w:rsidRPr="00E62F9D">
        <w:rPr>
          <w:rFonts w:ascii="Arial" w:hAnsi="Arial" w:cs="Arial"/>
          <w:sz w:val="24"/>
          <w:szCs w:val="24"/>
        </w:rPr>
        <w:t>Ex ante children’s rights impact assessment of economic policy</w:t>
      </w:r>
      <w:r>
        <w:rPr>
          <w:rFonts w:ascii="Arial" w:hAnsi="Arial" w:cs="Arial"/>
          <w:sz w:val="24"/>
          <w:szCs w:val="24"/>
        </w:rPr>
        <w:t>’,</w:t>
      </w:r>
      <w:r w:rsidRPr="00E62F9D">
        <w:rPr>
          <w:rFonts w:ascii="Arial" w:hAnsi="Arial" w:cs="Arial"/>
          <w:sz w:val="24"/>
          <w:szCs w:val="24"/>
        </w:rPr>
        <w:t> </w:t>
      </w:r>
      <w:r w:rsidRPr="00E62F9D">
        <w:rPr>
          <w:rFonts w:ascii="Arial" w:hAnsi="Arial" w:cs="Arial"/>
          <w:i/>
          <w:iCs/>
          <w:sz w:val="24"/>
          <w:szCs w:val="24"/>
        </w:rPr>
        <w:t>The International Journal of Human Rights</w:t>
      </w:r>
      <w:r w:rsidRPr="00E62F9D">
        <w:rPr>
          <w:rFonts w:ascii="Arial" w:hAnsi="Arial" w:cs="Arial"/>
          <w:sz w:val="24"/>
          <w:szCs w:val="24"/>
        </w:rPr>
        <w:t>, 24(9), pp.1–</w:t>
      </w:r>
      <w:r w:rsidR="00DF1E1E">
        <w:rPr>
          <w:rFonts w:ascii="Arial" w:hAnsi="Arial" w:cs="Arial"/>
          <w:sz w:val="24"/>
          <w:szCs w:val="24"/>
        </w:rPr>
        <w:t>40</w:t>
      </w:r>
      <w:r w:rsidRPr="00E62F9D">
        <w:rPr>
          <w:rFonts w:ascii="Arial" w:hAnsi="Arial" w:cs="Arial"/>
          <w:sz w:val="24"/>
          <w:szCs w:val="24"/>
        </w:rPr>
        <w:t xml:space="preserve">. </w:t>
      </w:r>
      <w:r>
        <w:rPr>
          <w:rFonts w:ascii="Arial" w:hAnsi="Arial" w:cs="Arial"/>
          <w:sz w:val="24"/>
          <w:szCs w:val="24"/>
        </w:rPr>
        <w:t xml:space="preserve">Available at: </w:t>
      </w:r>
      <w:hyperlink r:id="rId36" w:history="1">
        <w:r w:rsidR="00DF1E1E" w:rsidRPr="00764F30">
          <w:rPr>
            <w:rStyle w:val="Hyperlink"/>
            <w:rFonts w:ascii="Arial" w:hAnsi="Arial" w:cs="Arial"/>
            <w:sz w:val="24"/>
            <w:szCs w:val="24"/>
          </w:rPr>
          <w:t>file:///C:/Users/COMP/Downloads/55418.pdf</w:t>
        </w:r>
      </w:hyperlink>
      <w:r w:rsidR="00DF1E1E">
        <w:rPr>
          <w:rFonts w:ascii="Arial" w:hAnsi="Arial" w:cs="Arial"/>
          <w:sz w:val="24"/>
          <w:szCs w:val="24"/>
        </w:rPr>
        <w:t xml:space="preserve"> </w:t>
      </w:r>
      <w:r>
        <w:rPr>
          <w:rFonts w:ascii="Arial" w:hAnsi="Arial" w:cs="Arial"/>
          <w:sz w:val="24"/>
          <w:szCs w:val="24"/>
        </w:rPr>
        <w:t xml:space="preserve"> (Accessed 24 April 2025).</w:t>
      </w:r>
    </w:p>
    <w:p w14:paraId="420B30BA" w14:textId="141533C1" w:rsidR="00CE079E" w:rsidRDefault="00CE079E">
      <w:pPr>
        <w:rPr>
          <w:rFonts w:ascii="Arial" w:hAnsi="Arial" w:cs="Arial"/>
          <w:sz w:val="24"/>
          <w:szCs w:val="24"/>
        </w:rPr>
      </w:pPr>
      <w:r w:rsidRPr="00CE079E">
        <w:rPr>
          <w:rFonts w:ascii="Arial" w:hAnsi="Arial" w:cs="Arial"/>
          <w:sz w:val="24"/>
          <w:szCs w:val="24"/>
        </w:rPr>
        <w:t>Howe, D. and Betts, L.R. (202</w:t>
      </w:r>
      <w:r>
        <w:rPr>
          <w:rFonts w:ascii="Arial" w:hAnsi="Arial" w:cs="Arial"/>
          <w:sz w:val="24"/>
          <w:szCs w:val="24"/>
        </w:rPr>
        <w:t>3</w:t>
      </w:r>
      <w:r w:rsidRPr="00CE079E">
        <w:rPr>
          <w:rFonts w:ascii="Arial" w:hAnsi="Arial" w:cs="Arial"/>
          <w:sz w:val="24"/>
          <w:szCs w:val="24"/>
        </w:rPr>
        <w:t>)</w:t>
      </w:r>
      <w:r>
        <w:rPr>
          <w:rFonts w:ascii="Arial" w:hAnsi="Arial" w:cs="Arial"/>
          <w:sz w:val="24"/>
          <w:szCs w:val="24"/>
        </w:rPr>
        <w:t xml:space="preserve"> </w:t>
      </w:r>
      <w:r w:rsidRPr="00CE079E">
        <w:rPr>
          <w:rFonts w:ascii="Arial" w:hAnsi="Arial" w:cs="Arial"/>
          <w:sz w:val="24"/>
          <w:szCs w:val="24"/>
        </w:rPr>
        <w:t>Attachment Across the Lifecourse</w:t>
      </w:r>
      <w:r>
        <w:rPr>
          <w:rFonts w:ascii="Arial" w:hAnsi="Arial" w:cs="Arial"/>
          <w:sz w:val="24"/>
          <w:szCs w:val="24"/>
        </w:rPr>
        <w:t xml:space="preserve">: </w:t>
      </w:r>
      <w:r w:rsidRPr="00CE079E">
        <w:rPr>
          <w:rFonts w:ascii="Arial" w:hAnsi="Arial" w:cs="Arial"/>
          <w:i/>
          <w:iCs/>
          <w:sz w:val="24"/>
          <w:szCs w:val="24"/>
        </w:rPr>
        <w:t xml:space="preserve">A Brief </w:t>
      </w:r>
      <w:r>
        <w:rPr>
          <w:rFonts w:ascii="Arial" w:hAnsi="Arial" w:cs="Arial"/>
          <w:i/>
          <w:iCs/>
          <w:sz w:val="24"/>
          <w:szCs w:val="24"/>
        </w:rPr>
        <w:t>Introduction</w:t>
      </w:r>
      <w:r w:rsidRPr="00CE079E">
        <w:rPr>
          <w:rFonts w:ascii="Arial" w:hAnsi="Arial" w:cs="Arial"/>
          <w:sz w:val="24"/>
          <w:szCs w:val="24"/>
        </w:rPr>
        <w:t>.</w:t>
      </w:r>
      <w:r>
        <w:rPr>
          <w:rFonts w:ascii="Arial" w:hAnsi="Arial" w:cs="Arial"/>
          <w:sz w:val="24"/>
          <w:szCs w:val="24"/>
        </w:rPr>
        <w:t xml:space="preserve"> 2</w:t>
      </w:r>
      <w:r w:rsidRPr="00CE079E">
        <w:rPr>
          <w:rFonts w:ascii="Arial" w:hAnsi="Arial" w:cs="Arial"/>
          <w:sz w:val="24"/>
          <w:szCs w:val="24"/>
          <w:vertAlign w:val="superscript"/>
        </w:rPr>
        <w:t>nd</w:t>
      </w:r>
      <w:r>
        <w:rPr>
          <w:rFonts w:ascii="Arial" w:hAnsi="Arial" w:cs="Arial"/>
          <w:sz w:val="24"/>
          <w:szCs w:val="24"/>
        </w:rPr>
        <w:t xml:space="preserve"> edn. London:</w:t>
      </w:r>
      <w:r w:rsidRPr="00CE079E">
        <w:rPr>
          <w:rFonts w:ascii="Arial" w:hAnsi="Arial" w:cs="Arial"/>
          <w:sz w:val="24"/>
          <w:szCs w:val="24"/>
        </w:rPr>
        <w:t xml:space="preserve"> Bloomsbury Publishing Plc.</w:t>
      </w:r>
    </w:p>
    <w:p w14:paraId="588618D0" w14:textId="6B9F16AA" w:rsidR="00195664" w:rsidRDefault="00195664">
      <w:pPr>
        <w:rPr>
          <w:rFonts w:ascii="Arial" w:hAnsi="Arial" w:cs="Arial"/>
          <w:sz w:val="24"/>
          <w:szCs w:val="24"/>
        </w:rPr>
      </w:pPr>
      <w:r w:rsidRPr="00195664">
        <w:rPr>
          <w:rFonts w:ascii="Arial" w:hAnsi="Arial" w:cs="Arial"/>
          <w:sz w:val="24"/>
          <w:szCs w:val="24"/>
        </w:rPr>
        <w:t>Hughes, D.A. and Gurney-Smith, B. (2020)</w:t>
      </w:r>
      <w:r>
        <w:rPr>
          <w:rFonts w:ascii="Arial" w:hAnsi="Arial" w:cs="Arial"/>
          <w:sz w:val="24"/>
          <w:szCs w:val="24"/>
        </w:rPr>
        <w:t xml:space="preserve"> </w:t>
      </w:r>
      <w:r w:rsidRPr="00195664">
        <w:rPr>
          <w:rFonts w:ascii="Arial" w:hAnsi="Arial" w:cs="Arial"/>
          <w:sz w:val="24"/>
          <w:szCs w:val="24"/>
        </w:rPr>
        <w:t>The Little Book of Attachment:</w:t>
      </w:r>
      <w:r w:rsidRPr="00195664">
        <w:rPr>
          <w:rFonts w:ascii="Arial" w:hAnsi="Arial" w:cs="Arial"/>
          <w:i/>
          <w:iCs/>
          <w:sz w:val="24"/>
          <w:szCs w:val="24"/>
        </w:rPr>
        <w:t xml:space="preserve"> Theory to Practice in Child Mental Health with Dyadic Developmental Psychotherapy</w:t>
      </w:r>
      <w:r w:rsidRPr="00195664">
        <w:rPr>
          <w:rFonts w:ascii="Arial" w:hAnsi="Arial" w:cs="Arial"/>
          <w:sz w:val="24"/>
          <w:szCs w:val="24"/>
        </w:rPr>
        <w:t xml:space="preserve">. </w:t>
      </w:r>
      <w:r w:rsidR="00E042F3">
        <w:rPr>
          <w:rFonts w:ascii="Arial" w:hAnsi="Arial" w:cs="Arial"/>
          <w:sz w:val="24"/>
          <w:szCs w:val="24"/>
        </w:rPr>
        <w:t>London</w:t>
      </w:r>
      <w:r>
        <w:rPr>
          <w:rFonts w:ascii="Arial" w:hAnsi="Arial" w:cs="Arial"/>
          <w:sz w:val="24"/>
          <w:szCs w:val="24"/>
        </w:rPr>
        <w:t xml:space="preserve">: </w:t>
      </w:r>
      <w:r w:rsidRPr="00195664">
        <w:rPr>
          <w:rFonts w:ascii="Arial" w:hAnsi="Arial" w:cs="Arial"/>
          <w:sz w:val="24"/>
          <w:szCs w:val="24"/>
        </w:rPr>
        <w:t xml:space="preserve">Norton </w:t>
      </w:r>
      <w:r>
        <w:rPr>
          <w:rFonts w:ascii="Arial" w:hAnsi="Arial" w:cs="Arial"/>
          <w:sz w:val="24"/>
          <w:szCs w:val="24"/>
        </w:rPr>
        <w:t>and</w:t>
      </w:r>
      <w:r w:rsidRPr="00195664">
        <w:rPr>
          <w:rFonts w:ascii="Arial" w:hAnsi="Arial" w:cs="Arial"/>
          <w:sz w:val="24"/>
          <w:szCs w:val="24"/>
        </w:rPr>
        <w:t xml:space="preserve"> Company.</w:t>
      </w:r>
    </w:p>
    <w:p w14:paraId="54B31AB6" w14:textId="5D4B2DF5" w:rsidR="00DC71F9" w:rsidRDefault="00DC71F9" w:rsidP="00DC71F9">
      <w:pPr>
        <w:rPr>
          <w:rFonts w:ascii="Arial" w:hAnsi="Arial" w:cs="Arial"/>
          <w:sz w:val="24"/>
          <w:szCs w:val="24"/>
        </w:rPr>
      </w:pPr>
      <w:r w:rsidRPr="00DC71F9">
        <w:rPr>
          <w:rFonts w:ascii="Arial" w:hAnsi="Arial" w:cs="Arial"/>
          <w:sz w:val="24"/>
          <w:szCs w:val="24"/>
        </w:rPr>
        <w:t>Independent Care Review (2020) Evidence</w:t>
      </w:r>
      <w:r>
        <w:rPr>
          <w:rFonts w:ascii="Arial" w:hAnsi="Arial" w:cs="Arial"/>
          <w:sz w:val="24"/>
          <w:szCs w:val="24"/>
        </w:rPr>
        <w:t xml:space="preserve"> </w:t>
      </w:r>
      <w:r w:rsidRPr="00DC71F9">
        <w:rPr>
          <w:rFonts w:ascii="Arial" w:hAnsi="Arial" w:cs="Arial"/>
          <w:sz w:val="24"/>
          <w:szCs w:val="24"/>
        </w:rPr>
        <w:t xml:space="preserve">Framework: </w:t>
      </w:r>
      <w:r w:rsidRPr="00DC71F9">
        <w:rPr>
          <w:rFonts w:ascii="Arial" w:hAnsi="Arial" w:cs="Arial"/>
          <w:i/>
          <w:iCs/>
          <w:sz w:val="24"/>
          <w:szCs w:val="24"/>
        </w:rPr>
        <w:t>Feb 2017 - Feb 2020</w:t>
      </w:r>
      <w:r w:rsidR="00E042F3">
        <w:rPr>
          <w:rFonts w:ascii="Arial" w:hAnsi="Arial" w:cs="Arial"/>
          <w:sz w:val="24"/>
          <w:szCs w:val="24"/>
        </w:rPr>
        <w:t>, pp. 1-1973.</w:t>
      </w:r>
      <w:r w:rsidRPr="00DC71F9">
        <w:rPr>
          <w:rFonts w:ascii="Arial" w:hAnsi="Arial" w:cs="Arial"/>
          <w:sz w:val="24"/>
          <w:szCs w:val="24"/>
        </w:rPr>
        <w:t xml:space="preserve"> Available at: </w:t>
      </w:r>
      <w:hyperlink r:id="rId37" w:history="1">
        <w:r w:rsidRPr="00800668">
          <w:rPr>
            <w:rStyle w:val="Hyperlink"/>
            <w:rFonts w:ascii="Arial" w:hAnsi="Arial" w:cs="Arial"/>
            <w:sz w:val="24"/>
            <w:szCs w:val="24"/>
          </w:rPr>
          <w:t>https://www.carereview.scot/wp-content/uploads/2020/07/ICR_Evidence_Framework_v2-1.pdf</w:t>
        </w:r>
      </w:hyperlink>
      <w:r>
        <w:rPr>
          <w:rFonts w:ascii="Arial" w:hAnsi="Arial" w:cs="Arial"/>
          <w:sz w:val="24"/>
          <w:szCs w:val="24"/>
        </w:rPr>
        <w:t xml:space="preserve"> (Accessed 25 April 2025)</w:t>
      </w:r>
    </w:p>
    <w:p w14:paraId="37B823A8" w14:textId="5786B819" w:rsidR="00F46D7B" w:rsidRDefault="00F46D7B">
      <w:pPr>
        <w:rPr>
          <w:rFonts w:ascii="Arial" w:hAnsi="Arial" w:cs="Arial"/>
          <w:sz w:val="24"/>
          <w:szCs w:val="24"/>
        </w:rPr>
      </w:pPr>
      <w:r w:rsidRPr="00F46D7B">
        <w:rPr>
          <w:rFonts w:ascii="Arial" w:hAnsi="Arial" w:cs="Arial"/>
          <w:sz w:val="24"/>
          <w:szCs w:val="24"/>
        </w:rPr>
        <w:t>Jones, B. (2021)</w:t>
      </w:r>
      <w:r>
        <w:rPr>
          <w:rFonts w:ascii="Arial" w:hAnsi="Arial" w:cs="Arial"/>
          <w:sz w:val="24"/>
          <w:szCs w:val="24"/>
        </w:rPr>
        <w:t xml:space="preserve"> </w:t>
      </w:r>
      <w:r w:rsidRPr="00F46D7B">
        <w:rPr>
          <w:rFonts w:ascii="Arial" w:hAnsi="Arial" w:cs="Arial"/>
          <w:i/>
          <w:iCs/>
          <w:sz w:val="24"/>
          <w:szCs w:val="24"/>
        </w:rPr>
        <w:t>Exploring the impact of Domestic Violence Protection Notices on victims and perpetrators of domestic violence</w:t>
      </w:r>
      <w:r w:rsidR="00E042F3">
        <w:rPr>
          <w:rFonts w:ascii="Arial" w:hAnsi="Arial" w:cs="Arial"/>
          <w:i/>
          <w:iCs/>
          <w:sz w:val="24"/>
          <w:szCs w:val="24"/>
        </w:rPr>
        <w:t xml:space="preserve">, </w:t>
      </w:r>
      <w:r w:rsidR="00E042F3" w:rsidRPr="00E042F3">
        <w:rPr>
          <w:rFonts w:ascii="Arial" w:hAnsi="Arial" w:cs="Arial"/>
          <w:sz w:val="24"/>
          <w:szCs w:val="24"/>
        </w:rPr>
        <w:t>pp. 1</w:t>
      </w:r>
      <w:r w:rsidR="00E042F3">
        <w:rPr>
          <w:rFonts w:ascii="Arial" w:hAnsi="Arial" w:cs="Arial"/>
          <w:sz w:val="24"/>
          <w:szCs w:val="24"/>
        </w:rPr>
        <w:t>–</w:t>
      </w:r>
      <w:r w:rsidR="00E042F3" w:rsidRPr="00E042F3">
        <w:rPr>
          <w:rFonts w:ascii="Arial" w:hAnsi="Arial" w:cs="Arial"/>
          <w:sz w:val="24"/>
          <w:szCs w:val="24"/>
        </w:rPr>
        <w:t>108.</w:t>
      </w:r>
      <w:r w:rsidRPr="00E042F3">
        <w:rPr>
          <w:rFonts w:ascii="Arial" w:hAnsi="Arial" w:cs="Arial"/>
          <w:sz w:val="24"/>
          <w:szCs w:val="24"/>
        </w:rPr>
        <w:t xml:space="preserve"> </w:t>
      </w:r>
      <w:r w:rsidRPr="00F46D7B">
        <w:rPr>
          <w:rFonts w:ascii="Arial" w:hAnsi="Arial" w:cs="Arial"/>
          <w:sz w:val="24"/>
          <w:szCs w:val="24"/>
        </w:rPr>
        <w:t xml:space="preserve">Available at: </w:t>
      </w:r>
      <w:hyperlink r:id="rId38" w:history="1">
        <w:r w:rsidRPr="00800668">
          <w:rPr>
            <w:rStyle w:val="Hyperlink"/>
            <w:rFonts w:ascii="Arial" w:hAnsi="Arial" w:cs="Arial"/>
            <w:sz w:val="24"/>
            <w:szCs w:val="24"/>
          </w:rPr>
          <w:t>https://research.bangor.ac.uk/portal/files/36680253/2020JonesBMARes.pdf</w:t>
        </w:r>
      </w:hyperlink>
      <w:r>
        <w:rPr>
          <w:rFonts w:ascii="Arial" w:hAnsi="Arial" w:cs="Arial"/>
          <w:sz w:val="24"/>
          <w:szCs w:val="24"/>
        </w:rPr>
        <w:t xml:space="preserve"> (Accessed 24 April 2025).</w:t>
      </w:r>
    </w:p>
    <w:p w14:paraId="0BBF466F" w14:textId="5B6AD3AE" w:rsidR="009716B6" w:rsidRDefault="009716B6">
      <w:pPr>
        <w:rPr>
          <w:rFonts w:ascii="Arial" w:hAnsi="Arial" w:cs="Arial"/>
          <w:sz w:val="24"/>
          <w:szCs w:val="24"/>
        </w:rPr>
      </w:pPr>
      <w:r w:rsidRPr="009716B6">
        <w:rPr>
          <w:rFonts w:ascii="Arial" w:hAnsi="Arial" w:cs="Arial"/>
          <w:sz w:val="24"/>
          <w:szCs w:val="24"/>
        </w:rPr>
        <w:t>Karatekin, C., Gresham, B., Barnes, A.J., Corcoran, F., Kritzik, R. and Mason, S.M. (2024)</w:t>
      </w:r>
      <w:r>
        <w:rPr>
          <w:rFonts w:ascii="Arial" w:hAnsi="Arial" w:cs="Arial"/>
          <w:sz w:val="24"/>
          <w:szCs w:val="24"/>
        </w:rPr>
        <w:t xml:space="preserve"> ‘Re-politicising</w:t>
      </w:r>
      <w:r w:rsidRPr="009716B6">
        <w:rPr>
          <w:rFonts w:ascii="Arial" w:hAnsi="Arial" w:cs="Arial"/>
          <w:sz w:val="24"/>
          <w:szCs w:val="24"/>
        </w:rPr>
        <w:t xml:space="preserve"> the WHO’s social determinants of health framework</w:t>
      </w:r>
      <w:r>
        <w:rPr>
          <w:rFonts w:ascii="Arial" w:hAnsi="Arial" w:cs="Arial"/>
          <w:sz w:val="24"/>
          <w:szCs w:val="24"/>
        </w:rPr>
        <w:t>’,</w:t>
      </w:r>
      <w:r w:rsidRPr="009716B6">
        <w:rPr>
          <w:rFonts w:ascii="Arial" w:hAnsi="Arial" w:cs="Arial"/>
          <w:sz w:val="24"/>
          <w:szCs w:val="24"/>
        </w:rPr>
        <w:t> </w:t>
      </w:r>
      <w:r w:rsidRPr="009716B6">
        <w:rPr>
          <w:rFonts w:ascii="Arial" w:hAnsi="Arial" w:cs="Arial"/>
          <w:i/>
          <w:iCs/>
          <w:sz w:val="24"/>
          <w:szCs w:val="24"/>
        </w:rPr>
        <w:t>Health Promotion International</w:t>
      </w:r>
      <w:r w:rsidRPr="009716B6">
        <w:rPr>
          <w:rFonts w:ascii="Arial" w:hAnsi="Arial" w:cs="Arial"/>
          <w:sz w:val="24"/>
          <w:szCs w:val="24"/>
        </w:rPr>
        <w:t xml:space="preserve">, 39(5). </w:t>
      </w:r>
      <w:r>
        <w:rPr>
          <w:rFonts w:ascii="Arial" w:hAnsi="Arial" w:cs="Arial"/>
          <w:sz w:val="24"/>
          <w:szCs w:val="24"/>
        </w:rPr>
        <w:t xml:space="preserve">Available at: </w:t>
      </w:r>
      <w:hyperlink r:id="rId39" w:history="1">
        <w:r w:rsidRPr="001A3C91">
          <w:rPr>
            <w:rStyle w:val="Hyperlink"/>
            <w:rFonts w:ascii="Arial" w:hAnsi="Arial" w:cs="Arial"/>
            <w:sz w:val="24"/>
            <w:szCs w:val="24"/>
          </w:rPr>
          <w:t>https://doi.org/10.1093/heapro/daae122</w:t>
        </w:r>
      </w:hyperlink>
      <w:r>
        <w:rPr>
          <w:rFonts w:ascii="Arial" w:hAnsi="Arial" w:cs="Arial"/>
          <w:sz w:val="24"/>
          <w:szCs w:val="24"/>
        </w:rPr>
        <w:t xml:space="preserve"> (Accessed 23 April 2025).</w:t>
      </w:r>
    </w:p>
    <w:p w14:paraId="302C0A20" w14:textId="5DA1FE8D" w:rsidR="008B30EF" w:rsidRDefault="008B30EF">
      <w:pPr>
        <w:rPr>
          <w:rFonts w:ascii="Arial" w:hAnsi="Arial" w:cs="Arial"/>
          <w:sz w:val="24"/>
          <w:szCs w:val="24"/>
        </w:rPr>
      </w:pPr>
      <w:r w:rsidRPr="000371B4">
        <w:rPr>
          <w:rFonts w:ascii="Arial" w:hAnsi="Arial" w:cs="Arial"/>
          <w:sz w:val="24"/>
          <w:szCs w:val="24"/>
        </w:rPr>
        <w:lastRenderedPageBreak/>
        <w:t xml:space="preserve">Laming, H. (2009) </w:t>
      </w:r>
      <w:r w:rsidRPr="008B30EF">
        <w:rPr>
          <w:rFonts w:ascii="Arial" w:hAnsi="Arial" w:cs="Arial"/>
          <w:sz w:val="24"/>
          <w:szCs w:val="24"/>
        </w:rPr>
        <w:t xml:space="preserve">‘The Protection of Children in England: A Progress Report. </w:t>
      </w:r>
      <w:r w:rsidR="007C7D26">
        <w:rPr>
          <w:rFonts w:ascii="Arial" w:hAnsi="Arial" w:cs="Arial"/>
          <w:sz w:val="24"/>
          <w:szCs w:val="24"/>
        </w:rPr>
        <w:t>London</w:t>
      </w:r>
      <w:r>
        <w:rPr>
          <w:rFonts w:ascii="Arial" w:hAnsi="Arial" w:cs="Arial"/>
          <w:sz w:val="24"/>
          <w:szCs w:val="24"/>
        </w:rPr>
        <w:t xml:space="preserve">, </w:t>
      </w:r>
      <w:r w:rsidRPr="008B30EF">
        <w:rPr>
          <w:rFonts w:ascii="Arial" w:hAnsi="Arial" w:cs="Arial"/>
          <w:i/>
          <w:iCs/>
          <w:sz w:val="24"/>
          <w:szCs w:val="24"/>
        </w:rPr>
        <w:t>The Stationery Office</w:t>
      </w:r>
      <w:r w:rsidR="00A91659">
        <w:rPr>
          <w:rFonts w:ascii="Arial" w:hAnsi="Arial" w:cs="Arial"/>
          <w:sz w:val="24"/>
          <w:szCs w:val="24"/>
        </w:rPr>
        <w:t>, pp.1–102.</w:t>
      </w:r>
      <w:r w:rsidRPr="000371B4">
        <w:rPr>
          <w:rFonts w:ascii="Arial" w:hAnsi="Arial" w:cs="Arial"/>
          <w:sz w:val="24"/>
          <w:szCs w:val="24"/>
        </w:rPr>
        <w:t xml:space="preserve"> Available at: </w:t>
      </w:r>
      <w:hyperlink r:id="rId40" w:history="1">
        <w:r w:rsidRPr="00800668">
          <w:rPr>
            <w:rStyle w:val="Hyperlink"/>
            <w:rFonts w:ascii="Arial" w:hAnsi="Arial" w:cs="Arial"/>
            <w:sz w:val="24"/>
            <w:szCs w:val="24"/>
          </w:rPr>
          <w:t>https://dera.ioe.ac.uk/id/eprint/8646/1/12_03_09_children.pdf</w:t>
        </w:r>
      </w:hyperlink>
      <w:r>
        <w:rPr>
          <w:rFonts w:ascii="Arial" w:hAnsi="Arial" w:cs="Arial"/>
          <w:sz w:val="24"/>
          <w:szCs w:val="24"/>
        </w:rPr>
        <w:t xml:space="preserve"> (Accessed 23-5 April 2025).</w:t>
      </w:r>
    </w:p>
    <w:p w14:paraId="112057A6" w14:textId="7BAC236D" w:rsidR="00CA7D9C" w:rsidRDefault="00CA7D9C">
      <w:pPr>
        <w:rPr>
          <w:rFonts w:ascii="Arial" w:hAnsi="Arial" w:cs="Arial"/>
          <w:sz w:val="24"/>
          <w:szCs w:val="24"/>
        </w:rPr>
      </w:pPr>
      <w:r w:rsidRPr="00CA7D9C">
        <w:rPr>
          <w:rFonts w:ascii="Arial" w:hAnsi="Arial" w:cs="Arial"/>
          <w:sz w:val="24"/>
          <w:szCs w:val="24"/>
        </w:rPr>
        <w:t>Lawyer, T.F. (2021)</w:t>
      </w:r>
      <w:r>
        <w:rPr>
          <w:rFonts w:ascii="Arial" w:hAnsi="Arial" w:cs="Arial"/>
          <w:sz w:val="24"/>
          <w:szCs w:val="24"/>
        </w:rPr>
        <w:t xml:space="preserve"> </w:t>
      </w:r>
      <w:r w:rsidRPr="00CA7D9C">
        <w:rPr>
          <w:rFonts w:ascii="Arial" w:hAnsi="Arial" w:cs="Arial"/>
          <w:sz w:val="24"/>
          <w:szCs w:val="24"/>
        </w:rPr>
        <w:t xml:space="preserve">‘The UK’s legal approach to domestic abuse, comparisons to other </w:t>
      </w:r>
      <w:r>
        <w:rPr>
          <w:rFonts w:ascii="Arial" w:hAnsi="Arial" w:cs="Arial"/>
          <w:sz w:val="24"/>
          <w:szCs w:val="24"/>
        </w:rPr>
        <w:t>jurisdictions</w:t>
      </w:r>
      <w:r w:rsidRPr="00CA7D9C">
        <w:rPr>
          <w:rFonts w:ascii="Arial" w:hAnsi="Arial" w:cs="Arial"/>
          <w:sz w:val="24"/>
          <w:szCs w:val="24"/>
        </w:rPr>
        <w:t>’,</w:t>
      </w:r>
      <w:r w:rsidRPr="00CA7D9C">
        <w:rPr>
          <w:rFonts w:ascii="Arial" w:hAnsi="Arial" w:cs="Arial"/>
          <w:i/>
          <w:iCs/>
          <w:sz w:val="24"/>
          <w:szCs w:val="24"/>
        </w:rPr>
        <w:t xml:space="preserve"> Today’s Family Lawyer</w:t>
      </w:r>
      <w:r w:rsidRPr="00CA7D9C">
        <w:rPr>
          <w:rFonts w:ascii="Arial" w:hAnsi="Arial" w:cs="Arial"/>
          <w:sz w:val="24"/>
          <w:szCs w:val="24"/>
        </w:rPr>
        <w:t xml:space="preserve">. Available at: </w:t>
      </w:r>
      <w:hyperlink r:id="rId41" w:history="1">
        <w:r w:rsidRPr="00800668">
          <w:rPr>
            <w:rStyle w:val="Hyperlink"/>
            <w:rFonts w:ascii="Arial" w:hAnsi="Arial" w:cs="Arial"/>
            <w:sz w:val="24"/>
            <w:szCs w:val="24"/>
          </w:rPr>
          <w:t>https://todaysfamilylawyer.co.uk/the-uks-legal-approach-to-domestic-abuse-comparisons-to-other-jurisdiction/</w:t>
        </w:r>
      </w:hyperlink>
      <w:r>
        <w:rPr>
          <w:rFonts w:ascii="Arial" w:hAnsi="Arial" w:cs="Arial"/>
          <w:sz w:val="24"/>
          <w:szCs w:val="24"/>
        </w:rPr>
        <w:t xml:space="preserve"> (Accessed 25 April 2025).</w:t>
      </w:r>
    </w:p>
    <w:p w14:paraId="6EC4111F" w14:textId="7E05A70F" w:rsidR="00810B55" w:rsidRDefault="00C90F97">
      <w:pPr>
        <w:rPr>
          <w:rFonts w:ascii="Arial" w:hAnsi="Arial" w:cs="Arial"/>
          <w:sz w:val="24"/>
          <w:szCs w:val="24"/>
        </w:rPr>
      </w:pPr>
      <w:r w:rsidRPr="00C90F97">
        <w:rPr>
          <w:rFonts w:ascii="Arial" w:hAnsi="Arial" w:cs="Arial"/>
          <w:sz w:val="24"/>
          <w:szCs w:val="24"/>
        </w:rPr>
        <w:t xml:space="preserve">Livanou, M., Bull, M., Manitsa, I., </w:t>
      </w:r>
      <w:r>
        <w:rPr>
          <w:rFonts w:ascii="Arial" w:hAnsi="Arial" w:cs="Arial"/>
          <w:sz w:val="24"/>
          <w:szCs w:val="24"/>
        </w:rPr>
        <w:t>and</w:t>
      </w:r>
      <w:r w:rsidRPr="00C90F97">
        <w:rPr>
          <w:rFonts w:ascii="Arial" w:hAnsi="Arial" w:cs="Arial"/>
          <w:sz w:val="24"/>
          <w:szCs w:val="24"/>
        </w:rPr>
        <w:t xml:space="preserve"> Hunt, J. (2024)</w:t>
      </w:r>
      <w:r>
        <w:rPr>
          <w:rFonts w:ascii="Arial" w:hAnsi="Arial" w:cs="Arial"/>
          <w:sz w:val="24"/>
          <w:szCs w:val="24"/>
        </w:rPr>
        <w:t xml:space="preserve"> ‘</w:t>
      </w:r>
      <w:r w:rsidRPr="00A91659">
        <w:rPr>
          <w:rFonts w:ascii="Arial" w:hAnsi="Arial" w:cs="Arial"/>
          <w:sz w:val="24"/>
          <w:szCs w:val="24"/>
        </w:rPr>
        <w:t xml:space="preserve">Digital intervention for </w:t>
      </w:r>
      <w:r w:rsidR="00551EF2" w:rsidRPr="00A91659">
        <w:rPr>
          <w:rFonts w:ascii="Arial" w:hAnsi="Arial" w:cs="Arial"/>
          <w:sz w:val="24"/>
          <w:szCs w:val="24"/>
        </w:rPr>
        <w:t xml:space="preserve">the </w:t>
      </w:r>
      <w:r w:rsidRPr="00A91659">
        <w:rPr>
          <w:rFonts w:ascii="Arial" w:hAnsi="Arial" w:cs="Arial"/>
          <w:sz w:val="24"/>
          <w:szCs w:val="24"/>
        </w:rPr>
        <w:t>transition from adolescent secure hospitals</w:t>
      </w:r>
      <w:r w:rsidR="00A91659">
        <w:rPr>
          <w:rFonts w:ascii="Arial" w:hAnsi="Arial" w:cs="Arial"/>
          <w:sz w:val="24"/>
          <w:szCs w:val="24"/>
        </w:rPr>
        <w:t xml:space="preserve">’, </w:t>
      </w:r>
      <w:r w:rsidRPr="00C90F97">
        <w:rPr>
          <w:rFonts w:ascii="Arial" w:hAnsi="Arial" w:cs="Arial"/>
          <w:i/>
          <w:iCs/>
          <w:sz w:val="24"/>
          <w:szCs w:val="24"/>
        </w:rPr>
        <w:t>Child and Adolescent Mental Health</w:t>
      </w:r>
      <w:r w:rsidRPr="00C90F97">
        <w:rPr>
          <w:rFonts w:ascii="Arial" w:hAnsi="Arial" w:cs="Arial"/>
          <w:sz w:val="24"/>
          <w:szCs w:val="24"/>
        </w:rPr>
        <w:t xml:space="preserve">, </w:t>
      </w:r>
      <w:r w:rsidRPr="00A91659">
        <w:rPr>
          <w:rFonts w:ascii="Arial" w:hAnsi="Arial" w:cs="Arial"/>
          <w:i/>
          <w:iCs/>
          <w:sz w:val="24"/>
          <w:szCs w:val="24"/>
        </w:rPr>
        <w:t>Early View</w:t>
      </w:r>
      <w:r w:rsidR="00A91659">
        <w:rPr>
          <w:rFonts w:ascii="Arial" w:hAnsi="Arial" w:cs="Arial"/>
          <w:sz w:val="24"/>
          <w:szCs w:val="24"/>
        </w:rPr>
        <w:t xml:space="preserve">, 29(1) pp. 43–55. Available at: </w:t>
      </w:r>
      <w:r w:rsidRPr="00C90F97">
        <w:rPr>
          <w:rFonts w:ascii="Arial" w:hAnsi="Arial" w:cs="Arial"/>
          <w:sz w:val="24"/>
          <w:szCs w:val="24"/>
        </w:rPr>
        <w:t xml:space="preserve"> </w:t>
      </w:r>
      <w:hyperlink r:id="rId42" w:history="1">
        <w:r w:rsidRPr="007F6911">
          <w:rPr>
            <w:rStyle w:val="Hyperlink"/>
            <w:rFonts w:ascii="Arial" w:hAnsi="Arial" w:cs="Arial"/>
            <w:sz w:val="24"/>
            <w:szCs w:val="24"/>
          </w:rPr>
          <w:t>https://doi.org/10.1111/camh.12667</w:t>
        </w:r>
      </w:hyperlink>
      <w:r>
        <w:rPr>
          <w:rFonts w:ascii="Arial" w:hAnsi="Arial" w:cs="Arial"/>
          <w:sz w:val="24"/>
          <w:szCs w:val="24"/>
        </w:rPr>
        <w:t xml:space="preserve"> </w:t>
      </w:r>
      <w:r w:rsidR="0009078B">
        <w:rPr>
          <w:rFonts w:ascii="Arial" w:hAnsi="Arial" w:cs="Arial"/>
          <w:sz w:val="24"/>
          <w:szCs w:val="24"/>
        </w:rPr>
        <w:t>(Accessed 22 March 2025).</w:t>
      </w:r>
    </w:p>
    <w:p w14:paraId="794FFEE8" w14:textId="5E8AE44C" w:rsidR="00182DB5" w:rsidRDefault="00182DB5">
      <w:pPr>
        <w:rPr>
          <w:rFonts w:ascii="Arial" w:hAnsi="Arial" w:cs="Arial"/>
          <w:sz w:val="24"/>
          <w:szCs w:val="24"/>
        </w:rPr>
      </w:pPr>
      <w:r w:rsidRPr="00182DB5">
        <w:rPr>
          <w:rFonts w:ascii="Arial" w:hAnsi="Arial" w:cs="Arial"/>
          <w:sz w:val="24"/>
          <w:szCs w:val="24"/>
        </w:rPr>
        <w:t>Lokot, M., Bhatia, A., Kenny, L. and Cislaghi, B. (2020)</w:t>
      </w:r>
      <w:r>
        <w:rPr>
          <w:rFonts w:ascii="Arial" w:hAnsi="Arial" w:cs="Arial"/>
          <w:sz w:val="24"/>
          <w:szCs w:val="24"/>
        </w:rPr>
        <w:t xml:space="preserve"> ‘</w:t>
      </w:r>
      <w:r w:rsidRPr="00182DB5">
        <w:rPr>
          <w:rFonts w:ascii="Arial" w:hAnsi="Arial" w:cs="Arial"/>
          <w:sz w:val="24"/>
          <w:szCs w:val="24"/>
        </w:rPr>
        <w:t>Corporal punishment, discipline and social norms: a systematic review in low- and middle-income countries</w:t>
      </w:r>
      <w:r>
        <w:rPr>
          <w:rFonts w:ascii="Arial" w:hAnsi="Arial" w:cs="Arial"/>
          <w:sz w:val="24"/>
          <w:szCs w:val="24"/>
        </w:rPr>
        <w:t>’,</w:t>
      </w:r>
      <w:r w:rsidRPr="00182DB5">
        <w:rPr>
          <w:rFonts w:ascii="Arial" w:hAnsi="Arial" w:cs="Arial"/>
          <w:sz w:val="24"/>
          <w:szCs w:val="24"/>
        </w:rPr>
        <w:t> </w:t>
      </w:r>
      <w:r w:rsidRPr="00182DB5">
        <w:rPr>
          <w:rFonts w:ascii="Arial" w:hAnsi="Arial" w:cs="Arial"/>
          <w:i/>
          <w:iCs/>
          <w:sz w:val="24"/>
          <w:szCs w:val="24"/>
        </w:rPr>
        <w:t>Aggression and Violent Behaviour</w:t>
      </w:r>
      <w:r w:rsidRPr="00182DB5">
        <w:rPr>
          <w:rFonts w:ascii="Arial" w:hAnsi="Arial" w:cs="Arial"/>
          <w:sz w:val="24"/>
          <w:szCs w:val="24"/>
        </w:rPr>
        <w:t>, 55</w:t>
      </w:r>
      <w:r w:rsidR="00A91659">
        <w:rPr>
          <w:rFonts w:ascii="Arial" w:hAnsi="Arial" w:cs="Arial"/>
          <w:sz w:val="24"/>
          <w:szCs w:val="24"/>
        </w:rPr>
        <w:t>(1)</w:t>
      </w:r>
      <w:r w:rsidRPr="00182DB5">
        <w:rPr>
          <w:rFonts w:ascii="Arial" w:hAnsi="Arial" w:cs="Arial"/>
          <w:sz w:val="24"/>
          <w:szCs w:val="24"/>
        </w:rPr>
        <w:t xml:space="preserve">, </w:t>
      </w:r>
      <w:r w:rsidR="00A91659">
        <w:rPr>
          <w:rFonts w:ascii="Arial" w:hAnsi="Arial" w:cs="Arial"/>
          <w:sz w:val="24"/>
          <w:szCs w:val="24"/>
        </w:rPr>
        <w:t>p</w:t>
      </w:r>
      <w:r w:rsidRPr="00182DB5">
        <w:rPr>
          <w:rFonts w:ascii="Arial" w:hAnsi="Arial" w:cs="Arial"/>
          <w:sz w:val="24"/>
          <w:szCs w:val="24"/>
        </w:rPr>
        <w:t xml:space="preserve">p.101507. </w:t>
      </w:r>
      <w:r>
        <w:rPr>
          <w:rFonts w:ascii="Arial" w:hAnsi="Arial" w:cs="Arial"/>
          <w:sz w:val="24"/>
          <w:szCs w:val="24"/>
        </w:rPr>
        <w:t xml:space="preserve">Available at: </w:t>
      </w:r>
      <w:hyperlink r:id="rId43" w:history="1">
        <w:r w:rsidRPr="00800668">
          <w:rPr>
            <w:rStyle w:val="Hyperlink"/>
            <w:rFonts w:ascii="Arial" w:hAnsi="Arial" w:cs="Arial"/>
            <w:sz w:val="24"/>
            <w:szCs w:val="24"/>
          </w:rPr>
          <w:t>https://doi.org/10.1016/j.avb.2020.101507</w:t>
        </w:r>
      </w:hyperlink>
      <w:r>
        <w:rPr>
          <w:rFonts w:ascii="Arial" w:hAnsi="Arial" w:cs="Arial"/>
          <w:sz w:val="24"/>
          <w:szCs w:val="24"/>
        </w:rPr>
        <w:t xml:space="preserve"> (Accessed 24 April 2025).</w:t>
      </w:r>
    </w:p>
    <w:p w14:paraId="4FC1CDCB" w14:textId="799D846A" w:rsidR="00FC7F4D" w:rsidRDefault="00FC7F4D">
      <w:pPr>
        <w:rPr>
          <w:rFonts w:ascii="Arial" w:hAnsi="Arial" w:cs="Arial"/>
          <w:sz w:val="24"/>
          <w:szCs w:val="24"/>
        </w:rPr>
      </w:pPr>
      <w:r w:rsidRPr="00FC7F4D">
        <w:rPr>
          <w:rFonts w:ascii="Arial" w:hAnsi="Arial" w:cs="Arial"/>
          <w:sz w:val="24"/>
          <w:szCs w:val="24"/>
        </w:rPr>
        <w:t xml:space="preserve">Mark, H.E., Costa, G.D. da, Pagliari, C. and Unger, S.A. (2020) </w:t>
      </w:r>
      <w:r w:rsidR="00D22951">
        <w:rPr>
          <w:rFonts w:ascii="Arial" w:hAnsi="Arial" w:cs="Arial"/>
          <w:sz w:val="24"/>
          <w:szCs w:val="24"/>
        </w:rPr>
        <w:t>‘</w:t>
      </w:r>
      <w:r w:rsidRPr="00FC7F4D">
        <w:rPr>
          <w:rFonts w:ascii="Arial" w:hAnsi="Arial" w:cs="Arial"/>
          <w:sz w:val="24"/>
          <w:szCs w:val="24"/>
        </w:rPr>
        <w:t>Malnutrition: the silent pandemic</w:t>
      </w:r>
      <w:r w:rsidR="00D22951">
        <w:rPr>
          <w:rFonts w:ascii="Arial" w:hAnsi="Arial" w:cs="Arial"/>
          <w:sz w:val="24"/>
          <w:szCs w:val="24"/>
        </w:rPr>
        <w:t>’,</w:t>
      </w:r>
      <w:r w:rsidRPr="00FC7F4D">
        <w:rPr>
          <w:rFonts w:ascii="Arial" w:hAnsi="Arial" w:cs="Arial"/>
          <w:sz w:val="24"/>
          <w:szCs w:val="24"/>
        </w:rPr>
        <w:t> </w:t>
      </w:r>
      <w:r w:rsidRPr="00FC7F4D">
        <w:rPr>
          <w:rFonts w:ascii="Arial" w:hAnsi="Arial" w:cs="Arial"/>
          <w:i/>
          <w:iCs/>
          <w:sz w:val="24"/>
          <w:szCs w:val="24"/>
        </w:rPr>
        <w:t>BMJ</w:t>
      </w:r>
      <w:r w:rsidRPr="00FC7F4D">
        <w:rPr>
          <w:rFonts w:ascii="Arial" w:hAnsi="Arial" w:cs="Arial"/>
          <w:sz w:val="24"/>
          <w:szCs w:val="24"/>
        </w:rPr>
        <w:t xml:space="preserve">, </w:t>
      </w:r>
      <w:r>
        <w:rPr>
          <w:rFonts w:ascii="Arial" w:hAnsi="Arial" w:cs="Arial"/>
          <w:sz w:val="24"/>
          <w:szCs w:val="24"/>
        </w:rPr>
        <w:t>(</w:t>
      </w:r>
      <w:r w:rsidRPr="00FC7F4D">
        <w:rPr>
          <w:rFonts w:ascii="Arial" w:hAnsi="Arial" w:cs="Arial"/>
          <w:sz w:val="24"/>
          <w:szCs w:val="24"/>
        </w:rPr>
        <w:t>371</w:t>
      </w:r>
      <w:r>
        <w:rPr>
          <w:rFonts w:ascii="Arial" w:hAnsi="Arial" w:cs="Arial"/>
          <w:sz w:val="24"/>
          <w:szCs w:val="24"/>
        </w:rPr>
        <w:t>),</w:t>
      </w:r>
      <w:r w:rsidRPr="00FC7F4D">
        <w:rPr>
          <w:rFonts w:ascii="Arial" w:hAnsi="Arial" w:cs="Arial"/>
          <w:sz w:val="24"/>
          <w:szCs w:val="24"/>
        </w:rPr>
        <w:t xml:space="preserve"> pp.</w:t>
      </w:r>
      <w:r w:rsidR="00D22951">
        <w:rPr>
          <w:rFonts w:ascii="Arial" w:hAnsi="Arial" w:cs="Arial"/>
          <w:sz w:val="24"/>
          <w:szCs w:val="24"/>
        </w:rPr>
        <w:t>1–2</w:t>
      </w:r>
      <w:r w:rsidRPr="00FC7F4D">
        <w:rPr>
          <w:rFonts w:ascii="Arial" w:hAnsi="Arial" w:cs="Arial"/>
          <w:sz w:val="24"/>
          <w:szCs w:val="24"/>
        </w:rPr>
        <w:t xml:space="preserve">. </w:t>
      </w:r>
      <w:r>
        <w:rPr>
          <w:rFonts w:ascii="Arial" w:hAnsi="Arial" w:cs="Arial"/>
          <w:sz w:val="24"/>
          <w:szCs w:val="24"/>
        </w:rPr>
        <w:t xml:space="preserve">Available at: </w:t>
      </w:r>
      <w:hyperlink r:id="rId44" w:history="1">
        <w:r w:rsidR="00D22951" w:rsidRPr="00764F30">
          <w:rPr>
            <w:rStyle w:val="Hyperlink"/>
            <w:rFonts w:ascii="Arial" w:hAnsi="Arial" w:cs="Arial"/>
            <w:sz w:val="24"/>
            <w:szCs w:val="24"/>
          </w:rPr>
          <w:t>https://www.bmj.com/content/bmj/371/bmj.m4593.full.pdf</w:t>
        </w:r>
      </w:hyperlink>
      <w:r w:rsidR="00D22951">
        <w:rPr>
          <w:rFonts w:ascii="Arial" w:hAnsi="Arial" w:cs="Arial"/>
          <w:sz w:val="24"/>
          <w:szCs w:val="24"/>
        </w:rPr>
        <w:t xml:space="preserve"> </w:t>
      </w:r>
      <w:r>
        <w:rPr>
          <w:rFonts w:ascii="Arial" w:hAnsi="Arial" w:cs="Arial"/>
          <w:sz w:val="24"/>
          <w:szCs w:val="24"/>
        </w:rPr>
        <w:t xml:space="preserve"> (Accessed 23 April 2025).</w:t>
      </w:r>
    </w:p>
    <w:p w14:paraId="152DCCB2" w14:textId="54FA801B" w:rsidR="00CC3D29" w:rsidRDefault="00720339">
      <w:pPr>
        <w:rPr>
          <w:rFonts w:ascii="Arial" w:hAnsi="Arial" w:cs="Arial"/>
          <w:sz w:val="24"/>
          <w:szCs w:val="24"/>
        </w:rPr>
      </w:pPr>
      <w:r w:rsidRPr="00720339">
        <w:rPr>
          <w:rFonts w:ascii="Arial" w:hAnsi="Arial" w:cs="Arial"/>
          <w:sz w:val="24"/>
          <w:szCs w:val="24"/>
        </w:rPr>
        <w:t xml:space="preserve">Moylan, C.A., Herrenkohl, T.I., Sousa, C., Tajima, E.A., Herrenkohl, R.C. and Russo, M.J. (2010) </w:t>
      </w:r>
      <w:r>
        <w:rPr>
          <w:rFonts w:ascii="Arial" w:hAnsi="Arial" w:cs="Arial"/>
          <w:sz w:val="24"/>
          <w:szCs w:val="24"/>
        </w:rPr>
        <w:t>‘</w:t>
      </w:r>
      <w:r w:rsidRPr="00720339">
        <w:rPr>
          <w:rFonts w:ascii="Arial" w:hAnsi="Arial" w:cs="Arial"/>
          <w:sz w:val="24"/>
          <w:szCs w:val="24"/>
        </w:rPr>
        <w:t xml:space="preserve">The Effects of Child Abuse and Exposure to Domestic Violence on Adolescent </w:t>
      </w:r>
      <w:r w:rsidR="003E4E04">
        <w:rPr>
          <w:rFonts w:ascii="Arial" w:hAnsi="Arial" w:cs="Arial"/>
          <w:sz w:val="24"/>
          <w:szCs w:val="24"/>
        </w:rPr>
        <w:t>Internalising</w:t>
      </w:r>
      <w:r w:rsidRPr="00720339">
        <w:rPr>
          <w:rFonts w:ascii="Arial" w:hAnsi="Arial" w:cs="Arial"/>
          <w:sz w:val="24"/>
          <w:szCs w:val="24"/>
        </w:rPr>
        <w:t xml:space="preserve"> and </w:t>
      </w:r>
      <w:r w:rsidR="003E4E04">
        <w:rPr>
          <w:rFonts w:ascii="Arial" w:hAnsi="Arial" w:cs="Arial"/>
          <w:sz w:val="24"/>
          <w:szCs w:val="24"/>
        </w:rPr>
        <w:t>Externalising Behaviour</w:t>
      </w:r>
      <w:r w:rsidRPr="00720339">
        <w:rPr>
          <w:rFonts w:ascii="Arial" w:hAnsi="Arial" w:cs="Arial"/>
          <w:sz w:val="24"/>
          <w:szCs w:val="24"/>
        </w:rPr>
        <w:t xml:space="preserve"> Problems</w:t>
      </w:r>
      <w:r>
        <w:rPr>
          <w:rFonts w:ascii="Arial" w:hAnsi="Arial" w:cs="Arial"/>
          <w:sz w:val="24"/>
          <w:szCs w:val="24"/>
        </w:rPr>
        <w:t>’,</w:t>
      </w:r>
      <w:r w:rsidRPr="00720339">
        <w:rPr>
          <w:rFonts w:ascii="Arial" w:hAnsi="Arial" w:cs="Arial"/>
          <w:sz w:val="24"/>
          <w:szCs w:val="24"/>
        </w:rPr>
        <w:t> </w:t>
      </w:r>
      <w:r w:rsidRPr="00720339">
        <w:rPr>
          <w:rFonts w:ascii="Arial" w:hAnsi="Arial" w:cs="Arial"/>
          <w:i/>
          <w:iCs/>
          <w:sz w:val="24"/>
          <w:szCs w:val="24"/>
        </w:rPr>
        <w:t>Journal of Family Violence</w:t>
      </w:r>
      <w:r w:rsidRPr="00720339">
        <w:rPr>
          <w:rFonts w:ascii="Arial" w:hAnsi="Arial" w:cs="Arial"/>
          <w:sz w:val="24"/>
          <w:szCs w:val="24"/>
        </w:rPr>
        <w:t xml:space="preserve">, 25(1), pp.53–63. </w:t>
      </w:r>
      <w:r>
        <w:rPr>
          <w:rFonts w:ascii="Arial" w:hAnsi="Arial" w:cs="Arial"/>
          <w:sz w:val="24"/>
          <w:szCs w:val="24"/>
        </w:rPr>
        <w:t xml:space="preserve">Available at: </w:t>
      </w:r>
      <w:hyperlink r:id="rId45" w:history="1">
        <w:r w:rsidR="00D22951" w:rsidRPr="00764F30">
          <w:rPr>
            <w:rStyle w:val="Hyperlink"/>
            <w:rFonts w:ascii="Arial" w:hAnsi="Arial" w:cs="Arial"/>
            <w:sz w:val="24"/>
            <w:szCs w:val="24"/>
          </w:rPr>
          <w:t>https://pmc.ncbi.nlm.nih.gov/articles/PMC2872483/</w:t>
        </w:r>
      </w:hyperlink>
      <w:r w:rsidR="00D22951">
        <w:rPr>
          <w:rFonts w:ascii="Arial" w:hAnsi="Arial" w:cs="Arial"/>
          <w:sz w:val="24"/>
          <w:szCs w:val="24"/>
        </w:rPr>
        <w:t xml:space="preserve"> </w:t>
      </w:r>
      <w:r>
        <w:rPr>
          <w:rFonts w:ascii="Arial" w:hAnsi="Arial" w:cs="Arial"/>
          <w:sz w:val="24"/>
          <w:szCs w:val="24"/>
        </w:rPr>
        <w:t>(Accessed 22 April 2025).</w:t>
      </w:r>
    </w:p>
    <w:p w14:paraId="04F2BA31" w14:textId="0B137309" w:rsidR="008C7589" w:rsidRDefault="008C7589">
      <w:pPr>
        <w:rPr>
          <w:rFonts w:ascii="Arial" w:hAnsi="Arial" w:cs="Arial"/>
          <w:sz w:val="24"/>
          <w:szCs w:val="24"/>
        </w:rPr>
      </w:pPr>
      <w:r w:rsidRPr="00CC33FE">
        <w:rPr>
          <w:rFonts w:ascii="Arial" w:hAnsi="Arial" w:cs="Arial"/>
          <w:sz w:val="24"/>
          <w:szCs w:val="24"/>
        </w:rPr>
        <w:t>N</w:t>
      </w:r>
      <w:r w:rsidR="00B710E0">
        <w:rPr>
          <w:rFonts w:ascii="Arial" w:hAnsi="Arial" w:cs="Arial"/>
          <w:sz w:val="24"/>
          <w:szCs w:val="24"/>
        </w:rPr>
        <w:t xml:space="preserve">ational </w:t>
      </w:r>
      <w:r w:rsidRPr="00CC33FE">
        <w:rPr>
          <w:rFonts w:ascii="Arial" w:hAnsi="Arial" w:cs="Arial"/>
          <w:sz w:val="24"/>
          <w:szCs w:val="24"/>
        </w:rPr>
        <w:t>H</w:t>
      </w:r>
      <w:r w:rsidR="00B710E0">
        <w:rPr>
          <w:rFonts w:ascii="Arial" w:hAnsi="Arial" w:cs="Arial"/>
          <w:sz w:val="24"/>
          <w:szCs w:val="24"/>
        </w:rPr>
        <w:t xml:space="preserve">ealth </w:t>
      </w:r>
      <w:r w:rsidRPr="00CC33FE">
        <w:rPr>
          <w:rFonts w:ascii="Arial" w:hAnsi="Arial" w:cs="Arial"/>
          <w:sz w:val="24"/>
          <w:szCs w:val="24"/>
        </w:rPr>
        <w:t>S</w:t>
      </w:r>
      <w:r w:rsidR="00B710E0">
        <w:rPr>
          <w:rFonts w:ascii="Arial" w:hAnsi="Arial" w:cs="Arial"/>
          <w:sz w:val="24"/>
          <w:szCs w:val="24"/>
        </w:rPr>
        <w:t>ervice</w:t>
      </w:r>
      <w:r w:rsidRPr="00CC33FE">
        <w:rPr>
          <w:rFonts w:ascii="Arial" w:hAnsi="Arial" w:cs="Arial"/>
          <w:sz w:val="24"/>
          <w:szCs w:val="24"/>
        </w:rPr>
        <w:t xml:space="preserve"> England (2023)</w:t>
      </w:r>
      <w:r>
        <w:rPr>
          <w:rFonts w:ascii="Arial" w:hAnsi="Arial" w:cs="Arial"/>
          <w:sz w:val="24"/>
          <w:szCs w:val="24"/>
        </w:rPr>
        <w:t xml:space="preserve"> ‘</w:t>
      </w:r>
      <w:r w:rsidRPr="00CC33FE">
        <w:rPr>
          <w:rFonts w:ascii="Arial" w:hAnsi="Arial" w:cs="Arial"/>
          <w:sz w:val="24"/>
          <w:szCs w:val="24"/>
        </w:rPr>
        <w:t>Children and Young People’s Mental Health Services</w:t>
      </w:r>
      <w:r w:rsidRPr="00CC33FE">
        <w:rPr>
          <w:rFonts w:ascii="Arial" w:hAnsi="Arial" w:cs="Arial"/>
          <w:i/>
          <w:iCs/>
          <w:sz w:val="24"/>
          <w:szCs w:val="24"/>
        </w:rPr>
        <w:t>: Delivering the Long-Term Plan</w:t>
      </w:r>
      <w:r w:rsidRPr="00CC33FE">
        <w:rPr>
          <w:rFonts w:ascii="Arial" w:hAnsi="Arial" w:cs="Arial"/>
          <w:sz w:val="24"/>
          <w:szCs w:val="24"/>
        </w:rPr>
        <w:t xml:space="preserve">. Available at: </w:t>
      </w:r>
      <w:hyperlink r:id="rId46" w:history="1">
        <w:r w:rsidR="00D22951" w:rsidRPr="00764F30">
          <w:rPr>
            <w:rStyle w:val="Hyperlink"/>
            <w:rFonts w:ascii="Arial" w:hAnsi="Arial" w:cs="Arial"/>
            <w:sz w:val="24"/>
            <w:szCs w:val="24"/>
          </w:rPr>
          <w:t>https://www.longtermplan.nhs.uk/areas-of-work/mental-health/children-and-young-peoples-mental-health/</w:t>
        </w:r>
      </w:hyperlink>
      <w:r w:rsidR="00D22951">
        <w:rPr>
          <w:rFonts w:ascii="Arial" w:hAnsi="Arial" w:cs="Arial"/>
          <w:sz w:val="24"/>
          <w:szCs w:val="24"/>
        </w:rPr>
        <w:t xml:space="preserve"> </w:t>
      </w:r>
      <w:r w:rsidRPr="00CC33FE">
        <w:rPr>
          <w:rFonts w:ascii="Arial" w:hAnsi="Arial" w:cs="Arial"/>
          <w:sz w:val="24"/>
          <w:szCs w:val="24"/>
        </w:rPr>
        <w:t>(Accessed: 24 March 2025).</w:t>
      </w:r>
    </w:p>
    <w:p w14:paraId="0DE39AAD" w14:textId="4C92085F" w:rsidR="00B710E0" w:rsidRDefault="00B710E0">
      <w:pPr>
        <w:rPr>
          <w:rFonts w:ascii="Arial" w:hAnsi="Arial" w:cs="Arial"/>
          <w:sz w:val="24"/>
          <w:szCs w:val="24"/>
        </w:rPr>
      </w:pPr>
      <w:r w:rsidRPr="00CC33FE">
        <w:rPr>
          <w:rFonts w:ascii="Arial" w:hAnsi="Arial" w:cs="Arial"/>
          <w:sz w:val="24"/>
          <w:szCs w:val="24"/>
        </w:rPr>
        <w:t>N</w:t>
      </w:r>
      <w:r>
        <w:rPr>
          <w:rFonts w:ascii="Arial" w:hAnsi="Arial" w:cs="Arial"/>
          <w:sz w:val="24"/>
          <w:szCs w:val="24"/>
        </w:rPr>
        <w:t xml:space="preserve">ational </w:t>
      </w:r>
      <w:r w:rsidRPr="00CC33FE">
        <w:rPr>
          <w:rFonts w:ascii="Arial" w:hAnsi="Arial" w:cs="Arial"/>
          <w:sz w:val="24"/>
          <w:szCs w:val="24"/>
        </w:rPr>
        <w:t>I</w:t>
      </w:r>
      <w:r>
        <w:rPr>
          <w:rFonts w:ascii="Arial" w:hAnsi="Arial" w:cs="Arial"/>
          <w:sz w:val="24"/>
          <w:szCs w:val="24"/>
        </w:rPr>
        <w:t>nstitute for Health and Care Excellence NI</w:t>
      </w:r>
      <w:r w:rsidRPr="00CC33FE">
        <w:rPr>
          <w:rFonts w:ascii="Arial" w:hAnsi="Arial" w:cs="Arial"/>
          <w:sz w:val="24"/>
          <w:szCs w:val="24"/>
        </w:rPr>
        <w:t>CE (2021)</w:t>
      </w:r>
      <w:r>
        <w:rPr>
          <w:rFonts w:ascii="Arial" w:hAnsi="Arial" w:cs="Arial"/>
          <w:sz w:val="24"/>
          <w:szCs w:val="24"/>
        </w:rPr>
        <w:t xml:space="preserve"> </w:t>
      </w:r>
      <w:r w:rsidRPr="00CC33FE">
        <w:rPr>
          <w:rFonts w:ascii="Arial" w:hAnsi="Arial" w:cs="Arial"/>
          <w:sz w:val="24"/>
          <w:szCs w:val="24"/>
        </w:rPr>
        <w:t>Depression in Children and Young People</w:t>
      </w:r>
      <w:r w:rsidRPr="00CC33FE">
        <w:rPr>
          <w:rFonts w:ascii="Arial" w:hAnsi="Arial" w:cs="Arial"/>
          <w:i/>
          <w:iCs/>
          <w:sz w:val="24"/>
          <w:szCs w:val="24"/>
        </w:rPr>
        <w:t>: Identification and Management (NG134)</w:t>
      </w:r>
      <w:r w:rsidR="00D22951">
        <w:rPr>
          <w:rFonts w:ascii="Arial" w:hAnsi="Arial" w:cs="Arial"/>
          <w:sz w:val="24"/>
          <w:szCs w:val="24"/>
        </w:rPr>
        <w:t>, pp. 1-47.</w:t>
      </w:r>
      <w:r w:rsidRPr="00CC33FE">
        <w:rPr>
          <w:rFonts w:ascii="Arial" w:hAnsi="Arial" w:cs="Arial"/>
          <w:sz w:val="24"/>
          <w:szCs w:val="24"/>
        </w:rPr>
        <w:t xml:space="preserve"> Available at: </w:t>
      </w:r>
      <w:hyperlink r:id="rId47" w:history="1">
        <w:r w:rsidR="00D22951" w:rsidRPr="00764F30">
          <w:rPr>
            <w:rStyle w:val="Hyperlink"/>
            <w:rFonts w:ascii="Arial" w:hAnsi="Arial" w:cs="Arial"/>
            <w:sz w:val="24"/>
            <w:szCs w:val="24"/>
          </w:rPr>
          <w:t>https://www.nice.org.uk/guidance/ng134/resources/depression-in-children-and-young-people-identification-and-management-pdf-66141719350981</w:t>
        </w:r>
      </w:hyperlink>
      <w:r w:rsidR="00D22951">
        <w:rPr>
          <w:rFonts w:ascii="Arial" w:hAnsi="Arial" w:cs="Arial"/>
          <w:sz w:val="24"/>
          <w:szCs w:val="24"/>
        </w:rPr>
        <w:t xml:space="preserve"> </w:t>
      </w:r>
      <w:r w:rsidR="00B70F39">
        <w:rPr>
          <w:rFonts w:ascii="Arial" w:hAnsi="Arial" w:cs="Arial"/>
          <w:sz w:val="24"/>
          <w:szCs w:val="24"/>
        </w:rPr>
        <w:t xml:space="preserve"> </w:t>
      </w:r>
      <w:r w:rsidRPr="00CC33FE">
        <w:rPr>
          <w:rFonts w:ascii="Arial" w:hAnsi="Arial" w:cs="Arial"/>
          <w:sz w:val="24"/>
          <w:szCs w:val="24"/>
        </w:rPr>
        <w:t>(Accessed</w:t>
      </w:r>
      <w:r>
        <w:rPr>
          <w:rFonts w:ascii="Arial" w:hAnsi="Arial" w:cs="Arial"/>
          <w:sz w:val="24"/>
          <w:szCs w:val="24"/>
        </w:rPr>
        <w:t xml:space="preserve"> </w:t>
      </w:r>
      <w:r w:rsidRPr="00CC33FE">
        <w:rPr>
          <w:rFonts w:ascii="Arial" w:hAnsi="Arial" w:cs="Arial"/>
          <w:sz w:val="24"/>
          <w:szCs w:val="24"/>
        </w:rPr>
        <w:t>2</w:t>
      </w:r>
      <w:r>
        <w:rPr>
          <w:rFonts w:ascii="Arial" w:hAnsi="Arial" w:cs="Arial"/>
          <w:sz w:val="24"/>
          <w:szCs w:val="24"/>
        </w:rPr>
        <w:t>3</w:t>
      </w:r>
      <w:r w:rsidRPr="00CC33FE">
        <w:rPr>
          <w:rFonts w:ascii="Arial" w:hAnsi="Arial" w:cs="Arial"/>
          <w:sz w:val="24"/>
          <w:szCs w:val="24"/>
        </w:rPr>
        <w:t xml:space="preserve"> March 2025).</w:t>
      </w:r>
    </w:p>
    <w:p w14:paraId="4979471B" w14:textId="3FFCE864" w:rsidR="003E4E04" w:rsidRDefault="003E4E04">
      <w:pPr>
        <w:rPr>
          <w:rFonts w:ascii="Arial" w:hAnsi="Arial" w:cs="Arial"/>
          <w:sz w:val="24"/>
          <w:szCs w:val="24"/>
        </w:rPr>
      </w:pPr>
      <w:r w:rsidRPr="003E4E04">
        <w:rPr>
          <w:rFonts w:ascii="Arial" w:hAnsi="Arial" w:cs="Arial"/>
          <w:sz w:val="24"/>
          <w:szCs w:val="24"/>
        </w:rPr>
        <w:t xml:space="preserve">National Society for the Prevention of Cruelty to Children (2024) How Can We Hear and Facilitate the Voice of the </w:t>
      </w:r>
      <w:r w:rsidR="00E40103">
        <w:rPr>
          <w:rFonts w:ascii="Arial" w:hAnsi="Arial" w:cs="Arial"/>
          <w:sz w:val="24"/>
          <w:szCs w:val="24"/>
        </w:rPr>
        <w:t>C</w:t>
      </w:r>
      <w:r w:rsidRPr="003E4E04">
        <w:rPr>
          <w:rFonts w:ascii="Arial" w:hAnsi="Arial" w:cs="Arial"/>
          <w:sz w:val="24"/>
          <w:szCs w:val="24"/>
        </w:rPr>
        <w:t>hild? Practice Points</w:t>
      </w:r>
      <w:r>
        <w:rPr>
          <w:rFonts w:ascii="Arial" w:hAnsi="Arial" w:cs="Arial"/>
          <w:sz w:val="24"/>
          <w:szCs w:val="24"/>
        </w:rPr>
        <w:t>,</w:t>
      </w:r>
      <w:r w:rsidRPr="003E4E04">
        <w:rPr>
          <w:rFonts w:ascii="Arial" w:hAnsi="Arial" w:cs="Arial"/>
          <w:sz w:val="24"/>
          <w:szCs w:val="24"/>
        </w:rPr>
        <w:t xml:space="preserve"> </w:t>
      </w:r>
      <w:r w:rsidRPr="003E4E04">
        <w:rPr>
          <w:rFonts w:ascii="Arial" w:hAnsi="Arial" w:cs="Arial"/>
          <w:i/>
          <w:iCs/>
          <w:sz w:val="24"/>
          <w:szCs w:val="24"/>
        </w:rPr>
        <w:t>NSPCC Learning</w:t>
      </w:r>
      <w:r w:rsidRPr="003E4E04">
        <w:rPr>
          <w:rFonts w:ascii="Arial" w:hAnsi="Arial" w:cs="Arial"/>
          <w:sz w:val="24"/>
          <w:szCs w:val="24"/>
        </w:rPr>
        <w:t xml:space="preserve">. Available at: </w:t>
      </w:r>
      <w:hyperlink r:id="rId48" w:history="1">
        <w:r w:rsidRPr="001A3C91">
          <w:rPr>
            <w:rStyle w:val="Hyperlink"/>
            <w:rFonts w:ascii="Arial" w:hAnsi="Arial" w:cs="Arial"/>
            <w:sz w:val="24"/>
            <w:szCs w:val="24"/>
          </w:rPr>
          <w:t>https://learning.nspcc.org.uk/research-resources/practice-points-series/voice-child</w:t>
        </w:r>
      </w:hyperlink>
      <w:r>
        <w:rPr>
          <w:rFonts w:ascii="Arial" w:hAnsi="Arial" w:cs="Arial"/>
          <w:sz w:val="24"/>
          <w:szCs w:val="24"/>
        </w:rPr>
        <w:t xml:space="preserve"> (Accessed 23 April 2025).</w:t>
      </w:r>
    </w:p>
    <w:p w14:paraId="1CF4B72C" w14:textId="7F52E015" w:rsidR="00CC3D29" w:rsidRDefault="00CC3D29">
      <w:pPr>
        <w:rPr>
          <w:rFonts w:ascii="Arial" w:hAnsi="Arial" w:cs="Arial"/>
          <w:sz w:val="24"/>
          <w:szCs w:val="24"/>
        </w:rPr>
      </w:pPr>
      <w:r w:rsidRPr="00CC3D29">
        <w:rPr>
          <w:rFonts w:ascii="Arial" w:hAnsi="Arial" w:cs="Arial"/>
          <w:sz w:val="24"/>
          <w:szCs w:val="24"/>
        </w:rPr>
        <w:lastRenderedPageBreak/>
        <w:t>National Society for the Prevention of Cruelty to Children</w:t>
      </w:r>
      <w:r w:rsidRPr="009B557F">
        <w:rPr>
          <w:rFonts w:ascii="Arial" w:hAnsi="Arial" w:cs="Arial"/>
          <w:sz w:val="24"/>
          <w:szCs w:val="24"/>
        </w:rPr>
        <w:t xml:space="preserve"> (2024)</w:t>
      </w:r>
      <w:r>
        <w:rPr>
          <w:rFonts w:ascii="Arial" w:hAnsi="Arial" w:cs="Arial"/>
          <w:sz w:val="24"/>
          <w:szCs w:val="24"/>
        </w:rPr>
        <w:t xml:space="preserve"> </w:t>
      </w:r>
      <w:r w:rsidRPr="009B557F">
        <w:rPr>
          <w:rFonts w:ascii="Arial" w:hAnsi="Arial" w:cs="Arial"/>
          <w:sz w:val="24"/>
          <w:szCs w:val="24"/>
        </w:rPr>
        <w:t>‘History of Child Protection in the UK’</w:t>
      </w:r>
      <w:r>
        <w:rPr>
          <w:rFonts w:ascii="Arial" w:hAnsi="Arial" w:cs="Arial"/>
          <w:sz w:val="24"/>
          <w:szCs w:val="24"/>
        </w:rPr>
        <w:t xml:space="preserve">, </w:t>
      </w:r>
      <w:r w:rsidRPr="009B557F">
        <w:rPr>
          <w:rFonts w:ascii="Arial" w:hAnsi="Arial" w:cs="Arial"/>
          <w:i/>
          <w:iCs/>
          <w:sz w:val="24"/>
          <w:szCs w:val="24"/>
        </w:rPr>
        <w:t>NSPCC Learning</w:t>
      </w:r>
      <w:r w:rsidRPr="009B557F">
        <w:rPr>
          <w:rFonts w:ascii="Arial" w:hAnsi="Arial" w:cs="Arial"/>
          <w:sz w:val="24"/>
          <w:szCs w:val="24"/>
        </w:rPr>
        <w:t xml:space="preserve">. Available at: </w:t>
      </w:r>
      <w:hyperlink r:id="rId49" w:history="1">
        <w:r w:rsidRPr="00800668">
          <w:rPr>
            <w:rStyle w:val="Hyperlink"/>
            <w:rFonts w:ascii="Arial" w:hAnsi="Arial" w:cs="Arial"/>
            <w:sz w:val="24"/>
            <w:szCs w:val="24"/>
          </w:rPr>
          <w:t>https://learning.nspcc.org.uk/child-protection-system/history-of-child-protection-in-the-uk</w:t>
        </w:r>
      </w:hyperlink>
      <w:r>
        <w:rPr>
          <w:rFonts w:ascii="Arial" w:hAnsi="Arial" w:cs="Arial"/>
          <w:sz w:val="24"/>
          <w:szCs w:val="24"/>
        </w:rPr>
        <w:t xml:space="preserve"> (Accessed 24 April 2025).</w:t>
      </w:r>
    </w:p>
    <w:p w14:paraId="18926D7F" w14:textId="0A17E1E3" w:rsidR="00DF41FC" w:rsidRDefault="00DF41FC">
      <w:pPr>
        <w:rPr>
          <w:rFonts w:ascii="Arial" w:hAnsi="Arial" w:cs="Arial"/>
          <w:sz w:val="24"/>
          <w:szCs w:val="24"/>
        </w:rPr>
      </w:pPr>
      <w:r w:rsidRPr="00CC3D29">
        <w:rPr>
          <w:rFonts w:ascii="Arial" w:hAnsi="Arial" w:cs="Arial"/>
          <w:sz w:val="24"/>
          <w:szCs w:val="24"/>
        </w:rPr>
        <w:t>National Society for the Prevention of Cruelty to Children</w:t>
      </w:r>
      <w:r w:rsidRPr="009B557F">
        <w:rPr>
          <w:rFonts w:ascii="Arial" w:hAnsi="Arial" w:cs="Arial"/>
          <w:sz w:val="24"/>
          <w:szCs w:val="24"/>
        </w:rPr>
        <w:t xml:space="preserve"> </w:t>
      </w:r>
      <w:r w:rsidRPr="00DF41FC">
        <w:rPr>
          <w:rFonts w:ascii="Arial" w:hAnsi="Arial" w:cs="Arial"/>
          <w:sz w:val="24"/>
          <w:szCs w:val="24"/>
        </w:rPr>
        <w:t>(2024) ‘Protecting Children from Domestic Abuse’,</w:t>
      </w:r>
      <w:r>
        <w:rPr>
          <w:rFonts w:ascii="Arial" w:hAnsi="Arial" w:cs="Arial"/>
          <w:sz w:val="24"/>
          <w:szCs w:val="24"/>
        </w:rPr>
        <w:t xml:space="preserve"> </w:t>
      </w:r>
      <w:r w:rsidRPr="00DF41FC">
        <w:rPr>
          <w:rFonts w:ascii="Arial" w:hAnsi="Arial" w:cs="Arial"/>
          <w:i/>
          <w:iCs/>
          <w:sz w:val="24"/>
          <w:szCs w:val="24"/>
        </w:rPr>
        <w:t>NSPCC Learning</w:t>
      </w:r>
      <w:r w:rsidRPr="00DF41FC">
        <w:rPr>
          <w:rFonts w:ascii="Arial" w:hAnsi="Arial" w:cs="Arial"/>
          <w:sz w:val="24"/>
          <w:szCs w:val="24"/>
        </w:rPr>
        <w:t xml:space="preserve">. Available at: </w:t>
      </w:r>
      <w:hyperlink r:id="rId50" w:history="1">
        <w:r w:rsidRPr="00800668">
          <w:rPr>
            <w:rStyle w:val="Hyperlink"/>
            <w:rFonts w:ascii="Arial" w:hAnsi="Arial" w:cs="Arial"/>
            <w:sz w:val="24"/>
            <w:szCs w:val="24"/>
          </w:rPr>
          <w:t>https://learning.nspcc.org.uk/child-abuse-and-neglect/domestic-abuse</w:t>
        </w:r>
      </w:hyperlink>
      <w:r>
        <w:rPr>
          <w:rFonts w:ascii="Arial" w:hAnsi="Arial" w:cs="Arial"/>
          <w:sz w:val="24"/>
          <w:szCs w:val="24"/>
        </w:rPr>
        <w:t xml:space="preserve"> (Accessed 25 April 2025).</w:t>
      </w:r>
    </w:p>
    <w:p w14:paraId="03B321B6" w14:textId="2E6D0DB6" w:rsidR="005A3F84" w:rsidRDefault="005A3F84">
      <w:pPr>
        <w:rPr>
          <w:rFonts w:ascii="Arial" w:hAnsi="Arial" w:cs="Arial"/>
          <w:sz w:val="24"/>
          <w:szCs w:val="24"/>
        </w:rPr>
      </w:pPr>
      <w:r w:rsidRPr="00C95E97">
        <w:rPr>
          <w:rFonts w:ascii="Arial" w:hAnsi="Arial" w:cs="Arial"/>
          <w:sz w:val="24"/>
          <w:szCs w:val="24"/>
        </w:rPr>
        <w:t>Norfolk and Suffolk NHS Foundation Trust (2021)</w:t>
      </w:r>
      <w:r>
        <w:rPr>
          <w:rFonts w:ascii="Arial" w:hAnsi="Arial" w:cs="Arial"/>
          <w:sz w:val="24"/>
          <w:szCs w:val="24"/>
        </w:rPr>
        <w:t xml:space="preserve"> </w:t>
      </w:r>
      <w:r w:rsidRPr="00C95E97">
        <w:rPr>
          <w:rFonts w:ascii="Arial" w:hAnsi="Arial" w:cs="Arial"/>
          <w:sz w:val="24"/>
          <w:szCs w:val="24"/>
        </w:rPr>
        <w:t xml:space="preserve">The Child and Adolescent Mental Health Service (CAMHS) at Norfolk and Suffolk NHS Foundation Trust. </w:t>
      </w:r>
      <w:r w:rsidRPr="00C95E97">
        <w:rPr>
          <w:rFonts w:ascii="Arial" w:hAnsi="Arial" w:cs="Arial"/>
          <w:i/>
          <w:iCs/>
          <w:sz w:val="24"/>
          <w:szCs w:val="24"/>
        </w:rPr>
        <w:t>YouTube</w:t>
      </w:r>
      <w:r w:rsidRPr="00C95E97">
        <w:rPr>
          <w:rFonts w:ascii="Arial" w:hAnsi="Arial" w:cs="Arial"/>
          <w:sz w:val="24"/>
          <w:szCs w:val="24"/>
        </w:rPr>
        <w:t xml:space="preserve">. Available at: </w:t>
      </w:r>
      <w:hyperlink r:id="rId51" w:history="1">
        <w:r w:rsidRPr="004513E9">
          <w:rPr>
            <w:rStyle w:val="Hyperlink"/>
            <w:rFonts w:ascii="Arial" w:hAnsi="Arial" w:cs="Arial"/>
            <w:sz w:val="24"/>
            <w:szCs w:val="24"/>
          </w:rPr>
          <w:t>https://www.youtube.com/watch?v=em1yckn5TJ4</w:t>
        </w:r>
      </w:hyperlink>
      <w:r>
        <w:rPr>
          <w:rFonts w:ascii="Arial" w:hAnsi="Arial" w:cs="Arial"/>
          <w:sz w:val="24"/>
          <w:szCs w:val="24"/>
        </w:rPr>
        <w:t xml:space="preserve"> </w:t>
      </w:r>
      <w:r w:rsidRPr="00C95E97">
        <w:rPr>
          <w:rFonts w:ascii="Arial" w:hAnsi="Arial" w:cs="Arial"/>
          <w:sz w:val="24"/>
          <w:szCs w:val="24"/>
        </w:rPr>
        <w:t xml:space="preserve"> </w:t>
      </w:r>
      <w:r>
        <w:rPr>
          <w:rFonts w:ascii="Arial" w:hAnsi="Arial" w:cs="Arial"/>
          <w:sz w:val="24"/>
          <w:szCs w:val="24"/>
        </w:rPr>
        <w:t>(</w:t>
      </w:r>
      <w:r w:rsidRPr="00C95E97">
        <w:rPr>
          <w:rFonts w:ascii="Arial" w:hAnsi="Arial" w:cs="Arial"/>
          <w:sz w:val="24"/>
          <w:szCs w:val="24"/>
        </w:rPr>
        <w:t xml:space="preserve">Accessed </w:t>
      </w:r>
      <w:r>
        <w:rPr>
          <w:rFonts w:ascii="Arial" w:hAnsi="Arial" w:cs="Arial"/>
          <w:sz w:val="24"/>
          <w:szCs w:val="24"/>
        </w:rPr>
        <w:t xml:space="preserve">23 March </w:t>
      </w:r>
      <w:r w:rsidRPr="00C95E97">
        <w:rPr>
          <w:rFonts w:ascii="Arial" w:hAnsi="Arial" w:cs="Arial"/>
          <w:sz w:val="24"/>
          <w:szCs w:val="24"/>
        </w:rPr>
        <w:t>2025</w:t>
      </w:r>
      <w:r>
        <w:rPr>
          <w:rFonts w:ascii="Arial" w:hAnsi="Arial" w:cs="Arial"/>
          <w:sz w:val="24"/>
          <w:szCs w:val="24"/>
        </w:rPr>
        <w:t>)</w:t>
      </w:r>
      <w:r w:rsidRPr="00C95E97">
        <w:rPr>
          <w:rFonts w:ascii="Arial" w:hAnsi="Arial" w:cs="Arial"/>
          <w:sz w:val="24"/>
          <w:szCs w:val="24"/>
        </w:rPr>
        <w:t>.</w:t>
      </w:r>
    </w:p>
    <w:p w14:paraId="24682A9E" w14:textId="5BCF94DA" w:rsidR="00684BBD" w:rsidRDefault="00684BBD">
      <w:pPr>
        <w:rPr>
          <w:rFonts w:ascii="Arial" w:hAnsi="Arial" w:cs="Arial"/>
          <w:sz w:val="24"/>
          <w:szCs w:val="24"/>
        </w:rPr>
      </w:pPr>
      <w:r w:rsidRPr="00684BBD">
        <w:rPr>
          <w:rFonts w:ascii="Arial" w:hAnsi="Arial" w:cs="Arial"/>
          <w:sz w:val="24"/>
          <w:szCs w:val="24"/>
        </w:rPr>
        <w:t>O’Dean, S., Spry, E., Evans-Whipp, T., Mansour, K., Glauert, R., Olsson, C.A. and Slade, T. (2025). Scientific Progress in Mapping the Relational Ecology of Early Child Development: A Systematic Scoping Review. </w:t>
      </w:r>
      <w:r w:rsidRPr="00684BBD">
        <w:rPr>
          <w:rFonts w:ascii="Arial" w:hAnsi="Arial" w:cs="Arial"/>
          <w:i/>
          <w:iCs/>
          <w:sz w:val="24"/>
          <w:szCs w:val="24"/>
        </w:rPr>
        <w:t>Clinical Child and Family Psychology Review</w:t>
      </w:r>
      <w:r w:rsidR="00974DA6">
        <w:rPr>
          <w:rFonts w:ascii="Arial" w:hAnsi="Arial" w:cs="Arial"/>
          <w:sz w:val="24"/>
          <w:szCs w:val="24"/>
        </w:rPr>
        <w:t>, pp. 1-13.</w:t>
      </w:r>
      <w:r w:rsidRPr="00684BBD">
        <w:rPr>
          <w:rFonts w:ascii="Arial" w:hAnsi="Arial" w:cs="Arial"/>
          <w:sz w:val="24"/>
          <w:szCs w:val="24"/>
        </w:rPr>
        <w:t xml:space="preserve"> </w:t>
      </w:r>
      <w:r>
        <w:rPr>
          <w:rFonts w:ascii="Arial" w:hAnsi="Arial" w:cs="Arial"/>
          <w:sz w:val="24"/>
          <w:szCs w:val="24"/>
        </w:rPr>
        <w:t xml:space="preserve">Available at: </w:t>
      </w:r>
      <w:hyperlink r:id="rId52" w:history="1">
        <w:r w:rsidR="00974DA6" w:rsidRPr="00764F30">
          <w:rPr>
            <w:rStyle w:val="Hyperlink"/>
            <w:rFonts w:ascii="Arial" w:hAnsi="Arial" w:cs="Arial"/>
            <w:sz w:val="24"/>
            <w:szCs w:val="24"/>
          </w:rPr>
          <w:t>file:///C:/Users/COMP/Downloads/s10567-025-00522-w.pdf</w:t>
        </w:r>
      </w:hyperlink>
      <w:r w:rsidR="00974DA6">
        <w:rPr>
          <w:rFonts w:ascii="Arial" w:hAnsi="Arial" w:cs="Arial"/>
          <w:sz w:val="24"/>
          <w:szCs w:val="24"/>
        </w:rPr>
        <w:t xml:space="preserve"> </w:t>
      </w:r>
      <w:r>
        <w:rPr>
          <w:rFonts w:ascii="Arial" w:hAnsi="Arial" w:cs="Arial"/>
          <w:sz w:val="24"/>
          <w:szCs w:val="24"/>
        </w:rPr>
        <w:t>(</w:t>
      </w:r>
      <w:r>
        <w:rPr>
          <w:rFonts w:ascii="Arial" w:hAnsi="Arial" w:cs="Arial"/>
          <w:sz w:val="24"/>
          <w:szCs w:val="24"/>
        </w:rPr>
        <w:t>Accessed 25 April 2025</w:t>
      </w:r>
      <w:r>
        <w:rPr>
          <w:rFonts w:ascii="Arial" w:hAnsi="Arial" w:cs="Arial"/>
          <w:sz w:val="24"/>
          <w:szCs w:val="24"/>
        </w:rPr>
        <w:t xml:space="preserve">). </w:t>
      </w:r>
    </w:p>
    <w:p w14:paraId="4A0EEB68" w14:textId="1D97044F" w:rsidR="00850D27" w:rsidRDefault="00850D27">
      <w:pPr>
        <w:rPr>
          <w:rFonts w:ascii="Arial" w:hAnsi="Arial" w:cs="Arial"/>
          <w:sz w:val="24"/>
          <w:szCs w:val="24"/>
        </w:rPr>
      </w:pPr>
      <w:r w:rsidRPr="00850D27">
        <w:rPr>
          <w:rFonts w:ascii="Arial" w:hAnsi="Arial" w:cs="Arial"/>
          <w:sz w:val="24"/>
          <w:szCs w:val="24"/>
        </w:rPr>
        <w:t>Palmer, A., Norris, M. and Kelleher, J. (2022)</w:t>
      </w:r>
      <w:r>
        <w:rPr>
          <w:rFonts w:ascii="Arial" w:hAnsi="Arial" w:cs="Arial"/>
          <w:sz w:val="24"/>
          <w:szCs w:val="24"/>
        </w:rPr>
        <w:t xml:space="preserve"> </w:t>
      </w:r>
      <w:r w:rsidR="00E37663">
        <w:rPr>
          <w:rFonts w:ascii="Arial" w:hAnsi="Arial" w:cs="Arial"/>
          <w:sz w:val="24"/>
          <w:szCs w:val="24"/>
        </w:rPr>
        <w:t>‘</w:t>
      </w:r>
      <w:r w:rsidRPr="00850D27">
        <w:rPr>
          <w:rFonts w:ascii="Arial" w:hAnsi="Arial" w:cs="Arial"/>
          <w:sz w:val="24"/>
          <w:szCs w:val="24"/>
        </w:rPr>
        <w:t>Accelerated adulthood, extended adolescence and the care cliff: Supporting care leavers’ transition from care to independent living</w:t>
      </w:r>
      <w:r w:rsidR="00E37663">
        <w:rPr>
          <w:rFonts w:ascii="Arial" w:hAnsi="Arial" w:cs="Arial"/>
          <w:sz w:val="24"/>
          <w:szCs w:val="24"/>
        </w:rPr>
        <w:t xml:space="preserve">’, </w:t>
      </w:r>
      <w:r w:rsidRPr="00850D27">
        <w:rPr>
          <w:rFonts w:ascii="Arial" w:hAnsi="Arial" w:cs="Arial"/>
          <w:i/>
          <w:iCs/>
          <w:sz w:val="24"/>
          <w:szCs w:val="24"/>
        </w:rPr>
        <w:t xml:space="preserve">Child </w:t>
      </w:r>
      <w:r w:rsidR="003F1E62">
        <w:rPr>
          <w:rFonts w:ascii="Arial" w:hAnsi="Arial" w:cs="Arial"/>
          <w:i/>
          <w:iCs/>
          <w:sz w:val="24"/>
          <w:szCs w:val="24"/>
        </w:rPr>
        <w:t>and</w:t>
      </w:r>
      <w:r w:rsidRPr="00850D27">
        <w:rPr>
          <w:rFonts w:ascii="Arial" w:hAnsi="Arial" w:cs="Arial"/>
          <w:i/>
          <w:iCs/>
          <w:sz w:val="24"/>
          <w:szCs w:val="24"/>
        </w:rPr>
        <w:t xml:space="preserve"> Family Social Work</w:t>
      </w:r>
      <w:r w:rsidRPr="00850D27">
        <w:rPr>
          <w:rFonts w:ascii="Arial" w:hAnsi="Arial" w:cs="Arial"/>
          <w:sz w:val="24"/>
          <w:szCs w:val="24"/>
        </w:rPr>
        <w:t>, 27(4)</w:t>
      </w:r>
      <w:r w:rsidR="003F1E62">
        <w:rPr>
          <w:rFonts w:ascii="Arial" w:hAnsi="Arial" w:cs="Arial"/>
          <w:sz w:val="24"/>
          <w:szCs w:val="24"/>
        </w:rPr>
        <w:t>, p</w:t>
      </w:r>
      <w:r w:rsidR="003F1E62" w:rsidRPr="003F1E62">
        <w:rPr>
          <w:rFonts w:ascii="Arial" w:hAnsi="Arial" w:cs="Arial"/>
          <w:sz w:val="24"/>
          <w:szCs w:val="24"/>
        </w:rPr>
        <w:t>p.748</w:t>
      </w:r>
      <w:r w:rsidR="003F1E62">
        <w:rPr>
          <w:rFonts w:ascii="Arial" w:hAnsi="Arial" w:cs="Arial"/>
          <w:sz w:val="24"/>
          <w:szCs w:val="24"/>
        </w:rPr>
        <w:t>–</w:t>
      </w:r>
      <w:r w:rsidR="003F1E62" w:rsidRPr="003F1E62">
        <w:rPr>
          <w:rFonts w:ascii="Arial" w:hAnsi="Arial" w:cs="Arial"/>
          <w:sz w:val="24"/>
          <w:szCs w:val="24"/>
        </w:rPr>
        <w:t>759</w:t>
      </w:r>
      <w:r w:rsidRPr="00850D27">
        <w:rPr>
          <w:rFonts w:ascii="Arial" w:hAnsi="Arial" w:cs="Arial"/>
          <w:sz w:val="24"/>
          <w:szCs w:val="24"/>
        </w:rPr>
        <w:t xml:space="preserve">. </w:t>
      </w:r>
      <w:r w:rsidR="003F1E62">
        <w:rPr>
          <w:rFonts w:ascii="Arial" w:hAnsi="Arial" w:cs="Arial"/>
          <w:sz w:val="24"/>
          <w:szCs w:val="24"/>
        </w:rPr>
        <w:t xml:space="preserve">Available at: </w:t>
      </w:r>
      <w:hyperlink r:id="rId53" w:history="1">
        <w:r w:rsidR="003F1E62" w:rsidRPr="00800668">
          <w:rPr>
            <w:rStyle w:val="Hyperlink"/>
            <w:rFonts w:ascii="Arial" w:hAnsi="Arial" w:cs="Arial"/>
            <w:sz w:val="24"/>
            <w:szCs w:val="24"/>
          </w:rPr>
          <w:t>https://doi.org/10.1111/cfs.12922</w:t>
        </w:r>
      </w:hyperlink>
      <w:r w:rsidR="003F1E62">
        <w:rPr>
          <w:rFonts w:ascii="Arial" w:hAnsi="Arial" w:cs="Arial"/>
          <w:sz w:val="24"/>
          <w:szCs w:val="24"/>
        </w:rPr>
        <w:t xml:space="preserve"> (Accessed 25 April 2025).</w:t>
      </w:r>
    </w:p>
    <w:p w14:paraId="0A6F75F5" w14:textId="110EAB40" w:rsidR="0009078B" w:rsidRDefault="0009078B">
      <w:pPr>
        <w:rPr>
          <w:rFonts w:ascii="Arial" w:hAnsi="Arial" w:cs="Arial"/>
          <w:sz w:val="24"/>
          <w:szCs w:val="24"/>
        </w:rPr>
      </w:pPr>
      <w:r w:rsidRPr="0009078B">
        <w:rPr>
          <w:rFonts w:ascii="Arial" w:hAnsi="Arial" w:cs="Arial"/>
          <w:sz w:val="24"/>
          <w:szCs w:val="24"/>
        </w:rPr>
        <w:t>Price, A., Janssens, A., Woodley, A.L., et al. (201</w:t>
      </w:r>
      <w:r>
        <w:rPr>
          <w:rFonts w:ascii="Arial" w:hAnsi="Arial" w:cs="Arial"/>
          <w:sz w:val="24"/>
          <w:szCs w:val="24"/>
        </w:rPr>
        <w:t>8</w:t>
      </w:r>
      <w:r w:rsidRPr="0009078B">
        <w:rPr>
          <w:rFonts w:ascii="Arial" w:hAnsi="Arial" w:cs="Arial"/>
          <w:sz w:val="24"/>
          <w:szCs w:val="24"/>
        </w:rPr>
        <w:t>)</w:t>
      </w:r>
      <w:r>
        <w:rPr>
          <w:rFonts w:ascii="Arial" w:hAnsi="Arial" w:cs="Arial"/>
          <w:sz w:val="24"/>
          <w:szCs w:val="24"/>
        </w:rPr>
        <w:t xml:space="preserve"> ‘</w:t>
      </w:r>
      <w:r w:rsidRPr="0009078B">
        <w:rPr>
          <w:rFonts w:ascii="Arial" w:hAnsi="Arial" w:cs="Arial"/>
          <w:sz w:val="24"/>
          <w:szCs w:val="24"/>
        </w:rPr>
        <w:t>Experiences of healthcare transitions for young people with ADHD</w:t>
      </w:r>
      <w:r w:rsidR="00E37663">
        <w:rPr>
          <w:rFonts w:ascii="Arial" w:hAnsi="Arial" w:cs="Arial"/>
          <w:sz w:val="24"/>
          <w:szCs w:val="24"/>
        </w:rPr>
        <w:t>’,</w:t>
      </w:r>
      <w:r w:rsidRPr="0009078B">
        <w:rPr>
          <w:rFonts w:ascii="Arial" w:hAnsi="Arial" w:cs="Arial"/>
          <w:sz w:val="24"/>
          <w:szCs w:val="24"/>
        </w:rPr>
        <w:t xml:space="preserve"> </w:t>
      </w:r>
      <w:r w:rsidRPr="0009078B">
        <w:rPr>
          <w:rFonts w:ascii="Arial" w:hAnsi="Arial" w:cs="Arial"/>
          <w:i/>
          <w:iCs/>
          <w:sz w:val="24"/>
          <w:szCs w:val="24"/>
        </w:rPr>
        <w:t>A systematic review of qualitative research</w:t>
      </w:r>
      <w:r w:rsidRPr="0009078B">
        <w:rPr>
          <w:rFonts w:ascii="Arial" w:hAnsi="Arial" w:cs="Arial"/>
          <w:sz w:val="24"/>
          <w:szCs w:val="24"/>
        </w:rPr>
        <w:t xml:space="preserve">. </w:t>
      </w:r>
      <w:r w:rsidRPr="0009078B">
        <w:rPr>
          <w:rFonts w:ascii="Arial" w:hAnsi="Arial" w:cs="Arial"/>
          <w:i/>
          <w:iCs/>
          <w:sz w:val="24"/>
          <w:szCs w:val="24"/>
        </w:rPr>
        <w:t>Child and Adolescent Mental Health</w:t>
      </w:r>
      <w:r w:rsidRPr="0009078B">
        <w:rPr>
          <w:rFonts w:ascii="Arial" w:hAnsi="Arial" w:cs="Arial"/>
          <w:sz w:val="24"/>
          <w:szCs w:val="24"/>
        </w:rPr>
        <w:t xml:space="preserve">, 24(2), </w:t>
      </w:r>
      <w:r>
        <w:rPr>
          <w:rFonts w:ascii="Arial" w:hAnsi="Arial" w:cs="Arial"/>
          <w:sz w:val="24"/>
          <w:szCs w:val="24"/>
        </w:rPr>
        <w:t>pp.</w:t>
      </w:r>
      <w:r w:rsidR="00E37663" w:rsidRPr="00E37663">
        <w:rPr>
          <w:rFonts w:ascii="Arial" w:hAnsi="Arial" w:cs="Arial"/>
          <w:sz w:val="24"/>
          <w:szCs w:val="24"/>
        </w:rPr>
        <w:t>113-122</w:t>
      </w:r>
      <w:r w:rsidRPr="0009078B">
        <w:rPr>
          <w:rFonts w:ascii="Arial" w:hAnsi="Arial" w:cs="Arial"/>
          <w:sz w:val="24"/>
          <w:szCs w:val="24"/>
        </w:rPr>
        <w:t xml:space="preserve">. </w:t>
      </w:r>
      <w:r>
        <w:rPr>
          <w:rFonts w:ascii="Arial" w:hAnsi="Arial" w:cs="Arial"/>
          <w:sz w:val="24"/>
          <w:szCs w:val="24"/>
        </w:rPr>
        <w:t xml:space="preserve">Available at: </w:t>
      </w:r>
      <w:hyperlink r:id="rId54" w:history="1">
        <w:r w:rsidRPr="007F6911">
          <w:rPr>
            <w:rStyle w:val="Hyperlink"/>
            <w:rFonts w:ascii="Arial" w:hAnsi="Arial" w:cs="Arial"/>
            <w:sz w:val="24"/>
            <w:szCs w:val="24"/>
          </w:rPr>
          <w:t>https://doi.org/10.1111/camh.12297</w:t>
        </w:r>
      </w:hyperlink>
      <w:r>
        <w:rPr>
          <w:rFonts w:ascii="Arial" w:hAnsi="Arial" w:cs="Arial"/>
          <w:sz w:val="24"/>
          <w:szCs w:val="24"/>
        </w:rPr>
        <w:t xml:space="preserve"> (Accessed 22 March 2025).</w:t>
      </w:r>
    </w:p>
    <w:p w14:paraId="0DD3920D" w14:textId="6E25FD5B" w:rsidR="00167368" w:rsidRDefault="00167368">
      <w:pPr>
        <w:rPr>
          <w:rFonts w:ascii="Arial" w:hAnsi="Arial" w:cs="Arial"/>
          <w:sz w:val="24"/>
          <w:szCs w:val="24"/>
        </w:rPr>
      </w:pPr>
      <w:r w:rsidRPr="00167368">
        <w:rPr>
          <w:rFonts w:ascii="Arial" w:hAnsi="Arial" w:cs="Arial"/>
          <w:sz w:val="24"/>
          <w:szCs w:val="24"/>
        </w:rPr>
        <w:t>Pletcher, B., O’Connor, M., Swift-Taylor, M. and DallaPiazza, M. (2019)</w:t>
      </w:r>
      <w:r>
        <w:rPr>
          <w:rFonts w:ascii="Arial" w:hAnsi="Arial" w:cs="Arial"/>
          <w:sz w:val="24"/>
          <w:szCs w:val="24"/>
        </w:rPr>
        <w:t xml:space="preserve"> ‘</w:t>
      </w:r>
      <w:r w:rsidRPr="00167368">
        <w:rPr>
          <w:rFonts w:ascii="Arial" w:hAnsi="Arial" w:cs="Arial"/>
          <w:sz w:val="24"/>
          <w:szCs w:val="24"/>
        </w:rPr>
        <w:t>Adverse Childhood Experiences: A Case-Based Workshop Introducing Medical Students to Trauma-Informed Care</w:t>
      </w:r>
      <w:r w:rsidR="00064712">
        <w:rPr>
          <w:rFonts w:ascii="Arial" w:hAnsi="Arial" w:cs="Arial"/>
          <w:sz w:val="24"/>
          <w:szCs w:val="24"/>
        </w:rPr>
        <w:t>’,</w:t>
      </w:r>
      <w:r w:rsidRPr="00167368">
        <w:rPr>
          <w:rFonts w:ascii="Arial" w:hAnsi="Arial" w:cs="Arial"/>
          <w:sz w:val="24"/>
          <w:szCs w:val="24"/>
        </w:rPr>
        <w:t> </w:t>
      </w:r>
      <w:r w:rsidR="00E37663" w:rsidRPr="00E37663">
        <w:rPr>
          <w:rFonts w:ascii="Arial" w:hAnsi="Arial" w:cs="Arial"/>
          <w:i/>
          <w:iCs/>
          <w:sz w:val="24"/>
          <w:szCs w:val="24"/>
        </w:rPr>
        <w:t xml:space="preserve">Association of American Medical </w:t>
      </w:r>
      <w:r w:rsidR="00E37663" w:rsidRPr="00E37663">
        <w:rPr>
          <w:rFonts w:ascii="Arial" w:hAnsi="Arial" w:cs="Arial"/>
          <w:i/>
          <w:iCs/>
          <w:sz w:val="24"/>
          <w:szCs w:val="24"/>
        </w:rPr>
        <w:t>Colleges</w:t>
      </w:r>
      <w:r w:rsidRPr="00167368">
        <w:rPr>
          <w:rFonts w:ascii="Arial" w:hAnsi="Arial" w:cs="Arial"/>
          <w:sz w:val="24"/>
          <w:szCs w:val="24"/>
        </w:rPr>
        <w:t>, 15</w:t>
      </w:r>
      <w:r w:rsidR="00E37663">
        <w:rPr>
          <w:rFonts w:ascii="Arial" w:hAnsi="Arial" w:cs="Arial"/>
          <w:sz w:val="24"/>
          <w:szCs w:val="24"/>
        </w:rPr>
        <w:t>(1) pp.1–8</w:t>
      </w:r>
      <w:r w:rsidRPr="00167368">
        <w:rPr>
          <w:rFonts w:ascii="Arial" w:hAnsi="Arial" w:cs="Arial"/>
          <w:sz w:val="24"/>
          <w:szCs w:val="24"/>
        </w:rPr>
        <w:t xml:space="preserve">. </w:t>
      </w:r>
      <w:r w:rsidR="00064712">
        <w:rPr>
          <w:rFonts w:ascii="Arial" w:hAnsi="Arial" w:cs="Arial"/>
          <w:sz w:val="24"/>
          <w:szCs w:val="24"/>
        </w:rPr>
        <w:t xml:space="preserve">Available at: </w:t>
      </w:r>
      <w:hyperlink r:id="rId55" w:history="1">
        <w:r w:rsidR="00E37663" w:rsidRPr="00764F30">
          <w:rPr>
            <w:rStyle w:val="Hyperlink"/>
            <w:rFonts w:ascii="Arial" w:hAnsi="Arial" w:cs="Arial"/>
            <w:sz w:val="24"/>
            <w:szCs w:val="24"/>
          </w:rPr>
          <w:t>https://www.mededportal.org/doi/epdf/10.15766/mep_2374-8265.10803</w:t>
        </w:r>
      </w:hyperlink>
      <w:r w:rsidR="00E37663">
        <w:rPr>
          <w:rFonts w:ascii="Arial" w:hAnsi="Arial" w:cs="Arial"/>
          <w:sz w:val="24"/>
          <w:szCs w:val="24"/>
        </w:rPr>
        <w:t xml:space="preserve"> </w:t>
      </w:r>
      <w:r w:rsidR="00064712">
        <w:rPr>
          <w:rFonts w:ascii="Arial" w:hAnsi="Arial" w:cs="Arial"/>
          <w:sz w:val="24"/>
          <w:szCs w:val="24"/>
        </w:rPr>
        <w:t xml:space="preserve"> (Accessed 22 April 2025).</w:t>
      </w:r>
    </w:p>
    <w:p w14:paraId="5683AE12" w14:textId="04323538" w:rsidR="008C7589" w:rsidRDefault="008C7589">
      <w:pPr>
        <w:rPr>
          <w:rFonts w:ascii="Arial" w:hAnsi="Arial" w:cs="Arial"/>
          <w:sz w:val="24"/>
          <w:szCs w:val="24"/>
        </w:rPr>
      </w:pPr>
      <w:r w:rsidRPr="00CC33FE">
        <w:rPr>
          <w:rFonts w:ascii="Arial" w:hAnsi="Arial" w:cs="Arial"/>
          <w:sz w:val="24"/>
          <w:szCs w:val="24"/>
        </w:rPr>
        <w:t>Public Health England (2022)</w:t>
      </w:r>
      <w:r w:rsidR="00684BBD">
        <w:rPr>
          <w:rFonts w:ascii="Arial" w:hAnsi="Arial" w:cs="Arial"/>
          <w:sz w:val="24"/>
          <w:szCs w:val="24"/>
        </w:rPr>
        <w:t xml:space="preserve"> ‘</w:t>
      </w:r>
      <w:r w:rsidRPr="00CC33FE">
        <w:rPr>
          <w:rFonts w:ascii="Arial" w:hAnsi="Arial" w:cs="Arial"/>
          <w:sz w:val="24"/>
          <w:szCs w:val="24"/>
        </w:rPr>
        <w:t>COVID-19 Mental Health and Wellbeing Surveillance</w:t>
      </w:r>
      <w:r w:rsidR="00684BBD">
        <w:rPr>
          <w:rFonts w:ascii="Arial" w:hAnsi="Arial" w:cs="Arial"/>
          <w:i/>
          <w:iCs/>
          <w:sz w:val="24"/>
          <w:szCs w:val="24"/>
        </w:rPr>
        <w:t xml:space="preserve">: </w:t>
      </w:r>
      <w:r w:rsidR="00684BBD" w:rsidRPr="00684BBD">
        <w:rPr>
          <w:rFonts w:ascii="Arial" w:hAnsi="Arial" w:cs="Arial"/>
          <w:sz w:val="24"/>
          <w:szCs w:val="24"/>
        </w:rPr>
        <w:t>Report</w:t>
      </w:r>
      <w:r w:rsidR="00684BBD">
        <w:rPr>
          <w:rFonts w:ascii="Arial" w:hAnsi="Arial" w:cs="Arial"/>
          <w:sz w:val="24"/>
          <w:szCs w:val="24"/>
        </w:rPr>
        <w:t xml:space="preserve">’, </w:t>
      </w:r>
      <w:r w:rsidR="00684BBD" w:rsidRPr="00684BBD">
        <w:rPr>
          <w:rFonts w:ascii="Arial" w:hAnsi="Arial" w:cs="Arial"/>
          <w:i/>
          <w:iCs/>
          <w:sz w:val="24"/>
          <w:szCs w:val="24"/>
        </w:rPr>
        <w:t>Office for Health Improvement and Disparities</w:t>
      </w:r>
      <w:r w:rsidR="00684BBD">
        <w:rPr>
          <w:rFonts w:ascii="Arial" w:hAnsi="Arial" w:cs="Arial"/>
          <w:sz w:val="24"/>
          <w:szCs w:val="24"/>
        </w:rPr>
        <w:t>.</w:t>
      </w:r>
      <w:r w:rsidRPr="00CC33FE">
        <w:rPr>
          <w:rFonts w:ascii="Arial" w:hAnsi="Arial" w:cs="Arial"/>
          <w:sz w:val="24"/>
          <w:szCs w:val="24"/>
        </w:rPr>
        <w:t xml:space="preserve"> Available at: </w:t>
      </w:r>
      <w:hyperlink r:id="rId56" w:history="1">
        <w:r w:rsidR="00684BBD" w:rsidRPr="00764F30">
          <w:rPr>
            <w:rStyle w:val="Hyperlink"/>
            <w:rFonts w:ascii="Arial" w:hAnsi="Arial" w:cs="Arial"/>
            <w:sz w:val="24"/>
            <w:szCs w:val="24"/>
          </w:rPr>
          <w:t>https://www.gov.uk/government/publications/covid-19-mental-health-and-wellbeing-surveillance-report</w:t>
        </w:r>
      </w:hyperlink>
      <w:r w:rsidR="00684BBD">
        <w:rPr>
          <w:rFonts w:ascii="Arial" w:hAnsi="Arial" w:cs="Arial"/>
          <w:sz w:val="24"/>
          <w:szCs w:val="24"/>
        </w:rPr>
        <w:t xml:space="preserve"> </w:t>
      </w:r>
      <w:r>
        <w:rPr>
          <w:rFonts w:ascii="Arial" w:hAnsi="Arial" w:cs="Arial"/>
          <w:sz w:val="24"/>
          <w:szCs w:val="24"/>
        </w:rPr>
        <w:t xml:space="preserve"> </w:t>
      </w:r>
      <w:r w:rsidRPr="00CC33FE">
        <w:rPr>
          <w:rFonts w:ascii="Arial" w:hAnsi="Arial" w:cs="Arial"/>
          <w:sz w:val="24"/>
          <w:szCs w:val="24"/>
        </w:rPr>
        <w:t xml:space="preserve"> (Accessed: 24 March 2025).</w:t>
      </w:r>
    </w:p>
    <w:p w14:paraId="0B51AD87" w14:textId="363A2B28" w:rsidR="00DC586E" w:rsidRDefault="00DC586E">
      <w:pPr>
        <w:rPr>
          <w:rFonts w:ascii="Arial" w:hAnsi="Arial" w:cs="Arial"/>
          <w:sz w:val="24"/>
          <w:szCs w:val="24"/>
        </w:rPr>
      </w:pPr>
      <w:r w:rsidRPr="00DC586E">
        <w:rPr>
          <w:rFonts w:ascii="Arial" w:hAnsi="Arial" w:cs="Arial"/>
          <w:sz w:val="24"/>
          <w:szCs w:val="24"/>
        </w:rPr>
        <w:t>Ruck, M.D., Keating, D.P., Saewyc, E.M., Earls, F. and Ben-Arieh, A. (2014)</w:t>
      </w:r>
      <w:r>
        <w:rPr>
          <w:rFonts w:ascii="Arial" w:hAnsi="Arial" w:cs="Arial"/>
          <w:sz w:val="24"/>
          <w:szCs w:val="24"/>
        </w:rPr>
        <w:t xml:space="preserve"> ‘</w:t>
      </w:r>
      <w:r w:rsidRPr="00DC586E">
        <w:rPr>
          <w:rFonts w:ascii="Arial" w:hAnsi="Arial" w:cs="Arial"/>
          <w:sz w:val="24"/>
          <w:szCs w:val="24"/>
        </w:rPr>
        <w:t>The United Nations Convention on the Rights of the Child: Its Relevance for Adolescents</w:t>
      </w:r>
      <w:r>
        <w:rPr>
          <w:rFonts w:ascii="Arial" w:hAnsi="Arial" w:cs="Arial"/>
          <w:sz w:val="24"/>
          <w:szCs w:val="24"/>
        </w:rPr>
        <w:t xml:space="preserve">’, </w:t>
      </w:r>
      <w:r w:rsidRPr="00DC586E">
        <w:rPr>
          <w:rFonts w:ascii="Arial" w:hAnsi="Arial" w:cs="Arial"/>
          <w:i/>
          <w:iCs/>
          <w:sz w:val="24"/>
          <w:szCs w:val="24"/>
        </w:rPr>
        <w:t>Journal of Research on Adolescence</w:t>
      </w:r>
      <w:r w:rsidRPr="00DC586E">
        <w:rPr>
          <w:rFonts w:ascii="Arial" w:hAnsi="Arial" w:cs="Arial"/>
          <w:sz w:val="24"/>
          <w:szCs w:val="24"/>
        </w:rPr>
        <w:t xml:space="preserve">, 26(1), pp.16–29. </w:t>
      </w:r>
      <w:r>
        <w:rPr>
          <w:rFonts w:ascii="Arial" w:hAnsi="Arial" w:cs="Arial"/>
          <w:sz w:val="24"/>
          <w:szCs w:val="24"/>
        </w:rPr>
        <w:t xml:space="preserve">Available at: </w:t>
      </w:r>
      <w:hyperlink r:id="rId57" w:history="1">
        <w:r w:rsidR="00684BBD" w:rsidRPr="00764F30">
          <w:rPr>
            <w:rStyle w:val="Hyperlink"/>
            <w:rFonts w:ascii="Arial" w:hAnsi="Arial" w:cs="Arial"/>
            <w:sz w:val="24"/>
            <w:szCs w:val="24"/>
          </w:rPr>
          <w:t>https://ssw.umich.edu/sites/default/files/documents/fauri-lecture/2017/rights-mss-for-sw-talk.pdf</w:t>
        </w:r>
      </w:hyperlink>
      <w:r w:rsidR="00684BBD">
        <w:rPr>
          <w:rFonts w:ascii="Arial" w:hAnsi="Arial" w:cs="Arial"/>
          <w:sz w:val="24"/>
          <w:szCs w:val="24"/>
        </w:rPr>
        <w:t xml:space="preserve"> </w:t>
      </w:r>
      <w:r>
        <w:rPr>
          <w:rFonts w:ascii="Arial" w:hAnsi="Arial" w:cs="Arial"/>
          <w:sz w:val="24"/>
          <w:szCs w:val="24"/>
        </w:rPr>
        <w:t xml:space="preserve"> (Accessed 23 April 2025).</w:t>
      </w:r>
    </w:p>
    <w:p w14:paraId="567283DD" w14:textId="709680CF" w:rsidR="003F1E62" w:rsidRDefault="003F1E62">
      <w:pPr>
        <w:rPr>
          <w:rFonts w:ascii="Arial" w:hAnsi="Arial" w:cs="Arial"/>
          <w:sz w:val="24"/>
          <w:szCs w:val="24"/>
        </w:rPr>
      </w:pPr>
      <w:r w:rsidRPr="003F1E62">
        <w:rPr>
          <w:rFonts w:ascii="Arial" w:hAnsi="Arial" w:cs="Arial"/>
          <w:sz w:val="24"/>
          <w:szCs w:val="24"/>
        </w:rPr>
        <w:t xml:space="preserve">Sadovnik, A., Semel, S. and Coughlan, R. (2018) Exploring Education: </w:t>
      </w:r>
      <w:r w:rsidRPr="003F1E62">
        <w:rPr>
          <w:rFonts w:ascii="Arial" w:hAnsi="Arial" w:cs="Arial"/>
          <w:i/>
          <w:iCs/>
          <w:sz w:val="24"/>
          <w:szCs w:val="24"/>
        </w:rPr>
        <w:t>An Introduction to the Foundations of Education.</w:t>
      </w:r>
      <w:r>
        <w:rPr>
          <w:rFonts w:ascii="Arial" w:hAnsi="Arial" w:cs="Arial"/>
          <w:i/>
          <w:iCs/>
          <w:sz w:val="24"/>
          <w:szCs w:val="24"/>
        </w:rPr>
        <w:t xml:space="preserve"> </w:t>
      </w:r>
      <w:r>
        <w:rPr>
          <w:rFonts w:ascii="Arial" w:hAnsi="Arial" w:cs="Arial"/>
          <w:sz w:val="24"/>
          <w:szCs w:val="24"/>
        </w:rPr>
        <w:t>1</w:t>
      </w:r>
      <w:r>
        <w:rPr>
          <w:rFonts w:ascii="Arial" w:hAnsi="Arial" w:cs="Arial"/>
          <w:sz w:val="24"/>
          <w:szCs w:val="24"/>
          <w:vertAlign w:val="superscript"/>
        </w:rPr>
        <w:t xml:space="preserve">st </w:t>
      </w:r>
      <w:r>
        <w:rPr>
          <w:rFonts w:ascii="Arial" w:hAnsi="Arial" w:cs="Arial"/>
          <w:sz w:val="24"/>
          <w:szCs w:val="24"/>
        </w:rPr>
        <w:t>edn. London</w:t>
      </w:r>
      <w:r w:rsidR="00684BBD">
        <w:rPr>
          <w:rFonts w:ascii="Arial" w:hAnsi="Arial" w:cs="Arial"/>
          <w:sz w:val="24"/>
          <w:szCs w:val="24"/>
        </w:rPr>
        <w:t>:</w:t>
      </w:r>
      <w:r w:rsidRPr="003F1E62">
        <w:rPr>
          <w:rFonts w:ascii="Arial" w:hAnsi="Arial" w:cs="Arial"/>
          <w:sz w:val="24"/>
          <w:szCs w:val="24"/>
        </w:rPr>
        <w:t xml:space="preserve"> Routledge</w:t>
      </w:r>
      <w:r>
        <w:rPr>
          <w:rFonts w:ascii="Arial" w:hAnsi="Arial" w:cs="Arial"/>
          <w:sz w:val="24"/>
          <w:szCs w:val="24"/>
        </w:rPr>
        <w:t>.</w:t>
      </w:r>
    </w:p>
    <w:p w14:paraId="001301BA" w14:textId="5D556595" w:rsidR="00F55725" w:rsidRDefault="00F55725">
      <w:pPr>
        <w:rPr>
          <w:rFonts w:ascii="Arial" w:hAnsi="Arial" w:cs="Arial"/>
          <w:sz w:val="24"/>
          <w:szCs w:val="24"/>
        </w:rPr>
      </w:pPr>
      <w:r w:rsidRPr="00F55725">
        <w:rPr>
          <w:rFonts w:ascii="Arial" w:hAnsi="Arial" w:cs="Arial"/>
          <w:sz w:val="24"/>
          <w:szCs w:val="24"/>
        </w:rPr>
        <w:t>Salem, P. and Kelly Browe Olson (2024) Family Dispute Resolution</w:t>
      </w:r>
      <w:r>
        <w:rPr>
          <w:rFonts w:ascii="Arial" w:hAnsi="Arial" w:cs="Arial"/>
          <w:sz w:val="24"/>
          <w:szCs w:val="24"/>
        </w:rPr>
        <w:t xml:space="preserve">: </w:t>
      </w:r>
      <w:r w:rsidRPr="00F55725">
        <w:rPr>
          <w:rFonts w:ascii="Arial" w:hAnsi="Arial" w:cs="Arial"/>
          <w:i/>
          <w:iCs/>
          <w:sz w:val="24"/>
          <w:szCs w:val="24"/>
        </w:rPr>
        <w:t>Process and Practice.</w:t>
      </w:r>
      <w:r w:rsidRPr="00F55725">
        <w:rPr>
          <w:rFonts w:ascii="Arial" w:hAnsi="Arial" w:cs="Arial"/>
          <w:sz w:val="24"/>
          <w:szCs w:val="24"/>
        </w:rPr>
        <w:t xml:space="preserve"> </w:t>
      </w:r>
      <w:r>
        <w:rPr>
          <w:rFonts w:ascii="Arial" w:hAnsi="Arial" w:cs="Arial"/>
          <w:sz w:val="24"/>
          <w:szCs w:val="24"/>
        </w:rPr>
        <w:t>1</w:t>
      </w:r>
      <w:r w:rsidRPr="00F55725">
        <w:rPr>
          <w:rFonts w:ascii="Arial" w:hAnsi="Arial" w:cs="Arial"/>
          <w:sz w:val="24"/>
          <w:szCs w:val="24"/>
          <w:vertAlign w:val="superscript"/>
        </w:rPr>
        <w:t>st</w:t>
      </w:r>
      <w:r>
        <w:rPr>
          <w:rFonts w:ascii="Arial" w:hAnsi="Arial" w:cs="Arial"/>
          <w:sz w:val="24"/>
          <w:szCs w:val="24"/>
        </w:rPr>
        <w:t xml:space="preserve"> edn.</w:t>
      </w:r>
      <w:r w:rsidR="00A5576A">
        <w:rPr>
          <w:rFonts w:ascii="Arial" w:hAnsi="Arial" w:cs="Arial"/>
          <w:sz w:val="24"/>
          <w:szCs w:val="24"/>
        </w:rPr>
        <w:t xml:space="preserve"> </w:t>
      </w:r>
      <w:r w:rsidR="00684BBD">
        <w:rPr>
          <w:rFonts w:ascii="Arial" w:hAnsi="Arial" w:cs="Arial"/>
          <w:sz w:val="24"/>
          <w:szCs w:val="24"/>
        </w:rPr>
        <w:t>London</w:t>
      </w:r>
      <w:r w:rsidR="00A5576A">
        <w:rPr>
          <w:rFonts w:ascii="Arial" w:hAnsi="Arial" w:cs="Arial"/>
          <w:sz w:val="24"/>
          <w:szCs w:val="24"/>
        </w:rPr>
        <w:t>:</w:t>
      </w:r>
      <w:r>
        <w:rPr>
          <w:rFonts w:ascii="Arial" w:hAnsi="Arial" w:cs="Arial"/>
          <w:sz w:val="24"/>
          <w:szCs w:val="24"/>
        </w:rPr>
        <w:t xml:space="preserve"> </w:t>
      </w:r>
      <w:r w:rsidRPr="00F55725">
        <w:rPr>
          <w:rFonts w:ascii="Arial" w:hAnsi="Arial" w:cs="Arial"/>
          <w:sz w:val="24"/>
          <w:szCs w:val="24"/>
        </w:rPr>
        <w:t>Oxford University Press.</w:t>
      </w:r>
    </w:p>
    <w:p w14:paraId="47CD1E9E" w14:textId="0E8AA670" w:rsidR="00AB1E18" w:rsidRDefault="00AB1E18">
      <w:pPr>
        <w:rPr>
          <w:rFonts w:ascii="Arial" w:hAnsi="Arial" w:cs="Arial"/>
          <w:sz w:val="24"/>
          <w:szCs w:val="24"/>
        </w:rPr>
      </w:pPr>
      <w:r w:rsidRPr="00070CCB">
        <w:rPr>
          <w:rFonts w:ascii="Arial" w:hAnsi="Arial" w:cs="Arial"/>
          <w:sz w:val="24"/>
          <w:szCs w:val="24"/>
        </w:rPr>
        <w:t xml:space="preserve">Shah, A., Holland, J., Briley, P.M. and Majumder, P. (2024) </w:t>
      </w:r>
      <w:r>
        <w:rPr>
          <w:rFonts w:ascii="Arial" w:hAnsi="Arial" w:cs="Arial"/>
          <w:sz w:val="24"/>
          <w:szCs w:val="24"/>
        </w:rPr>
        <w:t>‘</w:t>
      </w:r>
      <w:r w:rsidRPr="00070CCB">
        <w:rPr>
          <w:rFonts w:ascii="Arial" w:hAnsi="Arial" w:cs="Arial"/>
          <w:sz w:val="24"/>
          <w:szCs w:val="24"/>
        </w:rPr>
        <w:t>Experiences of clinicians working in the inpatient and community mental health care pathway for young people in the UK</w:t>
      </w:r>
      <w:r>
        <w:rPr>
          <w:rFonts w:ascii="Arial" w:hAnsi="Arial" w:cs="Arial"/>
          <w:sz w:val="24"/>
          <w:szCs w:val="24"/>
        </w:rPr>
        <w:t>’,</w:t>
      </w:r>
      <w:r w:rsidRPr="00070CCB">
        <w:rPr>
          <w:rFonts w:ascii="Arial" w:hAnsi="Arial" w:cs="Arial"/>
          <w:sz w:val="24"/>
          <w:szCs w:val="24"/>
        </w:rPr>
        <w:t> </w:t>
      </w:r>
      <w:r w:rsidRPr="00070CCB">
        <w:rPr>
          <w:rFonts w:ascii="Arial" w:hAnsi="Arial" w:cs="Arial"/>
          <w:i/>
          <w:iCs/>
          <w:sz w:val="24"/>
          <w:szCs w:val="24"/>
        </w:rPr>
        <w:t>British Journal of Healthcare Management</w:t>
      </w:r>
      <w:r w:rsidRPr="00070CCB">
        <w:rPr>
          <w:rFonts w:ascii="Arial" w:hAnsi="Arial" w:cs="Arial"/>
          <w:sz w:val="24"/>
          <w:szCs w:val="24"/>
        </w:rPr>
        <w:t xml:space="preserve">, 30(12), pp.1–13. </w:t>
      </w:r>
      <w:r>
        <w:rPr>
          <w:rFonts w:ascii="Arial" w:hAnsi="Arial" w:cs="Arial"/>
          <w:sz w:val="24"/>
          <w:szCs w:val="24"/>
        </w:rPr>
        <w:t xml:space="preserve">Available at: </w:t>
      </w:r>
      <w:hyperlink r:id="rId58" w:history="1">
        <w:r w:rsidRPr="007F6911">
          <w:rPr>
            <w:rStyle w:val="Hyperlink"/>
            <w:rFonts w:ascii="Arial" w:hAnsi="Arial" w:cs="Arial"/>
            <w:sz w:val="24"/>
            <w:szCs w:val="24"/>
          </w:rPr>
          <w:t>https://doi.org/10.12968/bjhc.2024.0020</w:t>
        </w:r>
      </w:hyperlink>
      <w:r>
        <w:rPr>
          <w:rFonts w:ascii="Arial" w:hAnsi="Arial" w:cs="Arial"/>
          <w:sz w:val="24"/>
          <w:szCs w:val="24"/>
        </w:rPr>
        <w:t xml:space="preserve"> (Accessed 22 March 2025).</w:t>
      </w:r>
    </w:p>
    <w:p w14:paraId="365E6BA0" w14:textId="39B524A2" w:rsidR="006F7299" w:rsidRDefault="006F7299">
      <w:pPr>
        <w:rPr>
          <w:rFonts w:ascii="Arial" w:hAnsi="Arial" w:cs="Arial"/>
          <w:sz w:val="24"/>
          <w:szCs w:val="24"/>
        </w:rPr>
      </w:pPr>
      <w:r w:rsidRPr="006F7299">
        <w:rPr>
          <w:rFonts w:ascii="Arial" w:hAnsi="Arial" w:cs="Arial"/>
          <w:sz w:val="24"/>
          <w:szCs w:val="24"/>
        </w:rPr>
        <w:t>Thomas, K.A., Schroder, A.M. and Rickwood, D.J. (2020)</w:t>
      </w:r>
      <w:r>
        <w:rPr>
          <w:rFonts w:ascii="Arial" w:hAnsi="Arial" w:cs="Arial"/>
          <w:sz w:val="24"/>
          <w:szCs w:val="24"/>
        </w:rPr>
        <w:t xml:space="preserve"> ‘</w:t>
      </w:r>
      <w:r w:rsidRPr="006F7299">
        <w:rPr>
          <w:rFonts w:ascii="Arial" w:hAnsi="Arial" w:cs="Arial"/>
          <w:sz w:val="24"/>
          <w:szCs w:val="24"/>
        </w:rPr>
        <w:t>A systematic review of current approaches to managing demand and waitlists for mental health services</w:t>
      </w:r>
      <w:r w:rsidR="00070CCB">
        <w:rPr>
          <w:rFonts w:ascii="Arial" w:hAnsi="Arial" w:cs="Arial"/>
          <w:sz w:val="24"/>
          <w:szCs w:val="24"/>
        </w:rPr>
        <w:t xml:space="preserve">’, </w:t>
      </w:r>
      <w:r w:rsidRPr="006F7299">
        <w:rPr>
          <w:rFonts w:ascii="Arial" w:hAnsi="Arial" w:cs="Arial"/>
          <w:i/>
          <w:iCs/>
          <w:sz w:val="24"/>
          <w:szCs w:val="24"/>
        </w:rPr>
        <w:t>Mental Health Review Journal</w:t>
      </w:r>
      <w:r w:rsidR="0081096E">
        <w:rPr>
          <w:rFonts w:ascii="Arial" w:hAnsi="Arial" w:cs="Arial"/>
          <w:sz w:val="24"/>
          <w:szCs w:val="24"/>
        </w:rPr>
        <w:t>, 26(1) pp. 1–17.</w:t>
      </w:r>
      <w:r w:rsidRPr="006F7299">
        <w:rPr>
          <w:rFonts w:ascii="Arial" w:hAnsi="Arial" w:cs="Arial"/>
          <w:sz w:val="24"/>
          <w:szCs w:val="24"/>
        </w:rPr>
        <w:t xml:space="preserve"> </w:t>
      </w:r>
      <w:r w:rsidR="00070CCB">
        <w:rPr>
          <w:rFonts w:ascii="Arial" w:hAnsi="Arial" w:cs="Arial"/>
          <w:sz w:val="24"/>
          <w:szCs w:val="24"/>
        </w:rPr>
        <w:t xml:space="preserve">Available at: </w:t>
      </w:r>
      <w:hyperlink r:id="rId59" w:history="1">
        <w:r w:rsidR="0081096E" w:rsidRPr="00764F30">
          <w:rPr>
            <w:rStyle w:val="Hyperlink"/>
            <w:rFonts w:ascii="Arial" w:hAnsi="Arial" w:cs="Arial"/>
            <w:sz w:val="24"/>
            <w:szCs w:val="24"/>
          </w:rPr>
          <w:t>file:///C:/Users/COMP/Downloads/A_systematic_review_of_current.pdf</w:t>
        </w:r>
      </w:hyperlink>
      <w:r w:rsidR="0081096E">
        <w:rPr>
          <w:rFonts w:ascii="Arial" w:hAnsi="Arial" w:cs="Arial"/>
          <w:sz w:val="24"/>
          <w:szCs w:val="24"/>
        </w:rPr>
        <w:t xml:space="preserve">  </w:t>
      </w:r>
      <w:r w:rsidR="00070CCB">
        <w:rPr>
          <w:rFonts w:ascii="Arial" w:hAnsi="Arial" w:cs="Arial"/>
          <w:sz w:val="24"/>
          <w:szCs w:val="24"/>
        </w:rPr>
        <w:t xml:space="preserve"> (Accessed 23 March 2025).</w:t>
      </w:r>
    </w:p>
    <w:p w14:paraId="0E3AC57C" w14:textId="450802D1" w:rsidR="004A6E5B" w:rsidRDefault="004A6E5B">
      <w:pPr>
        <w:rPr>
          <w:rFonts w:ascii="Arial" w:hAnsi="Arial" w:cs="Arial"/>
          <w:sz w:val="24"/>
          <w:szCs w:val="24"/>
        </w:rPr>
      </w:pPr>
      <w:r w:rsidRPr="004A6E5B">
        <w:rPr>
          <w:rFonts w:ascii="Arial" w:hAnsi="Arial" w:cs="Arial"/>
          <w:sz w:val="24"/>
          <w:szCs w:val="24"/>
        </w:rPr>
        <w:t>Toros, K. (2021)</w:t>
      </w:r>
      <w:r>
        <w:rPr>
          <w:rFonts w:ascii="Arial" w:hAnsi="Arial" w:cs="Arial"/>
          <w:sz w:val="24"/>
          <w:szCs w:val="24"/>
        </w:rPr>
        <w:t xml:space="preserve"> ‘</w:t>
      </w:r>
      <w:r w:rsidRPr="004A6E5B">
        <w:rPr>
          <w:rFonts w:ascii="Arial" w:hAnsi="Arial" w:cs="Arial"/>
          <w:sz w:val="24"/>
          <w:szCs w:val="24"/>
        </w:rPr>
        <w:t xml:space="preserve">Children’s Participation in Decision Making </w:t>
      </w:r>
      <w:r w:rsidR="0081096E" w:rsidRPr="004A6E5B">
        <w:rPr>
          <w:rFonts w:ascii="Arial" w:hAnsi="Arial" w:cs="Arial"/>
          <w:sz w:val="24"/>
          <w:szCs w:val="24"/>
        </w:rPr>
        <w:t>from</w:t>
      </w:r>
      <w:r w:rsidRPr="004A6E5B">
        <w:rPr>
          <w:rFonts w:ascii="Arial" w:hAnsi="Arial" w:cs="Arial"/>
          <w:sz w:val="24"/>
          <w:szCs w:val="24"/>
        </w:rPr>
        <w:t xml:space="preserve"> Child Welfare Workers’ Perspectives: A Systematic Review</w:t>
      </w:r>
      <w:r>
        <w:rPr>
          <w:rFonts w:ascii="Arial" w:hAnsi="Arial" w:cs="Arial"/>
          <w:sz w:val="24"/>
          <w:szCs w:val="24"/>
        </w:rPr>
        <w:t xml:space="preserve">’, </w:t>
      </w:r>
      <w:r w:rsidRPr="004A6E5B">
        <w:rPr>
          <w:rFonts w:ascii="Arial" w:hAnsi="Arial" w:cs="Arial"/>
          <w:i/>
          <w:iCs/>
          <w:sz w:val="24"/>
          <w:szCs w:val="24"/>
        </w:rPr>
        <w:t>Research on Social Work Practice</w:t>
      </w:r>
      <w:r w:rsidRPr="004A6E5B">
        <w:rPr>
          <w:rFonts w:ascii="Arial" w:hAnsi="Arial" w:cs="Arial"/>
          <w:sz w:val="24"/>
          <w:szCs w:val="24"/>
        </w:rPr>
        <w:t xml:space="preserve">, 31(4), </w:t>
      </w:r>
      <w:r>
        <w:rPr>
          <w:rFonts w:ascii="Arial" w:hAnsi="Arial" w:cs="Arial"/>
          <w:sz w:val="24"/>
          <w:szCs w:val="24"/>
        </w:rPr>
        <w:t>p</w:t>
      </w:r>
      <w:r w:rsidRPr="004A6E5B">
        <w:rPr>
          <w:rFonts w:ascii="Arial" w:hAnsi="Arial" w:cs="Arial"/>
          <w:sz w:val="24"/>
          <w:szCs w:val="24"/>
        </w:rPr>
        <w:t>p.</w:t>
      </w:r>
      <w:r w:rsidR="0081096E">
        <w:rPr>
          <w:rFonts w:ascii="Arial" w:hAnsi="Arial" w:cs="Arial"/>
          <w:sz w:val="24"/>
          <w:szCs w:val="24"/>
        </w:rPr>
        <w:t xml:space="preserve"> </w:t>
      </w:r>
      <w:r w:rsidR="0081096E" w:rsidRPr="0081096E">
        <w:rPr>
          <w:rFonts w:ascii="Arial" w:hAnsi="Arial" w:cs="Arial"/>
          <w:sz w:val="24"/>
          <w:szCs w:val="24"/>
        </w:rPr>
        <w:t>367</w:t>
      </w:r>
      <w:r w:rsidR="0081096E">
        <w:rPr>
          <w:rFonts w:ascii="Arial" w:hAnsi="Arial" w:cs="Arial"/>
          <w:sz w:val="24"/>
          <w:szCs w:val="24"/>
        </w:rPr>
        <w:t>–</w:t>
      </w:r>
      <w:r w:rsidR="0081096E" w:rsidRPr="0081096E">
        <w:rPr>
          <w:rFonts w:ascii="Arial" w:hAnsi="Arial" w:cs="Arial"/>
          <w:sz w:val="24"/>
          <w:szCs w:val="24"/>
        </w:rPr>
        <w:t>374</w:t>
      </w:r>
      <w:r w:rsidRPr="004A6E5B">
        <w:rPr>
          <w:rFonts w:ascii="Arial" w:hAnsi="Arial" w:cs="Arial"/>
          <w:sz w:val="24"/>
          <w:szCs w:val="24"/>
        </w:rPr>
        <w:t xml:space="preserve">. </w:t>
      </w:r>
      <w:r>
        <w:rPr>
          <w:rFonts w:ascii="Arial" w:hAnsi="Arial" w:cs="Arial"/>
          <w:sz w:val="24"/>
          <w:szCs w:val="24"/>
        </w:rPr>
        <w:t xml:space="preserve">Available at: </w:t>
      </w:r>
      <w:hyperlink r:id="rId60" w:history="1">
        <w:r w:rsidR="0081096E" w:rsidRPr="00764F30">
          <w:rPr>
            <w:rStyle w:val="Hyperlink"/>
            <w:rFonts w:ascii="Arial" w:hAnsi="Arial" w:cs="Arial"/>
            <w:sz w:val="24"/>
            <w:szCs w:val="24"/>
          </w:rPr>
          <w:t>https://journals.sagepub.com/doi/pdf/10.1177/1049731520984844?casa_token=1ByPC8rtFuoAAAAA:3hiYXoX8HUCd8PAVJoegeGGRgAjP6CfUJG-dodgu84QwsA-GLNotIWuSGLmpDUuH4DMbPqnetHw1BA</w:t>
        </w:r>
      </w:hyperlink>
      <w:r w:rsidR="0081096E">
        <w:rPr>
          <w:rFonts w:ascii="Arial" w:hAnsi="Arial" w:cs="Arial"/>
          <w:sz w:val="24"/>
          <w:szCs w:val="24"/>
        </w:rPr>
        <w:t xml:space="preserve"> </w:t>
      </w:r>
      <w:r>
        <w:rPr>
          <w:rFonts w:ascii="Arial" w:hAnsi="Arial" w:cs="Arial"/>
          <w:sz w:val="24"/>
          <w:szCs w:val="24"/>
        </w:rPr>
        <w:t xml:space="preserve"> (Accessed 25 April 2025).</w:t>
      </w:r>
    </w:p>
    <w:p w14:paraId="14358CB8" w14:textId="3EECD0B5" w:rsidR="00D816C5" w:rsidRDefault="00D816C5">
      <w:pPr>
        <w:rPr>
          <w:rFonts w:ascii="Arial" w:hAnsi="Arial" w:cs="Arial"/>
          <w:sz w:val="24"/>
          <w:szCs w:val="24"/>
        </w:rPr>
      </w:pPr>
      <w:r w:rsidRPr="00D816C5">
        <w:rPr>
          <w:rFonts w:ascii="Arial" w:hAnsi="Arial" w:cs="Arial"/>
          <w:sz w:val="24"/>
          <w:szCs w:val="24"/>
        </w:rPr>
        <w:t>Tucker, N. (2025)</w:t>
      </w:r>
      <w:r>
        <w:rPr>
          <w:rFonts w:ascii="Arial" w:hAnsi="Arial" w:cs="Arial"/>
          <w:sz w:val="24"/>
          <w:szCs w:val="24"/>
        </w:rPr>
        <w:t xml:space="preserve"> </w:t>
      </w:r>
      <w:r w:rsidRPr="00D816C5">
        <w:rPr>
          <w:rFonts w:ascii="Arial" w:hAnsi="Arial" w:cs="Arial"/>
          <w:sz w:val="24"/>
          <w:szCs w:val="24"/>
        </w:rPr>
        <w:t>Educating for Humanity</w:t>
      </w:r>
      <w:r>
        <w:rPr>
          <w:rFonts w:ascii="Arial" w:hAnsi="Arial" w:cs="Arial"/>
          <w:sz w:val="24"/>
          <w:szCs w:val="24"/>
        </w:rPr>
        <w:t xml:space="preserve">: </w:t>
      </w:r>
      <w:r w:rsidRPr="00D816C5">
        <w:rPr>
          <w:rFonts w:ascii="Arial" w:hAnsi="Arial" w:cs="Arial"/>
          <w:i/>
          <w:iCs/>
          <w:sz w:val="24"/>
          <w:szCs w:val="24"/>
        </w:rPr>
        <w:t>The Holistic Principle</w:t>
      </w:r>
      <w:r w:rsidRPr="00D816C5">
        <w:rPr>
          <w:rFonts w:ascii="Arial" w:hAnsi="Arial" w:cs="Arial"/>
          <w:sz w:val="24"/>
          <w:szCs w:val="24"/>
        </w:rPr>
        <w:t>.</w:t>
      </w:r>
      <w:r>
        <w:rPr>
          <w:rFonts w:ascii="Arial" w:hAnsi="Arial" w:cs="Arial"/>
          <w:sz w:val="24"/>
          <w:szCs w:val="24"/>
        </w:rPr>
        <w:t xml:space="preserve"> 1</w:t>
      </w:r>
      <w:r w:rsidRPr="00D816C5">
        <w:rPr>
          <w:rFonts w:ascii="Arial" w:hAnsi="Arial" w:cs="Arial"/>
          <w:sz w:val="24"/>
          <w:szCs w:val="24"/>
          <w:vertAlign w:val="superscript"/>
        </w:rPr>
        <w:t>st</w:t>
      </w:r>
      <w:r>
        <w:rPr>
          <w:rFonts w:ascii="Arial" w:hAnsi="Arial" w:cs="Arial"/>
          <w:sz w:val="24"/>
          <w:szCs w:val="24"/>
        </w:rPr>
        <w:t xml:space="preserve"> edn.</w:t>
      </w:r>
      <w:r w:rsidRPr="00D816C5">
        <w:rPr>
          <w:rFonts w:ascii="Arial" w:hAnsi="Arial" w:cs="Arial"/>
          <w:sz w:val="24"/>
          <w:szCs w:val="24"/>
        </w:rPr>
        <w:t xml:space="preserve"> </w:t>
      </w:r>
      <w:r>
        <w:rPr>
          <w:rFonts w:ascii="Arial" w:hAnsi="Arial" w:cs="Arial"/>
          <w:sz w:val="24"/>
          <w:szCs w:val="24"/>
        </w:rPr>
        <w:t xml:space="preserve">Oxon: </w:t>
      </w:r>
      <w:r w:rsidRPr="00D816C5">
        <w:rPr>
          <w:rFonts w:ascii="Arial" w:hAnsi="Arial" w:cs="Arial"/>
          <w:sz w:val="24"/>
          <w:szCs w:val="24"/>
        </w:rPr>
        <w:t>Taylor</w:t>
      </w:r>
      <w:r>
        <w:rPr>
          <w:rFonts w:ascii="Arial" w:hAnsi="Arial" w:cs="Arial"/>
          <w:sz w:val="24"/>
          <w:szCs w:val="24"/>
        </w:rPr>
        <w:t xml:space="preserve"> and </w:t>
      </w:r>
      <w:r w:rsidRPr="00D816C5">
        <w:rPr>
          <w:rFonts w:ascii="Arial" w:hAnsi="Arial" w:cs="Arial"/>
          <w:sz w:val="24"/>
          <w:szCs w:val="24"/>
        </w:rPr>
        <w:t>Francis.</w:t>
      </w:r>
    </w:p>
    <w:p w14:paraId="7F131B1A" w14:textId="78FEF0F0" w:rsidR="004461A4" w:rsidRDefault="004461A4">
      <w:pPr>
        <w:rPr>
          <w:rFonts w:ascii="Arial" w:hAnsi="Arial" w:cs="Arial"/>
          <w:sz w:val="24"/>
          <w:szCs w:val="24"/>
        </w:rPr>
      </w:pPr>
      <w:r w:rsidRPr="004461A4">
        <w:rPr>
          <w:rFonts w:ascii="Arial" w:hAnsi="Arial" w:cs="Arial"/>
          <w:sz w:val="24"/>
          <w:szCs w:val="24"/>
        </w:rPr>
        <w:t>Tysoe, K., Vincent, K. and Boulton, H. (2021)</w:t>
      </w:r>
      <w:r>
        <w:rPr>
          <w:rFonts w:ascii="Arial" w:hAnsi="Arial" w:cs="Arial"/>
          <w:sz w:val="24"/>
          <w:szCs w:val="24"/>
        </w:rPr>
        <w:t xml:space="preserve"> ‘</w:t>
      </w:r>
      <w:r w:rsidRPr="004461A4">
        <w:rPr>
          <w:rFonts w:ascii="Arial" w:hAnsi="Arial" w:cs="Arial"/>
          <w:sz w:val="24"/>
          <w:szCs w:val="24"/>
        </w:rPr>
        <w:t xml:space="preserve">Implementing the 2014 SEND reforms in England: perspectives from </w:t>
      </w:r>
      <w:r>
        <w:rPr>
          <w:rFonts w:ascii="Arial" w:hAnsi="Arial" w:cs="Arial"/>
          <w:sz w:val="24"/>
          <w:szCs w:val="24"/>
        </w:rPr>
        <w:t>SENCOS’,</w:t>
      </w:r>
      <w:r w:rsidRPr="004461A4">
        <w:rPr>
          <w:rFonts w:ascii="Arial" w:hAnsi="Arial" w:cs="Arial"/>
          <w:sz w:val="24"/>
          <w:szCs w:val="24"/>
        </w:rPr>
        <w:t> </w:t>
      </w:r>
      <w:r w:rsidRPr="004461A4">
        <w:rPr>
          <w:rFonts w:ascii="Arial" w:hAnsi="Arial" w:cs="Arial"/>
          <w:i/>
          <w:iCs/>
          <w:sz w:val="24"/>
          <w:szCs w:val="24"/>
        </w:rPr>
        <w:t>Support for Learning</w:t>
      </w:r>
      <w:r w:rsidRPr="004461A4">
        <w:rPr>
          <w:rFonts w:ascii="Arial" w:hAnsi="Arial" w:cs="Arial"/>
          <w:sz w:val="24"/>
          <w:szCs w:val="24"/>
        </w:rPr>
        <w:t xml:space="preserve">, 36(3), pp.486–505. </w:t>
      </w:r>
      <w:r>
        <w:rPr>
          <w:rFonts w:ascii="Arial" w:hAnsi="Arial" w:cs="Arial"/>
          <w:sz w:val="24"/>
          <w:szCs w:val="24"/>
        </w:rPr>
        <w:t xml:space="preserve">Available at: </w:t>
      </w:r>
      <w:hyperlink r:id="rId61" w:history="1">
        <w:r w:rsidRPr="00800668">
          <w:rPr>
            <w:rStyle w:val="Hyperlink"/>
            <w:rFonts w:ascii="Arial" w:hAnsi="Arial" w:cs="Arial"/>
            <w:sz w:val="24"/>
            <w:szCs w:val="24"/>
          </w:rPr>
          <w:t>https://doi.org/10.1111/1467-9604.12374</w:t>
        </w:r>
      </w:hyperlink>
      <w:r>
        <w:rPr>
          <w:rFonts w:ascii="Arial" w:hAnsi="Arial" w:cs="Arial"/>
          <w:sz w:val="24"/>
          <w:szCs w:val="24"/>
        </w:rPr>
        <w:t xml:space="preserve"> (Accessed 25 April 2025).</w:t>
      </w:r>
    </w:p>
    <w:p w14:paraId="77F74F47" w14:textId="776EE399" w:rsidR="001B3A7B" w:rsidRDefault="001B3A7B">
      <w:pPr>
        <w:rPr>
          <w:rFonts w:ascii="Arial" w:hAnsi="Arial" w:cs="Arial"/>
          <w:sz w:val="24"/>
          <w:szCs w:val="24"/>
        </w:rPr>
      </w:pPr>
      <w:r w:rsidRPr="000371B4">
        <w:rPr>
          <w:rFonts w:ascii="Arial" w:hAnsi="Arial" w:cs="Arial"/>
          <w:sz w:val="24"/>
          <w:szCs w:val="24"/>
        </w:rPr>
        <w:t xml:space="preserve">UNESCO Institute for Statistics (UIS) (2022) </w:t>
      </w:r>
      <w:r w:rsidRPr="001B3A7B">
        <w:rPr>
          <w:rFonts w:ascii="Arial" w:hAnsi="Arial" w:cs="Arial"/>
          <w:sz w:val="24"/>
          <w:szCs w:val="24"/>
        </w:rPr>
        <w:t>Global Education Monitoring Report</w:t>
      </w:r>
      <w:r w:rsidRPr="000371B4">
        <w:rPr>
          <w:rFonts w:ascii="Arial" w:hAnsi="Arial" w:cs="Arial"/>
          <w:sz w:val="24"/>
          <w:szCs w:val="24"/>
        </w:rPr>
        <w:t xml:space="preserve">. </w:t>
      </w:r>
      <w:r w:rsidRPr="001B3A7B">
        <w:rPr>
          <w:rFonts w:ascii="Arial" w:hAnsi="Arial" w:cs="Arial"/>
          <w:i/>
          <w:iCs/>
          <w:sz w:val="24"/>
          <w:szCs w:val="24"/>
        </w:rPr>
        <w:t>UNESCO</w:t>
      </w:r>
      <w:r w:rsidR="006444D7">
        <w:rPr>
          <w:rFonts w:ascii="Arial" w:hAnsi="Arial" w:cs="Arial"/>
          <w:sz w:val="24"/>
          <w:szCs w:val="24"/>
        </w:rPr>
        <w:t>, pp. 1-26.</w:t>
      </w:r>
      <w:r w:rsidRPr="000371B4">
        <w:rPr>
          <w:rFonts w:ascii="Arial" w:hAnsi="Arial" w:cs="Arial"/>
          <w:sz w:val="24"/>
          <w:szCs w:val="24"/>
        </w:rPr>
        <w:t xml:space="preserve"> Available at: </w:t>
      </w:r>
      <w:hyperlink r:id="rId62" w:history="1">
        <w:r w:rsidRPr="00E81C14">
          <w:rPr>
            <w:rStyle w:val="Hyperlink"/>
            <w:rFonts w:ascii="Arial" w:hAnsi="Arial" w:cs="Arial"/>
            <w:sz w:val="24"/>
            <w:szCs w:val="24"/>
          </w:rPr>
          <w:t>https://uis.unesco.org/sites/default/files/documents/2022_UIS_Narrative_Report.pdf</w:t>
        </w:r>
      </w:hyperlink>
      <w:r>
        <w:rPr>
          <w:rFonts w:ascii="Arial" w:hAnsi="Arial" w:cs="Arial"/>
          <w:sz w:val="24"/>
          <w:szCs w:val="24"/>
        </w:rPr>
        <w:t xml:space="preserve"> (Accessed 23 April 2025).</w:t>
      </w:r>
    </w:p>
    <w:p w14:paraId="13102FCD" w14:textId="58F3493B" w:rsidR="0095585A" w:rsidRDefault="0095585A">
      <w:pPr>
        <w:rPr>
          <w:rFonts w:ascii="Arial" w:hAnsi="Arial" w:cs="Arial"/>
          <w:sz w:val="24"/>
          <w:szCs w:val="24"/>
        </w:rPr>
      </w:pPr>
      <w:r w:rsidRPr="00647ED2">
        <w:rPr>
          <w:rFonts w:ascii="Arial" w:hAnsi="Arial" w:cs="Arial"/>
          <w:sz w:val="24"/>
          <w:szCs w:val="24"/>
        </w:rPr>
        <w:t>UNESCO (2023) Global Education Monitoring Report 2023:</w:t>
      </w:r>
      <w:r w:rsidRPr="00647ED2">
        <w:rPr>
          <w:rFonts w:ascii="Arial" w:hAnsi="Arial" w:cs="Arial"/>
          <w:i/>
          <w:iCs/>
          <w:sz w:val="24"/>
          <w:szCs w:val="24"/>
        </w:rPr>
        <w:t xml:space="preserve"> Technology in Education</w:t>
      </w:r>
      <w:r w:rsidRPr="00647ED2">
        <w:rPr>
          <w:rFonts w:ascii="Arial" w:hAnsi="Arial" w:cs="Arial"/>
          <w:sz w:val="24"/>
          <w:szCs w:val="24"/>
        </w:rPr>
        <w:t>. UNESCO</w:t>
      </w:r>
      <w:r w:rsidR="005A3C91">
        <w:rPr>
          <w:rFonts w:ascii="Arial" w:hAnsi="Arial" w:cs="Arial"/>
          <w:sz w:val="24"/>
          <w:szCs w:val="24"/>
        </w:rPr>
        <w:t>, pp. 1-547.</w:t>
      </w:r>
      <w:r w:rsidRPr="00647ED2">
        <w:rPr>
          <w:rFonts w:ascii="Arial" w:hAnsi="Arial" w:cs="Arial"/>
          <w:sz w:val="24"/>
          <w:szCs w:val="24"/>
        </w:rPr>
        <w:t xml:space="preserve"> Available at: </w:t>
      </w:r>
      <w:hyperlink r:id="rId63" w:history="1">
        <w:r w:rsidR="005A3C91" w:rsidRPr="00764F30">
          <w:rPr>
            <w:rStyle w:val="Hyperlink"/>
            <w:rFonts w:ascii="Arial" w:hAnsi="Arial" w:cs="Arial"/>
            <w:sz w:val="24"/>
            <w:szCs w:val="24"/>
          </w:rPr>
          <w:t>https://unesdoc.unesco.org/ark:/48223/pf0000385723</w:t>
        </w:r>
      </w:hyperlink>
      <w:r w:rsidR="005A3C91">
        <w:rPr>
          <w:rFonts w:ascii="Arial" w:hAnsi="Arial" w:cs="Arial"/>
          <w:sz w:val="24"/>
          <w:szCs w:val="24"/>
        </w:rPr>
        <w:t xml:space="preserve"> </w:t>
      </w:r>
      <w:r w:rsidR="00A06BC3">
        <w:rPr>
          <w:rFonts w:ascii="Arial" w:hAnsi="Arial" w:cs="Arial"/>
          <w:sz w:val="24"/>
          <w:szCs w:val="24"/>
        </w:rPr>
        <w:t xml:space="preserve"> (Accessed 24 April 2025).</w:t>
      </w:r>
    </w:p>
    <w:p w14:paraId="34F25965" w14:textId="1B7F8E79" w:rsidR="00AB1E18" w:rsidRDefault="00AB1E18">
      <w:pPr>
        <w:rPr>
          <w:rFonts w:ascii="Arial" w:hAnsi="Arial" w:cs="Arial"/>
          <w:sz w:val="24"/>
          <w:szCs w:val="24"/>
        </w:rPr>
      </w:pPr>
      <w:r w:rsidRPr="004C24E3">
        <w:rPr>
          <w:rFonts w:ascii="Arial" w:hAnsi="Arial" w:cs="Arial"/>
          <w:sz w:val="24"/>
          <w:szCs w:val="24"/>
        </w:rPr>
        <w:t xml:space="preserve">UNICEF (2021) </w:t>
      </w:r>
      <w:r>
        <w:rPr>
          <w:rFonts w:ascii="Arial" w:hAnsi="Arial" w:cs="Arial"/>
          <w:sz w:val="24"/>
          <w:szCs w:val="24"/>
        </w:rPr>
        <w:t>‘</w:t>
      </w:r>
      <w:r w:rsidRPr="00AB1E18">
        <w:rPr>
          <w:rFonts w:ascii="Arial" w:hAnsi="Arial" w:cs="Arial"/>
          <w:sz w:val="24"/>
          <w:szCs w:val="24"/>
        </w:rPr>
        <w:t xml:space="preserve">Seen, Counted, Included: Using data to shed light on the </w:t>
      </w:r>
      <w:r w:rsidR="005A3C91">
        <w:rPr>
          <w:rFonts w:ascii="Arial" w:hAnsi="Arial" w:cs="Arial"/>
          <w:sz w:val="24"/>
          <w:szCs w:val="24"/>
        </w:rPr>
        <w:t>well-being</w:t>
      </w:r>
      <w:r w:rsidRPr="00AB1E18">
        <w:rPr>
          <w:rFonts w:ascii="Arial" w:hAnsi="Arial" w:cs="Arial"/>
          <w:sz w:val="24"/>
          <w:szCs w:val="24"/>
        </w:rPr>
        <w:t xml:space="preserve"> of children with </w:t>
      </w:r>
      <w:r w:rsidR="005A3C91">
        <w:rPr>
          <w:rFonts w:ascii="Arial" w:hAnsi="Arial" w:cs="Arial"/>
          <w:sz w:val="24"/>
          <w:szCs w:val="24"/>
        </w:rPr>
        <w:t>disabilities</w:t>
      </w:r>
      <w:r>
        <w:rPr>
          <w:rFonts w:ascii="Arial" w:hAnsi="Arial" w:cs="Arial"/>
          <w:sz w:val="24"/>
          <w:szCs w:val="24"/>
        </w:rPr>
        <w:t xml:space="preserve">, </w:t>
      </w:r>
      <w:r w:rsidRPr="00AB1E18">
        <w:rPr>
          <w:rFonts w:ascii="Arial" w:hAnsi="Arial" w:cs="Arial"/>
          <w:i/>
          <w:iCs/>
          <w:sz w:val="24"/>
          <w:szCs w:val="24"/>
        </w:rPr>
        <w:t>UNICEF</w:t>
      </w:r>
      <w:r w:rsidRPr="004C24E3">
        <w:rPr>
          <w:rFonts w:ascii="Arial" w:hAnsi="Arial" w:cs="Arial"/>
          <w:sz w:val="24"/>
          <w:szCs w:val="24"/>
        </w:rPr>
        <w:t xml:space="preserve">. Available at: </w:t>
      </w:r>
      <w:hyperlink r:id="rId64" w:history="1">
        <w:r w:rsidRPr="00E81C14">
          <w:rPr>
            <w:rStyle w:val="Hyperlink"/>
            <w:rFonts w:ascii="Arial" w:hAnsi="Arial" w:cs="Arial"/>
            <w:sz w:val="24"/>
            <w:szCs w:val="24"/>
          </w:rPr>
          <w:t>https://data.unicef.org/resources/children-with-disabilities-report-2021/</w:t>
        </w:r>
      </w:hyperlink>
      <w:r>
        <w:rPr>
          <w:rFonts w:ascii="Arial" w:hAnsi="Arial" w:cs="Arial"/>
          <w:sz w:val="24"/>
          <w:szCs w:val="24"/>
        </w:rPr>
        <w:t xml:space="preserve"> (Accessed 23 April 2025).</w:t>
      </w:r>
    </w:p>
    <w:p w14:paraId="15B35B1E" w14:textId="21247D02" w:rsidR="00C166D3" w:rsidRDefault="00720339">
      <w:pPr>
        <w:rPr>
          <w:rFonts w:ascii="Arial" w:hAnsi="Arial" w:cs="Arial"/>
          <w:sz w:val="24"/>
          <w:szCs w:val="24"/>
        </w:rPr>
      </w:pPr>
      <w:r w:rsidRPr="00720339">
        <w:rPr>
          <w:rFonts w:ascii="Arial" w:hAnsi="Arial" w:cs="Arial"/>
          <w:sz w:val="24"/>
          <w:szCs w:val="24"/>
        </w:rPr>
        <w:lastRenderedPageBreak/>
        <w:t>United Nations International Children's Emergency Fund</w:t>
      </w:r>
      <w:r w:rsidR="00C166D3" w:rsidRPr="00C166D3">
        <w:rPr>
          <w:rFonts w:ascii="Arial" w:hAnsi="Arial" w:cs="Arial"/>
          <w:sz w:val="24"/>
          <w:szCs w:val="24"/>
        </w:rPr>
        <w:t xml:space="preserve"> (2024)</w:t>
      </w:r>
      <w:r w:rsidR="00C166D3">
        <w:rPr>
          <w:rFonts w:ascii="Arial" w:hAnsi="Arial" w:cs="Arial"/>
          <w:sz w:val="24"/>
          <w:szCs w:val="24"/>
        </w:rPr>
        <w:t xml:space="preserve"> ‘</w:t>
      </w:r>
      <w:r w:rsidR="00C166D3" w:rsidRPr="00C166D3">
        <w:rPr>
          <w:rFonts w:ascii="Arial" w:hAnsi="Arial" w:cs="Arial"/>
          <w:sz w:val="24"/>
          <w:szCs w:val="24"/>
        </w:rPr>
        <w:t>Nearly 400 million young children worldwide regularly experience violent discipline at home</w:t>
      </w:r>
      <w:r w:rsidR="00C166D3">
        <w:rPr>
          <w:rFonts w:ascii="Arial" w:hAnsi="Arial" w:cs="Arial"/>
          <w:sz w:val="24"/>
          <w:szCs w:val="24"/>
        </w:rPr>
        <w:t>,</w:t>
      </w:r>
      <w:r w:rsidR="00C166D3" w:rsidRPr="00C166D3">
        <w:rPr>
          <w:rFonts w:ascii="Arial" w:hAnsi="Arial" w:cs="Arial"/>
          <w:sz w:val="24"/>
          <w:szCs w:val="24"/>
        </w:rPr>
        <w:t xml:space="preserve"> </w:t>
      </w:r>
      <w:r w:rsidR="00C166D3" w:rsidRPr="00C166D3">
        <w:rPr>
          <w:rFonts w:ascii="Arial" w:hAnsi="Arial" w:cs="Arial"/>
          <w:i/>
          <w:iCs/>
          <w:sz w:val="24"/>
          <w:szCs w:val="24"/>
        </w:rPr>
        <w:t>UNICEF</w:t>
      </w:r>
      <w:r w:rsidR="00C166D3" w:rsidRPr="00C166D3">
        <w:rPr>
          <w:rFonts w:ascii="Arial" w:hAnsi="Arial" w:cs="Arial"/>
          <w:sz w:val="24"/>
          <w:szCs w:val="24"/>
        </w:rPr>
        <w:t xml:space="preserve">. Available at: </w:t>
      </w:r>
      <w:hyperlink r:id="rId65" w:history="1">
        <w:r w:rsidR="00C166D3" w:rsidRPr="00E81C14">
          <w:rPr>
            <w:rStyle w:val="Hyperlink"/>
            <w:rFonts w:ascii="Arial" w:hAnsi="Arial" w:cs="Arial"/>
            <w:sz w:val="24"/>
            <w:szCs w:val="24"/>
          </w:rPr>
          <w:t>https://www.unicef.org/press-releases/nearly-400-million-young-children-worldwide-regularly-experience-violent-discipline</w:t>
        </w:r>
      </w:hyperlink>
      <w:r w:rsidR="00C166D3">
        <w:rPr>
          <w:rFonts w:ascii="Arial" w:hAnsi="Arial" w:cs="Arial"/>
          <w:sz w:val="24"/>
          <w:szCs w:val="24"/>
        </w:rPr>
        <w:t xml:space="preserve"> </w:t>
      </w:r>
      <w:r>
        <w:rPr>
          <w:rFonts w:ascii="Arial" w:hAnsi="Arial" w:cs="Arial"/>
          <w:sz w:val="24"/>
          <w:szCs w:val="24"/>
        </w:rPr>
        <w:t>(Accessed 22 April 2025).</w:t>
      </w:r>
    </w:p>
    <w:p w14:paraId="6EA8CC61" w14:textId="3AAD338B" w:rsidR="00810B55" w:rsidRDefault="00810B55">
      <w:pPr>
        <w:rPr>
          <w:rFonts w:ascii="Arial" w:hAnsi="Arial" w:cs="Arial"/>
          <w:sz w:val="24"/>
          <w:szCs w:val="24"/>
        </w:rPr>
      </w:pPr>
      <w:r w:rsidRPr="00810B55">
        <w:rPr>
          <w:rFonts w:ascii="Arial" w:hAnsi="Arial" w:cs="Arial"/>
          <w:sz w:val="24"/>
          <w:szCs w:val="24"/>
        </w:rPr>
        <w:t>Valentine, A.Z., Hall, S.S., Sayal, K. and Hall, C.L. (2024)</w:t>
      </w:r>
      <w:r>
        <w:rPr>
          <w:rFonts w:ascii="Arial" w:hAnsi="Arial" w:cs="Arial"/>
          <w:sz w:val="24"/>
          <w:szCs w:val="24"/>
        </w:rPr>
        <w:t xml:space="preserve"> ‘</w:t>
      </w:r>
      <w:r w:rsidRPr="00810B55">
        <w:rPr>
          <w:rFonts w:ascii="Arial" w:hAnsi="Arial" w:cs="Arial"/>
          <w:sz w:val="24"/>
          <w:szCs w:val="24"/>
        </w:rPr>
        <w:t>Waiting-list interventions for children and young people using child and adolescent mental health services: a systematic review</w:t>
      </w:r>
      <w:r>
        <w:rPr>
          <w:rFonts w:ascii="Arial" w:hAnsi="Arial" w:cs="Arial"/>
          <w:sz w:val="24"/>
          <w:szCs w:val="24"/>
        </w:rPr>
        <w:t>’,</w:t>
      </w:r>
      <w:r w:rsidRPr="00810B55">
        <w:rPr>
          <w:rFonts w:ascii="Arial" w:hAnsi="Arial" w:cs="Arial"/>
          <w:sz w:val="24"/>
          <w:szCs w:val="24"/>
        </w:rPr>
        <w:t> </w:t>
      </w:r>
      <w:r w:rsidRPr="00810B55">
        <w:rPr>
          <w:rFonts w:ascii="Arial" w:hAnsi="Arial" w:cs="Arial"/>
          <w:i/>
          <w:iCs/>
          <w:sz w:val="24"/>
          <w:szCs w:val="24"/>
        </w:rPr>
        <w:t>BMJ mental health</w:t>
      </w:r>
      <w:r w:rsidRPr="00810B55">
        <w:rPr>
          <w:rFonts w:ascii="Arial" w:hAnsi="Arial" w:cs="Arial"/>
          <w:sz w:val="24"/>
          <w:szCs w:val="24"/>
        </w:rPr>
        <w:t>, 27(1), p</w:t>
      </w:r>
      <w:r>
        <w:rPr>
          <w:rFonts w:ascii="Arial" w:hAnsi="Arial" w:cs="Arial"/>
          <w:sz w:val="24"/>
          <w:szCs w:val="24"/>
        </w:rPr>
        <w:t>p.</w:t>
      </w:r>
      <w:r w:rsidR="00B159B4">
        <w:rPr>
          <w:rFonts w:ascii="Arial" w:hAnsi="Arial" w:cs="Arial"/>
          <w:sz w:val="24"/>
          <w:szCs w:val="24"/>
        </w:rPr>
        <w:t>1–6</w:t>
      </w:r>
      <w:r w:rsidRPr="00810B55">
        <w:rPr>
          <w:rFonts w:ascii="Arial" w:hAnsi="Arial" w:cs="Arial"/>
          <w:sz w:val="24"/>
          <w:szCs w:val="24"/>
        </w:rPr>
        <w:t xml:space="preserve">. </w:t>
      </w:r>
      <w:r>
        <w:rPr>
          <w:rFonts w:ascii="Arial" w:hAnsi="Arial" w:cs="Arial"/>
          <w:sz w:val="24"/>
          <w:szCs w:val="24"/>
        </w:rPr>
        <w:t xml:space="preserve">Available at: </w:t>
      </w:r>
      <w:hyperlink r:id="rId66" w:history="1">
        <w:r w:rsidR="00B159B4" w:rsidRPr="00764F30">
          <w:rPr>
            <w:rStyle w:val="Hyperlink"/>
            <w:rFonts w:ascii="Arial" w:hAnsi="Arial" w:cs="Arial"/>
            <w:sz w:val="24"/>
            <w:szCs w:val="24"/>
          </w:rPr>
          <w:t>https://mentalhealth.bmj.com/content/ebmental/27/1/e300844.full.pdf</w:t>
        </w:r>
      </w:hyperlink>
      <w:r w:rsidR="00B159B4">
        <w:rPr>
          <w:rFonts w:ascii="Arial" w:hAnsi="Arial" w:cs="Arial"/>
          <w:sz w:val="24"/>
          <w:szCs w:val="24"/>
        </w:rPr>
        <w:t xml:space="preserve"> </w:t>
      </w:r>
      <w:r>
        <w:rPr>
          <w:rFonts w:ascii="Arial" w:hAnsi="Arial" w:cs="Arial"/>
          <w:sz w:val="24"/>
          <w:szCs w:val="24"/>
        </w:rPr>
        <w:t xml:space="preserve"> (Accessed 22 March 2025).</w:t>
      </w:r>
    </w:p>
    <w:p w14:paraId="7550AE62" w14:textId="6B40F5EB" w:rsidR="008C7589" w:rsidRDefault="008C7589" w:rsidP="008C7589">
      <w:pPr>
        <w:rPr>
          <w:rFonts w:ascii="Arial" w:hAnsi="Arial" w:cs="Arial"/>
          <w:sz w:val="24"/>
          <w:szCs w:val="24"/>
        </w:rPr>
      </w:pPr>
      <w:r w:rsidRPr="008C7589">
        <w:rPr>
          <w:rFonts w:ascii="Arial" w:hAnsi="Arial" w:cs="Arial"/>
          <w:sz w:val="24"/>
          <w:szCs w:val="24"/>
        </w:rPr>
        <w:t>Vizard, T. (2020) </w:t>
      </w:r>
      <w:r>
        <w:rPr>
          <w:rFonts w:ascii="Arial" w:hAnsi="Arial" w:cs="Arial"/>
          <w:sz w:val="24"/>
          <w:szCs w:val="24"/>
        </w:rPr>
        <w:t>‘</w:t>
      </w:r>
      <w:r w:rsidRPr="008C7589">
        <w:rPr>
          <w:rFonts w:ascii="Arial" w:hAnsi="Arial" w:cs="Arial"/>
          <w:sz w:val="24"/>
          <w:szCs w:val="24"/>
        </w:rPr>
        <w:t>Mental Health of Children and Young People in England</w:t>
      </w:r>
      <w:r>
        <w:rPr>
          <w:rFonts w:ascii="Arial" w:hAnsi="Arial" w:cs="Arial"/>
          <w:sz w:val="24"/>
          <w:szCs w:val="24"/>
        </w:rPr>
        <w:t xml:space="preserve">’, </w:t>
      </w:r>
      <w:r w:rsidRPr="008C7589">
        <w:rPr>
          <w:rFonts w:ascii="Arial" w:hAnsi="Arial" w:cs="Arial"/>
          <w:i/>
          <w:iCs/>
          <w:sz w:val="24"/>
          <w:szCs w:val="24"/>
        </w:rPr>
        <w:t>Office for National Statistics</w:t>
      </w:r>
      <w:r w:rsidR="00B159B4">
        <w:rPr>
          <w:rFonts w:ascii="Arial" w:hAnsi="Arial" w:cs="Arial"/>
          <w:sz w:val="24"/>
          <w:szCs w:val="24"/>
        </w:rPr>
        <w:t>, pp. 1–20.</w:t>
      </w:r>
      <w:r w:rsidRPr="008C7589">
        <w:rPr>
          <w:rFonts w:ascii="Arial" w:hAnsi="Arial" w:cs="Arial"/>
          <w:sz w:val="24"/>
          <w:szCs w:val="24"/>
        </w:rPr>
        <w:t xml:space="preserve"> Available at: </w:t>
      </w:r>
      <w:hyperlink r:id="rId67" w:history="1">
        <w:r w:rsidRPr="008C7589">
          <w:rPr>
            <w:rStyle w:val="Hyperlink"/>
            <w:rFonts w:ascii="Arial" w:hAnsi="Arial" w:cs="Arial"/>
            <w:sz w:val="24"/>
            <w:szCs w:val="24"/>
          </w:rPr>
          <w:t>https://www.governmentevents.co.uk/wp-content/uploads/2020/10/Tim-Vizard.pdf</w:t>
        </w:r>
      </w:hyperlink>
      <w:r>
        <w:rPr>
          <w:rFonts w:ascii="Arial" w:hAnsi="Arial" w:cs="Arial"/>
          <w:sz w:val="24"/>
          <w:szCs w:val="24"/>
        </w:rPr>
        <w:t xml:space="preserve"> </w:t>
      </w:r>
      <w:r w:rsidR="00353BA8">
        <w:rPr>
          <w:rFonts w:ascii="Arial" w:hAnsi="Arial" w:cs="Arial"/>
          <w:sz w:val="24"/>
          <w:szCs w:val="24"/>
        </w:rPr>
        <w:t>(Accessed 22 March 2025).</w:t>
      </w:r>
    </w:p>
    <w:p w14:paraId="74770533" w14:textId="6533A05C" w:rsidR="002E3CC8" w:rsidRDefault="002E3CC8" w:rsidP="008C7589">
      <w:pPr>
        <w:rPr>
          <w:rFonts w:ascii="Arial" w:hAnsi="Arial" w:cs="Arial"/>
          <w:sz w:val="24"/>
          <w:szCs w:val="24"/>
        </w:rPr>
      </w:pPr>
      <w:r w:rsidRPr="002E3CC8">
        <w:rPr>
          <w:rFonts w:ascii="Arial" w:hAnsi="Arial" w:cs="Arial"/>
          <w:sz w:val="24"/>
          <w:szCs w:val="24"/>
        </w:rPr>
        <w:t>Vizard, P., Fukuda</w:t>
      </w:r>
      <w:r w:rsidRPr="002E3CC8">
        <w:rPr>
          <w:rFonts w:ascii="Cambria Math" w:hAnsi="Cambria Math" w:cs="Cambria Math"/>
          <w:sz w:val="24"/>
          <w:szCs w:val="24"/>
        </w:rPr>
        <w:t>‐</w:t>
      </w:r>
      <w:r w:rsidRPr="002E3CC8">
        <w:rPr>
          <w:rFonts w:ascii="Arial" w:hAnsi="Arial" w:cs="Arial"/>
          <w:sz w:val="24"/>
          <w:szCs w:val="24"/>
        </w:rPr>
        <w:t>Parr, S. and Elson, D. (2011)</w:t>
      </w:r>
      <w:r>
        <w:rPr>
          <w:rFonts w:ascii="Arial" w:hAnsi="Arial" w:cs="Arial"/>
          <w:sz w:val="24"/>
          <w:szCs w:val="24"/>
        </w:rPr>
        <w:t xml:space="preserve"> ‘</w:t>
      </w:r>
      <w:r w:rsidRPr="002E3CC8">
        <w:rPr>
          <w:rFonts w:ascii="Arial" w:hAnsi="Arial" w:cs="Arial"/>
          <w:sz w:val="24"/>
          <w:szCs w:val="24"/>
        </w:rPr>
        <w:t>The Capability Approach and Human Rights</w:t>
      </w:r>
      <w:r>
        <w:rPr>
          <w:rFonts w:ascii="Arial" w:hAnsi="Arial" w:cs="Arial"/>
          <w:sz w:val="24"/>
          <w:szCs w:val="24"/>
        </w:rPr>
        <w:t>’,</w:t>
      </w:r>
      <w:r w:rsidRPr="002E3CC8">
        <w:rPr>
          <w:rFonts w:ascii="Arial" w:hAnsi="Arial" w:cs="Arial"/>
          <w:sz w:val="24"/>
          <w:szCs w:val="24"/>
        </w:rPr>
        <w:t> </w:t>
      </w:r>
      <w:r w:rsidRPr="002E3CC8">
        <w:rPr>
          <w:rFonts w:ascii="Arial" w:hAnsi="Arial" w:cs="Arial"/>
          <w:i/>
          <w:iCs/>
          <w:sz w:val="24"/>
          <w:szCs w:val="24"/>
        </w:rPr>
        <w:t>Journal of Human Development and Capabilities</w:t>
      </w:r>
      <w:r w:rsidRPr="002E3CC8">
        <w:rPr>
          <w:rFonts w:ascii="Arial" w:hAnsi="Arial" w:cs="Arial"/>
          <w:sz w:val="24"/>
          <w:szCs w:val="24"/>
        </w:rPr>
        <w:t>, 12(1), pp.1–2</w:t>
      </w:r>
      <w:r w:rsidR="00B159B4">
        <w:rPr>
          <w:rFonts w:ascii="Arial" w:hAnsi="Arial" w:cs="Arial"/>
          <w:sz w:val="24"/>
          <w:szCs w:val="24"/>
        </w:rPr>
        <w:t>4</w:t>
      </w:r>
      <w:r w:rsidRPr="002E3CC8">
        <w:rPr>
          <w:rFonts w:ascii="Arial" w:hAnsi="Arial" w:cs="Arial"/>
          <w:sz w:val="24"/>
          <w:szCs w:val="24"/>
        </w:rPr>
        <w:t xml:space="preserve">. </w:t>
      </w:r>
      <w:r>
        <w:rPr>
          <w:rFonts w:ascii="Arial" w:hAnsi="Arial" w:cs="Arial"/>
          <w:sz w:val="24"/>
          <w:szCs w:val="24"/>
        </w:rPr>
        <w:t xml:space="preserve">Available at: </w:t>
      </w:r>
      <w:hyperlink r:id="rId68" w:history="1">
        <w:r w:rsidRPr="00E81C14">
          <w:rPr>
            <w:rStyle w:val="Hyperlink"/>
            <w:rFonts w:ascii="Arial" w:hAnsi="Arial" w:cs="Arial"/>
            <w:sz w:val="24"/>
            <w:szCs w:val="24"/>
          </w:rPr>
          <w:t>file:///C:/Users/COMP/Downloads/The-Capability-Approach-and-Human-Rights.pdf</w:t>
        </w:r>
      </w:hyperlink>
      <w:r>
        <w:rPr>
          <w:rFonts w:ascii="Arial" w:hAnsi="Arial" w:cs="Arial"/>
          <w:sz w:val="24"/>
          <w:szCs w:val="24"/>
        </w:rPr>
        <w:t xml:space="preserve"> (Accessed 23 April 2025).</w:t>
      </w:r>
    </w:p>
    <w:p w14:paraId="10E2980B" w14:textId="3EAC55B9" w:rsidR="00353BA8" w:rsidRDefault="00353BA8" w:rsidP="008C7589">
      <w:pPr>
        <w:rPr>
          <w:rFonts w:ascii="Arial" w:hAnsi="Arial" w:cs="Arial"/>
          <w:sz w:val="24"/>
          <w:szCs w:val="24"/>
        </w:rPr>
      </w:pPr>
      <w:r w:rsidRPr="00353BA8">
        <w:rPr>
          <w:rFonts w:ascii="Arial" w:hAnsi="Arial" w:cs="Arial"/>
          <w:sz w:val="24"/>
          <w:szCs w:val="24"/>
        </w:rPr>
        <w:t xml:space="preserve">Zavras, D. (2022) Economic Crisis and Healthcare Services: </w:t>
      </w:r>
      <w:r w:rsidRPr="00353BA8">
        <w:rPr>
          <w:rFonts w:ascii="Arial" w:hAnsi="Arial" w:cs="Arial"/>
          <w:i/>
          <w:iCs/>
          <w:sz w:val="24"/>
          <w:szCs w:val="24"/>
        </w:rPr>
        <w:t>Multidisciplinary Digital Publishing Institute</w:t>
      </w:r>
      <w:r w:rsidRPr="00353BA8">
        <w:rPr>
          <w:rFonts w:ascii="Arial" w:hAnsi="Arial" w:cs="Arial"/>
          <w:sz w:val="24"/>
          <w:szCs w:val="24"/>
        </w:rPr>
        <w:t>.</w:t>
      </w:r>
      <w:r>
        <w:rPr>
          <w:rFonts w:ascii="Arial" w:hAnsi="Arial" w:cs="Arial"/>
          <w:sz w:val="24"/>
          <w:szCs w:val="24"/>
        </w:rPr>
        <w:t xml:space="preserve"> 1</w:t>
      </w:r>
      <w:r w:rsidRPr="00353BA8">
        <w:rPr>
          <w:rFonts w:ascii="Arial" w:hAnsi="Arial" w:cs="Arial"/>
          <w:sz w:val="24"/>
          <w:szCs w:val="24"/>
          <w:vertAlign w:val="superscript"/>
        </w:rPr>
        <w:t>st</w:t>
      </w:r>
      <w:r>
        <w:rPr>
          <w:rFonts w:ascii="Arial" w:hAnsi="Arial" w:cs="Arial"/>
          <w:sz w:val="24"/>
          <w:szCs w:val="24"/>
        </w:rPr>
        <w:t xml:space="preserve"> edn. </w:t>
      </w:r>
      <w:r w:rsidR="00B159B4">
        <w:rPr>
          <w:rFonts w:ascii="Arial" w:hAnsi="Arial" w:cs="Arial"/>
          <w:sz w:val="24"/>
          <w:szCs w:val="24"/>
        </w:rPr>
        <w:t xml:space="preserve">London: </w:t>
      </w:r>
      <w:r>
        <w:rPr>
          <w:rFonts w:ascii="Arial" w:hAnsi="Arial" w:cs="Arial"/>
          <w:sz w:val="24"/>
          <w:szCs w:val="24"/>
        </w:rPr>
        <w:t>Environmental Medical Research and Public Health</w:t>
      </w:r>
      <w:r w:rsidR="00B159B4">
        <w:rPr>
          <w:rFonts w:ascii="Arial" w:hAnsi="Arial" w:cs="Arial"/>
          <w:sz w:val="24"/>
          <w:szCs w:val="24"/>
        </w:rPr>
        <w:t xml:space="preserve"> </w:t>
      </w:r>
      <w:r>
        <w:rPr>
          <w:rFonts w:ascii="Arial" w:hAnsi="Arial" w:cs="Arial"/>
          <w:sz w:val="24"/>
          <w:szCs w:val="24"/>
        </w:rPr>
        <w:t>MDPI.</w:t>
      </w:r>
    </w:p>
    <w:p w14:paraId="76141B1A" w14:textId="761FD604" w:rsidR="00781AD5" w:rsidRDefault="00781AD5" w:rsidP="008C7589">
      <w:pPr>
        <w:rPr>
          <w:rFonts w:ascii="Arial" w:hAnsi="Arial" w:cs="Arial"/>
          <w:sz w:val="24"/>
          <w:szCs w:val="24"/>
        </w:rPr>
      </w:pPr>
      <w:r w:rsidRPr="00781AD5">
        <w:rPr>
          <w:rFonts w:ascii="Arial" w:hAnsi="Arial" w:cs="Arial"/>
          <w:sz w:val="24"/>
          <w:szCs w:val="24"/>
        </w:rPr>
        <w:t>Williams, B. (2023)</w:t>
      </w:r>
      <w:r>
        <w:rPr>
          <w:rFonts w:ascii="Arial" w:hAnsi="Arial" w:cs="Arial"/>
          <w:sz w:val="24"/>
          <w:szCs w:val="24"/>
        </w:rPr>
        <w:t xml:space="preserve"> </w:t>
      </w:r>
      <w:r w:rsidRPr="00452E5B">
        <w:rPr>
          <w:rFonts w:ascii="Arial" w:hAnsi="Arial" w:cs="Arial"/>
          <w:sz w:val="24"/>
          <w:szCs w:val="24"/>
        </w:rPr>
        <w:t>Policing Mental Health, Vulnerability and Risk</w:t>
      </w:r>
      <w:r w:rsidR="00452E5B">
        <w:rPr>
          <w:rFonts w:ascii="Arial" w:hAnsi="Arial" w:cs="Arial"/>
          <w:sz w:val="24"/>
          <w:szCs w:val="24"/>
        </w:rPr>
        <w:t xml:space="preserve">: </w:t>
      </w:r>
      <w:r w:rsidR="00452E5B" w:rsidRPr="00452E5B">
        <w:rPr>
          <w:rFonts w:ascii="Arial" w:hAnsi="Arial" w:cs="Arial"/>
          <w:i/>
          <w:iCs/>
          <w:sz w:val="24"/>
          <w:szCs w:val="24"/>
        </w:rPr>
        <w:t>The Professional Policing Curriculum in Practice</w:t>
      </w:r>
      <w:r w:rsidRPr="00781AD5">
        <w:rPr>
          <w:rFonts w:ascii="Arial" w:hAnsi="Arial" w:cs="Arial"/>
          <w:sz w:val="24"/>
          <w:szCs w:val="24"/>
        </w:rPr>
        <w:t xml:space="preserve">. </w:t>
      </w:r>
      <w:r w:rsidR="00452E5B">
        <w:rPr>
          <w:rFonts w:ascii="Arial" w:hAnsi="Arial" w:cs="Arial"/>
          <w:sz w:val="24"/>
          <w:szCs w:val="24"/>
        </w:rPr>
        <w:t>1</w:t>
      </w:r>
      <w:r w:rsidR="00452E5B" w:rsidRPr="00452E5B">
        <w:rPr>
          <w:rFonts w:ascii="Arial" w:hAnsi="Arial" w:cs="Arial"/>
          <w:sz w:val="24"/>
          <w:szCs w:val="24"/>
          <w:vertAlign w:val="superscript"/>
        </w:rPr>
        <w:t>st</w:t>
      </w:r>
      <w:r w:rsidR="00452E5B">
        <w:rPr>
          <w:rFonts w:ascii="Arial" w:hAnsi="Arial" w:cs="Arial"/>
          <w:sz w:val="24"/>
          <w:szCs w:val="24"/>
        </w:rPr>
        <w:t xml:space="preserve"> edn. Oxon: Routledge.</w:t>
      </w:r>
    </w:p>
    <w:p w14:paraId="20E61D35" w14:textId="2E7CA840" w:rsidR="00D9112C" w:rsidRDefault="00D9112C" w:rsidP="008C7589">
      <w:pPr>
        <w:rPr>
          <w:rFonts w:ascii="Arial" w:hAnsi="Arial" w:cs="Arial"/>
          <w:sz w:val="24"/>
          <w:szCs w:val="24"/>
        </w:rPr>
      </w:pPr>
      <w:r w:rsidRPr="00D9112C">
        <w:rPr>
          <w:rFonts w:ascii="Arial" w:hAnsi="Arial" w:cs="Arial"/>
          <w:sz w:val="24"/>
          <w:szCs w:val="24"/>
        </w:rPr>
        <w:t xml:space="preserve">World Health Organisation (2020) </w:t>
      </w:r>
      <w:r w:rsidRPr="00D9112C">
        <w:rPr>
          <w:rFonts w:ascii="Arial" w:hAnsi="Arial" w:cs="Arial"/>
          <w:i/>
          <w:iCs/>
          <w:sz w:val="24"/>
          <w:szCs w:val="24"/>
        </w:rPr>
        <w:t>Global Status Report on Preventing Violence Against Children 2020</w:t>
      </w:r>
      <w:r w:rsidRPr="00D9112C">
        <w:rPr>
          <w:rFonts w:ascii="Arial" w:hAnsi="Arial" w:cs="Arial"/>
          <w:sz w:val="24"/>
          <w:szCs w:val="24"/>
        </w:rPr>
        <w:t>.</w:t>
      </w:r>
      <w:r>
        <w:rPr>
          <w:rFonts w:ascii="Arial" w:hAnsi="Arial" w:cs="Arial"/>
          <w:sz w:val="24"/>
          <w:szCs w:val="24"/>
        </w:rPr>
        <w:t xml:space="preserve"> 1</w:t>
      </w:r>
      <w:r w:rsidRPr="00D9112C">
        <w:rPr>
          <w:rFonts w:ascii="Arial" w:hAnsi="Arial" w:cs="Arial"/>
          <w:sz w:val="24"/>
          <w:szCs w:val="24"/>
          <w:vertAlign w:val="superscript"/>
        </w:rPr>
        <w:t>st</w:t>
      </w:r>
      <w:r>
        <w:rPr>
          <w:rFonts w:ascii="Arial" w:hAnsi="Arial" w:cs="Arial"/>
          <w:sz w:val="24"/>
          <w:szCs w:val="24"/>
        </w:rPr>
        <w:t xml:space="preserve"> edn.</w:t>
      </w:r>
      <w:r w:rsidRPr="00D9112C">
        <w:rPr>
          <w:rFonts w:ascii="Arial" w:hAnsi="Arial" w:cs="Arial"/>
          <w:sz w:val="24"/>
          <w:szCs w:val="24"/>
        </w:rPr>
        <w:t xml:space="preserve"> </w:t>
      </w:r>
      <w:r w:rsidR="00B159B4" w:rsidRPr="00D9112C">
        <w:rPr>
          <w:rFonts w:ascii="Arial" w:hAnsi="Arial" w:cs="Arial"/>
          <w:sz w:val="24"/>
          <w:szCs w:val="24"/>
        </w:rPr>
        <w:t>Geneva</w:t>
      </w:r>
      <w:r w:rsidR="00B159B4">
        <w:rPr>
          <w:rFonts w:ascii="Arial" w:hAnsi="Arial" w:cs="Arial"/>
          <w:sz w:val="24"/>
          <w:szCs w:val="24"/>
        </w:rPr>
        <w:t xml:space="preserve">: </w:t>
      </w:r>
      <w:r w:rsidRPr="00D9112C">
        <w:rPr>
          <w:rFonts w:ascii="Arial" w:hAnsi="Arial" w:cs="Arial"/>
          <w:sz w:val="24"/>
          <w:szCs w:val="24"/>
        </w:rPr>
        <w:t>Department of Social Determinants of Health</w:t>
      </w:r>
      <w:r w:rsidR="00B159B4">
        <w:rPr>
          <w:rFonts w:ascii="Arial" w:hAnsi="Arial" w:cs="Arial"/>
          <w:sz w:val="24"/>
          <w:szCs w:val="24"/>
        </w:rPr>
        <w:t>.</w:t>
      </w:r>
    </w:p>
    <w:p w14:paraId="5E0F1BBF" w14:textId="7F4F7C62" w:rsidR="00473C13" w:rsidRDefault="00473C13" w:rsidP="008C7589">
      <w:pPr>
        <w:rPr>
          <w:rFonts w:ascii="Arial" w:hAnsi="Arial" w:cs="Arial"/>
          <w:sz w:val="24"/>
          <w:szCs w:val="24"/>
        </w:rPr>
      </w:pPr>
      <w:r w:rsidRPr="00647ED2">
        <w:rPr>
          <w:rFonts w:ascii="Arial" w:hAnsi="Arial" w:cs="Arial"/>
          <w:sz w:val="24"/>
          <w:szCs w:val="24"/>
        </w:rPr>
        <w:t xml:space="preserve">World Bank (2023) </w:t>
      </w:r>
      <w:r w:rsidRPr="00647ED2">
        <w:rPr>
          <w:rFonts w:ascii="Arial" w:hAnsi="Arial" w:cs="Arial"/>
          <w:i/>
          <w:iCs/>
          <w:sz w:val="24"/>
          <w:szCs w:val="24"/>
        </w:rPr>
        <w:t>Education – Overview</w:t>
      </w:r>
      <w:r w:rsidRPr="00647ED2">
        <w:rPr>
          <w:rFonts w:ascii="Arial" w:hAnsi="Arial" w:cs="Arial"/>
          <w:sz w:val="24"/>
          <w:szCs w:val="24"/>
        </w:rPr>
        <w:t xml:space="preserve">: World Bank. Available at: </w:t>
      </w:r>
      <w:hyperlink r:id="rId69" w:history="1">
        <w:r w:rsidRPr="001A3C91">
          <w:rPr>
            <w:rStyle w:val="Hyperlink"/>
            <w:rFonts w:ascii="Arial" w:hAnsi="Arial" w:cs="Arial"/>
            <w:sz w:val="24"/>
            <w:szCs w:val="24"/>
          </w:rPr>
          <w:t>https://www.worldbank.org/en/topic/education/overview</w:t>
        </w:r>
      </w:hyperlink>
      <w:r>
        <w:rPr>
          <w:rFonts w:ascii="Arial" w:hAnsi="Arial" w:cs="Arial"/>
          <w:sz w:val="24"/>
          <w:szCs w:val="24"/>
        </w:rPr>
        <w:t xml:space="preserve"> (Accessed 24 April 2025)</w:t>
      </w:r>
    </w:p>
    <w:p w14:paraId="3EAB4A12" w14:textId="7D0B614A" w:rsidR="00C306D1" w:rsidRPr="00C306D1" w:rsidRDefault="00C306D1" w:rsidP="008C7589">
      <w:pPr>
        <w:rPr>
          <w:rFonts w:ascii="Arial" w:hAnsi="Arial" w:cs="Arial"/>
          <w:sz w:val="24"/>
          <w:szCs w:val="24"/>
        </w:rPr>
      </w:pPr>
      <w:r w:rsidRPr="00C306D1">
        <w:rPr>
          <w:rFonts w:ascii="Arial" w:hAnsi="Arial" w:cs="Arial"/>
          <w:sz w:val="24"/>
          <w:szCs w:val="24"/>
        </w:rPr>
        <w:t>World Health Organisation</w:t>
      </w:r>
      <w:r>
        <w:rPr>
          <w:rFonts w:ascii="Arial" w:hAnsi="Arial" w:cs="Arial"/>
          <w:sz w:val="24"/>
          <w:szCs w:val="24"/>
        </w:rPr>
        <w:t>,</w:t>
      </w:r>
      <w:r w:rsidRPr="00C306D1">
        <w:rPr>
          <w:rFonts w:ascii="Arial" w:hAnsi="Arial" w:cs="Arial"/>
          <w:sz w:val="24"/>
          <w:szCs w:val="24"/>
        </w:rPr>
        <w:t xml:space="preserve"> WHO (2021) Making every school a health-promoting school: </w:t>
      </w:r>
      <w:r w:rsidRPr="00B159B4">
        <w:rPr>
          <w:rFonts w:ascii="Arial" w:hAnsi="Arial" w:cs="Arial"/>
          <w:sz w:val="24"/>
          <w:szCs w:val="24"/>
        </w:rPr>
        <w:t>Global standards and indicators</w:t>
      </w:r>
      <w:r w:rsidR="00B159B4">
        <w:rPr>
          <w:rFonts w:ascii="Arial" w:hAnsi="Arial" w:cs="Arial"/>
          <w:i/>
          <w:iCs/>
          <w:sz w:val="24"/>
          <w:szCs w:val="24"/>
        </w:rPr>
        <w:t xml:space="preserve">, </w:t>
      </w:r>
      <w:r w:rsidRPr="00B159B4">
        <w:rPr>
          <w:rFonts w:ascii="Arial" w:hAnsi="Arial" w:cs="Arial"/>
          <w:i/>
          <w:iCs/>
          <w:sz w:val="24"/>
          <w:szCs w:val="24"/>
        </w:rPr>
        <w:t>UNESCO</w:t>
      </w:r>
      <w:r w:rsidR="00B159B4">
        <w:rPr>
          <w:rFonts w:ascii="Arial" w:hAnsi="Arial" w:cs="Arial"/>
          <w:sz w:val="24"/>
          <w:szCs w:val="24"/>
        </w:rPr>
        <w:t xml:space="preserve">, pp. 1-62. Available at: </w:t>
      </w:r>
      <w:hyperlink r:id="rId70" w:history="1">
        <w:r w:rsidR="00B159B4" w:rsidRPr="00764F30">
          <w:rPr>
            <w:rStyle w:val="Hyperlink"/>
            <w:rFonts w:ascii="Arial" w:hAnsi="Arial" w:cs="Arial"/>
            <w:sz w:val="24"/>
            <w:szCs w:val="24"/>
          </w:rPr>
          <w:t>https://iris.who.int/bitstream/handle/10665/341907/9789240025059-eng.pdf?sequence=1</w:t>
        </w:r>
      </w:hyperlink>
      <w:r w:rsidR="00B159B4">
        <w:rPr>
          <w:rFonts w:ascii="Arial" w:hAnsi="Arial" w:cs="Arial"/>
          <w:sz w:val="24"/>
          <w:szCs w:val="24"/>
        </w:rPr>
        <w:t xml:space="preserve"> </w:t>
      </w:r>
      <w:r w:rsidR="00B159B4">
        <w:rPr>
          <w:rFonts w:ascii="Arial" w:hAnsi="Arial" w:cs="Arial"/>
          <w:sz w:val="24"/>
          <w:szCs w:val="24"/>
        </w:rPr>
        <w:t>(Accessed 23 April 2025).</w:t>
      </w:r>
    </w:p>
    <w:p w14:paraId="6790F954" w14:textId="77777777" w:rsidR="008C7589" w:rsidRPr="00246AFE" w:rsidRDefault="008C7589">
      <w:pPr>
        <w:rPr>
          <w:rFonts w:ascii="Arial" w:hAnsi="Arial" w:cs="Arial"/>
          <w:sz w:val="24"/>
          <w:szCs w:val="24"/>
        </w:rPr>
      </w:pPr>
    </w:p>
    <w:sectPr w:rsidR="008C7589" w:rsidRPr="00246A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B0AF5"/>
    <w:multiLevelType w:val="hybridMultilevel"/>
    <w:tmpl w:val="AE5804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4E4E4B"/>
    <w:multiLevelType w:val="multilevel"/>
    <w:tmpl w:val="B8A8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9E78A4"/>
    <w:multiLevelType w:val="multilevel"/>
    <w:tmpl w:val="D7462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5325944">
    <w:abstractNumId w:val="1"/>
  </w:num>
  <w:num w:numId="2" w16cid:durableId="1343434943">
    <w:abstractNumId w:val="0"/>
  </w:num>
  <w:num w:numId="3" w16cid:durableId="266041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D57F74"/>
    <w:rsid w:val="00017033"/>
    <w:rsid w:val="000246C5"/>
    <w:rsid w:val="000371B4"/>
    <w:rsid w:val="00042A07"/>
    <w:rsid w:val="000606D3"/>
    <w:rsid w:val="0006170E"/>
    <w:rsid w:val="00064712"/>
    <w:rsid w:val="00064C64"/>
    <w:rsid w:val="00070CCB"/>
    <w:rsid w:val="00072602"/>
    <w:rsid w:val="00074605"/>
    <w:rsid w:val="00076A96"/>
    <w:rsid w:val="0009078B"/>
    <w:rsid w:val="00091F31"/>
    <w:rsid w:val="00096C16"/>
    <w:rsid w:val="000F0A28"/>
    <w:rsid w:val="000F4715"/>
    <w:rsid w:val="00101978"/>
    <w:rsid w:val="00105780"/>
    <w:rsid w:val="00130E65"/>
    <w:rsid w:val="001339DB"/>
    <w:rsid w:val="00153C7D"/>
    <w:rsid w:val="00167368"/>
    <w:rsid w:val="00182DB5"/>
    <w:rsid w:val="00185C3F"/>
    <w:rsid w:val="00195664"/>
    <w:rsid w:val="001A4E95"/>
    <w:rsid w:val="001B3A7B"/>
    <w:rsid w:val="001C05F3"/>
    <w:rsid w:val="001D288D"/>
    <w:rsid w:val="001D5AEB"/>
    <w:rsid w:val="001E7D30"/>
    <w:rsid w:val="002028ED"/>
    <w:rsid w:val="00221A1D"/>
    <w:rsid w:val="00246AFE"/>
    <w:rsid w:val="0026444C"/>
    <w:rsid w:val="00274EAB"/>
    <w:rsid w:val="00275562"/>
    <w:rsid w:val="00275C10"/>
    <w:rsid w:val="00282F2D"/>
    <w:rsid w:val="002A6522"/>
    <w:rsid w:val="002D7EF5"/>
    <w:rsid w:val="002E3CC8"/>
    <w:rsid w:val="003122DF"/>
    <w:rsid w:val="0031627F"/>
    <w:rsid w:val="00353BA8"/>
    <w:rsid w:val="0036301B"/>
    <w:rsid w:val="003632F0"/>
    <w:rsid w:val="003635FA"/>
    <w:rsid w:val="00396737"/>
    <w:rsid w:val="003C516D"/>
    <w:rsid w:val="003D6357"/>
    <w:rsid w:val="003E3ECD"/>
    <w:rsid w:val="003E4E04"/>
    <w:rsid w:val="003F1E62"/>
    <w:rsid w:val="00406DA4"/>
    <w:rsid w:val="00425B62"/>
    <w:rsid w:val="004461A4"/>
    <w:rsid w:val="00451766"/>
    <w:rsid w:val="00452E5B"/>
    <w:rsid w:val="004613B8"/>
    <w:rsid w:val="00473C13"/>
    <w:rsid w:val="00483BC7"/>
    <w:rsid w:val="004977B0"/>
    <w:rsid w:val="004A2ECA"/>
    <w:rsid w:val="004A49BD"/>
    <w:rsid w:val="004A6E5B"/>
    <w:rsid w:val="004C24E3"/>
    <w:rsid w:val="004C57F5"/>
    <w:rsid w:val="004D0F6A"/>
    <w:rsid w:val="004D672B"/>
    <w:rsid w:val="004D694B"/>
    <w:rsid w:val="004E0E36"/>
    <w:rsid w:val="004E2EA7"/>
    <w:rsid w:val="004E3E3E"/>
    <w:rsid w:val="004F1DA1"/>
    <w:rsid w:val="0051680F"/>
    <w:rsid w:val="00541B5B"/>
    <w:rsid w:val="00551EF2"/>
    <w:rsid w:val="0057478F"/>
    <w:rsid w:val="00582E3B"/>
    <w:rsid w:val="005953C5"/>
    <w:rsid w:val="00595D73"/>
    <w:rsid w:val="005A3C91"/>
    <w:rsid w:val="005A3F84"/>
    <w:rsid w:val="005B5C50"/>
    <w:rsid w:val="005D3680"/>
    <w:rsid w:val="005F4006"/>
    <w:rsid w:val="006010D5"/>
    <w:rsid w:val="00607B51"/>
    <w:rsid w:val="006141B7"/>
    <w:rsid w:val="00615EA5"/>
    <w:rsid w:val="006248B2"/>
    <w:rsid w:val="006312AF"/>
    <w:rsid w:val="0063173F"/>
    <w:rsid w:val="00634453"/>
    <w:rsid w:val="00635569"/>
    <w:rsid w:val="006444D7"/>
    <w:rsid w:val="00647ED2"/>
    <w:rsid w:val="0067381F"/>
    <w:rsid w:val="00684BBD"/>
    <w:rsid w:val="00690902"/>
    <w:rsid w:val="00692624"/>
    <w:rsid w:val="006A2D95"/>
    <w:rsid w:val="006C7F5E"/>
    <w:rsid w:val="006F5082"/>
    <w:rsid w:val="006F7299"/>
    <w:rsid w:val="00702B9F"/>
    <w:rsid w:val="007124F5"/>
    <w:rsid w:val="00713631"/>
    <w:rsid w:val="00720339"/>
    <w:rsid w:val="007212E7"/>
    <w:rsid w:val="00732862"/>
    <w:rsid w:val="00736387"/>
    <w:rsid w:val="00755A54"/>
    <w:rsid w:val="0076135C"/>
    <w:rsid w:val="00781AD5"/>
    <w:rsid w:val="00782103"/>
    <w:rsid w:val="00787194"/>
    <w:rsid w:val="007A4004"/>
    <w:rsid w:val="007C1A0B"/>
    <w:rsid w:val="007C2C5E"/>
    <w:rsid w:val="007C7D26"/>
    <w:rsid w:val="007D1A2A"/>
    <w:rsid w:val="007D21F7"/>
    <w:rsid w:val="007D746E"/>
    <w:rsid w:val="007E347B"/>
    <w:rsid w:val="007E43DC"/>
    <w:rsid w:val="008102F7"/>
    <w:rsid w:val="0081096E"/>
    <w:rsid w:val="00810B55"/>
    <w:rsid w:val="008271AB"/>
    <w:rsid w:val="00840448"/>
    <w:rsid w:val="008420EF"/>
    <w:rsid w:val="00850D27"/>
    <w:rsid w:val="0087453E"/>
    <w:rsid w:val="00877D5C"/>
    <w:rsid w:val="0089758C"/>
    <w:rsid w:val="008B30EF"/>
    <w:rsid w:val="008C27FD"/>
    <w:rsid w:val="008C7589"/>
    <w:rsid w:val="008D02C3"/>
    <w:rsid w:val="0090547E"/>
    <w:rsid w:val="0092309D"/>
    <w:rsid w:val="009408C3"/>
    <w:rsid w:val="00942437"/>
    <w:rsid w:val="00954A32"/>
    <w:rsid w:val="0095585A"/>
    <w:rsid w:val="00956B00"/>
    <w:rsid w:val="009716B6"/>
    <w:rsid w:val="00974DA6"/>
    <w:rsid w:val="00994A33"/>
    <w:rsid w:val="009A102D"/>
    <w:rsid w:val="009A7BFA"/>
    <w:rsid w:val="009B11FC"/>
    <w:rsid w:val="009B408A"/>
    <w:rsid w:val="009B557F"/>
    <w:rsid w:val="009F7F9C"/>
    <w:rsid w:val="00A016FE"/>
    <w:rsid w:val="00A06BC3"/>
    <w:rsid w:val="00A116A4"/>
    <w:rsid w:val="00A1688D"/>
    <w:rsid w:val="00A3638F"/>
    <w:rsid w:val="00A5576A"/>
    <w:rsid w:val="00A562B2"/>
    <w:rsid w:val="00A628BB"/>
    <w:rsid w:val="00A84058"/>
    <w:rsid w:val="00A87114"/>
    <w:rsid w:val="00A91659"/>
    <w:rsid w:val="00AA6385"/>
    <w:rsid w:val="00AA76E8"/>
    <w:rsid w:val="00AB1E18"/>
    <w:rsid w:val="00AB3FC2"/>
    <w:rsid w:val="00AB4DC6"/>
    <w:rsid w:val="00AD023D"/>
    <w:rsid w:val="00AD0800"/>
    <w:rsid w:val="00AD402B"/>
    <w:rsid w:val="00AE2BA5"/>
    <w:rsid w:val="00AF0EAA"/>
    <w:rsid w:val="00B015B2"/>
    <w:rsid w:val="00B159B4"/>
    <w:rsid w:val="00B44D75"/>
    <w:rsid w:val="00B70F39"/>
    <w:rsid w:val="00B710E0"/>
    <w:rsid w:val="00B878DD"/>
    <w:rsid w:val="00BC54D7"/>
    <w:rsid w:val="00BE75F1"/>
    <w:rsid w:val="00BF1CE3"/>
    <w:rsid w:val="00BF2DAF"/>
    <w:rsid w:val="00C01D7A"/>
    <w:rsid w:val="00C166D3"/>
    <w:rsid w:val="00C170EB"/>
    <w:rsid w:val="00C252A2"/>
    <w:rsid w:val="00C306D1"/>
    <w:rsid w:val="00C30BB9"/>
    <w:rsid w:val="00C3286F"/>
    <w:rsid w:val="00C40FBD"/>
    <w:rsid w:val="00C5591D"/>
    <w:rsid w:val="00C77713"/>
    <w:rsid w:val="00C80880"/>
    <w:rsid w:val="00C8626D"/>
    <w:rsid w:val="00C9065E"/>
    <w:rsid w:val="00C90F97"/>
    <w:rsid w:val="00C95E97"/>
    <w:rsid w:val="00CA158E"/>
    <w:rsid w:val="00CA7D9C"/>
    <w:rsid w:val="00CB7379"/>
    <w:rsid w:val="00CC1579"/>
    <w:rsid w:val="00CC33FE"/>
    <w:rsid w:val="00CC3D29"/>
    <w:rsid w:val="00CC4A7E"/>
    <w:rsid w:val="00CD7B98"/>
    <w:rsid w:val="00CE079E"/>
    <w:rsid w:val="00CF3083"/>
    <w:rsid w:val="00D22951"/>
    <w:rsid w:val="00D22F4D"/>
    <w:rsid w:val="00D24840"/>
    <w:rsid w:val="00D33581"/>
    <w:rsid w:val="00D34D8C"/>
    <w:rsid w:val="00D35E12"/>
    <w:rsid w:val="00D368D2"/>
    <w:rsid w:val="00D37108"/>
    <w:rsid w:val="00D57F74"/>
    <w:rsid w:val="00D618E6"/>
    <w:rsid w:val="00D809F1"/>
    <w:rsid w:val="00D816C5"/>
    <w:rsid w:val="00D9112C"/>
    <w:rsid w:val="00DC0DAA"/>
    <w:rsid w:val="00DC1F2A"/>
    <w:rsid w:val="00DC20F2"/>
    <w:rsid w:val="00DC586E"/>
    <w:rsid w:val="00DC71F9"/>
    <w:rsid w:val="00DD1306"/>
    <w:rsid w:val="00DF1E1E"/>
    <w:rsid w:val="00DF41FC"/>
    <w:rsid w:val="00DF641D"/>
    <w:rsid w:val="00E042F3"/>
    <w:rsid w:val="00E116F9"/>
    <w:rsid w:val="00E11E29"/>
    <w:rsid w:val="00E26C04"/>
    <w:rsid w:val="00E3433F"/>
    <w:rsid w:val="00E35185"/>
    <w:rsid w:val="00E36474"/>
    <w:rsid w:val="00E3753A"/>
    <w:rsid w:val="00E37663"/>
    <w:rsid w:val="00E40103"/>
    <w:rsid w:val="00E43B12"/>
    <w:rsid w:val="00E62F9D"/>
    <w:rsid w:val="00E72BFB"/>
    <w:rsid w:val="00E743F3"/>
    <w:rsid w:val="00E75AC1"/>
    <w:rsid w:val="00E85294"/>
    <w:rsid w:val="00E905B9"/>
    <w:rsid w:val="00EB22BA"/>
    <w:rsid w:val="00EE1B89"/>
    <w:rsid w:val="00EF205F"/>
    <w:rsid w:val="00EF4C05"/>
    <w:rsid w:val="00F1304B"/>
    <w:rsid w:val="00F26BD5"/>
    <w:rsid w:val="00F27592"/>
    <w:rsid w:val="00F34220"/>
    <w:rsid w:val="00F35291"/>
    <w:rsid w:val="00F46D7B"/>
    <w:rsid w:val="00F55725"/>
    <w:rsid w:val="00F812D1"/>
    <w:rsid w:val="00FB49BD"/>
    <w:rsid w:val="00FB69DB"/>
    <w:rsid w:val="00FC7F4D"/>
    <w:rsid w:val="00FD49C2"/>
    <w:rsid w:val="00FF5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917AFB"/>
  <w15:chartTrackingRefBased/>
  <w15:docId w15:val="{E66A7D27-283A-45B3-8FE4-4656139BA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7F7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D57F7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57F7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57F7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57F7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57F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7F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7F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7F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F7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D57F7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D57F7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57F7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57F7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57F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7F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7F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7F74"/>
    <w:rPr>
      <w:rFonts w:eastAsiaTheme="majorEastAsia" w:cstheme="majorBidi"/>
      <w:color w:val="272727" w:themeColor="text1" w:themeTint="D8"/>
    </w:rPr>
  </w:style>
  <w:style w:type="paragraph" w:styleId="Title">
    <w:name w:val="Title"/>
    <w:basedOn w:val="Normal"/>
    <w:next w:val="Normal"/>
    <w:link w:val="TitleChar"/>
    <w:uiPriority w:val="10"/>
    <w:qFormat/>
    <w:rsid w:val="00D57F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7F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7F7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7F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7F7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57F74"/>
    <w:rPr>
      <w:i/>
      <w:iCs/>
      <w:color w:val="404040" w:themeColor="text1" w:themeTint="BF"/>
    </w:rPr>
  </w:style>
  <w:style w:type="paragraph" w:styleId="ListParagraph">
    <w:name w:val="List Paragraph"/>
    <w:basedOn w:val="Normal"/>
    <w:uiPriority w:val="34"/>
    <w:qFormat/>
    <w:rsid w:val="00D57F74"/>
    <w:pPr>
      <w:ind w:left="720"/>
      <w:contextualSpacing/>
    </w:pPr>
  </w:style>
  <w:style w:type="character" w:styleId="IntenseEmphasis">
    <w:name w:val="Intense Emphasis"/>
    <w:basedOn w:val="DefaultParagraphFont"/>
    <w:uiPriority w:val="21"/>
    <w:qFormat/>
    <w:rsid w:val="00D57F74"/>
    <w:rPr>
      <w:i/>
      <w:iCs/>
      <w:color w:val="365F91" w:themeColor="accent1" w:themeShade="BF"/>
    </w:rPr>
  </w:style>
  <w:style w:type="paragraph" w:styleId="IntenseQuote">
    <w:name w:val="Intense Quote"/>
    <w:basedOn w:val="Normal"/>
    <w:next w:val="Normal"/>
    <w:link w:val="IntenseQuoteChar"/>
    <w:uiPriority w:val="30"/>
    <w:qFormat/>
    <w:rsid w:val="00D57F7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57F74"/>
    <w:rPr>
      <w:i/>
      <w:iCs/>
      <w:color w:val="365F91" w:themeColor="accent1" w:themeShade="BF"/>
    </w:rPr>
  </w:style>
  <w:style w:type="character" w:styleId="IntenseReference">
    <w:name w:val="Intense Reference"/>
    <w:basedOn w:val="DefaultParagraphFont"/>
    <w:uiPriority w:val="32"/>
    <w:qFormat/>
    <w:rsid w:val="00D57F74"/>
    <w:rPr>
      <w:b/>
      <w:bCs/>
      <w:smallCaps/>
      <w:color w:val="365F91" w:themeColor="accent1" w:themeShade="BF"/>
      <w:spacing w:val="5"/>
    </w:rPr>
  </w:style>
  <w:style w:type="character" w:styleId="Hyperlink">
    <w:name w:val="Hyperlink"/>
    <w:basedOn w:val="DefaultParagraphFont"/>
    <w:uiPriority w:val="99"/>
    <w:unhideWhenUsed/>
    <w:rsid w:val="000606D3"/>
    <w:rPr>
      <w:color w:val="0000FF" w:themeColor="hyperlink"/>
      <w:u w:val="single"/>
    </w:rPr>
  </w:style>
  <w:style w:type="character" w:styleId="UnresolvedMention">
    <w:name w:val="Unresolved Mention"/>
    <w:basedOn w:val="DefaultParagraphFont"/>
    <w:uiPriority w:val="99"/>
    <w:semiHidden/>
    <w:unhideWhenUsed/>
    <w:rsid w:val="000606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3330">
      <w:bodyDiv w:val="1"/>
      <w:marLeft w:val="0"/>
      <w:marRight w:val="0"/>
      <w:marTop w:val="0"/>
      <w:marBottom w:val="0"/>
      <w:divBdr>
        <w:top w:val="none" w:sz="0" w:space="0" w:color="auto"/>
        <w:left w:val="none" w:sz="0" w:space="0" w:color="auto"/>
        <w:bottom w:val="none" w:sz="0" w:space="0" w:color="auto"/>
        <w:right w:val="none" w:sz="0" w:space="0" w:color="auto"/>
      </w:divBdr>
    </w:div>
    <w:div w:id="121853472">
      <w:bodyDiv w:val="1"/>
      <w:marLeft w:val="0"/>
      <w:marRight w:val="0"/>
      <w:marTop w:val="0"/>
      <w:marBottom w:val="0"/>
      <w:divBdr>
        <w:top w:val="none" w:sz="0" w:space="0" w:color="auto"/>
        <w:left w:val="none" w:sz="0" w:space="0" w:color="auto"/>
        <w:bottom w:val="none" w:sz="0" w:space="0" w:color="auto"/>
        <w:right w:val="none" w:sz="0" w:space="0" w:color="auto"/>
      </w:divBdr>
      <w:divsChild>
        <w:div w:id="1507985454">
          <w:marLeft w:val="0"/>
          <w:marRight w:val="0"/>
          <w:marTop w:val="0"/>
          <w:marBottom w:val="0"/>
          <w:divBdr>
            <w:top w:val="none" w:sz="0" w:space="0" w:color="auto"/>
            <w:left w:val="none" w:sz="0" w:space="0" w:color="auto"/>
            <w:bottom w:val="none" w:sz="0" w:space="0" w:color="auto"/>
            <w:right w:val="none" w:sz="0" w:space="0" w:color="auto"/>
          </w:divBdr>
          <w:divsChild>
            <w:div w:id="578252837">
              <w:marLeft w:val="0"/>
              <w:marRight w:val="0"/>
              <w:marTop w:val="0"/>
              <w:marBottom w:val="0"/>
              <w:divBdr>
                <w:top w:val="none" w:sz="0" w:space="0" w:color="auto"/>
                <w:left w:val="none" w:sz="0" w:space="0" w:color="auto"/>
                <w:bottom w:val="none" w:sz="0" w:space="0" w:color="auto"/>
                <w:right w:val="none" w:sz="0" w:space="0" w:color="auto"/>
              </w:divBdr>
              <w:divsChild>
                <w:div w:id="250284370">
                  <w:marLeft w:val="0"/>
                  <w:marRight w:val="0"/>
                  <w:marTop w:val="0"/>
                  <w:marBottom w:val="0"/>
                  <w:divBdr>
                    <w:top w:val="none" w:sz="0" w:space="0" w:color="auto"/>
                    <w:left w:val="none" w:sz="0" w:space="0" w:color="auto"/>
                    <w:bottom w:val="none" w:sz="0" w:space="0" w:color="auto"/>
                    <w:right w:val="none" w:sz="0" w:space="0" w:color="auto"/>
                  </w:divBdr>
                  <w:divsChild>
                    <w:div w:id="1825972814">
                      <w:marLeft w:val="0"/>
                      <w:marRight w:val="0"/>
                      <w:marTop w:val="0"/>
                      <w:marBottom w:val="0"/>
                      <w:divBdr>
                        <w:top w:val="none" w:sz="0" w:space="0" w:color="auto"/>
                        <w:left w:val="none" w:sz="0" w:space="0" w:color="auto"/>
                        <w:bottom w:val="none" w:sz="0" w:space="0" w:color="auto"/>
                        <w:right w:val="none" w:sz="0" w:space="0" w:color="auto"/>
                      </w:divBdr>
                      <w:divsChild>
                        <w:div w:id="16124137">
                          <w:marLeft w:val="0"/>
                          <w:marRight w:val="0"/>
                          <w:marTop w:val="0"/>
                          <w:marBottom w:val="0"/>
                          <w:divBdr>
                            <w:top w:val="none" w:sz="0" w:space="0" w:color="auto"/>
                            <w:left w:val="none" w:sz="0" w:space="0" w:color="auto"/>
                            <w:bottom w:val="none" w:sz="0" w:space="0" w:color="auto"/>
                            <w:right w:val="none" w:sz="0" w:space="0" w:color="auto"/>
                          </w:divBdr>
                          <w:divsChild>
                            <w:div w:id="9027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33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872123">
          <w:marLeft w:val="0"/>
          <w:marRight w:val="0"/>
          <w:marTop w:val="0"/>
          <w:marBottom w:val="0"/>
          <w:divBdr>
            <w:top w:val="none" w:sz="0" w:space="0" w:color="auto"/>
            <w:left w:val="none" w:sz="0" w:space="0" w:color="auto"/>
            <w:bottom w:val="none" w:sz="0" w:space="0" w:color="auto"/>
            <w:right w:val="none" w:sz="0" w:space="0" w:color="auto"/>
          </w:divBdr>
          <w:divsChild>
            <w:div w:id="1637492207">
              <w:marLeft w:val="0"/>
              <w:marRight w:val="0"/>
              <w:marTop w:val="0"/>
              <w:marBottom w:val="0"/>
              <w:divBdr>
                <w:top w:val="none" w:sz="0" w:space="0" w:color="auto"/>
                <w:left w:val="none" w:sz="0" w:space="0" w:color="auto"/>
                <w:bottom w:val="none" w:sz="0" w:space="0" w:color="auto"/>
                <w:right w:val="none" w:sz="0" w:space="0" w:color="auto"/>
              </w:divBdr>
              <w:divsChild>
                <w:div w:id="98452197">
                  <w:marLeft w:val="0"/>
                  <w:marRight w:val="0"/>
                  <w:marTop w:val="0"/>
                  <w:marBottom w:val="0"/>
                  <w:divBdr>
                    <w:top w:val="none" w:sz="0" w:space="0" w:color="auto"/>
                    <w:left w:val="none" w:sz="0" w:space="0" w:color="auto"/>
                    <w:bottom w:val="none" w:sz="0" w:space="0" w:color="auto"/>
                    <w:right w:val="none" w:sz="0" w:space="0" w:color="auto"/>
                  </w:divBdr>
                  <w:divsChild>
                    <w:div w:id="115422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07924">
      <w:bodyDiv w:val="1"/>
      <w:marLeft w:val="0"/>
      <w:marRight w:val="0"/>
      <w:marTop w:val="0"/>
      <w:marBottom w:val="0"/>
      <w:divBdr>
        <w:top w:val="none" w:sz="0" w:space="0" w:color="auto"/>
        <w:left w:val="none" w:sz="0" w:space="0" w:color="auto"/>
        <w:bottom w:val="none" w:sz="0" w:space="0" w:color="auto"/>
        <w:right w:val="none" w:sz="0" w:space="0" w:color="auto"/>
      </w:divBdr>
      <w:divsChild>
        <w:div w:id="2023121834">
          <w:marLeft w:val="0"/>
          <w:marRight w:val="0"/>
          <w:marTop w:val="0"/>
          <w:marBottom w:val="0"/>
          <w:divBdr>
            <w:top w:val="none" w:sz="0" w:space="0" w:color="auto"/>
            <w:left w:val="none" w:sz="0" w:space="0" w:color="auto"/>
            <w:bottom w:val="none" w:sz="0" w:space="0" w:color="auto"/>
            <w:right w:val="none" w:sz="0" w:space="0" w:color="auto"/>
          </w:divBdr>
          <w:divsChild>
            <w:div w:id="906652736">
              <w:marLeft w:val="0"/>
              <w:marRight w:val="0"/>
              <w:marTop w:val="0"/>
              <w:marBottom w:val="0"/>
              <w:divBdr>
                <w:top w:val="none" w:sz="0" w:space="0" w:color="auto"/>
                <w:left w:val="none" w:sz="0" w:space="0" w:color="auto"/>
                <w:bottom w:val="none" w:sz="0" w:space="0" w:color="auto"/>
                <w:right w:val="none" w:sz="0" w:space="0" w:color="auto"/>
              </w:divBdr>
              <w:divsChild>
                <w:div w:id="30882344">
                  <w:marLeft w:val="0"/>
                  <w:marRight w:val="0"/>
                  <w:marTop w:val="0"/>
                  <w:marBottom w:val="0"/>
                  <w:divBdr>
                    <w:top w:val="none" w:sz="0" w:space="0" w:color="auto"/>
                    <w:left w:val="none" w:sz="0" w:space="0" w:color="auto"/>
                    <w:bottom w:val="none" w:sz="0" w:space="0" w:color="auto"/>
                    <w:right w:val="none" w:sz="0" w:space="0" w:color="auto"/>
                  </w:divBdr>
                  <w:divsChild>
                    <w:div w:id="657802178">
                      <w:marLeft w:val="0"/>
                      <w:marRight w:val="0"/>
                      <w:marTop w:val="0"/>
                      <w:marBottom w:val="0"/>
                      <w:divBdr>
                        <w:top w:val="none" w:sz="0" w:space="0" w:color="auto"/>
                        <w:left w:val="none" w:sz="0" w:space="0" w:color="auto"/>
                        <w:bottom w:val="none" w:sz="0" w:space="0" w:color="auto"/>
                        <w:right w:val="none" w:sz="0" w:space="0" w:color="auto"/>
                      </w:divBdr>
                      <w:divsChild>
                        <w:div w:id="1805344280">
                          <w:marLeft w:val="0"/>
                          <w:marRight w:val="0"/>
                          <w:marTop w:val="0"/>
                          <w:marBottom w:val="0"/>
                          <w:divBdr>
                            <w:top w:val="none" w:sz="0" w:space="0" w:color="auto"/>
                            <w:left w:val="none" w:sz="0" w:space="0" w:color="auto"/>
                            <w:bottom w:val="none" w:sz="0" w:space="0" w:color="auto"/>
                            <w:right w:val="none" w:sz="0" w:space="0" w:color="auto"/>
                          </w:divBdr>
                          <w:divsChild>
                            <w:div w:id="1510221636">
                              <w:marLeft w:val="0"/>
                              <w:marRight w:val="0"/>
                              <w:marTop w:val="0"/>
                              <w:marBottom w:val="0"/>
                              <w:divBdr>
                                <w:top w:val="none" w:sz="0" w:space="0" w:color="auto"/>
                                <w:left w:val="none" w:sz="0" w:space="0" w:color="auto"/>
                                <w:bottom w:val="none" w:sz="0" w:space="0" w:color="auto"/>
                                <w:right w:val="none" w:sz="0" w:space="0" w:color="auto"/>
                              </w:divBdr>
                              <w:divsChild>
                                <w:div w:id="1209882432">
                                  <w:marLeft w:val="0"/>
                                  <w:marRight w:val="0"/>
                                  <w:marTop w:val="0"/>
                                  <w:marBottom w:val="0"/>
                                  <w:divBdr>
                                    <w:top w:val="none" w:sz="0" w:space="0" w:color="auto"/>
                                    <w:left w:val="none" w:sz="0" w:space="0" w:color="auto"/>
                                    <w:bottom w:val="none" w:sz="0" w:space="0" w:color="auto"/>
                                    <w:right w:val="none" w:sz="0" w:space="0" w:color="auto"/>
                                  </w:divBdr>
                                  <w:divsChild>
                                    <w:div w:id="93162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741065">
                          <w:marLeft w:val="0"/>
                          <w:marRight w:val="0"/>
                          <w:marTop w:val="0"/>
                          <w:marBottom w:val="0"/>
                          <w:divBdr>
                            <w:top w:val="none" w:sz="0" w:space="0" w:color="auto"/>
                            <w:left w:val="none" w:sz="0" w:space="0" w:color="auto"/>
                            <w:bottom w:val="none" w:sz="0" w:space="0" w:color="auto"/>
                            <w:right w:val="none" w:sz="0" w:space="0" w:color="auto"/>
                          </w:divBdr>
                          <w:divsChild>
                            <w:div w:id="138228392">
                              <w:marLeft w:val="0"/>
                              <w:marRight w:val="0"/>
                              <w:marTop w:val="0"/>
                              <w:marBottom w:val="0"/>
                              <w:divBdr>
                                <w:top w:val="none" w:sz="0" w:space="0" w:color="auto"/>
                                <w:left w:val="none" w:sz="0" w:space="0" w:color="auto"/>
                                <w:bottom w:val="none" w:sz="0" w:space="0" w:color="auto"/>
                                <w:right w:val="none" w:sz="0" w:space="0" w:color="auto"/>
                              </w:divBdr>
                              <w:divsChild>
                                <w:div w:id="189268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409824">
      <w:bodyDiv w:val="1"/>
      <w:marLeft w:val="0"/>
      <w:marRight w:val="0"/>
      <w:marTop w:val="0"/>
      <w:marBottom w:val="0"/>
      <w:divBdr>
        <w:top w:val="none" w:sz="0" w:space="0" w:color="auto"/>
        <w:left w:val="none" w:sz="0" w:space="0" w:color="auto"/>
        <w:bottom w:val="none" w:sz="0" w:space="0" w:color="auto"/>
        <w:right w:val="none" w:sz="0" w:space="0" w:color="auto"/>
      </w:divBdr>
    </w:div>
    <w:div w:id="221135066">
      <w:bodyDiv w:val="1"/>
      <w:marLeft w:val="0"/>
      <w:marRight w:val="0"/>
      <w:marTop w:val="0"/>
      <w:marBottom w:val="0"/>
      <w:divBdr>
        <w:top w:val="none" w:sz="0" w:space="0" w:color="auto"/>
        <w:left w:val="none" w:sz="0" w:space="0" w:color="auto"/>
        <w:bottom w:val="none" w:sz="0" w:space="0" w:color="auto"/>
        <w:right w:val="none" w:sz="0" w:space="0" w:color="auto"/>
      </w:divBdr>
      <w:divsChild>
        <w:div w:id="1404791616">
          <w:marLeft w:val="300"/>
          <w:marRight w:val="0"/>
          <w:marTop w:val="0"/>
          <w:marBottom w:val="300"/>
          <w:divBdr>
            <w:top w:val="none" w:sz="0" w:space="0" w:color="auto"/>
            <w:left w:val="none" w:sz="0" w:space="0" w:color="auto"/>
            <w:bottom w:val="none" w:sz="0" w:space="0" w:color="auto"/>
            <w:right w:val="none" w:sz="0" w:space="0" w:color="auto"/>
          </w:divBdr>
        </w:div>
      </w:divsChild>
    </w:div>
    <w:div w:id="242836284">
      <w:bodyDiv w:val="1"/>
      <w:marLeft w:val="0"/>
      <w:marRight w:val="0"/>
      <w:marTop w:val="0"/>
      <w:marBottom w:val="0"/>
      <w:divBdr>
        <w:top w:val="none" w:sz="0" w:space="0" w:color="auto"/>
        <w:left w:val="none" w:sz="0" w:space="0" w:color="auto"/>
        <w:bottom w:val="none" w:sz="0" w:space="0" w:color="auto"/>
        <w:right w:val="none" w:sz="0" w:space="0" w:color="auto"/>
      </w:divBdr>
      <w:divsChild>
        <w:div w:id="970984029">
          <w:marLeft w:val="0"/>
          <w:marRight w:val="0"/>
          <w:marTop w:val="0"/>
          <w:marBottom w:val="0"/>
          <w:divBdr>
            <w:top w:val="none" w:sz="0" w:space="0" w:color="auto"/>
            <w:left w:val="none" w:sz="0" w:space="0" w:color="auto"/>
            <w:bottom w:val="none" w:sz="0" w:space="0" w:color="auto"/>
            <w:right w:val="none" w:sz="0" w:space="0" w:color="auto"/>
          </w:divBdr>
          <w:divsChild>
            <w:div w:id="1837964011">
              <w:marLeft w:val="0"/>
              <w:marRight w:val="0"/>
              <w:marTop w:val="0"/>
              <w:marBottom w:val="0"/>
              <w:divBdr>
                <w:top w:val="none" w:sz="0" w:space="0" w:color="auto"/>
                <w:left w:val="none" w:sz="0" w:space="0" w:color="auto"/>
                <w:bottom w:val="none" w:sz="0" w:space="0" w:color="auto"/>
                <w:right w:val="none" w:sz="0" w:space="0" w:color="auto"/>
              </w:divBdr>
              <w:divsChild>
                <w:div w:id="52973570">
                  <w:marLeft w:val="0"/>
                  <w:marRight w:val="0"/>
                  <w:marTop w:val="0"/>
                  <w:marBottom w:val="0"/>
                  <w:divBdr>
                    <w:top w:val="none" w:sz="0" w:space="0" w:color="auto"/>
                    <w:left w:val="none" w:sz="0" w:space="0" w:color="auto"/>
                    <w:bottom w:val="none" w:sz="0" w:space="0" w:color="auto"/>
                    <w:right w:val="none" w:sz="0" w:space="0" w:color="auto"/>
                  </w:divBdr>
                  <w:divsChild>
                    <w:div w:id="42592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32125">
          <w:marLeft w:val="0"/>
          <w:marRight w:val="0"/>
          <w:marTop w:val="0"/>
          <w:marBottom w:val="0"/>
          <w:divBdr>
            <w:top w:val="none" w:sz="0" w:space="0" w:color="auto"/>
            <w:left w:val="none" w:sz="0" w:space="0" w:color="auto"/>
            <w:bottom w:val="none" w:sz="0" w:space="0" w:color="auto"/>
            <w:right w:val="none" w:sz="0" w:space="0" w:color="auto"/>
          </w:divBdr>
          <w:divsChild>
            <w:div w:id="2087066051">
              <w:marLeft w:val="0"/>
              <w:marRight w:val="0"/>
              <w:marTop w:val="0"/>
              <w:marBottom w:val="0"/>
              <w:divBdr>
                <w:top w:val="none" w:sz="0" w:space="0" w:color="auto"/>
                <w:left w:val="none" w:sz="0" w:space="0" w:color="auto"/>
                <w:bottom w:val="none" w:sz="0" w:space="0" w:color="auto"/>
                <w:right w:val="none" w:sz="0" w:space="0" w:color="auto"/>
              </w:divBdr>
              <w:divsChild>
                <w:div w:id="1421756261">
                  <w:marLeft w:val="0"/>
                  <w:marRight w:val="0"/>
                  <w:marTop w:val="0"/>
                  <w:marBottom w:val="0"/>
                  <w:divBdr>
                    <w:top w:val="none" w:sz="0" w:space="0" w:color="auto"/>
                    <w:left w:val="none" w:sz="0" w:space="0" w:color="auto"/>
                    <w:bottom w:val="none" w:sz="0" w:space="0" w:color="auto"/>
                    <w:right w:val="none" w:sz="0" w:space="0" w:color="auto"/>
                  </w:divBdr>
                  <w:divsChild>
                    <w:div w:id="1052730547">
                      <w:marLeft w:val="0"/>
                      <w:marRight w:val="0"/>
                      <w:marTop w:val="0"/>
                      <w:marBottom w:val="0"/>
                      <w:divBdr>
                        <w:top w:val="none" w:sz="0" w:space="0" w:color="auto"/>
                        <w:left w:val="none" w:sz="0" w:space="0" w:color="auto"/>
                        <w:bottom w:val="none" w:sz="0" w:space="0" w:color="auto"/>
                        <w:right w:val="none" w:sz="0" w:space="0" w:color="auto"/>
                      </w:divBdr>
                      <w:divsChild>
                        <w:div w:id="1747920216">
                          <w:marLeft w:val="0"/>
                          <w:marRight w:val="0"/>
                          <w:marTop w:val="0"/>
                          <w:marBottom w:val="0"/>
                          <w:divBdr>
                            <w:top w:val="none" w:sz="0" w:space="0" w:color="auto"/>
                            <w:left w:val="none" w:sz="0" w:space="0" w:color="auto"/>
                            <w:bottom w:val="none" w:sz="0" w:space="0" w:color="auto"/>
                            <w:right w:val="none" w:sz="0" w:space="0" w:color="auto"/>
                          </w:divBdr>
                          <w:divsChild>
                            <w:div w:id="187322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55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228270">
      <w:bodyDiv w:val="1"/>
      <w:marLeft w:val="0"/>
      <w:marRight w:val="0"/>
      <w:marTop w:val="0"/>
      <w:marBottom w:val="0"/>
      <w:divBdr>
        <w:top w:val="none" w:sz="0" w:space="0" w:color="auto"/>
        <w:left w:val="none" w:sz="0" w:space="0" w:color="auto"/>
        <w:bottom w:val="none" w:sz="0" w:space="0" w:color="auto"/>
        <w:right w:val="none" w:sz="0" w:space="0" w:color="auto"/>
      </w:divBdr>
      <w:divsChild>
        <w:div w:id="1948150999">
          <w:marLeft w:val="0"/>
          <w:marRight w:val="0"/>
          <w:marTop w:val="0"/>
          <w:marBottom w:val="0"/>
          <w:divBdr>
            <w:top w:val="none" w:sz="0" w:space="0" w:color="auto"/>
            <w:left w:val="none" w:sz="0" w:space="0" w:color="auto"/>
            <w:bottom w:val="none" w:sz="0" w:space="0" w:color="auto"/>
            <w:right w:val="none" w:sz="0" w:space="0" w:color="auto"/>
          </w:divBdr>
          <w:divsChild>
            <w:div w:id="917592867">
              <w:marLeft w:val="0"/>
              <w:marRight w:val="0"/>
              <w:marTop w:val="0"/>
              <w:marBottom w:val="0"/>
              <w:divBdr>
                <w:top w:val="none" w:sz="0" w:space="0" w:color="auto"/>
                <w:left w:val="none" w:sz="0" w:space="0" w:color="auto"/>
                <w:bottom w:val="none" w:sz="0" w:space="0" w:color="auto"/>
                <w:right w:val="none" w:sz="0" w:space="0" w:color="auto"/>
              </w:divBdr>
              <w:divsChild>
                <w:div w:id="994260633">
                  <w:marLeft w:val="0"/>
                  <w:marRight w:val="0"/>
                  <w:marTop w:val="0"/>
                  <w:marBottom w:val="0"/>
                  <w:divBdr>
                    <w:top w:val="none" w:sz="0" w:space="0" w:color="auto"/>
                    <w:left w:val="none" w:sz="0" w:space="0" w:color="auto"/>
                    <w:bottom w:val="none" w:sz="0" w:space="0" w:color="auto"/>
                    <w:right w:val="none" w:sz="0" w:space="0" w:color="auto"/>
                  </w:divBdr>
                  <w:divsChild>
                    <w:div w:id="1217012953">
                      <w:marLeft w:val="0"/>
                      <w:marRight w:val="0"/>
                      <w:marTop w:val="0"/>
                      <w:marBottom w:val="0"/>
                      <w:divBdr>
                        <w:top w:val="none" w:sz="0" w:space="0" w:color="auto"/>
                        <w:left w:val="none" w:sz="0" w:space="0" w:color="auto"/>
                        <w:bottom w:val="none" w:sz="0" w:space="0" w:color="auto"/>
                        <w:right w:val="none" w:sz="0" w:space="0" w:color="auto"/>
                      </w:divBdr>
                      <w:divsChild>
                        <w:div w:id="19567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099071">
          <w:marLeft w:val="0"/>
          <w:marRight w:val="0"/>
          <w:marTop w:val="0"/>
          <w:marBottom w:val="0"/>
          <w:divBdr>
            <w:top w:val="none" w:sz="0" w:space="0" w:color="auto"/>
            <w:left w:val="none" w:sz="0" w:space="0" w:color="auto"/>
            <w:bottom w:val="none" w:sz="0" w:space="0" w:color="auto"/>
            <w:right w:val="none" w:sz="0" w:space="0" w:color="auto"/>
          </w:divBdr>
          <w:divsChild>
            <w:div w:id="850799365">
              <w:marLeft w:val="0"/>
              <w:marRight w:val="0"/>
              <w:marTop w:val="0"/>
              <w:marBottom w:val="0"/>
              <w:divBdr>
                <w:top w:val="none" w:sz="0" w:space="0" w:color="auto"/>
                <w:left w:val="none" w:sz="0" w:space="0" w:color="auto"/>
                <w:bottom w:val="none" w:sz="0" w:space="0" w:color="auto"/>
                <w:right w:val="none" w:sz="0" w:space="0" w:color="auto"/>
              </w:divBdr>
              <w:divsChild>
                <w:div w:id="1926186387">
                  <w:marLeft w:val="0"/>
                  <w:marRight w:val="0"/>
                  <w:marTop w:val="0"/>
                  <w:marBottom w:val="0"/>
                  <w:divBdr>
                    <w:top w:val="none" w:sz="0" w:space="0" w:color="auto"/>
                    <w:left w:val="none" w:sz="0" w:space="0" w:color="auto"/>
                    <w:bottom w:val="none" w:sz="0" w:space="0" w:color="auto"/>
                    <w:right w:val="none" w:sz="0" w:space="0" w:color="auto"/>
                  </w:divBdr>
                  <w:divsChild>
                    <w:div w:id="4690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110896">
      <w:bodyDiv w:val="1"/>
      <w:marLeft w:val="0"/>
      <w:marRight w:val="0"/>
      <w:marTop w:val="0"/>
      <w:marBottom w:val="0"/>
      <w:divBdr>
        <w:top w:val="none" w:sz="0" w:space="0" w:color="auto"/>
        <w:left w:val="none" w:sz="0" w:space="0" w:color="auto"/>
        <w:bottom w:val="none" w:sz="0" w:space="0" w:color="auto"/>
        <w:right w:val="none" w:sz="0" w:space="0" w:color="auto"/>
      </w:divBdr>
      <w:divsChild>
        <w:div w:id="1622566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044624">
      <w:bodyDiv w:val="1"/>
      <w:marLeft w:val="0"/>
      <w:marRight w:val="0"/>
      <w:marTop w:val="0"/>
      <w:marBottom w:val="0"/>
      <w:divBdr>
        <w:top w:val="none" w:sz="0" w:space="0" w:color="auto"/>
        <w:left w:val="none" w:sz="0" w:space="0" w:color="auto"/>
        <w:bottom w:val="none" w:sz="0" w:space="0" w:color="auto"/>
        <w:right w:val="none" w:sz="0" w:space="0" w:color="auto"/>
      </w:divBdr>
    </w:div>
    <w:div w:id="290595923">
      <w:bodyDiv w:val="1"/>
      <w:marLeft w:val="0"/>
      <w:marRight w:val="0"/>
      <w:marTop w:val="0"/>
      <w:marBottom w:val="0"/>
      <w:divBdr>
        <w:top w:val="none" w:sz="0" w:space="0" w:color="auto"/>
        <w:left w:val="none" w:sz="0" w:space="0" w:color="auto"/>
        <w:bottom w:val="none" w:sz="0" w:space="0" w:color="auto"/>
        <w:right w:val="none" w:sz="0" w:space="0" w:color="auto"/>
      </w:divBdr>
    </w:div>
    <w:div w:id="322468478">
      <w:bodyDiv w:val="1"/>
      <w:marLeft w:val="0"/>
      <w:marRight w:val="0"/>
      <w:marTop w:val="0"/>
      <w:marBottom w:val="0"/>
      <w:divBdr>
        <w:top w:val="none" w:sz="0" w:space="0" w:color="auto"/>
        <w:left w:val="none" w:sz="0" w:space="0" w:color="auto"/>
        <w:bottom w:val="none" w:sz="0" w:space="0" w:color="auto"/>
        <w:right w:val="none" w:sz="0" w:space="0" w:color="auto"/>
      </w:divBdr>
      <w:divsChild>
        <w:div w:id="1778021218">
          <w:marLeft w:val="0"/>
          <w:marRight w:val="0"/>
          <w:marTop w:val="0"/>
          <w:marBottom w:val="150"/>
          <w:divBdr>
            <w:top w:val="none" w:sz="0" w:space="0" w:color="auto"/>
            <w:left w:val="none" w:sz="0" w:space="0" w:color="auto"/>
            <w:bottom w:val="none" w:sz="0" w:space="0" w:color="auto"/>
            <w:right w:val="none" w:sz="0" w:space="0" w:color="auto"/>
          </w:divBdr>
        </w:div>
      </w:divsChild>
    </w:div>
    <w:div w:id="332492225">
      <w:bodyDiv w:val="1"/>
      <w:marLeft w:val="0"/>
      <w:marRight w:val="0"/>
      <w:marTop w:val="0"/>
      <w:marBottom w:val="0"/>
      <w:divBdr>
        <w:top w:val="none" w:sz="0" w:space="0" w:color="auto"/>
        <w:left w:val="none" w:sz="0" w:space="0" w:color="auto"/>
        <w:bottom w:val="none" w:sz="0" w:space="0" w:color="auto"/>
        <w:right w:val="none" w:sz="0" w:space="0" w:color="auto"/>
      </w:divBdr>
      <w:divsChild>
        <w:div w:id="940184031">
          <w:marLeft w:val="0"/>
          <w:marRight w:val="0"/>
          <w:marTop w:val="0"/>
          <w:marBottom w:val="0"/>
          <w:divBdr>
            <w:top w:val="none" w:sz="0" w:space="0" w:color="auto"/>
            <w:left w:val="none" w:sz="0" w:space="0" w:color="auto"/>
            <w:bottom w:val="none" w:sz="0" w:space="0" w:color="auto"/>
            <w:right w:val="none" w:sz="0" w:space="0" w:color="auto"/>
          </w:divBdr>
          <w:divsChild>
            <w:div w:id="988242412">
              <w:marLeft w:val="0"/>
              <w:marRight w:val="0"/>
              <w:marTop w:val="120"/>
              <w:marBottom w:val="120"/>
              <w:divBdr>
                <w:top w:val="none" w:sz="0" w:space="0" w:color="auto"/>
                <w:left w:val="none" w:sz="0" w:space="0" w:color="auto"/>
                <w:bottom w:val="none" w:sz="0" w:space="0" w:color="auto"/>
                <w:right w:val="none" w:sz="0" w:space="0" w:color="auto"/>
              </w:divBdr>
              <w:divsChild>
                <w:div w:id="1746608412">
                  <w:marLeft w:val="0"/>
                  <w:marRight w:val="0"/>
                  <w:marTop w:val="0"/>
                  <w:marBottom w:val="0"/>
                  <w:divBdr>
                    <w:top w:val="none" w:sz="0" w:space="0" w:color="auto"/>
                    <w:left w:val="none" w:sz="0" w:space="0" w:color="auto"/>
                    <w:bottom w:val="none" w:sz="0" w:space="0" w:color="auto"/>
                    <w:right w:val="none" w:sz="0" w:space="0" w:color="auto"/>
                  </w:divBdr>
                  <w:divsChild>
                    <w:div w:id="132890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145230">
          <w:marLeft w:val="0"/>
          <w:marRight w:val="0"/>
          <w:marTop w:val="0"/>
          <w:marBottom w:val="0"/>
          <w:divBdr>
            <w:top w:val="none" w:sz="0" w:space="0" w:color="auto"/>
            <w:left w:val="none" w:sz="0" w:space="0" w:color="auto"/>
            <w:bottom w:val="none" w:sz="0" w:space="0" w:color="auto"/>
            <w:right w:val="none" w:sz="0" w:space="0" w:color="auto"/>
          </w:divBdr>
          <w:divsChild>
            <w:div w:id="71583515">
              <w:marLeft w:val="0"/>
              <w:marRight w:val="0"/>
              <w:marTop w:val="0"/>
              <w:marBottom w:val="0"/>
              <w:divBdr>
                <w:top w:val="none" w:sz="0" w:space="0" w:color="auto"/>
                <w:left w:val="none" w:sz="0" w:space="0" w:color="auto"/>
                <w:bottom w:val="none" w:sz="0" w:space="0" w:color="auto"/>
                <w:right w:val="none" w:sz="0" w:space="0" w:color="auto"/>
              </w:divBdr>
              <w:divsChild>
                <w:div w:id="1880168155">
                  <w:marLeft w:val="0"/>
                  <w:marRight w:val="0"/>
                  <w:marTop w:val="0"/>
                  <w:marBottom w:val="0"/>
                  <w:divBdr>
                    <w:top w:val="none" w:sz="0" w:space="0" w:color="auto"/>
                    <w:left w:val="none" w:sz="0" w:space="0" w:color="auto"/>
                    <w:bottom w:val="none" w:sz="0" w:space="0" w:color="auto"/>
                    <w:right w:val="none" w:sz="0" w:space="0" w:color="auto"/>
                  </w:divBdr>
                </w:div>
                <w:div w:id="2006856531">
                  <w:marLeft w:val="0"/>
                  <w:marRight w:val="0"/>
                  <w:marTop w:val="0"/>
                  <w:marBottom w:val="0"/>
                  <w:divBdr>
                    <w:top w:val="none" w:sz="0" w:space="0" w:color="auto"/>
                    <w:left w:val="none" w:sz="0" w:space="0" w:color="auto"/>
                    <w:bottom w:val="none" w:sz="0" w:space="0" w:color="auto"/>
                    <w:right w:val="none" w:sz="0" w:space="0" w:color="auto"/>
                  </w:divBdr>
                  <w:divsChild>
                    <w:div w:id="636497753">
                      <w:marLeft w:val="0"/>
                      <w:marRight w:val="0"/>
                      <w:marTop w:val="0"/>
                      <w:marBottom w:val="0"/>
                      <w:divBdr>
                        <w:top w:val="none" w:sz="0" w:space="0" w:color="auto"/>
                        <w:left w:val="none" w:sz="0" w:space="0" w:color="auto"/>
                        <w:bottom w:val="none" w:sz="0" w:space="0" w:color="auto"/>
                        <w:right w:val="none" w:sz="0" w:space="0" w:color="auto"/>
                      </w:divBdr>
                      <w:divsChild>
                        <w:div w:id="874586489">
                          <w:marLeft w:val="0"/>
                          <w:marRight w:val="0"/>
                          <w:marTop w:val="0"/>
                          <w:marBottom w:val="0"/>
                          <w:divBdr>
                            <w:top w:val="none" w:sz="0" w:space="0" w:color="auto"/>
                            <w:left w:val="none" w:sz="0" w:space="0" w:color="auto"/>
                            <w:bottom w:val="none" w:sz="0" w:space="0" w:color="auto"/>
                            <w:right w:val="none" w:sz="0" w:space="0" w:color="auto"/>
                          </w:divBdr>
                          <w:divsChild>
                            <w:div w:id="165206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349447">
      <w:bodyDiv w:val="1"/>
      <w:marLeft w:val="0"/>
      <w:marRight w:val="0"/>
      <w:marTop w:val="0"/>
      <w:marBottom w:val="0"/>
      <w:divBdr>
        <w:top w:val="none" w:sz="0" w:space="0" w:color="auto"/>
        <w:left w:val="none" w:sz="0" w:space="0" w:color="auto"/>
        <w:bottom w:val="none" w:sz="0" w:space="0" w:color="auto"/>
        <w:right w:val="none" w:sz="0" w:space="0" w:color="auto"/>
      </w:divBdr>
      <w:divsChild>
        <w:div w:id="1170365420">
          <w:marLeft w:val="0"/>
          <w:marRight w:val="0"/>
          <w:marTop w:val="0"/>
          <w:marBottom w:val="150"/>
          <w:divBdr>
            <w:top w:val="none" w:sz="0" w:space="0" w:color="auto"/>
            <w:left w:val="none" w:sz="0" w:space="0" w:color="auto"/>
            <w:bottom w:val="none" w:sz="0" w:space="0" w:color="auto"/>
            <w:right w:val="none" w:sz="0" w:space="0" w:color="auto"/>
          </w:divBdr>
        </w:div>
      </w:divsChild>
    </w:div>
    <w:div w:id="338624607">
      <w:bodyDiv w:val="1"/>
      <w:marLeft w:val="0"/>
      <w:marRight w:val="0"/>
      <w:marTop w:val="0"/>
      <w:marBottom w:val="0"/>
      <w:divBdr>
        <w:top w:val="none" w:sz="0" w:space="0" w:color="auto"/>
        <w:left w:val="none" w:sz="0" w:space="0" w:color="auto"/>
        <w:bottom w:val="none" w:sz="0" w:space="0" w:color="auto"/>
        <w:right w:val="none" w:sz="0" w:space="0" w:color="auto"/>
      </w:divBdr>
      <w:divsChild>
        <w:div w:id="509099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7767988">
      <w:bodyDiv w:val="1"/>
      <w:marLeft w:val="0"/>
      <w:marRight w:val="0"/>
      <w:marTop w:val="0"/>
      <w:marBottom w:val="0"/>
      <w:divBdr>
        <w:top w:val="none" w:sz="0" w:space="0" w:color="auto"/>
        <w:left w:val="none" w:sz="0" w:space="0" w:color="auto"/>
        <w:bottom w:val="none" w:sz="0" w:space="0" w:color="auto"/>
        <w:right w:val="none" w:sz="0" w:space="0" w:color="auto"/>
      </w:divBdr>
      <w:divsChild>
        <w:div w:id="1670716412">
          <w:marLeft w:val="0"/>
          <w:marRight w:val="0"/>
          <w:marTop w:val="0"/>
          <w:marBottom w:val="150"/>
          <w:divBdr>
            <w:top w:val="none" w:sz="0" w:space="0" w:color="auto"/>
            <w:left w:val="none" w:sz="0" w:space="0" w:color="auto"/>
            <w:bottom w:val="none" w:sz="0" w:space="0" w:color="auto"/>
            <w:right w:val="none" w:sz="0" w:space="0" w:color="auto"/>
          </w:divBdr>
        </w:div>
      </w:divsChild>
    </w:div>
    <w:div w:id="522287328">
      <w:bodyDiv w:val="1"/>
      <w:marLeft w:val="0"/>
      <w:marRight w:val="0"/>
      <w:marTop w:val="0"/>
      <w:marBottom w:val="0"/>
      <w:divBdr>
        <w:top w:val="none" w:sz="0" w:space="0" w:color="auto"/>
        <w:left w:val="none" w:sz="0" w:space="0" w:color="auto"/>
        <w:bottom w:val="none" w:sz="0" w:space="0" w:color="auto"/>
        <w:right w:val="none" w:sz="0" w:space="0" w:color="auto"/>
      </w:divBdr>
    </w:div>
    <w:div w:id="530069660">
      <w:bodyDiv w:val="1"/>
      <w:marLeft w:val="0"/>
      <w:marRight w:val="0"/>
      <w:marTop w:val="0"/>
      <w:marBottom w:val="0"/>
      <w:divBdr>
        <w:top w:val="none" w:sz="0" w:space="0" w:color="auto"/>
        <w:left w:val="none" w:sz="0" w:space="0" w:color="auto"/>
        <w:bottom w:val="none" w:sz="0" w:space="0" w:color="auto"/>
        <w:right w:val="none" w:sz="0" w:space="0" w:color="auto"/>
      </w:divBdr>
      <w:divsChild>
        <w:div w:id="92015006">
          <w:marLeft w:val="0"/>
          <w:marRight w:val="0"/>
          <w:marTop w:val="0"/>
          <w:marBottom w:val="0"/>
          <w:divBdr>
            <w:top w:val="none" w:sz="0" w:space="0" w:color="auto"/>
            <w:left w:val="none" w:sz="0" w:space="0" w:color="auto"/>
            <w:bottom w:val="none" w:sz="0" w:space="0" w:color="auto"/>
            <w:right w:val="none" w:sz="0" w:space="0" w:color="auto"/>
          </w:divBdr>
        </w:div>
        <w:div w:id="360087122">
          <w:marLeft w:val="0"/>
          <w:marRight w:val="0"/>
          <w:marTop w:val="0"/>
          <w:marBottom w:val="0"/>
          <w:divBdr>
            <w:top w:val="none" w:sz="0" w:space="0" w:color="auto"/>
            <w:left w:val="none" w:sz="0" w:space="0" w:color="auto"/>
            <w:bottom w:val="none" w:sz="0" w:space="0" w:color="auto"/>
            <w:right w:val="none" w:sz="0" w:space="0" w:color="auto"/>
          </w:divBdr>
        </w:div>
        <w:div w:id="379328771">
          <w:marLeft w:val="0"/>
          <w:marRight w:val="0"/>
          <w:marTop w:val="0"/>
          <w:marBottom w:val="0"/>
          <w:divBdr>
            <w:top w:val="none" w:sz="0" w:space="0" w:color="auto"/>
            <w:left w:val="none" w:sz="0" w:space="0" w:color="auto"/>
            <w:bottom w:val="none" w:sz="0" w:space="0" w:color="auto"/>
            <w:right w:val="none" w:sz="0" w:space="0" w:color="auto"/>
          </w:divBdr>
        </w:div>
        <w:div w:id="912087983">
          <w:marLeft w:val="0"/>
          <w:marRight w:val="0"/>
          <w:marTop w:val="0"/>
          <w:marBottom w:val="0"/>
          <w:divBdr>
            <w:top w:val="none" w:sz="0" w:space="0" w:color="auto"/>
            <w:left w:val="none" w:sz="0" w:space="0" w:color="auto"/>
            <w:bottom w:val="none" w:sz="0" w:space="0" w:color="auto"/>
            <w:right w:val="none" w:sz="0" w:space="0" w:color="auto"/>
          </w:divBdr>
        </w:div>
        <w:div w:id="977145975">
          <w:marLeft w:val="0"/>
          <w:marRight w:val="0"/>
          <w:marTop w:val="0"/>
          <w:marBottom w:val="0"/>
          <w:divBdr>
            <w:top w:val="none" w:sz="0" w:space="0" w:color="auto"/>
            <w:left w:val="none" w:sz="0" w:space="0" w:color="auto"/>
            <w:bottom w:val="none" w:sz="0" w:space="0" w:color="auto"/>
            <w:right w:val="none" w:sz="0" w:space="0" w:color="auto"/>
          </w:divBdr>
        </w:div>
        <w:div w:id="987439904">
          <w:marLeft w:val="0"/>
          <w:marRight w:val="0"/>
          <w:marTop w:val="0"/>
          <w:marBottom w:val="0"/>
          <w:divBdr>
            <w:top w:val="none" w:sz="0" w:space="0" w:color="auto"/>
            <w:left w:val="none" w:sz="0" w:space="0" w:color="auto"/>
            <w:bottom w:val="none" w:sz="0" w:space="0" w:color="auto"/>
            <w:right w:val="none" w:sz="0" w:space="0" w:color="auto"/>
          </w:divBdr>
        </w:div>
        <w:div w:id="1018001817">
          <w:marLeft w:val="0"/>
          <w:marRight w:val="0"/>
          <w:marTop w:val="0"/>
          <w:marBottom w:val="0"/>
          <w:divBdr>
            <w:top w:val="none" w:sz="0" w:space="0" w:color="auto"/>
            <w:left w:val="none" w:sz="0" w:space="0" w:color="auto"/>
            <w:bottom w:val="none" w:sz="0" w:space="0" w:color="auto"/>
            <w:right w:val="none" w:sz="0" w:space="0" w:color="auto"/>
          </w:divBdr>
        </w:div>
        <w:div w:id="1038625062">
          <w:marLeft w:val="0"/>
          <w:marRight w:val="0"/>
          <w:marTop w:val="0"/>
          <w:marBottom w:val="0"/>
          <w:divBdr>
            <w:top w:val="none" w:sz="0" w:space="0" w:color="auto"/>
            <w:left w:val="none" w:sz="0" w:space="0" w:color="auto"/>
            <w:bottom w:val="none" w:sz="0" w:space="0" w:color="auto"/>
            <w:right w:val="none" w:sz="0" w:space="0" w:color="auto"/>
          </w:divBdr>
        </w:div>
        <w:div w:id="1245528448">
          <w:marLeft w:val="0"/>
          <w:marRight w:val="0"/>
          <w:marTop w:val="0"/>
          <w:marBottom w:val="0"/>
          <w:divBdr>
            <w:top w:val="none" w:sz="0" w:space="0" w:color="auto"/>
            <w:left w:val="none" w:sz="0" w:space="0" w:color="auto"/>
            <w:bottom w:val="none" w:sz="0" w:space="0" w:color="auto"/>
            <w:right w:val="none" w:sz="0" w:space="0" w:color="auto"/>
          </w:divBdr>
        </w:div>
        <w:div w:id="1482966907">
          <w:marLeft w:val="0"/>
          <w:marRight w:val="0"/>
          <w:marTop w:val="0"/>
          <w:marBottom w:val="0"/>
          <w:divBdr>
            <w:top w:val="none" w:sz="0" w:space="0" w:color="auto"/>
            <w:left w:val="none" w:sz="0" w:space="0" w:color="auto"/>
            <w:bottom w:val="none" w:sz="0" w:space="0" w:color="auto"/>
            <w:right w:val="none" w:sz="0" w:space="0" w:color="auto"/>
          </w:divBdr>
        </w:div>
        <w:div w:id="1584953420">
          <w:marLeft w:val="0"/>
          <w:marRight w:val="0"/>
          <w:marTop w:val="0"/>
          <w:marBottom w:val="0"/>
          <w:divBdr>
            <w:top w:val="none" w:sz="0" w:space="0" w:color="auto"/>
            <w:left w:val="none" w:sz="0" w:space="0" w:color="auto"/>
            <w:bottom w:val="none" w:sz="0" w:space="0" w:color="auto"/>
            <w:right w:val="none" w:sz="0" w:space="0" w:color="auto"/>
          </w:divBdr>
        </w:div>
        <w:div w:id="1603797921">
          <w:marLeft w:val="0"/>
          <w:marRight w:val="0"/>
          <w:marTop w:val="0"/>
          <w:marBottom w:val="0"/>
          <w:divBdr>
            <w:top w:val="none" w:sz="0" w:space="0" w:color="auto"/>
            <w:left w:val="none" w:sz="0" w:space="0" w:color="auto"/>
            <w:bottom w:val="none" w:sz="0" w:space="0" w:color="auto"/>
            <w:right w:val="none" w:sz="0" w:space="0" w:color="auto"/>
          </w:divBdr>
        </w:div>
        <w:div w:id="1814522777">
          <w:marLeft w:val="0"/>
          <w:marRight w:val="0"/>
          <w:marTop w:val="0"/>
          <w:marBottom w:val="0"/>
          <w:divBdr>
            <w:top w:val="none" w:sz="0" w:space="0" w:color="auto"/>
            <w:left w:val="none" w:sz="0" w:space="0" w:color="auto"/>
            <w:bottom w:val="none" w:sz="0" w:space="0" w:color="auto"/>
            <w:right w:val="none" w:sz="0" w:space="0" w:color="auto"/>
          </w:divBdr>
        </w:div>
        <w:div w:id="1908372841">
          <w:marLeft w:val="0"/>
          <w:marRight w:val="0"/>
          <w:marTop w:val="0"/>
          <w:marBottom w:val="0"/>
          <w:divBdr>
            <w:top w:val="none" w:sz="0" w:space="0" w:color="auto"/>
            <w:left w:val="none" w:sz="0" w:space="0" w:color="auto"/>
            <w:bottom w:val="none" w:sz="0" w:space="0" w:color="auto"/>
            <w:right w:val="none" w:sz="0" w:space="0" w:color="auto"/>
          </w:divBdr>
        </w:div>
        <w:div w:id="2002153656">
          <w:marLeft w:val="0"/>
          <w:marRight w:val="0"/>
          <w:marTop w:val="0"/>
          <w:marBottom w:val="0"/>
          <w:divBdr>
            <w:top w:val="none" w:sz="0" w:space="0" w:color="auto"/>
            <w:left w:val="none" w:sz="0" w:space="0" w:color="auto"/>
            <w:bottom w:val="none" w:sz="0" w:space="0" w:color="auto"/>
            <w:right w:val="none" w:sz="0" w:space="0" w:color="auto"/>
          </w:divBdr>
        </w:div>
        <w:div w:id="2008899052">
          <w:marLeft w:val="0"/>
          <w:marRight w:val="0"/>
          <w:marTop w:val="0"/>
          <w:marBottom w:val="0"/>
          <w:divBdr>
            <w:top w:val="none" w:sz="0" w:space="0" w:color="auto"/>
            <w:left w:val="none" w:sz="0" w:space="0" w:color="auto"/>
            <w:bottom w:val="none" w:sz="0" w:space="0" w:color="auto"/>
            <w:right w:val="none" w:sz="0" w:space="0" w:color="auto"/>
          </w:divBdr>
        </w:div>
        <w:div w:id="2083285275">
          <w:marLeft w:val="0"/>
          <w:marRight w:val="0"/>
          <w:marTop w:val="0"/>
          <w:marBottom w:val="0"/>
          <w:divBdr>
            <w:top w:val="none" w:sz="0" w:space="0" w:color="auto"/>
            <w:left w:val="none" w:sz="0" w:space="0" w:color="auto"/>
            <w:bottom w:val="none" w:sz="0" w:space="0" w:color="auto"/>
            <w:right w:val="none" w:sz="0" w:space="0" w:color="auto"/>
          </w:divBdr>
        </w:div>
        <w:div w:id="2095398579">
          <w:marLeft w:val="0"/>
          <w:marRight w:val="0"/>
          <w:marTop w:val="0"/>
          <w:marBottom w:val="0"/>
          <w:divBdr>
            <w:top w:val="none" w:sz="0" w:space="0" w:color="auto"/>
            <w:left w:val="none" w:sz="0" w:space="0" w:color="auto"/>
            <w:bottom w:val="none" w:sz="0" w:space="0" w:color="auto"/>
            <w:right w:val="none" w:sz="0" w:space="0" w:color="auto"/>
          </w:divBdr>
        </w:div>
        <w:div w:id="2123188371">
          <w:marLeft w:val="0"/>
          <w:marRight w:val="0"/>
          <w:marTop w:val="0"/>
          <w:marBottom w:val="0"/>
          <w:divBdr>
            <w:top w:val="none" w:sz="0" w:space="0" w:color="auto"/>
            <w:left w:val="none" w:sz="0" w:space="0" w:color="auto"/>
            <w:bottom w:val="none" w:sz="0" w:space="0" w:color="auto"/>
            <w:right w:val="none" w:sz="0" w:space="0" w:color="auto"/>
          </w:divBdr>
        </w:div>
      </w:divsChild>
    </w:div>
    <w:div w:id="531193662">
      <w:bodyDiv w:val="1"/>
      <w:marLeft w:val="0"/>
      <w:marRight w:val="0"/>
      <w:marTop w:val="0"/>
      <w:marBottom w:val="0"/>
      <w:divBdr>
        <w:top w:val="none" w:sz="0" w:space="0" w:color="auto"/>
        <w:left w:val="none" w:sz="0" w:space="0" w:color="auto"/>
        <w:bottom w:val="none" w:sz="0" w:space="0" w:color="auto"/>
        <w:right w:val="none" w:sz="0" w:space="0" w:color="auto"/>
      </w:divBdr>
      <w:divsChild>
        <w:div w:id="174855290">
          <w:marLeft w:val="0"/>
          <w:marRight w:val="0"/>
          <w:marTop w:val="0"/>
          <w:marBottom w:val="0"/>
          <w:divBdr>
            <w:top w:val="none" w:sz="0" w:space="0" w:color="auto"/>
            <w:left w:val="none" w:sz="0" w:space="0" w:color="auto"/>
            <w:bottom w:val="none" w:sz="0" w:space="0" w:color="auto"/>
            <w:right w:val="none" w:sz="0" w:space="0" w:color="auto"/>
          </w:divBdr>
        </w:div>
        <w:div w:id="206112793">
          <w:marLeft w:val="0"/>
          <w:marRight w:val="0"/>
          <w:marTop w:val="0"/>
          <w:marBottom w:val="0"/>
          <w:divBdr>
            <w:top w:val="none" w:sz="0" w:space="0" w:color="auto"/>
            <w:left w:val="none" w:sz="0" w:space="0" w:color="auto"/>
            <w:bottom w:val="none" w:sz="0" w:space="0" w:color="auto"/>
            <w:right w:val="none" w:sz="0" w:space="0" w:color="auto"/>
          </w:divBdr>
        </w:div>
        <w:div w:id="214237863">
          <w:marLeft w:val="0"/>
          <w:marRight w:val="0"/>
          <w:marTop w:val="0"/>
          <w:marBottom w:val="0"/>
          <w:divBdr>
            <w:top w:val="none" w:sz="0" w:space="0" w:color="auto"/>
            <w:left w:val="none" w:sz="0" w:space="0" w:color="auto"/>
            <w:bottom w:val="none" w:sz="0" w:space="0" w:color="auto"/>
            <w:right w:val="none" w:sz="0" w:space="0" w:color="auto"/>
          </w:divBdr>
        </w:div>
        <w:div w:id="236132564">
          <w:marLeft w:val="0"/>
          <w:marRight w:val="0"/>
          <w:marTop w:val="0"/>
          <w:marBottom w:val="0"/>
          <w:divBdr>
            <w:top w:val="none" w:sz="0" w:space="0" w:color="auto"/>
            <w:left w:val="none" w:sz="0" w:space="0" w:color="auto"/>
            <w:bottom w:val="none" w:sz="0" w:space="0" w:color="auto"/>
            <w:right w:val="none" w:sz="0" w:space="0" w:color="auto"/>
          </w:divBdr>
        </w:div>
        <w:div w:id="336229603">
          <w:marLeft w:val="0"/>
          <w:marRight w:val="0"/>
          <w:marTop w:val="0"/>
          <w:marBottom w:val="0"/>
          <w:divBdr>
            <w:top w:val="none" w:sz="0" w:space="0" w:color="auto"/>
            <w:left w:val="none" w:sz="0" w:space="0" w:color="auto"/>
            <w:bottom w:val="none" w:sz="0" w:space="0" w:color="auto"/>
            <w:right w:val="none" w:sz="0" w:space="0" w:color="auto"/>
          </w:divBdr>
        </w:div>
        <w:div w:id="550848491">
          <w:marLeft w:val="0"/>
          <w:marRight w:val="0"/>
          <w:marTop w:val="0"/>
          <w:marBottom w:val="0"/>
          <w:divBdr>
            <w:top w:val="none" w:sz="0" w:space="0" w:color="auto"/>
            <w:left w:val="none" w:sz="0" w:space="0" w:color="auto"/>
            <w:bottom w:val="none" w:sz="0" w:space="0" w:color="auto"/>
            <w:right w:val="none" w:sz="0" w:space="0" w:color="auto"/>
          </w:divBdr>
        </w:div>
        <w:div w:id="563833884">
          <w:marLeft w:val="0"/>
          <w:marRight w:val="0"/>
          <w:marTop w:val="0"/>
          <w:marBottom w:val="0"/>
          <w:divBdr>
            <w:top w:val="none" w:sz="0" w:space="0" w:color="auto"/>
            <w:left w:val="none" w:sz="0" w:space="0" w:color="auto"/>
            <w:bottom w:val="none" w:sz="0" w:space="0" w:color="auto"/>
            <w:right w:val="none" w:sz="0" w:space="0" w:color="auto"/>
          </w:divBdr>
        </w:div>
        <w:div w:id="793672246">
          <w:marLeft w:val="0"/>
          <w:marRight w:val="0"/>
          <w:marTop w:val="0"/>
          <w:marBottom w:val="0"/>
          <w:divBdr>
            <w:top w:val="none" w:sz="0" w:space="0" w:color="auto"/>
            <w:left w:val="none" w:sz="0" w:space="0" w:color="auto"/>
            <w:bottom w:val="none" w:sz="0" w:space="0" w:color="auto"/>
            <w:right w:val="none" w:sz="0" w:space="0" w:color="auto"/>
          </w:divBdr>
        </w:div>
        <w:div w:id="853156237">
          <w:marLeft w:val="0"/>
          <w:marRight w:val="0"/>
          <w:marTop w:val="0"/>
          <w:marBottom w:val="0"/>
          <w:divBdr>
            <w:top w:val="none" w:sz="0" w:space="0" w:color="auto"/>
            <w:left w:val="none" w:sz="0" w:space="0" w:color="auto"/>
            <w:bottom w:val="none" w:sz="0" w:space="0" w:color="auto"/>
            <w:right w:val="none" w:sz="0" w:space="0" w:color="auto"/>
          </w:divBdr>
        </w:div>
        <w:div w:id="996491289">
          <w:marLeft w:val="0"/>
          <w:marRight w:val="0"/>
          <w:marTop w:val="0"/>
          <w:marBottom w:val="0"/>
          <w:divBdr>
            <w:top w:val="none" w:sz="0" w:space="0" w:color="auto"/>
            <w:left w:val="none" w:sz="0" w:space="0" w:color="auto"/>
            <w:bottom w:val="none" w:sz="0" w:space="0" w:color="auto"/>
            <w:right w:val="none" w:sz="0" w:space="0" w:color="auto"/>
          </w:divBdr>
        </w:div>
        <w:div w:id="1026836257">
          <w:marLeft w:val="0"/>
          <w:marRight w:val="0"/>
          <w:marTop w:val="0"/>
          <w:marBottom w:val="0"/>
          <w:divBdr>
            <w:top w:val="none" w:sz="0" w:space="0" w:color="auto"/>
            <w:left w:val="none" w:sz="0" w:space="0" w:color="auto"/>
            <w:bottom w:val="none" w:sz="0" w:space="0" w:color="auto"/>
            <w:right w:val="none" w:sz="0" w:space="0" w:color="auto"/>
          </w:divBdr>
        </w:div>
        <w:div w:id="1439834871">
          <w:marLeft w:val="0"/>
          <w:marRight w:val="0"/>
          <w:marTop w:val="0"/>
          <w:marBottom w:val="0"/>
          <w:divBdr>
            <w:top w:val="none" w:sz="0" w:space="0" w:color="auto"/>
            <w:left w:val="none" w:sz="0" w:space="0" w:color="auto"/>
            <w:bottom w:val="none" w:sz="0" w:space="0" w:color="auto"/>
            <w:right w:val="none" w:sz="0" w:space="0" w:color="auto"/>
          </w:divBdr>
        </w:div>
        <w:div w:id="1528520905">
          <w:marLeft w:val="0"/>
          <w:marRight w:val="0"/>
          <w:marTop w:val="0"/>
          <w:marBottom w:val="0"/>
          <w:divBdr>
            <w:top w:val="none" w:sz="0" w:space="0" w:color="auto"/>
            <w:left w:val="none" w:sz="0" w:space="0" w:color="auto"/>
            <w:bottom w:val="none" w:sz="0" w:space="0" w:color="auto"/>
            <w:right w:val="none" w:sz="0" w:space="0" w:color="auto"/>
          </w:divBdr>
        </w:div>
        <w:div w:id="1567454282">
          <w:marLeft w:val="0"/>
          <w:marRight w:val="0"/>
          <w:marTop w:val="0"/>
          <w:marBottom w:val="0"/>
          <w:divBdr>
            <w:top w:val="none" w:sz="0" w:space="0" w:color="auto"/>
            <w:left w:val="none" w:sz="0" w:space="0" w:color="auto"/>
            <w:bottom w:val="none" w:sz="0" w:space="0" w:color="auto"/>
            <w:right w:val="none" w:sz="0" w:space="0" w:color="auto"/>
          </w:divBdr>
        </w:div>
        <w:div w:id="1635790254">
          <w:marLeft w:val="0"/>
          <w:marRight w:val="0"/>
          <w:marTop w:val="0"/>
          <w:marBottom w:val="0"/>
          <w:divBdr>
            <w:top w:val="none" w:sz="0" w:space="0" w:color="auto"/>
            <w:left w:val="none" w:sz="0" w:space="0" w:color="auto"/>
            <w:bottom w:val="none" w:sz="0" w:space="0" w:color="auto"/>
            <w:right w:val="none" w:sz="0" w:space="0" w:color="auto"/>
          </w:divBdr>
        </w:div>
        <w:div w:id="1703170576">
          <w:marLeft w:val="0"/>
          <w:marRight w:val="0"/>
          <w:marTop w:val="0"/>
          <w:marBottom w:val="0"/>
          <w:divBdr>
            <w:top w:val="none" w:sz="0" w:space="0" w:color="auto"/>
            <w:left w:val="none" w:sz="0" w:space="0" w:color="auto"/>
            <w:bottom w:val="none" w:sz="0" w:space="0" w:color="auto"/>
            <w:right w:val="none" w:sz="0" w:space="0" w:color="auto"/>
          </w:divBdr>
        </w:div>
        <w:div w:id="1819877038">
          <w:marLeft w:val="0"/>
          <w:marRight w:val="0"/>
          <w:marTop w:val="0"/>
          <w:marBottom w:val="0"/>
          <w:divBdr>
            <w:top w:val="none" w:sz="0" w:space="0" w:color="auto"/>
            <w:left w:val="none" w:sz="0" w:space="0" w:color="auto"/>
            <w:bottom w:val="none" w:sz="0" w:space="0" w:color="auto"/>
            <w:right w:val="none" w:sz="0" w:space="0" w:color="auto"/>
          </w:divBdr>
        </w:div>
        <w:div w:id="1973899152">
          <w:marLeft w:val="0"/>
          <w:marRight w:val="0"/>
          <w:marTop w:val="0"/>
          <w:marBottom w:val="0"/>
          <w:divBdr>
            <w:top w:val="none" w:sz="0" w:space="0" w:color="auto"/>
            <w:left w:val="none" w:sz="0" w:space="0" w:color="auto"/>
            <w:bottom w:val="none" w:sz="0" w:space="0" w:color="auto"/>
            <w:right w:val="none" w:sz="0" w:space="0" w:color="auto"/>
          </w:divBdr>
        </w:div>
        <w:div w:id="2130584514">
          <w:marLeft w:val="0"/>
          <w:marRight w:val="0"/>
          <w:marTop w:val="0"/>
          <w:marBottom w:val="0"/>
          <w:divBdr>
            <w:top w:val="none" w:sz="0" w:space="0" w:color="auto"/>
            <w:left w:val="none" w:sz="0" w:space="0" w:color="auto"/>
            <w:bottom w:val="none" w:sz="0" w:space="0" w:color="auto"/>
            <w:right w:val="none" w:sz="0" w:space="0" w:color="auto"/>
          </w:divBdr>
        </w:div>
      </w:divsChild>
    </w:div>
    <w:div w:id="540358934">
      <w:bodyDiv w:val="1"/>
      <w:marLeft w:val="0"/>
      <w:marRight w:val="0"/>
      <w:marTop w:val="0"/>
      <w:marBottom w:val="0"/>
      <w:divBdr>
        <w:top w:val="none" w:sz="0" w:space="0" w:color="auto"/>
        <w:left w:val="none" w:sz="0" w:space="0" w:color="auto"/>
        <w:bottom w:val="none" w:sz="0" w:space="0" w:color="auto"/>
        <w:right w:val="none" w:sz="0" w:space="0" w:color="auto"/>
      </w:divBdr>
    </w:div>
    <w:div w:id="554463918">
      <w:bodyDiv w:val="1"/>
      <w:marLeft w:val="0"/>
      <w:marRight w:val="0"/>
      <w:marTop w:val="0"/>
      <w:marBottom w:val="0"/>
      <w:divBdr>
        <w:top w:val="none" w:sz="0" w:space="0" w:color="auto"/>
        <w:left w:val="none" w:sz="0" w:space="0" w:color="auto"/>
        <w:bottom w:val="none" w:sz="0" w:space="0" w:color="auto"/>
        <w:right w:val="none" w:sz="0" w:space="0" w:color="auto"/>
      </w:divBdr>
    </w:div>
    <w:div w:id="556168068">
      <w:bodyDiv w:val="1"/>
      <w:marLeft w:val="0"/>
      <w:marRight w:val="0"/>
      <w:marTop w:val="0"/>
      <w:marBottom w:val="0"/>
      <w:divBdr>
        <w:top w:val="none" w:sz="0" w:space="0" w:color="auto"/>
        <w:left w:val="none" w:sz="0" w:space="0" w:color="auto"/>
        <w:bottom w:val="none" w:sz="0" w:space="0" w:color="auto"/>
        <w:right w:val="none" w:sz="0" w:space="0" w:color="auto"/>
      </w:divBdr>
    </w:div>
    <w:div w:id="608128295">
      <w:bodyDiv w:val="1"/>
      <w:marLeft w:val="0"/>
      <w:marRight w:val="0"/>
      <w:marTop w:val="0"/>
      <w:marBottom w:val="0"/>
      <w:divBdr>
        <w:top w:val="none" w:sz="0" w:space="0" w:color="auto"/>
        <w:left w:val="none" w:sz="0" w:space="0" w:color="auto"/>
        <w:bottom w:val="none" w:sz="0" w:space="0" w:color="auto"/>
        <w:right w:val="none" w:sz="0" w:space="0" w:color="auto"/>
      </w:divBdr>
    </w:div>
    <w:div w:id="654528480">
      <w:bodyDiv w:val="1"/>
      <w:marLeft w:val="0"/>
      <w:marRight w:val="0"/>
      <w:marTop w:val="0"/>
      <w:marBottom w:val="0"/>
      <w:divBdr>
        <w:top w:val="none" w:sz="0" w:space="0" w:color="auto"/>
        <w:left w:val="none" w:sz="0" w:space="0" w:color="auto"/>
        <w:bottom w:val="none" w:sz="0" w:space="0" w:color="auto"/>
        <w:right w:val="none" w:sz="0" w:space="0" w:color="auto"/>
      </w:divBdr>
    </w:div>
    <w:div w:id="720709714">
      <w:bodyDiv w:val="1"/>
      <w:marLeft w:val="0"/>
      <w:marRight w:val="0"/>
      <w:marTop w:val="0"/>
      <w:marBottom w:val="0"/>
      <w:divBdr>
        <w:top w:val="none" w:sz="0" w:space="0" w:color="auto"/>
        <w:left w:val="none" w:sz="0" w:space="0" w:color="auto"/>
        <w:bottom w:val="none" w:sz="0" w:space="0" w:color="auto"/>
        <w:right w:val="none" w:sz="0" w:space="0" w:color="auto"/>
      </w:divBdr>
    </w:div>
    <w:div w:id="724377982">
      <w:bodyDiv w:val="1"/>
      <w:marLeft w:val="0"/>
      <w:marRight w:val="0"/>
      <w:marTop w:val="0"/>
      <w:marBottom w:val="0"/>
      <w:divBdr>
        <w:top w:val="none" w:sz="0" w:space="0" w:color="auto"/>
        <w:left w:val="none" w:sz="0" w:space="0" w:color="auto"/>
        <w:bottom w:val="none" w:sz="0" w:space="0" w:color="auto"/>
        <w:right w:val="none" w:sz="0" w:space="0" w:color="auto"/>
      </w:divBdr>
    </w:div>
    <w:div w:id="809442108">
      <w:bodyDiv w:val="1"/>
      <w:marLeft w:val="0"/>
      <w:marRight w:val="0"/>
      <w:marTop w:val="0"/>
      <w:marBottom w:val="0"/>
      <w:divBdr>
        <w:top w:val="none" w:sz="0" w:space="0" w:color="auto"/>
        <w:left w:val="none" w:sz="0" w:space="0" w:color="auto"/>
        <w:bottom w:val="none" w:sz="0" w:space="0" w:color="auto"/>
        <w:right w:val="none" w:sz="0" w:space="0" w:color="auto"/>
      </w:divBdr>
    </w:div>
    <w:div w:id="810949420">
      <w:bodyDiv w:val="1"/>
      <w:marLeft w:val="0"/>
      <w:marRight w:val="0"/>
      <w:marTop w:val="0"/>
      <w:marBottom w:val="0"/>
      <w:divBdr>
        <w:top w:val="none" w:sz="0" w:space="0" w:color="auto"/>
        <w:left w:val="none" w:sz="0" w:space="0" w:color="auto"/>
        <w:bottom w:val="none" w:sz="0" w:space="0" w:color="auto"/>
        <w:right w:val="none" w:sz="0" w:space="0" w:color="auto"/>
      </w:divBdr>
      <w:divsChild>
        <w:div w:id="197011433">
          <w:marLeft w:val="0"/>
          <w:marRight w:val="0"/>
          <w:marTop w:val="0"/>
          <w:marBottom w:val="0"/>
          <w:divBdr>
            <w:top w:val="none" w:sz="0" w:space="0" w:color="auto"/>
            <w:left w:val="none" w:sz="0" w:space="0" w:color="auto"/>
            <w:bottom w:val="none" w:sz="0" w:space="0" w:color="auto"/>
            <w:right w:val="none" w:sz="0" w:space="0" w:color="auto"/>
          </w:divBdr>
          <w:divsChild>
            <w:div w:id="24213950">
              <w:marLeft w:val="0"/>
              <w:marRight w:val="0"/>
              <w:marTop w:val="0"/>
              <w:marBottom w:val="0"/>
              <w:divBdr>
                <w:top w:val="none" w:sz="0" w:space="0" w:color="auto"/>
                <w:left w:val="none" w:sz="0" w:space="0" w:color="auto"/>
                <w:bottom w:val="none" w:sz="0" w:space="0" w:color="auto"/>
                <w:right w:val="none" w:sz="0" w:space="0" w:color="auto"/>
              </w:divBdr>
              <w:divsChild>
                <w:div w:id="24986765">
                  <w:marLeft w:val="0"/>
                  <w:marRight w:val="0"/>
                  <w:marTop w:val="0"/>
                  <w:marBottom w:val="0"/>
                  <w:divBdr>
                    <w:top w:val="none" w:sz="0" w:space="0" w:color="auto"/>
                    <w:left w:val="none" w:sz="0" w:space="0" w:color="auto"/>
                    <w:bottom w:val="none" w:sz="0" w:space="0" w:color="auto"/>
                    <w:right w:val="none" w:sz="0" w:space="0" w:color="auto"/>
                  </w:divBdr>
                  <w:divsChild>
                    <w:div w:id="728696245">
                      <w:marLeft w:val="0"/>
                      <w:marRight w:val="0"/>
                      <w:marTop w:val="0"/>
                      <w:marBottom w:val="0"/>
                      <w:divBdr>
                        <w:top w:val="none" w:sz="0" w:space="0" w:color="auto"/>
                        <w:left w:val="none" w:sz="0" w:space="0" w:color="auto"/>
                        <w:bottom w:val="none" w:sz="0" w:space="0" w:color="auto"/>
                        <w:right w:val="none" w:sz="0" w:space="0" w:color="auto"/>
                      </w:divBdr>
                      <w:divsChild>
                        <w:div w:id="1301378056">
                          <w:marLeft w:val="0"/>
                          <w:marRight w:val="0"/>
                          <w:marTop w:val="0"/>
                          <w:marBottom w:val="0"/>
                          <w:divBdr>
                            <w:top w:val="none" w:sz="0" w:space="0" w:color="auto"/>
                            <w:left w:val="none" w:sz="0" w:space="0" w:color="auto"/>
                            <w:bottom w:val="none" w:sz="0" w:space="0" w:color="auto"/>
                            <w:right w:val="none" w:sz="0" w:space="0" w:color="auto"/>
                          </w:divBdr>
                          <w:divsChild>
                            <w:div w:id="1166746912">
                              <w:marLeft w:val="0"/>
                              <w:marRight w:val="0"/>
                              <w:marTop w:val="0"/>
                              <w:marBottom w:val="0"/>
                              <w:divBdr>
                                <w:top w:val="none" w:sz="0" w:space="0" w:color="auto"/>
                                <w:left w:val="none" w:sz="0" w:space="0" w:color="auto"/>
                                <w:bottom w:val="none" w:sz="0" w:space="0" w:color="auto"/>
                                <w:right w:val="none" w:sz="0" w:space="0" w:color="auto"/>
                              </w:divBdr>
                              <w:divsChild>
                                <w:div w:id="2003700872">
                                  <w:marLeft w:val="0"/>
                                  <w:marRight w:val="0"/>
                                  <w:marTop w:val="0"/>
                                  <w:marBottom w:val="0"/>
                                  <w:divBdr>
                                    <w:top w:val="none" w:sz="0" w:space="0" w:color="auto"/>
                                    <w:left w:val="none" w:sz="0" w:space="0" w:color="auto"/>
                                    <w:bottom w:val="none" w:sz="0" w:space="0" w:color="auto"/>
                                    <w:right w:val="none" w:sz="0" w:space="0" w:color="auto"/>
                                  </w:divBdr>
                                  <w:divsChild>
                                    <w:div w:id="198458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024788">
                          <w:marLeft w:val="0"/>
                          <w:marRight w:val="0"/>
                          <w:marTop w:val="0"/>
                          <w:marBottom w:val="0"/>
                          <w:divBdr>
                            <w:top w:val="none" w:sz="0" w:space="0" w:color="auto"/>
                            <w:left w:val="none" w:sz="0" w:space="0" w:color="auto"/>
                            <w:bottom w:val="none" w:sz="0" w:space="0" w:color="auto"/>
                            <w:right w:val="none" w:sz="0" w:space="0" w:color="auto"/>
                          </w:divBdr>
                          <w:divsChild>
                            <w:div w:id="1226181765">
                              <w:marLeft w:val="0"/>
                              <w:marRight w:val="0"/>
                              <w:marTop w:val="0"/>
                              <w:marBottom w:val="0"/>
                              <w:divBdr>
                                <w:top w:val="none" w:sz="0" w:space="0" w:color="auto"/>
                                <w:left w:val="none" w:sz="0" w:space="0" w:color="auto"/>
                                <w:bottom w:val="none" w:sz="0" w:space="0" w:color="auto"/>
                                <w:right w:val="none" w:sz="0" w:space="0" w:color="auto"/>
                              </w:divBdr>
                              <w:divsChild>
                                <w:div w:id="195069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6430278">
      <w:bodyDiv w:val="1"/>
      <w:marLeft w:val="0"/>
      <w:marRight w:val="0"/>
      <w:marTop w:val="0"/>
      <w:marBottom w:val="0"/>
      <w:divBdr>
        <w:top w:val="none" w:sz="0" w:space="0" w:color="auto"/>
        <w:left w:val="none" w:sz="0" w:space="0" w:color="auto"/>
        <w:bottom w:val="none" w:sz="0" w:space="0" w:color="auto"/>
        <w:right w:val="none" w:sz="0" w:space="0" w:color="auto"/>
      </w:divBdr>
      <w:divsChild>
        <w:div w:id="176619745">
          <w:marLeft w:val="0"/>
          <w:marRight w:val="0"/>
          <w:marTop w:val="0"/>
          <w:marBottom w:val="150"/>
          <w:divBdr>
            <w:top w:val="none" w:sz="0" w:space="0" w:color="auto"/>
            <w:left w:val="none" w:sz="0" w:space="0" w:color="auto"/>
            <w:bottom w:val="none" w:sz="0" w:space="0" w:color="auto"/>
            <w:right w:val="none" w:sz="0" w:space="0" w:color="auto"/>
          </w:divBdr>
        </w:div>
      </w:divsChild>
    </w:div>
    <w:div w:id="895778522">
      <w:bodyDiv w:val="1"/>
      <w:marLeft w:val="0"/>
      <w:marRight w:val="0"/>
      <w:marTop w:val="0"/>
      <w:marBottom w:val="0"/>
      <w:divBdr>
        <w:top w:val="none" w:sz="0" w:space="0" w:color="auto"/>
        <w:left w:val="none" w:sz="0" w:space="0" w:color="auto"/>
        <w:bottom w:val="none" w:sz="0" w:space="0" w:color="auto"/>
        <w:right w:val="none" w:sz="0" w:space="0" w:color="auto"/>
      </w:divBdr>
    </w:div>
    <w:div w:id="924925202">
      <w:bodyDiv w:val="1"/>
      <w:marLeft w:val="0"/>
      <w:marRight w:val="0"/>
      <w:marTop w:val="0"/>
      <w:marBottom w:val="0"/>
      <w:divBdr>
        <w:top w:val="none" w:sz="0" w:space="0" w:color="auto"/>
        <w:left w:val="none" w:sz="0" w:space="0" w:color="auto"/>
        <w:bottom w:val="none" w:sz="0" w:space="0" w:color="auto"/>
        <w:right w:val="none" w:sz="0" w:space="0" w:color="auto"/>
      </w:divBdr>
    </w:div>
    <w:div w:id="954212756">
      <w:bodyDiv w:val="1"/>
      <w:marLeft w:val="0"/>
      <w:marRight w:val="0"/>
      <w:marTop w:val="0"/>
      <w:marBottom w:val="0"/>
      <w:divBdr>
        <w:top w:val="none" w:sz="0" w:space="0" w:color="auto"/>
        <w:left w:val="none" w:sz="0" w:space="0" w:color="auto"/>
        <w:bottom w:val="none" w:sz="0" w:space="0" w:color="auto"/>
        <w:right w:val="none" w:sz="0" w:space="0" w:color="auto"/>
      </w:divBdr>
      <w:divsChild>
        <w:div w:id="1692797931">
          <w:marLeft w:val="0"/>
          <w:marRight w:val="0"/>
          <w:marTop w:val="0"/>
          <w:marBottom w:val="150"/>
          <w:divBdr>
            <w:top w:val="none" w:sz="0" w:space="0" w:color="auto"/>
            <w:left w:val="none" w:sz="0" w:space="0" w:color="auto"/>
            <w:bottom w:val="none" w:sz="0" w:space="0" w:color="auto"/>
            <w:right w:val="none" w:sz="0" w:space="0" w:color="auto"/>
          </w:divBdr>
        </w:div>
      </w:divsChild>
    </w:div>
    <w:div w:id="983314736">
      <w:bodyDiv w:val="1"/>
      <w:marLeft w:val="0"/>
      <w:marRight w:val="0"/>
      <w:marTop w:val="0"/>
      <w:marBottom w:val="0"/>
      <w:divBdr>
        <w:top w:val="none" w:sz="0" w:space="0" w:color="auto"/>
        <w:left w:val="none" w:sz="0" w:space="0" w:color="auto"/>
        <w:bottom w:val="none" w:sz="0" w:space="0" w:color="auto"/>
        <w:right w:val="none" w:sz="0" w:space="0" w:color="auto"/>
      </w:divBdr>
    </w:div>
    <w:div w:id="1018432300">
      <w:bodyDiv w:val="1"/>
      <w:marLeft w:val="0"/>
      <w:marRight w:val="0"/>
      <w:marTop w:val="0"/>
      <w:marBottom w:val="0"/>
      <w:divBdr>
        <w:top w:val="none" w:sz="0" w:space="0" w:color="auto"/>
        <w:left w:val="none" w:sz="0" w:space="0" w:color="auto"/>
        <w:bottom w:val="none" w:sz="0" w:space="0" w:color="auto"/>
        <w:right w:val="none" w:sz="0" w:space="0" w:color="auto"/>
      </w:divBdr>
    </w:div>
    <w:div w:id="1098676521">
      <w:bodyDiv w:val="1"/>
      <w:marLeft w:val="0"/>
      <w:marRight w:val="0"/>
      <w:marTop w:val="0"/>
      <w:marBottom w:val="0"/>
      <w:divBdr>
        <w:top w:val="none" w:sz="0" w:space="0" w:color="auto"/>
        <w:left w:val="none" w:sz="0" w:space="0" w:color="auto"/>
        <w:bottom w:val="none" w:sz="0" w:space="0" w:color="auto"/>
        <w:right w:val="none" w:sz="0" w:space="0" w:color="auto"/>
      </w:divBdr>
    </w:div>
    <w:div w:id="1158691050">
      <w:bodyDiv w:val="1"/>
      <w:marLeft w:val="0"/>
      <w:marRight w:val="0"/>
      <w:marTop w:val="0"/>
      <w:marBottom w:val="0"/>
      <w:divBdr>
        <w:top w:val="none" w:sz="0" w:space="0" w:color="auto"/>
        <w:left w:val="none" w:sz="0" w:space="0" w:color="auto"/>
        <w:bottom w:val="none" w:sz="0" w:space="0" w:color="auto"/>
        <w:right w:val="none" w:sz="0" w:space="0" w:color="auto"/>
      </w:divBdr>
      <w:divsChild>
        <w:div w:id="405880234">
          <w:marLeft w:val="0"/>
          <w:marRight w:val="0"/>
          <w:marTop w:val="0"/>
          <w:marBottom w:val="150"/>
          <w:divBdr>
            <w:top w:val="none" w:sz="0" w:space="0" w:color="auto"/>
            <w:left w:val="none" w:sz="0" w:space="0" w:color="auto"/>
            <w:bottom w:val="none" w:sz="0" w:space="0" w:color="auto"/>
            <w:right w:val="none" w:sz="0" w:space="0" w:color="auto"/>
          </w:divBdr>
        </w:div>
      </w:divsChild>
    </w:div>
    <w:div w:id="1181747320">
      <w:bodyDiv w:val="1"/>
      <w:marLeft w:val="0"/>
      <w:marRight w:val="0"/>
      <w:marTop w:val="0"/>
      <w:marBottom w:val="0"/>
      <w:divBdr>
        <w:top w:val="none" w:sz="0" w:space="0" w:color="auto"/>
        <w:left w:val="none" w:sz="0" w:space="0" w:color="auto"/>
        <w:bottom w:val="none" w:sz="0" w:space="0" w:color="auto"/>
        <w:right w:val="none" w:sz="0" w:space="0" w:color="auto"/>
      </w:divBdr>
    </w:div>
    <w:div w:id="1197811296">
      <w:bodyDiv w:val="1"/>
      <w:marLeft w:val="0"/>
      <w:marRight w:val="0"/>
      <w:marTop w:val="0"/>
      <w:marBottom w:val="0"/>
      <w:divBdr>
        <w:top w:val="none" w:sz="0" w:space="0" w:color="auto"/>
        <w:left w:val="none" w:sz="0" w:space="0" w:color="auto"/>
        <w:bottom w:val="none" w:sz="0" w:space="0" w:color="auto"/>
        <w:right w:val="none" w:sz="0" w:space="0" w:color="auto"/>
      </w:divBdr>
    </w:div>
    <w:div w:id="1250501676">
      <w:bodyDiv w:val="1"/>
      <w:marLeft w:val="0"/>
      <w:marRight w:val="0"/>
      <w:marTop w:val="0"/>
      <w:marBottom w:val="0"/>
      <w:divBdr>
        <w:top w:val="none" w:sz="0" w:space="0" w:color="auto"/>
        <w:left w:val="none" w:sz="0" w:space="0" w:color="auto"/>
        <w:bottom w:val="none" w:sz="0" w:space="0" w:color="auto"/>
        <w:right w:val="none" w:sz="0" w:space="0" w:color="auto"/>
      </w:divBdr>
      <w:divsChild>
        <w:div w:id="173619346">
          <w:marLeft w:val="0"/>
          <w:marRight w:val="0"/>
          <w:marTop w:val="0"/>
          <w:marBottom w:val="0"/>
          <w:divBdr>
            <w:top w:val="none" w:sz="0" w:space="0" w:color="auto"/>
            <w:left w:val="none" w:sz="0" w:space="0" w:color="auto"/>
            <w:bottom w:val="none" w:sz="0" w:space="0" w:color="auto"/>
            <w:right w:val="none" w:sz="0" w:space="0" w:color="auto"/>
          </w:divBdr>
          <w:divsChild>
            <w:div w:id="1239632344">
              <w:marLeft w:val="0"/>
              <w:marRight w:val="0"/>
              <w:marTop w:val="0"/>
              <w:marBottom w:val="0"/>
              <w:divBdr>
                <w:top w:val="none" w:sz="0" w:space="0" w:color="auto"/>
                <w:left w:val="none" w:sz="0" w:space="0" w:color="auto"/>
                <w:bottom w:val="none" w:sz="0" w:space="0" w:color="auto"/>
                <w:right w:val="none" w:sz="0" w:space="0" w:color="auto"/>
              </w:divBdr>
              <w:divsChild>
                <w:div w:id="1995602117">
                  <w:marLeft w:val="0"/>
                  <w:marRight w:val="0"/>
                  <w:marTop w:val="0"/>
                  <w:marBottom w:val="0"/>
                  <w:divBdr>
                    <w:top w:val="none" w:sz="0" w:space="0" w:color="auto"/>
                    <w:left w:val="none" w:sz="0" w:space="0" w:color="auto"/>
                    <w:bottom w:val="none" w:sz="0" w:space="0" w:color="auto"/>
                    <w:right w:val="none" w:sz="0" w:space="0" w:color="auto"/>
                  </w:divBdr>
                  <w:divsChild>
                    <w:div w:id="1820269373">
                      <w:marLeft w:val="0"/>
                      <w:marRight w:val="0"/>
                      <w:marTop w:val="0"/>
                      <w:marBottom w:val="0"/>
                      <w:divBdr>
                        <w:top w:val="none" w:sz="0" w:space="0" w:color="auto"/>
                        <w:left w:val="none" w:sz="0" w:space="0" w:color="auto"/>
                        <w:bottom w:val="none" w:sz="0" w:space="0" w:color="auto"/>
                        <w:right w:val="none" w:sz="0" w:space="0" w:color="auto"/>
                      </w:divBdr>
                      <w:divsChild>
                        <w:div w:id="45143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606536">
          <w:marLeft w:val="0"/>
          <w:marRight w:val="0"/>
          <w:marTop w:val="0"/>
          <w:marBottom w:val="0"/>
          <w:divBdr>
            <w:top w:val="none" w:sz="0" w:space="0" w:color="auto"/>
            <w:left w:val="none" w:sz="0" w:space="0" w:color="auto"/>
            <w:bottom w:val="none" w:sz="0" w:space="0" w:color="auto"/>
            <w:right w:val="none" w:sz="0" w:space="0" w:color="auto"/>
          </w:divBdr>
          <w:divsChild>
            <w:div w:id="1121916850">
              <w:marLeft w:val="0"/>
              <w:marRight w:val="0"/>
              <w:marTop w:val="0"/>
              <w:marBottom w:val="0"/>
              <w:divBdr>
                <w:top w:val="none" w:sz="0" w:space="0" w:color="auto"/>
                <w:left w:val="none" w:sz="0" w:space="0" w:color="auto"/>
                <w:bottom w:val="none" w:sz="0" w:space="0" w:color="auto"/>
                <w:right w:val="none" w:sz="0" w:space="0" w:color="auto"/>
              </w:divBdr>
              <w:divsChild>
                <w:div w:id="1732534597">
                  <w:marLeft w:val="0"/>
                  <w:marRight w:val="0"/>
                  <w:marTop w:val="0"/>
                  <w:marBottom w:val="0"/>
                  <w:divBdr>
                    <w:top w:val="none" w:sz="0" w:space="0" w:color="auto"/>
                    <w:left w:val="none" w:sz="0" w:space="0" w:color="auto"/>
                    <w:bottom w:val="none" w:sz="0" w:space="0" w:color="auto"/>
                    <w:right w:val="none" w:sz="0" w:space="0" w:color="auto"/>
                  </w:divBdr>
                  <w:divsChild>
                    <w:div w:id="185526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537242">
      <w:bodyDiv w:val="1"/>
      <w:marLeft w:val="0"/>
      <w:marRight w:val="0"/>
      <w:marTop w:val="0"/>
      <w:marBottom w:val="0"/>
      <w:divBdr>
        <w:top w:val="none" w:sz="0" w:space="0" w:color="auto"/>
        <w:left w:val="none" w:sz="0" w:space="0" w:color="auto"/>
        <w:bottom w:val="none" w:sz="0" w:space="0" w:color="auto"/>
        <w:right w:val="none" w:sz="0" w:space="0" w:color="auto"/>
      </w:divBdr>
      <w:divsChild>
        <w:div w:id="539440513">
          <w:marLeft w:val="0"/>
          <w:marRight w:val="0"/>
          <w:marTop w:val="0"/>
          <w:marBottom w:val="0"/>
          <w:divBdr>
            <w:top w:val="none" w:sz="0" w:space="0" w:color="auto"/>
            <w:left w:val="none" w:sz="0" w:space="0" w:color="auto"/>
            <w:bottom w:val="none" w:sz="0" w:space="0" w:color="auto"/>
            <w:right w:val="none" w:sz="0" w:space="0" w:color="auto"/>
          </w:divBdr>
          <w:divsChild>
            <w:div w:id="210071877">
              <w:marLeft w:val="0"/>
              <w:marRight w:val="0"/>
              <w:marTop w:val="0"/>
              <w:marBottom w:val="0"/>
              <w:divBdr>
                <w:top w:val="none" w:sz="0" w:space="0" w:color="auto"/>
                <w:left w:val="none" w:sz="0" w:space="0" w:color="auto"/>
                <w:bottom w:val="none" w:sz="0" w:space="0" w:color="auto"/>
                <w:right w:val="none" w:sz="0" w:space="0" w:color="auto"/>
              </w:divBdr>
              <w:divsChild>
                <w:div w:id="445855709">
                  <w:marLeft w:val="0"/>
                  <w:marRight w:val="0"/>
                  <w:marTop w:val="0"/>
                  <w:marBottom w:val="0"/>
                  <w:divBdr>
                    <w:top w:val="none" w:sz="0" w:space="0" w:color="auto"/>
                    <w:left w:val="none" w:sz="0" w:space="0" w:color="auto"/>
                    <w:bottom w:val="none" w:sz="0" w:space="0" w:color="auto"/>
                    <w:right w:val="none" w:sz="0" w:space="0" w:color="auto"/>
                  </w:divBdr>
                </w:div>
                <w:div w:id="1479305010">
                  <w:marLeft w:val="0"/>
                  <w:marRight w:val="0"/>
                  <w:marTop w:val="0"/>
                  <w:marBottom w:val="0"/>
                  <w:divBdr>
                    <w:top w:val="none" w:sz="0" w:space="0" w:color="auto"/>
                    <w:left w:val="none" w:sz="0" w:space="0" w:color="auto"/>
                    <w:bottom w:val="none" w:sz="0" w:space="0" w:color="auto"/>
                    <w:right w:val="none" w:sz="0" w:space="0" w:color="auto"/>
                  </w:divBdr>
                  <w:divsChild>
                    <w:div w:id="851529779">
                      <w:marLeft w:val="0"/>
                      <w:marRight w:val="0"/>
                      <w:marTop w:val="0"/>
                      <w:marBottom w:val="0"/>
                      <w:divBdr>
                        <w:top w:val="none" w:sz="0" w:space="0" w:color="auto"/>
                        <w:left w:val="none" w:sz="0" w:space="0" w:color="auto"/>
                        <w:bottom w:val="none" w:sz="0" w:space="0" w:color="auto"/>
                        <w:right w:val="none" w:sz="0" w:space="0" w:color="auto"/>
                      </w:divBdr>
                      <w:divsChild>
                        <w:div w:id="577176611">
                          <w:marLeft w:val="0"/>
                          <w:marRight w:val="0"/>
                          <w:marTop w:val="0"/>
                          <w:marBottom w:val="0"/>
                          <w:divBdr>
                            <w:top w:val="none" w:sz="0" w:space="0" w:color="auto"/>
                            <w:left w:val="none" w:sz="0" w:space="0" w:color="auto"/>
                            <w:bottom w:val="none" w:sz="0" w:space="0" w:color="auto"/>
                            <w:right w:val="none" w:sz="0" w:space="0" w:color="auto"/>
                          </w:divBdr>
                          <w:divsChild>
                            <w:div w:id="90656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498469">
          <w:marLeft w:val="0"/>
          <w:marRight w:val="0"/>
          <w:marTop w:val="0"/>
          <w:marBottom w:val="0"/>
          <w:divBdr>
            <w:top w:val="none" w:sz="0" w:space="0" w:color="auto"/>
            <w:left w:val="none" w:sz="0" w:space="0" w:color="auto"/>
            <w:bottom w:val="none" w:sz="0" w:space="0" w:color="auto"/>
            <w:right w:val="none" w:sz="0" w:space="0" w:color="auto"/>
          </w:divBdr>
          <w:divsChild>
            <w:div w:id="422848658">
              <w:marLeft w:val="0"/>
              <w:marRight w:val="0"/>
              <w:marTop w:val="120"/>
              <w:marBottom w:val="120"/>
              <w:divBdr>
                <w:top w:val="none" w:sz="0" w:space="0" w:color="auto"/>
                <w:left w:val="none" w:sz="0" w:space="0" w:color="auto"/>
                <w:bottom w:val="none" w:sz="0" w:space="0" w:color="auto"/>
                <w:right w:val="none" w:sz="0" w:space="0" w:color="auto"/>
              </w:divBdr>
              <w:divsChild>
                <w:div w:id="1177690208">
                  <w:marLeft w:val="0"/>
                  <w:marRight w:val="0"/>
                  <w:marTop w:val="0"/>
                  <w:marBottom w:val="0"/>
                  <w:divBdr>
                    <w:top w:val="none" w:sz="0" w:space="0" w:color="auto"/>
                    <w:left w:val="none" w:sz="0" w:space="0" w:color="auto"/>
                    <w:bottom w:val="none" w:sz="0" w:space="0" w:color="auto"/>
                    <w:right w:val="none" w:sz="0" w:space="0" w:color="auto"/>
                  </w:divBdr>
                  <w:divsChild>
                    <w:div w:id="103187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835122">
      <w:bodyDiv w:val="1"/>
      <w:marLeft w:val="0"/>
      <w:marRight w:val="0"/>
      <w:marTop w:val="0"/>
      <w:marBottom w:val="0"/>
      <w:divBdr>
        <w:top w:val="none" w:sz="0" w:space="0" w:color="auto"/>
        <w:left w:val="none" w:sz="0" w:space="0" w:color="auto"/>
        <w:bottom w:val="none" w:sz="0" w:space="0" w:color="auto"/>
        <w:right w:val="none" w:sz="0" w:space="0" w:color="auto"/>
      </w:divBdr>
      <w:divsChild>
        <w:div w:id="742414855">
          <w:marLeft w:val="0"/>
          <w:marRight w:val="0"/>
          <w:marTop w:val="0"/>
          <w:marBottom w:val="150"/>
          <w:divBdr>
            <w:top w:val="none" w:sz="0" w:space="0" w:color="auto"/>
            <w:left w:val="none" w:sz="0" w:space="0" w:color="auto"/>
            <w:bottom w:val="none" w:sz="0" w:space="0" w:color="auto"/>
            <w:right w:val="none" w:sz="0" w:space="0" w:color="auto"/>
          </w:divBdr>
        </w:div>
      </w:divsChild>
    </w:div>
    <w:div w:id="1459645383">
      <w:bodyDiv w:val="1"/>
      <w:marLeft w:val="0"/>
      <w:marRight w:val="0"/>
      <w:marTop w:val="0"/>
      <w:marBottom w:val="0"/>
      <w:divBdr>
        <w:top w:val="none" w:sz="0" w:space="0" w:color="auto"/>
        <w:left w:val="none" w:sz="0" w:space="0" w:color="auto"/>
        <w:bottom w:val="none" w:sz="0" w:space="0" w:color="auto"/>
        <w:right w:val="none" w:sz="0" w:space="0" w:color="auto"/>
      </w:divBdr>
    </w:div>
    <w:div w:id="1504583903">
      <w:bodyDiv w:val="1"/>
      <w:marLeft w:val="0"/>
      <w:marRight w:val="0"/>
      <w:marTop w:val="0"/>
      <w:marBottom w:val="0"/>
      <w:divBdr>
        <w:top w:val="none" w:sz="0" w:space="0" w:color="auto"/>
        <w:left w:val="none" w:sz="0" w:space="0" w:color="auto"/>
        <w:bottom w:val="none" w:sz="0" w:space="0" w:color="auto"/>
        <w:right w:val="none" w:sz="0" w:space="0" w:color="auto"/>
      </w:divBdr>
      <w:divsChild>
        <w:div w:id="370376552">
          <w:marLeft w:val="0"/>
          <w:marRight w:val="0"/>
          <w:marTop w:val="0"/>
          <w:marBottom w:val="150"/>
          <w:divBdr>
            <w:top w:val="none" w:sz="0" w:space="0" w:color="auto"/>
            <w:left w:val="none" w:sz="0" w:space="0" w:color="auto"/>
            <w:bottom w:val="none" w:sz="0" w:space="0" w:color="auto"/>
            <w:right w:val="none" w:sz="0" w:space="0" w:color="auto"/>
          </w:divBdr>
        </w:div>
      </w:divsChild>
    </w:div>
    <w:div w:id="1609191197">
      <w:bodyDiv w:val="1"/>
      <w:marLeft w:val="0"/>
      <w:marRight w:val="0"/>
      <w:marTop w:val="0"/>
      <w:marBottom w:val="0"/>
      <w:divBdr>
        <w:top w:val="none" w:sz="0" w:space="0" w:color="auto"/>
        <w:left w:val="none" w:sz="0" w:space="0" w:color="auto"/>
        <w:bottom w:val="none" w:sz="0" w:space="0" w:color="auto"/>
        <w:right w:val="none" w:sz="0" w:space="0" w:color="auto"/>
      </w:divBdr>
    </w:div>
    <w:div w:id="1620452248">
      <w:bodyDiv w:val="1"/>
      <w:marLeft w:val="0"/>
      <w:marRight w:val="0"/>
      <w:marTop w:val="0"/>
      <w:marBottom w:val="0"/>
      <w:divBdr>
        <w:top w:val="none" w:sz="0" w:space="0" w:color="auto"/>
        <w:left w:val="none" w:sz="0" w:space="0" w:color="auto"/>
        <w:bottom w:val="none" w:sz="0" w:space="0" w:color="auto"/>
        <w:right w:val="none" w:sz="0" w:space="0" w:color="auto"/>
      </w:divBdr>
      <w:divsChild>
        <w:div w:id="1978535883">
          <w:marLeft w:val="0"/>
          <w:marRight w:val="0"/>
          <w:marTop w:val="0"/>
          <w:marBottom w:val="150"/>
          <w:divBdr>
            <w:top w:val="none" w:sz="0" w:space="0" w:color="auto"/>
            <w:left w:val="none" w:sz="0" w:space="0" w:color="auto"/>
            <w:bottom w:val="none" w:sz="0" w:space="0" w:color="auto"/>
            <w:right w:val="none" w:sz="0" w:space="0" w:color="auto"/>
          </w:divBdr>
        </w:div>
      </w:divsChild>
    </w:div>
    <w:div w:id="1665357107">
      <w:bodyDiv w:val="1"/>
      <w:marLeft w:val="0"/>
      <w:marRight w:val="0"/>
      <w:marTop w:val="0"/>
      <w:marBottom w:val="0"/>
      <w:divBdr>
        <w:top w:val="none" w:sz="0" w:space="0" w:color="auto"/>
        <w:left w:val="none" w:sz="0" w:space="0" w:color="auto"/>
        <w:bottom w:val="none" w:sz="0" w:space="0" w:color="auto"/>
        <w:right w:val="none" w:sz="0" w:space="0" w:color="auto"/>
      </w:divBdr>
    </w:div>
    <w:div w:id="1713194546">
      <w:bodyDiv w:val="1"/>
      <w:marLeft w:val="0"/>
      <w:marRight w:val="0"/>
      <w:marTop w:val="0"/>
      <w:marBottom w:val="0"/>
      <w:divBdr>
        <w:top w:val="none" w:sz="0" w:space="0" w:color="auto"/>
        <w:left w:val="none" w:sz="0" w:space="0" w:color="auto"/>
        <w:bottom w:val="none" w:sz="0" w:space="0" w:color="auto"/>
        <w:right w:val="none" w:sz="0" w:space="0" w:color="auto"/>
      </w:divBdr>
    </w:div>
    <w:div w:id="1786466754">
      <w:bodyDiv w:val="1"/>
      <w:marLeft w:val="0"/>
      <w:marRight w:val="0"/>
      <w:marTop w:val="0"/>
      <w:marBottom w:val="0"/>
      <w:divBdr>
        <w:top w:val="none" w:sz="0" w:space="0" w:color="auto"/>
        <w:left w:val="none" w:sz="0" w:space="0" w:color="auto"/>
        <w:bottom w:val="none" w:sz="0" w:space="0" w:color="auto"/>
        <w:right w:val="none" w:sz="0" w:space="0" w:color="auto"/>
      </w:divBdr>
    </w:div>
    <w:div w:id="1844934960">
      <w:bodyDiv w:val="1"/>
      <w:marLeft w:val="0"/>
      <w:marRight w:val="0"/>
      <w:marTop w:val="0"/>
      <w:marBottom w:val="0"/>
      <w:divBdr>
        <w:top w:val="none" w:sz="0" w:space="0" w:color="auto"/>
        <w:left w:val="none" w:sz="0" w:space="0" w:color="auto"/>
        <w:bottom w:val="none" w:sz="0" w:space="0" w:color="auto"/>
        <w:right w:val="none" w:sz="0" w:space="0" w:color="auto"/>
      </w:divBdr>
      <w:divsChild>
        <w:div w:id="1945336803">
          <w:marLeft w:val="0"/>
          <w:marRight w:val="0"/>
          <w:marTop w:val="0"/>
          <w:marBottom w:val="150"/>
          <w:divBdr>
            <w:top w:val="none" w:sz="0" w:space="0" w:color="auto"/>
            <w:left w:val="none" w:sz="0" w:space="0" w:color="auto"/>
            <w:bottom w:val="none" w:sz="0" w:space="0" w:color="auto"/>
            <w:right w:val="none" w:sz="0" w:space="0" w:color="auto"/>
          </w:divBdr>
        </w:div>
      </w:divsChild>
    </w:div>
    <w:div w:id="2126655453">
      <w:bodyDiv w:val="1"/>
      <w:marLeft w:val="0"/>
      <w:marRight w:val="0"/>
      <w:marTop w:val="0"/>
      <w:marBottom w:val="0"/>
      <w:divBdr>
        <w:top w:val="none" w:sz="0" w:space="0" w:color="auto"/>
        <w:left w:val="none" w:sz="0" w:space="0" w:color="auto"/>
        <w:bottom w:val="none" w:sz="0" w:space="0" w:color="auto"/>
        <w:right w:val="none" w:sz="0" w:space="0" w:color="auto"/>
      </w:divBdr>
      <w:divsChild>
        <w:div w:id="1095907974">
          <w:marLeft w:val="300"/>
          <w:marRight w:val="0"/>
          <w:marTop w:val="0"/>
          <w:marBottom w:val="300"/>
          <w:divBdr>
            <w:top w:val="none" w:sz="0" w:space="0" w:color="auto"/>
            <w:left w:val="none" w:sz="0" w:space="0" w:color="auto"/>
            <w:bottom w:val="none" w:sz="0" w:space="0" w:color="auto"/>
            <w:right w:val="none" w:sz="0" w:space="0" w:color="auto"/>
          </w:divBdr>
        </w:div>
      </w:divsChild>
    </w:div>
    <w:div w:id="213366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education-for-children-with-disabilities-improving-access-and-quality-guidance-note-a-dfid-practice-paper/education-for-children-with-disabilities-improving-access-and-quality" TargetMode="External"/><Relationship Id="rId21" Type="http://schemas.openxmlformats.org/officeDocument/2006/relationships/hyperlink" Target="https://assets.publishing.service.gov.uk/media/60e6fb43d3bf7f56896127e5/The_Children_Act_1989_guidance_and_regulations_Volume_2_care_planning__placement_and_case_review.pdf" TargetMode="External"/><Relationship Id="rId42" Type="http://schemas.openxmlformats.org/officeDocument/2006/relationships/hyperlink" Target="https://doi.org/10.1111/camh.12667" TargetMode="External"/><Relationship Id="rId47" Type="http://schemas.openxmlformats.org/officeDocument/2006/relationships/hyperlink" Target="https://www.nice.org.uk/guidance/ng134/resources/depression-in-children-and-young-people-identification-and-management-pdf-66141719350981" TargetMode="External"/><Relationship Id="rId63" Type="http://schemas.openxmlformats.org/officeDocument/2006/relationships/hyperlink" Target="https://unesdoc.unesco.org/ark:/48223/pf0000385723" TargetMode="External"/><Relationship Id="rId68" Type="http://schemas.openxmlformats.org/officeDocument/2006/relationships/hyperlink" Target="file:///C:/Users/COMP/Downloads/The-Capability-Approach-and-Human-Rights.pdf" TargetMode="External"/><Relationship Id="rId7" Type="http://schemas.openxmlformats.org/officeDocument/2006/relationships/image" Target="media/image3.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86/s12913-021-07257-8" TargetMode="External"/><Relationship Id="rId29" Type="http://schemas.openxmlformats.org/officeDocument/2006/relationships/hyperlink" Target="file:///C:/Users/COMP/Downloads/CYPMHbriefing_Web_Final.pdf" TargetMode="External"/><Relationship Id="rId11" Type="http://schemas.openxmlformats.org/officeDocument/2006/relationships/hyperlink" Target="https://doi.org/10.1093/bjsw/bcaa058" TargetMode="External"/><Relationship Id="rId24" Type="http://schemas.openxmlformats.org/officeDocument/2006/relationships/hyperlink" Target="https://assets.publishing.service.gov.uk/media/5a823518e5274a2e87dc1b56/Transforming_children_and_young_people_s_mental_health_provision.pdf" TargetMode="External"/><Relationship Id="rId32" Type="http://schemas.openxmlformats.org/officeDocument/2006/relationships/hyperlink" Target="https://onlinelibrary.wiley.com/doi/epdf/10.1111/hsc.13866" TargetMode="External"/><Relationship Id="rId37" Type="http://schemas.openxmlformats.org/officeDocument/2006/relationships/hyperlink" Target="https://www.carereview.scot/wp-content/uploads/2020/07/ICR_Evidence_Framework_v2-1.pdf" TargetMode="External"/><Relationship Id="rId40" Type="http://schemas.openxmlformats.org/officeDocument/2006/relationships/hyperlink" Target="https://dera.ioe.ac.uk/id/eprint/8646/1/12_03_09_children.pdf" TargetMode="External"/><Relationship Id="rId45" Type="http://schemas.openxmlformats.org/officeDocument/2006/relationships/hyperlink" Target="https://pmc.ncbi.nlm.nih.gov/articles/PMC2872483/" TargetMode="External"/><Relationship Id="rId53" Type="http://schemas.openxmlformats.org/officeDocument/2006/relationships/hyperlink" Target="https://doi.org/10.1111/cfs.12922" TargetMode="External"/><Relationship Id="rId58" Type="http://schemas.openxmlformats.org/officeDocument/2006/relationships/hyperlink" Target="https://doi.org/10.12968/bjhc.2024.0020" TargetMode="External"/><Relationship Id="rId66" Type="http://schemas.openxmlformats.org/officeDocument/2006/relationships/hyperlink" Target="https://mentalhealth.bmj.com/content/ebmental/27/1/e300844.full.pdf" TargetMode="External"/><Relationship Id="rId5" Type="http://schemas.openxmlformats.org/officeDocument/2006/relationships/image" Target="media/image1.png"/><Relationship Id="rId61" Type="http://schemas.openxmlformats.org/officeDocument/2006/relationships/hyperlink" Target="https://doi.org/10.1111/1467-9604.12374" TargetMode="External"/><Relationship Id="rId19" Type="http://schemas.openxmlformats.org/officeDocument/2006/relationships/hyperlink" Target="https://journals.sagepub.com/doi/pdf/10.1177/10775595231176447?casa_token=0pojwXP1dewAAAAA:sEHp-0PKG0EHRI0YmaKBTgTFNjKsZKtz5IRQS3aJujbGn-30ni189bucA5xOFsGCzfMsfy2iNo4zyA" TargetMode="External"/><Relationship Id="rId14" Type="http://schemas.openxmlformats.org/officeDocument/2006/relationships/hyperlink" Target="https://pmc.ncbi.nlm.nih.gov/articles/PMC7612633/" TargetMode="External"/><Relationship Id="rId22" Type="http://schemas.openxmlformats.org/officeDocument/2006/relationships/hyperlink" Target="https://assets.publishing.service.gov.uk/media/66bf300da44f1c4c23e5bd1b/Working_together_to_improve_school_attendance_-_August_2024.pdf" TargetMode="External"/><Relationship Id="rId27" Type="http://schemas.openxmlformats.org/officeDocument/2006/relationships/hyperlink" Target="file:///C:/Users/COMP/Downloads/s00787-024-02607-3.pdf" TargetMode="External"/><Relationship Id="rId30" Type="http://schemas.openxmlformats.org/officeDocument/2006/relationships/hyperlink" Target="https://researchbriefings.files.parliament.uk/documents/SN06787/SN06787.pdf" TargetMode="External"/><Relationship Id="rId35" Type="http://schemas.openxmlformats.org/officeDocument/2006/relationships/hyperlink" Target="https://doi.org/10.1163/15718182-02801001" TargetMode="External"/><Relationship Id="rId43" Type="http://schemas.openxmlformats.org/officeDocument/2006/relationships/hyperlink" Target="https://doi.org/10.1016/j.avb.2020.101507" TargetMode="External"/><Relationship Id="rId48" Type="http://schemas.openxmlformats.org/officeDocument/2006/relationships/hyperlink" Target="https://learning.nspcc.org.uk/research-resources/practice-points-series/voice-child" TargetMode="External"/><Relationship Id="rId56" Type="http://schemas.openxmlformats.org/officeDocument/2006/relationships/hyperlink" Target="https://www.gov.uk/government/publications/covid-19-mental-health-and-wellbeing-surveillance-report" TargetMode="External"/><Relationship Id="rId64" Type="http://schemas.openxmlformats.org/officeDocument/2006/relationships/hyperlink" Target="https://data.unicef.org/resources/children-with-disabilities-report-2021/" TargetMode="External"/><Relationship Id="rId69" Type="http://schemas.openxmlformats.org/officeDocument/2006/relationships/hyperlink" Target="https://www.worldbank.org/en/topic/education/overview" TargetMode="External"/><Relationship Id="rId8" Type="http://schemas.openxmlformats.org/officeDocument/2006/relationships/hyperlink" Target="https://www.richtmann.org/journal/index.php/ajis/article/view/13111/12703" TargetMode="External"/><Relationship Id="rId51" Type="http://schemas.openxmlformats.org/officeDocument/2006/relationships/hyperlink" Target="https://www.youtube.com/watch?v=em1yckn5TJ4"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cms.bps.org.uk/sites/default/files/2022-06/BPS%20Response%20-%20HSCC%20consultation%20on%20Children%20and%20Young%20Peoples%20Mental%20Health.pdf" TargetMode="External"/><Relationship Id="rId17" Type="http://schemas.openxmlformats.org/officeDocument/2006/relationships/hyperlink" Target="https://www.thelancet.com/action/showPdf?pii=S0140-6736%2819%2932540-1" TargetMode="External"/><Relationship Id="rId25" Type="http://schemas.openxmlformats.org/officeDocument/2006/relationships/hyperlink" Target="https://assets.publishing.service.gov.uk/media/5a7c0121ed915d41476222b1/promoting_health_of_looked_after_children.pdf" TargetMode="External"/><Relationship Id="rId33" Type="http://schemas.openxmlformats.org/officeDocument/2006/relationships/hyperlink" Target="https://www.projecthestia.com/wp-content/uploads/2015/03/POLICY-BRIEFING-ENGLAND.pdf" TargetMode="External"/><Relationship Id="rId38" Type="http://schemas.openxmlformats.org/officeDocument/2006/relationships/hyperlink" Target="https://research.bangor.ac.uk/portal/files/36680253/2020JonesBMARes.pdf" TargetMode="External"/><Relationship Id="rId46" Type="http://schemas.openxmlformats.org/officeDocument/2006/relationships/hyperlink" Target="https://www.longtermplan.nhs.uk/areas-of-work/mental-health/children-and-young-peoples-mental-health/" TargetMode="External"/><Relationship Id="rId59" Type="http://schemas.openxmlformats.org/officeDocument/2006/relationships/hyperlink" Target="file:///C:/Users/COMP/Downloads/A_systematic_review_of_current.pdf" TargetMode="External"/><Relationship Id="rId67" Type="http://schemas.openxmlformats.org/officeDocument/2006/relationships/hyperlink" Target="https://www.governmentevents.co.uk/wp-content/uploads/2020/10/Tim-Vizard.pdf" TargetMode="External"/><Relationship Id="rId20" Type="http://schemas.openxmlformats.org/officeDocument/2006/relationships/hyperlink" Target="https://assets.publishing.service.gov.uk/media/5a7ebaab40f0b62305b82ce7/Statutory_guidance_on_court_orders_and_pre-proceedings.pdf" TargetMode="External"/><Relationship Id="rId41" Type="http://schemas.openxmlformats.org/officeDocument/2006/relationships/hyperlink" Target="https://todaysfamilylawyer.co.uk/the-uks-legal-approach-to-domestic-abuse-comparisons-to-other-jurisdiction/" TargetMode="External"/><Relationship Id="rId54" Type="http://schemas.openxmlformats.org/officeDocument/2006/relationships/hyperlink" Target="https://doi.org/10.1111/camh.12297" TargetMode="External"/><Relationship Id="rId62" Type="http://schemas.openxmlformats.org/officeDocument/2006/relationships/hyperlink" Target="https://uis.unesco.org/sites/default/files/documents/2022_UIS_Narrative_Report.pdf" TargetMode="External"/><Relationship Id="rId70" Type="http://schemas.openxmlformats.org/officeDocument/2006/relationships/hyperlink" Target="https://iris.who.int/bitstream/handle/10665/341907/9789240025059-eng.pdf?sequence=1"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qualitysafety.bmj.com/content/qhc/33/11/694.full.pdf" TargetMode="External"/><Relationship Id="rId23" Type="http://schemas.openxmlformats.org/officeDocument/2006/relationships/hyperlink" Target="https://www.legislation.gov.uk/ukpga/2000/35/notes/division/2" TargetMode="External"/><Relationship Id="rId28" Type="http://schemas.openxmlformats.org/officeDocument/2006/relationships/hyperlink" Target="https://bmjopen.bmj.com/content/bmjopen/11/1/e042815.full.pdf?with-ds=yes" TargetMode="External"/><Relationship Id="rId36" Type="http://schemas.openxmlformats.org/officeDocument/2006/relationships/hyperlink" Target="file:///C:/Users/COMP/Downloads/55418.pdf" TargetMode="External"/><Relationship Id="rId49" Type="http://schemas.openxmlformats.org/officeDocument/2006/relationships/hyperlink" Target="https://learning.nspcc.org.uk/child-protection-system/history-of-child-protection-in-the-uk" TargetMode="External"/><Relationship Id="rId57" Type="http://schemas.openxmlformats.org/officeDocument/2006/relationships/hyperlink" Target="https://ssw.umich.edu/sites/default/files/documents/fauri-lecture/2017/rights-mss-for-sw-talk.pdf" TargetMode="External"/><Relationship Id="rId10" Type="http://schemas.openxmlformats.org/officeDocument/2006/relationships/hyperlink" Target="https://researchbriefings.files.parliament.uk/documents/CBP-9640/CBP-9640.pdf" TargetMode="External"/><Relationship Id="rId31" Type="http://schemas.openxmlformats.org/officeDocument/2006/relationships/hyperlink" Target="https://doi.org/10.1007/s12232-023-00411-0" TargetMode="External"/><Relationship Id="rId44" Type="http://schemas.openxmlformats.org/officeDocument/2006/relationships/hyperlink" Target="https://www.bmj.com/content/bmj/371/bmj.m4593.full.pdf" TargetMode="External"/><Relationship Id="rId52" Type="http://schemas.openxmlformats.org/officeDocument/2006/relationships/hyperlink" Target="file:///C:/Users/COMP/Downloads/s10567-025-00522-w.pdf" TargetMode="External"/><Relationship Id="rId60" Type="http://schemas.openxmlformats.org/officeDocument/2006/relationships/hyperlink" Target="https://journals.sagepub.com/doi/pdf/10.1177/1049731520984844?casa_token=1ByPC8rtFuoAAAAA:3hiYXoX8HUCd8PAVJoegeGGRgAjP6CfUJG-dodgu84QwsA-GLNotIWuSGLmpDUuH4DMbPqnetHw1BA" TargetMode="External"/><Relationship Id="rId65" Type="http://schemas.openxmlformats.org/officeDocument/2006/relationships/hyperlink" Target="https://www.unicef.org/press-releases/nearly-400-million-young-children-worldwide-regularly-experience-violent-discipline" TargetMode="External"/><Relationship Id="rId4" Type="http://schemas.openxmlformats.org/officeDocument/2006/relationships/webSettings" Target="webSettings.xml"/><Relationship Id="rId9" Type="http://schemas.openxmlformats.org/officeDocument/2006/relationships/hyperlink" Target="https://bmjpaedsopen.bmj.com/content/bmjpo/6/1/e001381.full.pdf" TargetMode="External"/><Relationship Id="rId13" Type="http://schemas.openxmlformats.org/officeDocument/2006/relationships/hyperlink" Target="https://doi.org/10.1136/bmjpo-2022-RCPCH.41" TargetMode="External"/><Relationship Id="rId18" Type="http://schemas.openxmlformats.org/officeDocument/2006/relationships/hyperlink" Target="https://doi.org/10.53841/bpsecp.2022.39.2.42" TargetMode="External"/><Relationship Id="rId39" Type="http://schemas.openxmlformats.org/officeDocument/2006/relationships/hyperlink" Target="https://doi.org/10.1093/heapro/daae122" TargetMode="External"/><Relationship Id="rId34" Type="http://schemas.openxmlformats.org/officeDocument/2006/relationships/hyperlink" Target="https://doi.org/10.1186/s12889-024-19735-9" TargetMode="External"/><Relationship Id="rId50" Type="http://schemas.openxmlformats.org/officeDocument/2006/relationships/hyperlink" Target="https://learning.nspcc.org.uk/child-abuse-and-neglect/domestic-abuse" TargetMode="External"/><Relationship Id="rId55" Type="http://schemas.openxmlformats.org/officeDocument/2006/relationships/hyperlink" Target="https://www.mededportal.org/doi/epdf/10.15766/mep_2374-8265.108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1978</TotalTime>
  <Pages>25</Pages>
  <Words>7247</Words>
  <Characters>50809</Characters>
  <Application>Microsoft Office Word</Application>
  <DocSecurity>0</DocSecurity>
  <Lines>907</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Dinu (2207412)</dc:creator>
  <cp:keywords/>
  <dc:description/>
  <cp:lastModifiedBy>Nicoleta Dinu (2207412)</cp:lastModifiedBy>
  <cp:revision>77</cp:revision>
  <dcterms:created xsi:type="dcterms:W3CDTF">2025-03-24T07:15:00Z</dcterms:created>
  <dcterms:modified xsi:type="dcterms:W3CDTF">2025-05-06T10:03:00Z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b5b3d145a8f0bd7ed7436658e17258165f1a0d4c93ab1481feae4c01636b2cd4</vt:lpwstr>
  </property>
</Properties>
</file>