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6B53EA" w14:textId="13C4AA47" w:rsidR="0040721D" w:rsidRDefault="00A85F01" w:rsidP="00A85F01">
      <w:pPr>
        <w:jc w:val="center"/>
        <w:rPr>
          <w:rFonts w:ascii="Times New Roman" w:hAnsi="Times New Roman" w:cs="Times New Roman"/>
          <w:sz w:val="24"/>
        </w:rPr>
      </w:pPr>
      <w:r>
        <w:rPr>
          <w:rFonts w:ascii="Times New Roman" w:hAnsi="Times New Roman" w:cs="Times New Roman"/>
          <w:sz w:val="24"/>
        </w:rPr>
        <w:t>Unit name: Strategic Management and Sustainability</w:t>
      </w:r>
    </w:p>
    <w:p w14:paraId="758427F4" w14:textId="20BDC2CE" w:rsidR="00A85F01" w:rsidRDefault="00A85F01" w:rsidP="00A85F01">
      <w:pPr>
        <w:jc w:val="center"/>
        <w:rPr>
          <w:rFonts w:ascii="Times New Roman" w:hAnsi="Times New Roman" w:cs="Times New Roman"/>
          <w:sz w:val="24"/>
        </w:rPr>
      </w:pPr>
      <w:r>
        <w:rPr>
          <w:rFonts w:ascii="Times New Roman" w:hAnsi="Times New Roman" w:cs="Times New Roman"/>
          <w:sz w:val="24"/>
        </w:rPr>
        <w:t>Module code:</w:t>
      </w:r>
      <w:r w:rsidR="007929AB">
        <w:rPr>
          <w:rFonts w:ascii="Times New Roman" w:hAnsi="Times New Roman" w:cs="Times New Roman"/>
          <w:sz w:val="24"/>
        </w:rPr>
        <w:t xml:space="preserve"> </w:t>
      </w:r>
      <w:r>
        <w:rPr>
          <w:rFonts w:ascii="Times New Roman" w:hAnsi="Times New Roman" w:cs="Times New Roman"/>
          <w:sz w:val="24"/>
        </w:rPr>
        <w:t>BMBM6024</w:t>
      </w:r>
    </w:p>
    <w:p w14:paraId="775C0ECE" w14:textId="37B233F2" w:rsidR="00A85F01" w:rsidRDefault="00A85F01" w:rsidP="00A85F01">
      <w:pPr>
        <w:jc w:val="center"/>
        <w:rPr>
          <w:rFonts w:ascii="Times New Roman" w:hAnsi="Times New Roman" w:cs="Times New Roman"/>
          <w:sz w:val="24"/>
        </w:rPr>
      </w:pPr>
      <w:r>
        <w:rPr>
          <w:rFonts w:ascii="Times New Roman" w:hAnsi="Times New Roman" w:cs="Times New Roman"/>
          <w:sz w:val="24"/>
        </w:rPr>
        <w:t>Strategic Business Report: Unilever PLC (UK/Netherlands)</w:t>
      </w:r>
    </w:p>
    <w:p w14:paraId="1DDA920C" w14:textId="53DC9AF7" w:rsidR="00A85F01" w:rsidRDefault="00A85F01" w:rsidP="00A85F01">
      <w:pPr>
        <w:jc w:val="center"/>
        <w:rPr>
          <w:rFonts w:ascii="Times New Roman" w:hAnsi="Times New Roman" w:cs="Times New Roman"/>
          <w:sz w:val="24"/>
        </w:rPr>
      </w:pPr>
      <w:r>
        <w:rPr>
          <w:rFonts w:ascii="Times New Roman" w:hAnsi="Times New Roman" w:cs="Times New Roman"/>
          <w:noProof/>
          <w:sz w:val="24"/>
        </w:rPr>
        <w:drawing>
          <wp:inline distT="0" distB="0" distL="0" distR="0" wp14:anchorId="5131C887" wp14:editId="5573363D">
            <wp:extent cx="4912659" cy="2597097"/>
            <wp:effectExtent l="0" t="0" r="2540" b="0"/>
            <wp:docPr id="560797675" name="图片 2" descr="文本&#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797675" name="图片 2" descr="文本&#10;&#10;AI 生成的内容可能不正确。"/>
                    <pic:cNvPicPr/>
                  </pic:nvPicPr>
                  <pic:blipFill>
                    <a:blip r:embed="rId6" cstate="print">
                      <a:extLst>
                        <a:ext uri="{28A0092B-C50C-407E-A947-70E740481C1C}">
                          <a14:useLocalDpi xmlns:a14="http://schemas.microsoft.com/office/drawing/2010/main" val="0"/>
                        </a:ext>
                      </a:extLst>
                    </a:blip>
                    <a:stretch>
                      <a:fillRect/>
                    </a:stretch>
                  </pic:blipFill>
                  <pic:spPr>
                    <a:xfrm>
                      <a:off x="0" y="0"/>
                      <a:ext cx="4947156" cy="2615334"/>
                    </a:xfrm>
                    <a:prstGeom prst="rect">
                      <a:avLst/>
                    </a:prstGeom>
                  </pic:spPr>
                </pic:pic>
              </a:graphicData>
            </a:graphic>
          </wp:inline>
        </w:drawing>
      </w:r>
    </w:p>
    <w:p w14:paraId="7E1185FA" w14:textId="2DDE42B0" w:rsidR="00A85F01" w:rsidRDefault="00A85F01" w:rsidP="00A85F01">
      <w:pPr>
        <w:jc w:val="center"/>
        <w:rPr>
          <w:rFonts w:ascii="Times New Roman" w:hAnsi="Times New Roman" w:cs="Times New Roman"/>
          <w:sz w:val="24"/>
        </w:rPr>
      </w:pPr>
      <w:r>
        <w:rPr>
          <w:rFonts w:ascii="Times New Roman" w:hAnsi="Times New Roman" w:cs="Times New Roman"/>
          <w:sz w:val="24"/>
        </w:rPr>
        <w:t>Written by: Yuqing Cui</w:t>
      </w:r>
    </w:p>
    <w:p w14:paraId="1EB27DCB" w14:textId="30B63543" w:rsidR="00A85F01" w:rsidRDefault="00A85F01" w:rsidP="00A85F01">
      <w:pPr>
        <w:jc w:val="center"/>
        <w:rPr>
          <w:rFonts w:ascii="Times New Roman" w:hAnsi="Times New Roman" w:cs="Times New Roman"/>
          <w:sz w:val="24"/>
        </w:rPr>
      </w:pPr>
      <w:r>
        <w:rPr>
          <w:rFonts w:ascii="Times New Roman" w:hAnsi="Times New Roman" w:cs="Times New Roman"/>
          <w:sz w:val="24"/>
        </w:rPr>
        <w:t>Student ID: 2500104</w:t>
      </w:r>
    </w:p>
    <w:p w14:paraId="252E4140" w14:textId="47A37E67" w:rsidR="00A85F01" w:rsidRDefault="00A85F01" w:rsidP="00A85F01">
      <w:pPr>
        <w:jc w:val="center"/>
        <w:rPr>
          <w:rFonts w:ascii="Times New Roman" w:hAnsi="Times New Roman" w:cs="Times New Roman"/>
          <w:sz w:val="24"/>
        </w:rPr>
      </w:pPr>
      <w:r>
        <w:rPr>
          <w:rFonts w:ascii="Times New Roman" w:hAnsi="Times New Roman" w:cs="Times New Roman"/>
          <w:sz w:val="24"/>
        </w:rPr>
        <w:t>Instructor: Robyn Griffiths</w:t>
      </w:r>
    </w:p>
    <w:p w14:paraId="1EF2CD7E" w14:textId="5EE36A55" w:rsidR="00A85F01" w:rsidRPr="00A85F01" w:rsidRDefault="00A85F01" w:rsidP="00A85F01">
      <w:pPr>
        <w:jc w:val="center"/>
        <w:rPr>
          <w:rFonts w:ascii="Times New Roman" w:hAnsi="Times New Roman" w:cs="Times New Roman"/>
          <w:sz w:val="24"/>
        </w:rPr>
      </w:pPr>
      <w:r>
        <w:rPr>
          <w:rFonts w:ascii="Times New Roman" w:hAnsi="Times New Roman" w:cs="Times New Roman"/>
          <w:sz w:val="24"/>
        </w:rPr>
        <w:t>Date submitted: 27 March 2026</w:t>
      </w:r>
    </w:p>
    <w:p w14:paraId="4827C2AC" w14:textId="77777777" w:rsidR="0040721D" w:rsidRDefault="0040721D">
      <w:pPr>
        <w:widowControl/>
      </w:pPr>
      <w:r>
        <w:br w:type="page"/>
      </w:r>
    </w:p>
    <w:p w14:paraId="05E5502C" w14:textId="697EFFC9" w:rsidR="00A438F0" w:rsidRPr="005A6862" w:rsidRDefault="00D8500A" w:rsidP="005A6862">
      <w:pPr>
        <w:spacing w:line="360" w:lineRule="auto"/>
        <w:rPr>
          <w:rFonts w:ascii="Times New Roman" w:hAnsi="Times New Roman" w:cs="Times New Roman"/>
          <w:b/>
          <w:bCs/>
          <w:sz w:val="24"/>
        </w:rPr>
      </w:pPr>
      <w:r w:rsidRPr="005A6862">
        <w:rPr>
          <w:rFonts w:ascii="Times New Roman" w:hAnsi="Times New Roman" w:cs="Times New Roman"/>
          <w:b/>
          <w:bCs/>
          <w:sz w:val="24"/>
        </w:rPr>
        <w:lastRenderedPageBreak/>
        <w:t>Executive</w:t>
      </w:r>
      <w:r w:rsidR="0040721D" w:rsidRPr="005A6862">
        <w:rPr>
          <w:rFonts w:ascii="Times New Roman" w:hAnsi="Times New Roman" w:cs="Times New Roman"/>
          <w:b/>
          <w:bCs/>
          <w:sz w:val="24"/>
        </w:rPr>
        <w:t xml:space="preserve"> Summary</w:t>
      </w:r>
    </w:p>
    <w:p w14:paraId="017FCF27" w14:textId="77777777" w:rsidR="00C40E3C" w:rsidRPr="005A6862" w:rsidRDefault="00C40E3C" w:rsidP="005A6862">
      <w:pPr>
        <w:spacing w:line="360" w:lineRule="auto"/>
        <w:rPr>
          <w:rFonts w:ascii="Times New Roman" w:hAnsi="Times New Roman" w:cs="Times New Roman"/>
          <w:sz w:val="24"/>
        </w:rPr>
      </w:pPr>
      <w:r w:rsidRPr="005A6862">
        <w:rPr>
          <w:rFonts w:ascii="Times New Roman" w:hAnsi="Times New Roman" w:cs="Times New Roman"/>
          <w:sz w:val="24"/>
        </w:rPr>
        <w:t xml:space="preserve">Unilever PLC (UK/Netherlands) is a worldwide FMCG firm co-headquartered in London and Rotterdam, with 5 business groups: Beauty and Wellbeing, Personal Care, Home Care, Foods, and Ice Cream, turning over €60.8 billion in 2024. A macro-environment </w:t>
      </w:r>
      <w:proofErr w:type="gramStart"/>
      <w:r w:rsidRPr="005A6862">
        <w:rPr>
          <w:rFonts w:ascii="Times New Roman" w:hAnsi="Times New Roman" w:cs="Times New Roman"/>
          <w:sz w:val="24"/>
        </w:rPr>
        <w:t>as a result of</w:t>
      </w:r>
      <w:proofErr w:type="gramEnd"/>
      <w:r w:rsidRPr="005A6862">
        <w:rPr>
          <w:rFonts w:ascii="Times New Roman" w:hAnsi="Times New Roman" w:cs="Times New Roman"/>
          <w:sz w:val="24"/>
        </w:rPr>
        <w:t xml:space="preserve"> boycotts due to geopolitics in Indonesia, a -0.7% currency effect, tightening of EU CSRD, and growing sustainability pressures are identified in PESTEL analysis. Five Forces by Porter affirms intense competition by P&amp;G, Nestle, and PepsiCo, buyer power owing to retail consolidation and prevalent replacement by own-label products. RBV presents the brand portfolio, €987 million research and development and 5,000 scientists, and distribution in the emerging markets as VRIN-conformable strengths. The Value Chain Analysis points out brand investment and artificial intelligence-based operations as key sources of margins amounting to €9.4billion. Ansoff Matrix confirms Market Penetration through 30 Power Brands, Product Development through biotech innovation, and Market Development through 24 priority markets. Sustainability is Climate, Nature, Plastics, and Livelihoods: 85% renewable electricity had been reached in 2024, and there was 100% Scope 1 and 2 </w:t>
      </w:r>
      <w:proofErr w:type="gramStart"/>
      <w:r w:rsidRPr="005A6862">
        <w:rPr>
          <w:rFonts w:ascii="Times New Roman" w:hAnsi="Times New Roman" w:cs="Times New Roman"/>
          <w:sz w:val="24"/>
        </w:rPr>
        <w:t>reduction</w:t>
      </w:r>
      <w:proofErr w:type="gramEnd"/>
      <w:r w:rsidRPr="005A6862">
        <w:rPr>
          <w:rFonts w:ascii="Times New Roman" w:hAnsi="Times New Roman" w:cs="Times New Roman"/>
          <w:sz w:val="24"/>
        </w:rPr>
        <w:t xml:space="preserve"> of emissions by 2030, but the implementation of plastics is lagging. Suggestions are made on </w:t>
      </w:r>
      <w:proofErr w:type="spellStart"/>
      <w:r w:rsidRPr="005A6862">
        <w:rPr>
          <w:rFonts w:ascii="Times New Roman" w:hAnsi="Times New Roman" w:cs="Times New Roman"/>
          <w:sz w:val="24"/>
        </w:rPr>
        <w:t>premiumisation</w:t>
      </w:r>
      <w:proofErr w:type="spellEnd"/>
      <w:r w:rsidRPr="005A6862">
        <w:rPr>
          <w:rFonts w:ascii="Times New Roman" w:hAnsi="Times New Roman" w:cs="Times New Roman"/>
          <w:sz w:val="24"/>
        </w:rPr>
        <w:t xml:space="preserve"> through M&amp;A, AI-led Scope 3 optimization, circle packaging milestones, and </w:t>
      </w:r>
      <w:proofErr w:type="spellStart"/>
      <w:r w:rsidRPr="005A6862">
        <w:rPr>
          <w:rFonts w:ascii="Times New Roman" w:hAnsi="Times New Roman" w:cs="Times New Roman"/>
          <w:sz w:val="24"/>
        </w:rPr>
        <w:t>internationalisation</w:t>
      </w:r>
      <w:proofErr w:type="spellEnd"/>
      <w:r w:rsidRPr="005A6862">
        <w:rPr>
          <w:rFonts w:ascii="Times New Roman" w:hAnsi="Times New Roman" w:cs="Times New Roman"/>
          <w:sz w:val="24"/>
        </w:rPr>
        <w:t xml:space="preserve"> in Sub-Saharan Africa.</w:t>
      </w:r>
    </w:p>
    <w:p w14:paraId="1153C602" w14:textId="1C738F00" w:rsidR="005A6862" w:rsidRPr="005A6862" w:rsidRDefault="005A6862" w:rsidP="005A6862">
      <w:pPr>
        <w:spacing w:line="360" w:lineRule="auto"/>
        <w:rPr>
          <w:rFonts w:ascii="Times New Roman" w:hAnsi="Times New Roman" w:cs="Times New Roman"/>
          <w:sz w:val="24"/>
        </w:rPr>
      </w:pPr>
    </w:p>
    <w:p w14:paraId="1841C3C7" w14:textId="77777777" w:rsidR="005A6862" w:rsidRPr="005A6862" w:rsidRDefault="005A6862" w:rsidP="005A6862">
      <w:pPr>
        <w:widowControl/>
        <w:spacing w:line="360" w:lineRule="auto"/>
        <w:rPr>
          <w:rFonts w:ascii="Times New Roman" w:hAnsi="Times New Roman" w:cs="Times New Roman"/>
          <w:sz w:val="24"/>
        </w:rPr>
      </w:pPr>
      <w:r w:rsidRPr="005A6862">
        <w:rPr>
          <w:rFonts w:ascii="Times New Roman" w:hAnsi="Times New Roman" w:cs="Times New Roman"/>
          <w:sz w:val="24"/>
        </w:rPr>
        <w:br w:type="page"/>
      </w:r>
    </w:p>
    <w:sdt>
      <w:sdtPr>
        <w:rPr>
          <w:rFonts w:asciiTheme="minorHAnsi" w:eastAsiaTheme="minorEastAsia" w:hAnsiTheme="minorHAnsi" w:cstheme="minorBidi"/>
          <w:b w:val="0"/>
          <w:bCs w:val="0"/>
          <w:color w:val="auto"/>
          <w:kern w:val="2"/>
          <w:sz w:val="22"/>
          <w:szCs w:val="24"/>
          <w:lang w:val="zh-CN"/>
          <w14:ligatures w14:val="standardContextual"/>
        </w:rPr>
        <w:id w:val="-689363748"/>
        <w:docPartObj>
          <w:docPartGallery w:val="Table of Contents"/>
          <w:docPartUnique/>
        </w:docPartObj>
      </w:sdtPr>
      <w:sdtEndPr>
        <w:rPr>
          <w:rFonts w:ascii="Times New Roman" w:hAnsi="Times New Roman" w:cs="Times New Roman"/>
          <w:noProof/>
          <w:sz w:val="24"/>
          <w:lang w:val="en-US"/>
        </w:rPr>
      </w:sdtEndPr>
      <w:sdtContent>
        <w:p w14:paraId="764D149A" w14:textId="4E1B5EED" w:rsidR="005A6862" w:rsidRPr="005A6862" w:rsidRDefault="005A6862">
          <w:pPr>
            <w:pStyle w:val="TOC"/>
            <w:rPr>
              <w:rFonts w:ascii="Times New Roman" w:hAnsi="Times New Roman" w:cs="Times New Roman"/>
              <w:sz w:val="24"/>
              <w:szCs w:val="24"/>
            </w:rPr>
          </w:pPr>
          <w:r w:rsidRPr="005A6862">
            <w:rPr>
              <w:rFonts w:ascii="Times New Roman" w:hAnsi="Times New Roman" w:cs="Times New Roman"/>
              <w:sz w:val="24"/>
              <w:szCs w:val="24"/>
            </w:rPr>
            <w:t>Contents</w:t>
          </w:r>
        </w:p>
        <w:p w14:paraId="190A386B" w14:textId="126BF0AB" w:rsidR="005A6862" w:rsidRPr="005A6862" w:rsidRDefault="005A6862">
          <w:pPr>
            <w:pStyle w:val="TOC1"/>
            <w:tabs>
              <w:tab w:val="right" w:leader="dot" w:pos="8296"/>
            </w:tabs>
            <w:rPr>
              <w:rFonts w:ascii="Times New Roman" w:hAnsi="Times New Roman" w:cs="Times New Roman"/>
              <w:noProof/>
              <w:sz w:val="24"/>
              <w:szCs w:val="24"/>
            </w:rPr>
          </w:pPr>
          <w:r w:rsidRPr="005A6862">
            <w:rPr>
              <w:rFonts w:ascii="Times New Roman" w:hAnsi="Times New Roman" w:cs="Times New Roman"/>
              <w:b w:val="0"/>
              <w:bCs w:val="0"/>
              <w:sz w:val="24"/>
              <w:szCs w:val="24"/>
            </w:rPr>
            <w:fldChar w:fldCharType="begin"/>
          </w:r>
          <w:r w:rsidRPr="005A6862">
            <w:rPr>
              <w:rFonts w:ascii="Times New Roman" w:hAnsi="Times New Roman" w:cs="Times New Roman"/>
              <w:sz w:val="24"/>
              <w:szCs w:val="24"/>
            </w:rPr>
            <w:instrText>TOC \o "1-3" \h \z \u</w:instrText>
          </w:r>
          <w:r w:rsidRPr="005A6862">
            <w:rPr>
              <w:rFonts w:ascii="Times New Roman" w:hAnsi="Times New Roman" w:cs="Times New Roman"/>
              <w:b w:val="0"/>
              <w:bCs w:val="0"/>
              <w:sz w:val="24"/>
              <w:szCs w:val="24"/>
            </w:rPr>
            <w:fldChar w:fldCharType="separate"/>
          </w:r>
          <w:hyperlink w:anchor="_Toc224923910" w:history="1">
            <w:r w:rsidRPr="005A6862">
              <w:rPr>
                <w:rStyle w:val="af0"/>
                <w:rFonts w:ascii="Times New Roman" w:hAnsi="Times New Roman" w:cs="Times New Roman"/>
                <w:noProof/>
                <w:sz w:val="24"/>
                <w:szCs w:val="24"/>
              </w:rPr>
              <w:t>1. Introduction</w:t>
            </w:r>
            <w:r w:rsidRPr="005A6862">
              <w:rPr>
                <w:rFonts w:ascii="Times New Roman" w:hAnsi="Times New Roman" w:cs="Times New Roman"/>
                <w:noProof/>
                <w:webHidden/>
                <w:sz w:val="24"/>
                <w:szCs w:val="24"/>
              </w:rPr>
              <w:tab/>
            </w:r>
            <w:r w:rsidRPr="005A6862">
              <w:rPr>
                <w:rFonts w:ascii="Times New Roman" w:hAnsi="Times New Roman" w:cs="Times New Roman"/>
                <w:noProof/>
                <w:webHidden/>
                <w:sz w:val="24"/>
                <w:szCs w:val="24"/>
              </w:rPr>
              <w:fldChar w:fldCharType="begin"/>
            </w:r>
            <w:r w:rsidRPr="005A6862">
              <w:rPr>
                <w:rFonts w:ascii="Times New Roman" w:hAnsi="Times New Roman" w:cs="Times New Roman"/>
                <w:noProof/>
                <w:webHidden/>
                <w:sz w:val="24"/>
                <w:szCs w:val="24"/>
              </w:rPr>
              <w:instrText xml:space="preserve"> PAGEREF _Toc224923910 \h </w:instrText>
            </w:r>
            <w:r w:rsidRPr="005A6862">
              <w:rPr>
                <w:rFonts w:ascii="Times New Roman" w:hAnsi="Times New Roman" w:cs="Times New Roman"/>
                <w:noProof/>
                <w:webHidden/>
                <w:sz w:val="24"/>
                <w:szCs w:val="24"/>
              </w:rPr>
            </w:r>
            <w:r w:rsidRPr="005A6862">
              <w:rPr>
                <w:rFonts w:ascii="Times New Roman" w:hAnsi="Times New Roman" w:cs="Times New Roman"/>
                <w:noProof/>
                <w:webHidden/>
                <w:sz w:val="24"/>
                <w:szCs w:val="24"/>
              </w:rPr>
              <w:fldChar w:fldCharType="separate"/>
            </w:r>
            <w:r w:rsidRPr="005A6862">
              <w:rPr>
                <w:rFonts w:ascii="Times New Roman" w:hAnsi="Times New Roman" w:cs="Times New Roman"/>
                <w:noProof/>
                <w:webHidden/>
                <w:sz w:val="24"/>
                <w:szCs w:val="24"/>
              </w:rPr>
              <w:t>4</w:t>
            </w:r>
            <w:r w:rsidRPr="005A6862">
              <w:rPr>
                <w:rFonts w:ascii="Times New Roman" w:hAnsi="Times New Roman" w:cs="Times New Roman"/>
                <w:noProof/>
                <w:webHidden/>
                <w:sz w:val="24"/>
                <w:szCs w:val="24"/>
              </w:rPr>
              <w:fldChar w:fldCharType="end"/>
            </w:r>
          </w:hyperlink>
        </w:p>
        <w:p w14:paraId="38232668" w14:textId="62EEF81C" w:rsidR="005A6862" w:rsidRPr="005A6862" w:rsidRDefault="005A6862">
          <w:pPr>
            <w:pStyle w:val="TOC1"/>
            <w:tabs>
              <w:tab w:val="right" w:leader="dot" w:pos="8296"/>
            </w:tabs>
            <w:rPr>
              <w:rFonts w:ascii="Times New Roman" w:hAnsi="Times New Roman" w:cs="Times New Roman"/>
              <w:noProof/>
              <w:sz w:val="24"/>
              <w:szCs w:val="24"/>
            </w:rPr>
          </w:pPr>
          <w:hyperlink w:anchor="_Toc224923911" w:history="1">
            <w:r w:rsidRPr="005A6862">
              <w:rPr>
                <w:rStyle w:val="af0"/>
                <w:rFonts w:ascii="Times New Roman" w:hAnsi="Times New Roman" w:cs="Times New Roman"/>
                <w:noProof/>
                <w:sz w:val="24"/>
                <w:szCs w:val="24"/>
              </w:rPr>
              <w:t>2. External Analysis</w:t>
            </w:r>
            <w:r w:rsidRPr="005A6862">
              <w:rPr>
                <w:rFonts w:ascii="Times New Roman" w:hAnsi="Times New Roman" w:cs="Times New Roman"/>
                <w:noProof/>
                <w:webHidden/>
                <w:sz w:val="24"/>
                <w:szCs w:val="24"/>
              </w:rPr>
              <w:tab/>
            </w:r>
            <w:r w:rsidRPr="005A6862">
              <w:rPr>
                <w:rFonts w:ascii="Times New Roman" w:hAnsi="Times New Roman" w:cs="Times New Roman"/>
                <w:noProof/>
                <w:webHidden/>
                <w:sz w:val="24"/>
                <w:szCs w:val="24"/>
              </w:rPr>
              <w:fldChar w:fldCharType="begin"/>
            </w:r>
            <w:r w:rsidRPr="005A6862">
              <w:rPr>
                <w:rFonts w:ascii="Times New Roman" w:hAnsi="Times New Roman" w:cs="Times New Roman"/>
                <w:noProof/>
                <w:webHidden/>
                <w:sz w:val="24"/>
                <w:szCs w:val="24"/>
              </w:rPr>
              <w:instrText xml:space="preserve"> PAGEREF _Toc224923911 \h </w:instrText>
            </w:r>
            <w:r w:rsidRPr="005A6862">
              <w:rPr>
                <w:rFonts w:ascii="Times New Roman" w:hAnsi="Times New Roman" w:cs="Times New Roman"/>
                <w:noProof/>
                <w:webHidden/>
                <w:sz w:val="24"/>
                <w:szCs w:val="24"/>
              </w:rPr>
            </w:r>
            <w:r w:rsidRPr="005A6862">
              <w:rPr>
                <w:rFonts w:ascii="Times New Roman" w:hAnsi="Times New Roman" w:cs="Times New Roman"/>
                <w:noProof/>
                <w:webHidden/>
                <w:sz w:val="24"/>
                <w:szCs w:val="24"/>
              </w:rPr>
              <w:fldChar w:fldCharType="separate"/>
            </w:r>
            <w:r w:rsidRPr="005A6862">
              <w:rPr>
                <w:rFonts w:ascii="Times New Roman" w:hAnsi="Times New Roman" w:cs="Times New Roman"/>
                <w:noProof/>
                <w:webHidden/>
                <w:sz w:val="24"/>
                <w:szCs w:val="24"/>
              </w:rPr>
              <w:t>4</w:t>
            </w:r>
            <w:r w:rsidRPr="005A6862">
              <w:rPr>
                <w:rFonts w:ascii="Times New Roman" w:hAnsi="Times New Roman" w:cs="Times New Roman"/>
                <w:noProof/>
                <w:webHidden/>
                <w:sz w:val="24"/>
                <w:szCs w:val="24"/>
              </w:rPr>
              <w:fldChar w:fldCharType="end"/>
            </w:r>
          </w:hyperlink>
        </w:p>
        <w:p w14:paraId="37852CD6" w14:textId="1F3D2509" w:rsidR="005A6862" w:rsidRPr="005A6862" w:rsidRDefault="005A6862">
          <w:pPr>
            <w:pStyle w:val="TOC2"/>
            <w:tabs>
              <w:tab w:val="right" w:leader="dot" w:pos="8296"/>
            </w:tabs>
            <w:ind w:left="440"/>
            <w:rPr>
              <w:rFonts w:ascii="Times New Roman" w:hAnsi="Times New Roman" w:cs="Times New Roman"/>
              <w:noProof/>
              <w:sz w:val="24"/>
              <w:szCs w:val="24"/>
            </w:rPr>
          </w:pPr>
          <w:hyperlink w:anchor="_Toc224923912" w:history="1">
            <w:r w:rsidRPr="005A6862">
              <w:rPr>
                <w:rStyle w:val="af0"/>
                <w:rFonts w:ascii="Times New Roman" w:hAnsi="Times New Roman" w:cs="Times New Roman"/>
                <w:noProof/>
                <w:sz w:val="24"/>
                <w:szCs w:val="24"/>
              </w:rPr>
              <w:t>2.1 PESTEL Analysis</w:t>
            </w:r>
            <w:r w:rsidRPr="005A6862">
              <w:rPr>
                <w:rFonts w:ascii="Times New Roman" w:hAnsi="Times New Roman" w:cs="Times New Roman"/>
                <w:noProof/>
                <w:webHidden/>
                <w:sz w:val="24"/>
                <w:szCs w:val="24"/>
              </w:rPr>
              <w:tab/>
            </w:r>
            <w:r w:rsidRPr="005A6862">
              <w:rPr>
                <w:rFonts w:ascii="Times New Roman" w:hAnsi="Times New Roman" w:cs="Times New Roman"/>
                <w:noProof/>
                <w:webHidden/>
                <w:sz w:val="24"/>
                <w:szCs w:val="24"/>
              </w:rPr>
              <w:fldChar w:fldCharType="begin"/>
            </w:r>
            <w:r w:rsidRPr="005A6862">
              <w:rPr>
                <w:rFonts w:ascii="Times New Roman" w:hAnsi="Times New Roman" w:cs="Times New Roman"/>
                <w:noProof/>
                <w:webHidden/>
                <w:sz w:val="24"/>
                <w:szCs w:val="24"/>
              </w:rPr>
              <w:instrText xml:space="preserve"> PAGEREF _Toc224923912 \h </w:instrText>
            </w:r>
            <w:r w:rsidRPr="005A6862">
              <w:rPr>
                <w:rFonts w:ascii="Times New Roman" w:hAnsi="Times New Roman" w:cs="Times New Roman"/>
                <w:noProof/>
                <w:webHidden/>
                <w:sz w:val="24"/>
                <w:szCs w:val="24"/>
              </w:rPr>
            </w:r>
            <w:r w:rsidRPr="005A6862">
              <w:rPr>
                <w:rFonts w:ascii="Times New Roman" w:hAnsi="Times New Roman" w:cs="Times New Roman"/>
                <w:noProof/>
                <w:webHidden/>
                <w:sz w:val="24"/>
                <w:szCs w:val="24"/>
              </w:rPr>
              <w:fldChar w:fldCharType="separate"/>
            </w:r>
            <w:r w:rsidRPr="005A6862">
              <w:rPr>
                <w:rFonts w:ascii="Times New Roman" w:hAnsi="Times New Roman" w:cs="Times New Roman"/>
                <w:noProof/>
                <w:webHidden/>
                <w:sz w:val="24"/>
                <w:szCs w:val="24"/>
              </w:rPr>
              <w:t>4</w:t>
            </w:r>
            <w:r w:rsidRPr="005A6862">
              <w:rPr>
                <w:rFonts w:ascii="Times New Roman" w:hAnsi="Times New Roman" w:cs="Times New Roman"/>
                <w:noProof/>
                <w:webHidden/>
                <w:sz w:val="24"/>
                <w:szCs w:val="24"/>
              </w:rPr>
              <w:fldChar w:fldCharType="end"/>
            </w:r>
          </w:hyperlink>
        </w:p>
        <w:p w14:paraId="0B15EB68" w14:textId="4B7B98C4" w:rsidR="005A6862" w:rsidRPr="005A6862" w:rsidRDefault="005A6862">
          <w:pPr>
            <w:pStyle w:val="TOC2"/>
            <w:tabs>
              <w:tab w:val="right" w:leader="dot" w:pos="8296"/>
            </w:tabs>
            <w:ind w:left="440"/>
            <w:rPr>
              <w:rFonts w:ascii="Times New Roman" w:hAnsi="Times New Roman" w:cs="Times New Roman"/>
              <w:noProof/>
              <w:sz w:val="24"/>
              <w:szCs w:val="24"/>
            </w:rPr>
          </w:pPr>
          <w:hyperlink w:anchor="_Toc224923913" w:history="1">
            <w:r w:rsidRPr="005A6862">
              <w:rPr>
                <w:rStyle w:val="af0"/>
                <w:rFonts w:ascii="Times New Roman" w:hAnsi="Times New Roman" w:cs="Times New Roman"/>
                <w:noProof/>
                <w:sz w:val="24"/>
                <w:szCs w:val="24"/>
              </w:rPr>
              <w:t>2.2 Porter’s Five Forces</w:t>
            </w:r>
            <w:r w:rsidRPr="005A6862">
              <w:rPr>
                <w:rFonts w:ascii="Times New Roman" w:hAnsi="Times New Roman" w:cs="Times New Roman"/>
                <w:noProof/>
                <w:webHidden/>
                <w:sz w:val="24"/>
                <w:szCs w:val="24"/>
              </w:rPr>
              <w:tab/>
            </w:r>
            <w:r w:rsidRPr="005A6862">
              <w:rPr>
                <w:rFonts w:ascii="Times New Roman" w:hAnsi="Times New Roman" w:cs="Times New Roman"/>
                <w:noProof/>
                <w:webHidden/>
                <w:sz w:val="24"/>
                <w:szCs w:val="24"/>
              </w:rPr>
              <w:fldChar w:fldCharType="begin"/>
            </w:r>
            <w:r w:rsidRPr="005A6862">
              <w:rPr>
                <w:rFonts w:ascii="Times New Roman" w:hAnsi="Times New Roman" w:cs="Times New Roman"/>
                <w:noProof/>
                <w:webHidden/>
                <w:sz w:val="24"/>
                <w:szCs w:val="24"/>
              </w:rPr>
              <w:instrText xml:space="preserve"> PAGEREF _Toc224923913 \h </w:instrText>
            </w:r>
            <w:r w:rsidRPr="005A6862">
              <w:rPr>
                <w:rFonts w:ascii="Times New Roman" w:hAnsi="Times New Roman" w:cs="Times New Roman"/>
                <w:noProof/>
                <w:webHidden/>
                <w:sz w:val="24"/>
                <w:szCs w:val="24"/>
              </w:rPr>
            </w:r>
            <w:r w:rsidRPr="005A6862">
              <w:rPr>
                <w:rFonts w:ascii="Times New Roman" w:hAnsi="Times New Roman" w:cs="Times New Roman"/>
                <w:noProof/>
                <w:webHidden/>
                <w:sz w:val="24"/>
                <w:szCs w:val="24"/>
              </w:rPr>
              <w:fldChar w:fldCharType="separate"/>
            </w:r>
            <w:r w:rsidRPr="005A6862">
              <w:rPr>
                <w:rFonts w:ascii="Times New Roman" w:hAnsi="Times New Roman" w:cs="Times New Roman"/>
                <w:noProof/>
                <w:webHidden/>
                <w:sz w:val="24"/>
                <w:szCs w:val="24"/>
              </w:rPr>
              <w:t>5</w:t>
            </w:r>
            <w:r w:rsidRPr="005A6862">
              <w:rPr>
                <w:rFonts w:ascii="Times New Roman" w:hAnsi="Times New Roman" w:cs="Times New Roman"/>
                <w:noProof/>
                <w:webHidden/>
                <w:sz w:val="24"/>
                <w:szCs w:val="24"/>
              </w:rPr>
              <w:fldChar w:fldCharType="end"/>
            </w:r>
          </w:hyperlink>
        </w:p>
        <w:p w14:paraId="62F4AA34" w14:textId="289F0A5C" w:rsidR="005A6862" w:rsidRPr="005A6862" w:rsidRDefault="005A6862">
          <w:pPr>
            <w:pStyle w:val="TOC1"/>
            <w:tabs>
              <w:tab w:val="right" w:leader="dot" w:pos="8296"/>
            </w:tabs>
            <w:rPr>
              <w:rFonts w:ascii="Times New Roman" w:hAnsi="Times New Roman" w:cs="Times New Roman"/>
              <w:noProof/>
              <w:sz w:val="24"/>
              <w:szCs w:val="24"/>
            </w:rPr>
          </w:pPr>
          <w:hyperlink w:anchor="_Toc224923914" w:history="1">
            <w:r w:rsidRPr="005A6862">
              <w:rPr>
                <w:rStyle w:val="af0"/>
                <w:rFonts w:ascii="Times New Roman" w:hAnsi="Times New Roman" w:cs="Times New Roman"/>
                <w:noProof/>
                <w:sz w:val="24"/>
                <w:szCs w:val="24"/>
              </w:rPr>
              <w:t>3. Internal Analysis</w:t>
            </w:r>
            <w:r w:rsidRPr="005A6862">
              <w:rPr>
                <w:rFonts w:ascii="Times New Roman" w:hAnsi="Times New Roman" w:cs="Times New Roman"/>
                <w:noProof/>
                <w:webHidden/>
                <w:sz w:val="24"/>
                <w:szCs w:val="24"/>
              </w:rPr>
              <w:tab/>
            </w:r>
            <w:r w:rsidRPr="005A6862">
              <w:rPr>
                <w:rFonts w:ascii="Times New Roman" w:hAnsi="Times New Roman" w:cs="Times New Roman"/>
                <w:noProof/>
                <w:webHidden/>
                <w:sz w:val="24"/>
                <w:szCs w:val="24"/>
              </w:rPr>
              <w:fldChar w:fldCharType="begin"/>
            </w:r>
            <w:r w:rsidRPr="005A6862">
              <w:rPr>
                <w:rFonts w:ascii="Times New Roman" w:hAnsi="Times New Roman" w:cs="Times New Roman"/>
                <w:noProof/>
                <w:webHidden/>
                <w:sz w:val="24"/>
                <w:szCs w:val="24"/>
              </w:rPr>
              <w:instrText xml:space="preserve"> PAGEREF _Toc224923914 \h </w:instrText>
            </w:r>
            <w:r w:rsidRPr="005A6862">
              <w:rPr>
                <w:rFonts w:ascii="Times New Roman" w:hAnsi="Times New Roman" w:cs="Times New Roman"/>
                <w:noProof/>
                <w:webHidden/>
                <w:sz w:val="24"/>
                <w:szCs w:val="24"/>
              </w:rPr>
            </w:r>
            <w:r w:rsidRPr="005A6862">
              <w:rPr>
                <w:rFonts w:ascii="Times New Roman" w:hAnsi="Times New Roman" w:cs="Times New Roman"/>
                <w:noProof/>
                <w:webHidden/>
                <w:sz w:val="24"/>
                <w:szCs w:val="24"/>
              </w:rPr>
              <w:fldChar w:fldCharType="separate"/>
            </w:r>
            <w:r w:rsidRPr="005A6862">
              <w:rPr>
                <w:rFonts w:ascii="Times New Roman" w:hAnsi="Times New Roman" w:cs="Times New Roman"/>
                <w:noProof/>
                <w:webHidden/>
                <w:sz w:val="24"/>
                <w:szCs w:val="24"/>
              </w:rPr>
              <w:t>7</w:t>
            </w:r>
            <w:r w:rsidRPr="005A6862">
              <w:rPr>
                <w:rFonts w:ascii="Times New Roman" w:hAnsi="Times New Roman" w:cs="Times New Roman"/>
                <w:noProof/>
                <w:webHidden/>
                <w:sz w:val="24"/>
                <w:szCs w:val="24"/>
              </w:rPr>
              <w:fldChar w:fldCharType="end"/>
            </w:r>
          </w:hyperlink>
        </w:p>
        <w:p w14:paraId="5F327A49" w14:textId="2B933FE5" w:rsidR="005A6862" w:rsidRPr="005A6862" w:rsidRDefault="005A6862">
          <w:pPr>
            <w:pStyle w:val="TOC2"/>
            <w:tabs>
              <w:tab w:val="right" w:leader="dot" w:pos="8296"/>
            </w:tabs>
            <w:ind w:left="440"/>
            <w:rPr>
              <w:rFonts w:ascii="Times New Roman" w:hAnsi="Times New Roman" w:cs="Times New Roman"/>
              <w:noProof/>
              <w:sz w:val="24"/>
              <w:szCs w:val="24"/>
            </w:rPr>
          </w:pPr>
          <w:hyperlink w:anchor="_Toc224923915" w:history="1">
            <w:r w:rsidRPr="005A6862">
              <w:rPr>
                <w:rStyle w:val="af0"/>
                <w:rFonts w:ascii="Times New Roman" w:hAnsi="Times New Roman" w:cs="Times New Roman"/>
                <w:noProof/>
                <w:sz w:val="24"/>
                <w:szCs w:val="24"/>
              </w:rPr>
              <w:t>3.1 RBV</w:t>
            </w:r>
            <w:r w:rsidRPr="005A6862">
              <w:rPr>
                <w:rFonts w:ascii="Times New Roman" w:hAnsi="Times New Roman" w:cs="Times New Roman"/>
                <w:noProof/>
                <w:webHidden/>
                <w:sz w:val="24"/>
                <w:szCs w:val="24"/>
              </w:rPr>
              <w:tab/>
            </w:r>
            <w:r w:rsidRPr="005A6862">
              <w:rPr>
                <w:rFonts w:ascii="Times New Roman" w:hAnsi="Times New Roman" w:cs="Times New Roman"/>
                <w:noProof/>
                <w:webHidden/>
                <w:sz w:val="24"/>
                <w:szCs w:val="24"/>
              </w:rPr>
              <w:fldChar w:fldCharType="begin"/>
            </w:r>
            <w:r w:rsidRPr="005A6862">
              <w:rPr>
                <w:rFonts w:ascii="Times New Roman" w:hAnsi="Times New Roman" w:cs="Times New Roman"/>
                <w:noProof/>
                <w:webHidden/>
                <w:sz w:val="24"/>
                <w:szCs w:val="24"/>
              </w:rPr>
              <w:instrText xml:space="preserve"> PAGEREF _Toc224923915 \h </w:instrText>
            </w:r>
            <w:r w:rsidRPr="005A6862">
              <w:rPr>
                <w:rFonts w:ascii="Times New Roman" w:hAnsi="Times New Roman" w:cs="Times New Roman"/>
                <w:noProof/>
                <w:webHidden/>
                <w:sz w:val="24"/>
                <w:szCs w:val="24"/>
              </w:rPr>
            </w:r>
            <w:r w:rsidRPr="005A6862">
              <w:rPr>
                <w:rFonts w:ascii="Times New Roman" w:hAnsi="Times New Roman" w:cs="Times New Roman"/>
                <w:noProof/>
                <w:webHidden/>
                <w:sz w:val="24"/>
                <w:szCs w:val="24"/>
              </w:rPr>
              <w:fldChar w:fldCharType="separate"/>
            </w:r>
            <w:r w:rsidRPr="005A6862">
              <w:rPr>
                <w:rFonts w:ascii="Times New Roman" w:hAnsi="Times New Roman" w:cs="Times New Roman"/>
                <w:noProof/>
                <w:webHidden/>
                <w:sz w:val="24"/>
                <w:szCs w:val="24"/>
              </w:rPr>
              <w:t>7</w:t>
            </w:r>
            <w:r w:rsidRPr="005A6862">
              <w:rPr>
                <w:rFonts w:ascii="Times New Roman" w:hAnsi="Times New Roman" w:cs="Times New Roman"/>
                <w:noProof/>
                <w:webHidden/>
                <w:sz w:val="24"/>
                <w:szCs w:val="24"/>
              </w:rPr>
              <w:fldChar w:fldCharType="end"/>
            </w:r>
          </w:hyperlink>
        </w:p>
        <w:p w14:paraId="2E8A23DA" w14:textId="66CF304E" w:rsidR="005A6862" w:rsidRPr="005A6862" w:rsidRDefault="005A6862">
          <w:pPr>
            <w:pStyle w:val="TOC2"/>
            <w:tabs>
              <w:tab w:val="right" w:leader="dot" w:pos="8296"/>
            </w:tabs>
            <w:ind w:left="440"/>
            <w:rPr>
              <w:rFonts w:ascii="Times New Roman" w:hAnsi="Times New Roman" w:cs="Times New Roman"/>
              <w:noProof/>
              <w:sz w:val="24"/>
              <w:szCs w:val="24"/>
            </w:rPr>
          </w:pPr>
          <w:hyperlink w:anchor="_Toc224923916" w:history="1">
            <w:r w:rsidRPr="005A6862">
              <w:rPr>
                <w:rStyle w:val="af0"/>
                <w:rFonts w:ascii="Times New Roman" w:hAnsi="Times New Roman" w:cs="Times New Roman"/>
                <w:noProof/>
                <w:sz w:val="24"/>
                <w:szCs w:val="24"/>
              </w:rPr>
              <w:t>3.2 Value Chain Analysis</w:t>
            </w:r>
            <w:r w:rsidRPr="005A6862">
              <w:rPr>
                <w:rFonts w:ascii="Times New Roman" w:hAnsi="Times New Roman" w:cs="Times New Roman"/>
                <w:noProof/>
                <w:webHidden/>
                <w:sz w:val="24"/>
                <w:szCs w:val="24"/>
              </w:rPr>
              <w:tab/>
            </w:r>
            <w:r w:rsidRPr="005A6862">
              <w:rPr>
                <w:rFonts w:ascii="Times New Roman" w:hAnsi="Times New Roman" w:cs="Times New Roman"/>
                <w:noProof/>
                <w:webHidden/>
                <w:sz w:val="24"/>
                <w:szCs w:val="24"/>
              </w:rPr>
              <w:fldChar w:fldCharType="begin"/>
            </w:r>
            <w:r w:rsidRPr="005A6862">
              <w:rPr>
                <w:rFonts w:ascii="Times New Roman" w:hAnsi="Times New Roman" w:cs="Times New Roman"/>
                <w:noProof/>
                <w:webHidden/>
                <w:sz w:val="24"/>
                <w:szCs w:val="24"/>
              </w:rPr>
              <w:instrText xml:space="preserve"> PAGEREF _Toc224923916 \h </w:instrText>
            </w:r>
            <w:r w:rsidRPr="005A6862">
              <w:rPr>
                <w:rFonts w:ascii="Times New Roman" w:hAnsi="Times New Roman" w:cs="Times New Roman"/>
                <w:noProof/>
                <w:webHidden/>
                <w:sz w:val="24"/>
                <w:szCs w:val="24"/>
              </w:rPr>
            </w:r>
            <w:r w:rsidRPr="005A6862">
              <w:rPr>
                <w:rFonts w:ascii="Times New Roman" w:hAnsi="Times New Roman" w:cs="Times New Roman"/>
                <w:noProof/>
                <w:webHidden/>
                <w:sz w:val="24"/>
                <w:szCs w:val="24"/>
              </w:rPr>
              <w:fldChar w:fldCharType="separate"/>
            </w:r>
            <w:r w:rsidRPr="005A6862">
              <w:rPr>
                <w:rFonts w:ascii="Times New Roman" w:hAnsi="Times New Roman" w:cs="Times New Roman"/>
                <w:noProof/>
                <w:webHidden/>
                <w:sz w:val="24"/>
                <w:szCs w:val="24"/>
              </w:rPr>
              <w:t>9</w:t>
            </w:r>
            <w:r w:rsidRPr="005A6862">
              <w:rPr>
                <w:rFonts w:ascii="Times New Roman" w:hAnsi="Times New Roman" w:cs="Times New Roman"/>
                <w:noProof/>
                <w:webHidden/>
                <w:sz w:val="24"/>
                <w:szCs w:val="24"/>
              </w:rPr>
              <w:fldChar w:fldCharType="end"/>
            </w:r>
          </w:hyperlink>
        </w:p>
        <w:p w14:paraId="048E3A2A" w14:textId="16CA1FB2" w:rsidR="005A6862" w:rsidRPr="005A6862" w:rsidRDefault="005A6862">
          <w:pPr>
            <w:pStyle w:val="TOC2"/>
            <w:tabs>
              <w:tab w:val="right" w:leader="dot" w:pos="8296"/>
            </w:tabs>
            <w:ind w:left="440"/>
            <w:rPr>
              <w:rFonts w:ascii="Times New Roman" w:hAnsi="Times New Roman" w:cs="Times New Roman"/>
              <w:noProof/>
              <w:sz w:val="24"/>
              <w:szCs w:val="24"/>
            </w:rPr>
          </w:pPr>
          <w:hyperlink w:anchor="_Toc224923917" w:history="1">
            <w:r w:rsidRPr="005A6862">
              <w:rPr>
                <w:rStyle w:val="af0"/>
                <w:rFonts w:ascii="Times New Roman" w:hAnsi="Times New Roman" w:cs="Times New Roman"/>
                <w:noProof/>
                <w:sz w:val="24"/>
                <w:szCs w:val="24"/>
              </w:rPr>
              <w:t>3.3 SWOT/TOWS Analysis</w:t>
            </w:r>
            <w:r w:rsidRPr="005A6862">
              <w:rPr>
                <w:rFonts w:ascii="Times New Roman" w:hAnsi="Times New Roman" w:cs="Times New Roman"/>
                <w:noProof/>
                <w:webHidden/>
                <w:sz w:val="24"/>
                <w:szCs w:val="24"/>
              </w:rPr>
              <w:tab/>
            </w:r>
            <w:r w:rsidRPr="005A6862">
              <w:rPr>
                <w:rFonts w:ascii="Times New Roman" w:hAnsi="Times New Roman" w:cs="Times New Roman"/>
                <w:noProof/>
                <w:webHidden/>
                <w:sz w:val="24"/>
                <w:szCs w:val="24"/>
              </w:rPr>
              <w:fldChar w:fldCharType="begin"/>
            </w:r>
            <w:r w:rsidRPr="005A6862">
              <w:rPr>
                <w:rFonts w:ascii="Times New Roman" w:hAnsi="Times New Roman" w:cs="Times New Roman"/>
                <w:noProof/>
                <w:webHidden/>
                <w:sz w:val="24"/>
                <w:szCs w:val="24"/>
              </w:rPr>
              <w:instrText xml:space="preserve"> PAGEREF _Toc224923917 \h </w:instrText>
            </w:r>
            <w:r w:rsidRPr="005A6862">
              <w:rPr>
                <w:rFonts w:ascii="Times New Roman" w:hAnsi="Times New Roman" w:cs="Times New Roman"/>
                <w:noProof/>
                <w:webHidden/>
                <w:sz w:val="24"/>
                <w:szCs w:val="24"/>
              </w:rPr>
            </w:r>
            <w:r w:rsidRPr="005A6862">
              <w:rPr>
                <w:rFonts w:ascii="Times New Roman" w:hAnsi="Times New Roman" w:cs="Times New Roman"/>
                <w:noProof/>
                <w:webHidden/>
                <w:sz w:val="24"/>
                <w:szCs w:val="24"/>
              </w:rPr>
              <w:fldChar w:fldCharType="separate"/>
            </w:r>
            <w:r w:rsidRPr="005A6862">
              <w:rPr>
                <w:rFonts w:ascii="Times New Roman" w:hAnsi="Times New Roman" w:cs="Times New Roman"/>
                <w:noProof/>
                <w:webHidden/>
                <w:sz w:val="24"/>
                <w:szCs w:val="24"/>
              </w:rPr>
              <w:t>11</w:t>
            </w:r>
            <w:r w:rsidRPr="005A6862">
              <w:rPr>
                <w:rFonts w:ascii="Times New Roman" w:hAnsi="Times New Roman" w:cs="Times New Roman"/>
                <w:noProof/>
                <w:webHidden/>
                <w:sz w:val="24"/>
                <w:szCs w:val="24"/>
              </w:rPr>
              <w:fldChar w:fldCharType="end"/>
            </w:r>
          </w:hyperlink>
        </w:p>
        <w:p w14:paraId="5F5A1A2C" w14:textId="0F85EA22" w:rsidR="005A6862" w:rsidRPr="005A6862" w:rsidRDefault="005A6862">
          <w:pPr>
            <w:pStyle w:val="TOC1"/>
            <w:tabs>
              <w:tab w:val="right" w:leader="dot" w:pos="8296"/>
            </w:tabs>
            <w:rPr>
              <w:rFonts w:ascii="Times New Roman" w:hAnsi="Times New Roman" w:cs="Times New Roman"/>
              <w:noProof/>
              <w:sz w:val="24"/>
              <w:szCs w:val="24"/>
            </w:rPr>
          </w:pPr>
          <w:hyperlink w:anchor="_Toc224923918" w:history="1">
            <w:r w:rsidRPr="005A6862">
              <w:rPr>
                <w:rStyle w:val="af0"/>
                <w:rFonts w:ascii="Times New Roman" w:hAnsi="Times New Roman" w:cs="Times New Roman"/>
                <w:noProof/>
                <w:sz w:val="24"/>
                <w:szCs w:val="24"/>
              </w:rPr>
              <w:t>4. Strategy Formulation &amp; Competitive Positioning</w:t>
            </w:r>
            <w:r w:rsidRPr="005A6862">
              <w:rPr>
                <w:rFonts w:ascii="Times New Roman" w:hAnsi="Times New Roman" w:cs="Times New Roman"/>
                <w:noProof/>
                <w:webHidden/>
                <w:sz w:val="24"/>
                <w:szCs w:val="24"/>
              </w:rPr>
              <w:tab/>
            </w:r>
            <w:r w:rsidRPr="005A6862">
              <w:rPr>
                <w:rFonts w:ascii="Times New Roman" w:hAnsi="Times New Roman" w:cs="Times New Roman"/>
                <w:noProof/>
                <w:webHidden/>
                <w:sz w:val="24"/>
                <w:szCs w:val="24"/>
              </w:rPr>
              <w:fldChar w:fldCharType="begin"/>
            </w:r>
            <w:r w:rsidRPr="005A6862">
              <w:rPr>
                <w:rFonts w:ascii="Times New Roman" w:hAnsi="Times New Roman" w:cs="Times New Roman"/>
                <w:noProof/>
                <w:webHidden/>
                <w:sz w:val="24"/>
                <w:szCs w:val="24"/>
              </w:rPr>
              <w:instrText xml:space="preserve"> PAGEREF _Toc224923918 \h </w:instrText>
            </w:r>
            <w:r w:rsidRPr="005A6862">
              <w:rPr>
                <w:rFonts w:ascii="Times New Roman" w:hAnsi="Times New Roman" w:cs="Times New Roman"/>
                <w:noProof/>
                <w:webHidden/>
                <w:sz w:val="24"/>
                <w:szCs w:val="24"/>
              </w:rPr>
            </w:r>
            <w:r w:rsidRPr="005A6862">
              <w:rPr>
                <w:rFonts w:ascii="Times New Roman" w:hAnsi="Times New Roman" w:cs="Times New Roman"/>
                <w:noProof/>
                <w:webHidden/>
                <w:sz w:val="24"/>
                <w:szCs w:val="24"/>
              </w:rPr>
              <w:fldChar w:fldCharType="separate"/>
            </w:r>
            <w:r w:rsidRPr="005A6862">
              <w:rPr>
                <w:rFonts w:ascii="Times New Roman" w:hAnsi="Times New Roman" w:cs="Times New Roman"/>
                <w:noProof/>
                <w:webHidden/>
                <w:sz w:val="24"/>
                <w:szCs w:val="24"/>
              </w:rPr>
              <w:t>11</w:t>
            </w:r>
            <w:r w:rsidRPr="005A6862">
              <w:rPr>
                <w:rFonts w:ascii="Times New Roman" w:hAnsi="Times New Roman" w:cs="Times New Roman"/>
                <w:noProof/>
                <w:webHidden/>
                <w:sz w:val="24"/>
                <w:szCs w:val="24"/>
              </w:rPr>
              <w:fldChar w:fldCharType="end"/>
            </w:r>
          </w:hyperlink>
        </w:p>
        <w:p w14:paraId="1EAAFDAD" w14:textId="388F50FB" w:rsidR="005A6862" w:rsidRPr="005A6862" w:rsidRDefault="005A6862">
          <w:pPr>
            <w:pStyle w:val="TOC2"/>
            <w:tabs>
              <w:tab w:val="right" w:leader="dot" w:pos="8296"/>
            </w:tabs>
            <w:ind w:left="440"/>
            <w:rPr>
              <w:rFonts w:ascii="Times New Roman" w:hAnsi="Times New Roman" w:cs="Times New Roman"/>
              <w:noProof/>
              <w:sz w:val="24"/>
              <w:szCs w:val="24"/>
            </w:rPr>
          </w:pPr>
          <w:hyperlink w:anchor="_Toc224923919" w:history="1">
            <w:r w:rsidRPr="005A6862">
              <w:rPr>
                <w:rStyle w:val="af0"/>
                <w:rFonts w:ascii="Times New Roman" w:hAnsi="Times New Roman" w:cs="Times New Roman"/>
                <w:noProof/>
                <w:sz w:val="24"/>
                <w:szCs w:val="24"/>
              </w:rPr>
              <w:t>4.1 Bowman Strategy Clock</w:t>
            </w:r>
            <w:r w:rsidRPr="005A6862">
              <w:rPr>
                <w:rFonts w:ascii="Times New Roman" w:hAnsi="Times New Roman" w:cs="Times New Roman"/>
                <w:noProof/>
                <w:webHidden/>
                <w:sz w:val="24"/>
                <w:szCs w:val="24"/>
              </w:rPr>
              <w:tab/>
            </w:r>
            <w:r w:rsidRPr="005A6862">
              <w:rPr>
                <w:rFonts w:ascii="Times New Roman" w:hAnsi="Times New Roman" w:cs="Times New Roman"/>
                <w:noProof/>
                <w:webHidden/>
                <w:sz w:val="24"/>
                <w:szCs w:val="24"/>
              </w:rPr>
              <w:fldChar w:fldCharType="begin"/>
            </w:r>
            <w:r w:rsidRPr="005A6862">
              <w:rPr>
                <w:rFonts w:ascii="Times New Roman" w:hAnsi="Times New Roman" w:cs="Times New Roman"/>
                <w:noProof/>
                <w:webHidden/>
                <w:sz w:val="24"/>
                <w:szCs w:val="24"/>
              </w:rPr>
              <w:instrText xml:space="preserve"> PAGEREF _Toc224923919 \h </w:instrText>
            </w:r>
            <w:r w:rsidRPr="005A6862">
              <w:rPr>
                <w:rFonts w:ascii="Times New Roman" w:hAnsi="Times New Roman" w:cs="Times New Roman"/>
                <w:noProof/>
                <w:webHidden/>
                <w:sz w:val="24"/>
                <w:szCs w:val="24"/>
              </w:rPr>
            </w:r>
            <w:r w:rsidRPr="005A6862">
              <w:rPr>
                <w:rFonts w:ascii="Times New Roman" w:hAnsi="Times New Roman" w:cs="Times New Roman"/>
                <w:noProof/>
                <w:webHidden/>
                <w:sz w:val="24"/>
                <w:szCs w:val="24"/>
              </w:rPr>
              <w:fldChar w:fldCharType="separate"/>
            </w:r>
            <w:r w:rsidRPr="005A6862">
              <w:rPr>
                <w:rFonts w:ascii="Times New Roman" w:hAnsi="Times New Roman" w:cs="Times New Roman"/>
                <w:noProof/>
                <w:webHidden/>
                <w:sz w:val="24"/>
                <w:szCs w:val="24"/>
              </w:rPr>
              <w:t>11</w:t>
            </w:r>
            <w:r w:rsidRPr="005A6862">
              <w:rPr>
                <w:rFonts w:ascii="Times New Roman" w:hAnsi="Times New Roman" w:cs="Times New Roman"/>
                <w:noProof/>
                <w:webHidden/>
                <w:sz w:val="24"/>
                <w:szCs w:val="24"/>
              </w:rPr>
              <w:fldChar w:fldCharType="end"/>
            </w:r>
          </w:hyperlink>
        </w:p>
        <w:p w14:paraId="20D29AB6" w14:textId="60FEBEB6" w:rsidR="005A6862" w:rsidRPr="005A6862" w:rsidRDefault="005A6862">
          <w:pPr>
            <w:pStyle w:val="TOC2"/>
            <w:tabs>
              <w:tab w:val="right" w:leader="dot" w:pos="8296"/>
            </w:tabs>
            <w:ind w:left="440"/>
            <w:rPr>
              <w:rFonts w:ascii="Times New Roman" w:hAnsi="Times New Roman" w:cs="Times New Roman"/>
              <w:noProof/>
              <w:sz w:val="24"/>
              <w:szCs w:val="24"/>
            </w:rPr>
          </w:pPr>
          <w:hyperlink w:anchor="_Toc224923920" w:history="1">
            <w:r w:rsidRPr="005A6862">
              <w:rPr>
                <w:rStyle w:val="af0"/>
                <w:rFonts w:ascii="Times New Roman" w:hAnsi="Times New Roman" w:cs="Times New Roman"/>
                <w:noProof/>
                <w:sz w:val="24"/>
                <w:szCs w:val="24"/>
              </w:rPr>
              <w:t>4.2 Ansoff’s Matrix</w:t>
            </w:r>
            <w:r w:rsidRPr="005A6862">
              <w:rPr>
                <w:rFonts w:ascii="Times New Roman" w:hAnsi="Times New Roman" w:cs="Times New Roman"/>
                <w:noProof/>
                <w:webHidden/>
                <w:sz w:val="24"/>
                <w:szCs w:val="24"/>
              </w:rPr>
              <w:tab/>
            </w:r>
            <w:r w:rsidRPr="005A6862">
              <w:rPr>
                <w:rFonts w:ascii="Times New Roman" w:hAnsi="Times New Roman" w:cs="Times New Roman"/>
                <w:noProof/>
                <w:webHidden/>
                <w:sz w:val="24"/>
                <w:szCs w:val="24"/>
              </w:rPr>
              <w:fldChar w:fldCharType="begin"/>
            </w:r>
            <w:r w:rsidRPr="005A6862">
              <w:rPr>
                <w:rFonts w:ascii="Times New Roman" w:hAnsi="Times New Roman" w:cs="Times New Roman"/>
                <w:noProof/>
                <w:webHidden/>
                <w:sz w:val="24"/>
                <w:szCs w:val="24"/>
              </w:rPr>
              <w:instrText xml:space="preserve"> PAGEREF _Toc224923920 \h </w:instrText>
            </w:r>
            <w:r w:rsidRPr="005A6862">
              <w:rPr>
                <w:rFonts w:ascii="Times New Roman" w:hAnsi="Times New Roman" w:cs="Times New Roman"/>
                <w:noProof/>
                <w:webHidden/>
                <w:sz w:val="24"/>
                <w:szCs w:val="24"/>
              </w:rPr>
            </w:r>
            <w:r w:rsidRPr="005A6862">
              <w:rPr>
                <w:rFonts w:ascii="Times New Roman" w:hAnsi="Times New Roman" w:cs="Times New Roman"/>
                <w:noProof/>
                <w:webHidden/>
                <w:sz w:val="24"/>
                <w:szCs w:val="24"/>
              </w:rPr>
              <w:fldChar w:fldCharType="separate"/>
            </w:r>
            <w:r w:rsidRPr="005A6862">
              <w:rPr>
                <w:rFonts w:ascii="Times New Roman" w:hAnsi="Times New Roman" w:cs="Times New Roman"/>
                <w:noProof/>
                <w:webHidden/>
                <w:sz w:val="24"/>
                <w:szCs w:val="24"/>
              </w:rPr>
              <w:t>12</w:t>
            </w:r>
            <w:r w:rsidRPr="005A6862">
              <w:rPr>
                <w:rFonts w:ascii="Times New Roman" w:hAnsi="Times New Roman" w:cs="Times New Roman"/>
                <w:noProof/>
                <w:webHidden/>
                <w:sz w:val="24"/>
                <w:szCs w:val="24"/>
              </w:rPr>
              <w:fldChar w:fldCharType="end"/>
            </w:r>
          </w:hyperlink>
        </w:p>
        <w:p w14:paraId="4A85E8D2" w14:textId="6CD29534" w:rsidR="005A6862" w:rsidRPr="005A6862" w:rsidRDefault="005A6862">
          <w:pPr>
            <w:pStyle w:val="TOC1"/>
            <w:tabs>
              <w:tab w:val="right" w:leader="dot" w:pos="8296"/>
            </w:tabs>
            <w:rPr>
              <w:rFonts w:ascii="Times New Roman" w:hAnsi="Times New Roman" w:cs="Times New Roman"/>
              <w:noProof/>
              <w:sz w:val="24"/>
              <w:szCs w:val="24"/>
            </w:rPr>
          </w:pPr>
          <w:hyperlink w:anchor="_Toc224923921" w:history="1">
            <w:r w:rsidRPr="005A6862">
              <w:rPr>
                <w:rStyle w:val="af0"/>
                <w:rFonts w:ascii="Times New Roman" w:hAnsi="Times New Roman" w:cs="Times New Roman"/>
                <w:noProof/>
                <w:sz w:val="24"/>
                <w:szCs w:val="24"/>
              </w:rPr>
              <w:t>5. Sustainability &amp; Strategic Recommendations</w:t>
            </w:r>
            <w:r w:rsidRPr="005A6862">
              <w:rPr>
                <w:rFonts w:ascii="Times New Roman" w:hAnsi="Times New Roman" w:cs="Times New Roman"/>
                <w:noProof/>
                <w:webHidden/>
                <w:sz w:val="24"/>
                <w:szCs w:val="24"/>
              </w:rPr>
              <w:tab/>
            </w:r>
            <w:r w:rsidRPr="005A6862">
              <w:rPr>
                <w:rFonts w:ascii="Times New Roman" w:hAnsi="Times New Roman" w:cs="Times New Roman"/>
                <w:noProof/>
                <w:webHidden/>
                <w:sz w:val="24"/>
                <w:szCs w:val="24"/>
              </w:rPr>
              <w:fldChar w:fldCharType="begin"/>
            </w:r>
            <w:r w:rsidRPr="005A6862">
              <w:rPr>
                <w:rFonts w:ascii="Times New Roman" w:hAnsi="Times New Roman" w:cs="Times New Roman"/>
                <w:noProof/>
                <w:webHidden/>
                <w:sz w:val="24"/>
                <w:szCs w:val="24"/>
              </w:rPr>
              <w:instrText xml:space="preserve"> PAGEREF _Toc224923921 \h </w:instrText>
            </w:r>
            <w:r w:rsidRPr="005A6862">
              <w:rPr>
                <w:rFonts w:ascii="Times New Roman" w:hAnsi="Times New Roman" w:cs="Times New Roman"/>
                <w:noProof/>
                <w:webHidden/>
                <w:sz w:val="24"/>
                <w:szCs w:val="24"/>
              </w:rPr>
            </w:r>
            <w:r w:rsidRPr="005A6862">
              <w:rPr>
                <w:rFonts w:ascii="Times New Roman" w:hAnsi="Times New Roman" w:cs="Times New Roman"/>
                <w:noProof/>
                <w:webHidden/>
                <w:sz w:val="24"/>
                <w:szCs w:val="24"/>
              </w:rPr>
              <w:fldChar w:fldCharType="separate"/>
            </w:r>
            <w:r w:rsidRPr="005A6862">
              <w:rPr>
                <w:rFonts w:ascii="Times New Roman" w:hAnsi="Times New Roman" w:cs="Times New Roman"/>
                <w:noProof/>
                <w:webHidden/>
                <w:sz w:val="24"/>
                <w:szCs w:val="24"/>
              </w:rPr>
              <w:t>13</w:t>
            </w:r>
            <w:r w:rsidRPr="005A6862">
              <w:rPr>
                <w:rFonts w:ascii="Times New Roman" w:hAnsi="Times New Roman" w:cs="Times New Roman"/>
                <w:noProof/>
                <w:webHidden/>
                <w:sz w:val="24"/>
                <w:szCs w:val="24"/>
              </w:rPr>
              <w:fldChar w:fldCharType="end"/>
            </w:r>
          </w:hyperlink>
        </w:p>
        <w:p w14:paraId="0E419CAE" w14:textId="1A57BAA5" w:rsidR="005A6862" w:rsidRPr="005A6862" w:rsidRDefault="005A6862">
          <w:pPr>
            <w:pStyle w:val="TOC1"/>
            <w:tabs>
              <w:tab w:val="right" w:leader="dot" w:pos="8296"/>
            </w:tabs>
            <w:rPr>
              <w:rFonts w:ascii="Times New Roman" w:hAnsi="Times New Roman" w:cs="Times New Roman"/>
              <w:noProof/>
              <w:sz w:val="24"/>
              <w:szCs w:val="24"/>
            </w:rPr>
          </w:pPr>
          <w:hyperlink w:anchor="_Toc224923922" w:history="1">
            <w:r w:rsidRPr="005A6862">
              <w:rPr>
                <w:rStyle w:val="af0"/>
                <w:rFonts w:ascii="Times New Roman" w:hAnsi="Times New Roman" w:cs="Times New Roman"/>
                <w:noProof/>
                <w:sz w:val="24"/>
                <w:szCs w:val="24"/>
              </w:rPr>
              <w:t>6. Conclusion</w:t>
            </w:r>
            <w:r w:rsidRPr="005A6862">
              <w:rPr>
                <w:rFonts w:ascii="Times New Roman" w:hAnsi="Times New Roman" w:cs="Times New Roman"/>
                <w:noProof/>
                <w:webHidden/>
                <w:sz w:val="24"/>
                <w:szCs w:val="24"/>
              </w:rPr>
              <w:tab/>
            </w:r>
            <w:r w:rsidRPr="005A6862">
              <w:rPr>
                <w:rFonts w:ascii="Times New Roman" w:hAnsi="Times New Roman" w:cs="Times New Roman"/>
                <w:noProof/>
                <w:webHidden/>
                <w:sz w:val="24"/>
                <w:szCs w:val="24"/>
              </w:rPr>
              <w:fldChar w:fldCharType="begin"/>
            </w:r>
            <w:r w:rsidRPr="005A6862">
              <w:rPr>
                <w:rFonts w:ascii="Times New Roman" w:hAnsi="Times New Roman" w:cs="Times New Roman"/>
                <w:noProof/>
                <w:webHidden/>
                <w:sz w:val="24"/>
                <w:szCs w:val="24"/>
              </w:rPr>
              <w:instrText xml:space="preserve"> PAGEREF _Toc224923922 \h </w:instrText>
            </w:r>
            <w:r w:rsidRPr="005A6862">
              <w:rPr>
                <w:rFonts w:ascii="Times New Roman" w:hAnsi="Times New Roman" w:cs="Times New Roman"/>
                <w:noProof/>
                <w:webHidden/>
                <w:sz w:val="24"/>
                <w:szCs w:val="24"/>
              </w:rPr>
            </w:r>
            <w:r w:rsidRPr="005A6862">
              <w:rPr>
                <w:rFonts w:ascii="Times New Roman" w:hAnsi="Times New Roman" w:cs="Times New Roman"/>
                <w:noProof/>
                <w:webHidden/>
                <w:sz w:val="24"/>
                <w:szCs w:val="24"/>
              </w:rPr>
              <w:fldChar w:fldCharType="separate"/>
            </w:r>
            <w:r w:rsidRPr="005A6862">
              <w:rPr>
                <w:rFonts w:ascii="Times New Roman" w:hAnsi="Times New Roman" w:cs="Times New Roman"/>
                <w:noProof/>
                <w:webHidden/>
                <w:sz w:val="24"/>
                <w:szCs w:val="24"/>
              </w:rPr>
              <w:t>15</w:t>
            </w:r>
            <w:r w:rsidRPr="005A6862">
              <w:rPr>
                <w:rFonts w:ascii="Times New Roman" w:hAnsi="Times New Roman" w:cs="Times New Roman"/>
                <w:noProof/>
                <w:webHidden/>
                <w:sz w:val="24"/>
                <w:szCs w:val="24"/>
              </w:rPr>
              <w:fldChar w:fldCharType="end"/>
            </w:r>
          </w:hyperlink>
        </w:p>
        <w:p w14:paraId="06247144" w14:textId="3EAC2254" w:rsidR="005A6862" w:rsidRPr="005A6862" w:rsidRDefault="005A6862">
          <w:pPr>
            <w:pStyle w:val="TOC1"/>
            <w:tabs>
              <w:tab w:val="right" w:leader="dot" w:pos="8296"/>
            </w:tabs>
            <w:rPr>
              <w:rFonts w:ascii="Times New Roman" w:hAnsi="Times New Roman" w:cs="Times New Roman"/>
              <w:noProof/>
              <w:sz w:val="24"/>
              <w:szCs w:val="24"/>
            </w:rPr>
          </w:pPr>
          <w:hyperlink w:anchor="_Toc224923923" w:history="1">
            <w:r w:rsidRPr="005A6862">
              <w:rPr>
                <w:rStyle w:val="af0"/>
                <w:rFonts w:ascii="Times New Roman" w:hAnsi="Times New Roman" w:cs="Times New Roman"/>
                <w:noProof/>
                <w:sz w:val="24"/>
                <w:szCs w:val="24"/>
              </w:rPr>
              <w:t>Refer</w:t>
            </w:r>
            <w:r w:rsidRPr="005A6862">
              <w:rPr>
                <w:rStyle w:val="af0"/>
                <w:rFonts w:ascii="Times New Roman" w:hAnsi="Times New Roman" w:cs="Times New Roman"/>
                <w:noProof/>
                <w:sz w:val="24"/>
                <w:szCs w:val="24"/>
              </w:rPr>
              <w:t>e</w:t>
            </w:r>
            <w:r w:rsidRPr="005A6862">
              <w:rPr>
                <w:rStyle w:val="af0"/>
                <w:rFonts w:ascii="Times New Roman" w:hAnsi="Times New Roman" w:cs="Times New Roman"/>
                <w:noProof/>
                <w:sz w:val="24"/>
                <w:szCs w:val="24"/>
              </w:rPr>
              <w:t>nce</w:t>
            </w:r>
            <w:r w:rsidRPr="005A6862">
              <w:rPr>
                <w:rFonts w:ascii="Times New Roman" w:hAnsi="Times New Roman" w:cs="Times New Roman"/>
                <w:noProof/>
                <w:webHidden/>
                <w:sz w:val="24"/>
                <w:szCs w:val="24"/>
              </w:rPr>
              <w:tab/>
            </w:r>
            <w:r w:rsidRPr="005A6862">
              <w:rPr>
                <w:rFonts w:ascii="Times New Roman" w:hAnsi="Times New Roman" w:cs="Times New Roman"/>
                <w:noProof/>
                <w:webHidden/>
                <w:sz w:val="24"/>
                <w:szCs w:val="24"/>
              </w:rPr>
              <w:fldChar w:fldCharType="begin"/>
            </w:r>
            <w:r w:rsidRPr="005A6862">
              <w:rPr>
                <w:rFonts w:ascii="Times New Roman" w:hAnsi="Times New Roman" w:cs="Times New Roman"/>
                <w:noProof/>
                <w:webHidden/>
                <w:sz w:val="24"/>
                <w:szCs w:val="24"/>
              </w:rPr>
              <w:instrText xml:space="preserve"> PAGEREF _Toc224923923 \h </w:instrText>
            </w:r>
            <w:r w:rsidRPr="005A6862">
              <w:rPr>
                <w:rFonts w:ascii="Times New Roman" w:hAnsi="Times New Roman" w:cs="Times New Roman"/>
                <w:noProof/>
                <w:webHidden/>
                <w:sz w:val="24"/>
                <w:szCs w:val="24"/>
              </w:rPr>
            </w:r>
            <w:r w:rsidRPr="005A6862">
              <w:rPr>
                <w:rFonts w:ascii="Times New Roman" w:hAnsi="Times New Roman" w:cs="Times New Roman"/>
                <w:noProof/>
                <w:webHidden/>
                <w:sz w:val="24"/>
                <w:szCs w:val="24"/>
              </w:rPr>
              <w:fldChar w:fldCharType="separate"/>
            </w:r>
            <w:r w:rsidRPr="005A6862">
              <w:rPr>
                <w:rFonts w:ascii="Times New Roman" w:hAnsi="Times New Roman" w:cs="Times New Roman"/>
                <w:noProof/>
                <w:webHidden/>
                <w:sz w:val="24"/>
                <w:szCs w:val="24"/>
              </w:rPr>
              <w:t>16</w:t>
            </w:r>
            <w:r w:rsidRPr="005A6862">
              <w:rPr>
                <w:rFonts w:ascii="Times New Roman" w:hAnsi="Times New Roman" w:cs="Times New Roman"/>
                <w:noProof/>
                <w:webHidden/>
                <w:sz w:val="24"/>
                <w:szCs w:val="24"/>
              </w:rPr>
              <w:fldChar w:fldCharType="end"/>
            </w:r>
          </w:hyperlink>
        </w:p>
        <w:p w14:paraId="061C498A" w14:textId="6CADC8EE" w:rsidR="005A6862" w:rsidRPr="005A6862" w:rsidRDefault="005A6862">
          <w:pPr>
            <w:rPr>
              <w:rFonts w:ascii="Times New Roman" w:hAnsi="Times New Roman" w:cs="Times New Roman"/>
              <w:sz w:val="24"/>
            </w:rPr>
          </w:pPr>
          <w:r w:rsidRPr="005A6862">
            <w:rPr>
              <w:rFonts w:ascii="Times New Roman" w:hAnsi="Times New Roman" w:cs="Times New Roman"/>
              <w:b/>
              <w:bCs/>
              <w:noProof/>
              <w:sz w:val="24"/>
            </w:rPr>
            <w:fldChar w:fldCharType="end"/>
          </w:r>
        </w:p>
      </w:sdtContent>
    </w:sdt>
    <w:p w14:paraId="5FC17A09" w14:textId="77777777" w:rsidR="0040721D" w:rsidRPr="005A6862" w:rsidRDefault="0040721D" w:rsidP="005A6862">
      <w:pPr>
        <w:spacing w:line="360" w:lineRule="auto"/>
        <w:rPr>
          <w:rFonts w:ascii="Times New Roman" w:hAnsi="Times New Roman" w:cs="Times New Roman"/>
          <w:sz w:val="24"/>
        </w:rPr>
      </w:pPr>
    </w:p>
    <w:p w14:paraId="6B53DA72" w14:textId="77777777" w:rsidR="0040721D" w:rsidRPr="005A6862" w:rsidRDefault="0040721D" w:rsidP="005A6862">
      <w:pPr>
        <w:widowControl/>
        <w:spacing w:line="360" w:lineRule="auto"/>
        <w:rPr>
          <w:rFonts w:ascii="Times New Roman" w:hAnsi="Times New Roman" w:cs="Times New Roman"/>
          <w:sz w:val="24"/>
        </w:rPr>
      </w:pPr>
      <w:r w:rsidRPr="005A6862">
        <w:rPr>
          <w:rFonts w:ascii="Times New Roman" w:hAnsi="Times New Roman" w:cs="Times New Roman"/>
          <w:sz w:val="24"/>
        </w:rPr>
        <w:br w:type="page"/>
      </w:r>
    </w:p>
    <w:p w14:paraId="729D9BF8" w14:textId="2935C9B7" w:rsidR="0040721D" w:rsidRPr="005A6862" w:rsidRDefault="0040721D" w:rsidP="005A6862">
      <w:pPr>
        <w:pStyle w:val="1"/>
        <w:rPr>
          <w:rFonts w:ascii="Times New Roman" w:hAnsi="Times New Roman" w:cs="Times New Roman"/>
          <w:sz w:val="24"/>
          <w:szCs w:val="24"/>
        </w:rPr>
      </w:pPr>
      <w:bookmarkStart w:id="0" w:name="_Toc224923910"/>
      <w:r w:rsidRPr="005A6862">
        <w:rPr>
          <w:rFonts w:ascii="Times New Roman" w:hAnsi="Times New Roman" w:cs="Times New Roman"/>
          <w:sz w:val="24"/>
          <w:szCs w:val="24"/>
        </w:rPr>
        <w:lastRenderedPageBreak/>
        <w:t>1. Introduction</w:t>
      </w:r>
      <w:bookmarkEnd w:id="0"/>
    </w:p>
    <w:p w14:paraId="7890B38C" w14:textId="1A887274" w:rsidR="0040721D" w:rsidRPr="005A6862" w:rsidRDefault="0040721D" w:rsidP="005A6862">
      <w:pPr>
        <w:spacing w:line="360" w:lineRule="auto"/>
        <w:rPr>
          <w:rFonts w:ascii="Times New Roman" w:hAnsi="Times New Roman" w:cs="Times New Roman"/>
          <w:sz w:val="24"/>
        </w:rPr>
      </w:pPr>
      <w:r w:rsidRPr="005A6862">
        <w:rPr>
          <w:rFonts w:ascii="Times New Roman" w:hAnsi="Times New Roman" w:cs="Times New Roman"/>
          <w:sz w:val="24"/>
        </w:rPr>
        <w:t xml:space="preserve">Unilever PLC is one of the largest consumer goods companies in the world (built through a merger of Lever Brothers and Margarine </w:t>
      </w:r>
      <w:proofErr w:type="spellStart"/>
      <w:r w:rsidRPr="005A6862">
        <w:rPr>
          <w:rFonts w:ascii="Times New Roman" w:hAnsi="Times New Roman" w:cs="Times New Roman"/>
          <w:sz w:val="24"/>
        </w:rPr>
        <w:t>Unie</w:t>
      </w:r>
      <w:proofErr w:type="spellEnd"/>
      <w:r w:rsidRPr="005A6862">
        <w:rPr>
          <w:rFonts w:ascii="Times New Roman" w:hAnsi="Times New Roman" w:cs="Times New Roman"/>
          <w:sz w:val="24"/>
        </w:rPr>
        <w:t xml:space="preserve"> in 1930, Grant, 2019). Unilever has a total turnover of €60.8 billion in 2024 and operates five business groups: Beauty and Wellbeing, Personal Care, Home Care, Foods and Ice Cream; co-headquartered by London, UK and Rotterdam, Netherlands (Unilever, 2024a). The FMCG industry is an important strategic one: it is high volume, low-margin, highly competitive, and sustainability pressure is growing (Whittington et al., 2023). Unilever is applicable for strategic analysis because it faces multi-layered macro-environmental forces such as inflationary pressure, tightening of ESG regulations, digital disruption and change in consumer values. The main strategic issues and threats are how to defend brand equity against local competitors, to cope with a negative 0.7% foreign exchange affect the turnover and to overcome consumer boycotts in Indonesia that diminished sales in the region (</w:t>
      </w:r>
      <w:proofErr w:type="spellStart"/>
      <w:r w:rsidRPr="005A6862">
        <w:rPr>
          <w:rFonts w:ascii="Times New Roman" w:hAnsi="Times New Roman" w:cs="Times New Roman"/>
          <w:sz w:val="24"/>
        </w:rPr>
        <w:t>Marchelin</w:t>
      </w:r>
      <w:proofErr w:type="spellEnd"/>
      <w:r w:rsidRPr="005A6862">
        <w:rPr>
          <w:rFonts w:ascii="Times New Roman" w:hAnsi="Times New Roman" w:cs="Times New Roman"/>
          <w:sz w:val="24"/>
        </w:rPr>
        <w:t>, 2025). These issues provide the basis for the analytical interest of this report.</w:t>
      </w:r>
    </w:p>
    <w:p w14:paraId="31DE5DD8" w14:textId="7DFBD0C9" w:rsidR="0040721D" w:rsidRPr="005A6862" w:rsidRDefault="0040721D" w:rsidP="005A6862">
      <w:pPr>
        <w:pStyle w:val="1"/>
        <w:rPr>
          <w:rFonts w:ascii="Times New Roman" w:hAnsi="Times New Roman" w:cs="Times New Roman"/>
          <w:sz w:val="24"/>
          <w:szCs w:val="24"/>
        </w:rPr>
      </w:pPr>
      <w:bookmarkStart w:id="1" w:name="_Toc224923911"/>
      <w:r w:rsidRPr="005A6862">
        <w:rPr>
          <w:rFonts w:ascii="Times New Roman" w:hAnsi="Times New Roman" w:cs="Times New Roman"/>
          <w:sz w:val="24"/>
          <w:szCs w:val="24"/>
        </w:rPr>
        <w:t>2. External Analysis</w:t>
      </w:r>
      <w:bookmarkEnd w:id="1"/>
    </w:p>
    <w:p w14:paraId="620AA19D" w14:textId="0DD3C4E0" w:rsidR="0040721D" w:rsidRPr="005A6862" w:rsidRDefault="0040721D" w:rsidP="005A6862">
      <w:pPr>
        <w:pStyle w:val="2"/>
        <w:rPr>
          <w:rFonts w:ascii="Times New Roman" w:hAnsi="Times New Roman" w:cs="Times New Roman"/>
          <w:sz w:val="24"/>
          <w:szCs w:val="24"/>
        </w:rPr>
      </w:pPr>
      <w:bookmarkStart w:id="2" w:name="_Toc224923912"/>
      <w:r w:rsidRPr="005A6862">
        <w:rPr>
          <w:rFonts w:ascii="Times New Roman" w:hAnsi="Times New Roman" w:cs="Times New Roman"/>
          <w:sz w:val="24"/>
          <w:szCs w:val="24"/>
        </w:rPr>
        <w:t>2.1 PESTEL Analysis</w:t>
      </w:r>
      <w:bookmarkEnd w:id="2"/>
    </w:p>
    <w:p w14:paraId="48942ECA" w14:textId="5953DF29" w:rsidR="0040721D" w:rsidRPr="005A6862" w:rsidRDefault="0040721D" w:rsidP="005A6862">
      <w:pPr>
        <w:spacing w:line="360" w:lineRule="auto"/>
        <w:rPr>
          <w:rFonts w:ascii="Times New Roman" w:hAnsi="Times New Roman" w:cs="Times New Roman"/>
          <w:sz w:val="24"/>
        </w:rPr>
      </w:pPr>
      <w:r w:rsidRPr="005A6862">
        <w:rPr>
          <w:rFonts w:ascii="Times New Roman" w:hAnsi="Times New Roman" w:cs="Times New Roman"/>
          <w:b/>
          <w:bCs/>
          <w:sz w:val="24"/>
        </w:rPr>
        <w:t>Political:</w:t>
      </w:r>
      <w:r w:rsidRPr="005A6862">
        <w:rPr>
          <w:rFonts w:ascii="Times New Roman" w:hAnsi="Times New Roman" w:cs="Times New Roman"/>
          <w:sz w:val="24"/>
        </w:rPr>
        <w:t xml:space="preserve"> The consumer boycotts of Western brands in Indonesia were caused by geopolitical tensions, and the conflict in the Middle East in particular, which evidenced that Unilever is susceptible to political sentiment (</w:t>
      </w:r>
      <w:proofErr w:type="spellStart"/>
      <w:r w:rsidRPr="005A6862">
        <w:rPr>
          <w:rFonts w:ascii="Times New Roman" w:hAnsi="Times New Roman" w:cs="Times New Roman"/>
          <w:sz w:val="24"/>
        </w:rPr>
        <w:t>Marchelin</w:t>
      </w:r>
      <w:proofErr w:type="spellEnd"/>
      <w:r w:rsidRPr="005A6862">
        <w:rPr>
          <w:rFonts w:ascii="Times New Roman" w:hAnsi="Times New Roman" w:cs="Times New Roman"/>
          <w:sz w:val="24"/>
        </w:rPr>
        <w:t>, 2025). Regulatory divergence between the UK and EU markets in the case of Brexit adds to the complexity of compliance. The EU Corporate Sustainability Reporting Directive (CSRD) requires more non-financial reporting by 2025, which puts pressure on multinationals to harmonize governance and reporting (European Union, 2025).</w:t>
      </w:r>
    </w:p>
    <w:p w14:paraId="357955DA" w14:textId="06ADB24C" w:rsidR="0040721D" w:rsidRPr="005A6862" w:rsidRDefault="0040721D" w:rsidP="005A6862">
      <w:pPr>
        <w:spacing w:line="360" w:lineRule="auto"/>
        <w:rPr>
          <w:rFonts w:ascii="Times New Roman" w:hAnsi="Times New Roman" w:cs="Times New Roman"/>
          <w:sz w:val="24"/>
        </w:rPr>
      </w:pPr>
      <w:r w:rsidRPr="005A6862">
        <w:rPr>
          <w:rFonts w:ascii="Times New Roman" w:hAnsi="Times New Roman" w:cs="Times New Roman"/>
          <w:b/>
          <w:bCs/>
          <w:sz w:val="24"/>
        </w:rPr>
        <w:t>Economic:</w:t>
      </w:r>
      <w:r w:rsidRPr="005A6862">
        <w:rPr>
          <w:rFonts w:ascii="Times New Roman" w:hAnsi="Times New Roman" w:cs="Times New Roman"/>
          <w:sz w:val="24"/>
        </w:rPr>
        <w:t xml:space="preserve"> </w:t>
      </w:r>
      <w:r w:rsidR="001A5336" w:rsidRPr="005A6862">
        <w:rPr>
          <w:rFonts w:ascii="Times New Roman" w:hAnsi="Times New Roman" w:cs="Times New Roman"/>
          <w:sz w:val="24"/>
        </w:rPr>
        <w:t xml:space="preserve">Inflation around the world is slowing down but still pressuring the purchasing power of consumers, enhancing competition in terms of own-label products in Europe. The emerging markets, which constitute 58% of Unilever Group turnover, provided 5.1% underlying sales growth, and Latin America had 8.8% </w:t>
      </w:r>
      <w:r w:rsidR="001A5336" w:rsidRPr="005A6862">
        <w:rPr>
          <w:rFonts w:ascii="Times New Roman" w:hAnsi="Times New Roman" w:cs="Times New Roman"/>
          <w:sz w:val="24"/>
        </w:rPr>
        <w:lastRenderedPageBreak/>
        <w:t>(Unilever, 2024b). The effects of currency fluctuation put a 0.7% pressure on the reported 2024 turnover, which demonstrates the macroeconomic vulnerability (Unilever, 2024b).</w:t>
      </w:r>
    </w:p>
    <w:p w14:paraId="4E951FB5" w14:textId="4208FE04" w:rsidR="001A5336" w:rsidRPr="005A6862" w:rsidRDefault="001A5336" w:rsidP="005A6862">
      <w:pPr>
        <w:spacing w:line="360" w:lineRule="auto"/>
        <w:rPr>
          <w:rFonts w:ascii="Times New Roman" w:hAnsi="Times New Roman" w:cs="Times New Roman"/>
          <w:sz w:val="24"/>
        </w:rPr>
      </w:pPr>
      <w:r w:rsidRPr="005A6862">
        <w:rPr>
          <w:rFonts w:ascii="Times New Roman" w:hAnsi="Times New Roman" w:cs="Times New Roman"/>
          <w:b/>
          <w:bCs/>
          <w:sz w:val="24"/>
        </w:rPr>
        <w:t xml:space="preserve">Social: </w:t>
      </w:r>
      <w:r w:rsidRPr="005A6862">
        <w:rPr>
          <w:rFonts w:ascii="Times New Roman" w:hAnsi="Times New Roman" w:cs="Times New Roman"/>
          <w:sz w:val="24"/>
        </w:rPr>
        <w:t>The</w:t>
      </w:r>
      <w:r w:rsidRPr="005A6862">
        <w:rPr>
          <w:rFonts w:ascii="Times New Roman" w:hAnsi="Times New Roman" w:cs="Times New Roman"/>
          <w:b/>
          <w:bCs/>
          <w:sz w:val="24"/>
        </w:rPr>
        <w:t xml:space="preserve"> </w:t>
      </w:r>
      <w:r w:rsidRPr="005A6862">
        <w:rPr>
          <w:rFonts w:ascii="Times New Roman" w:hAnsi="Times New Roman" w:cs="Times New Roman"/>
          <w:sz w:val="24"/>
        </w:rPr>
        <w:t xml:space="preserve">Consuming healthy, sustainable, and ethically made products is changing purchasing preferences. High-margin growth opportunities are being formed </w:t>
      </w:r>
      <w:proofErr w:type="gramStart"/>
      <w:r w:rsidRPr="005A6862">
        <w:rPr>
          <w:rFonts w:ascii="Times New Roman" w:hAnsi="Times New Roman" w:cs="Times New Roman"/>
          <w:sz w:val="24"/>
        </w:rPr>
        <w:t>as a result of</w:t>
      </w:r>
      <w:proofErr w:type="gramEnd"/>
      <w:r w:rsidRPr="005A6862">
        <w:rPr>
          <w:rFonts w:ascii="Times New Roman" w:hAnsi="Times New Roman" w:cs="Times New Roman"/>
          <w:sz w:val="24"/>
        </w:rPr>
        <w:t xml:space="preserve"> the trends in personal care and wellbeing moving towards </w:t>
      </w:r>
      <w:proofErr w:type="spellStart"/>
      <w:r w:rsidRPr="005A6862">
        <w:rPr>
          <w:rFonts w:ascii="Times New Roman" w:hAnsi="Times New Roman" w:cs="Times New Roman"/>
          <w:sz w:val="24"/>
        </w:rPr>
        <w:t>premiumisation</w:t>
      </w:r>
      <w:proofErr w:type="spellEnd"/>
      <w:r w:rsidRPr="005A6862">
        <w:rPr>
          <w:rFonts w:ascii="Times New Roman" w:hAnsi="Times New Roman" w:cs="Times New Roman"/>
          <w:sz w:val="24"/>
        </w:rPr>
        <w:t xml:space="preserve"> (Unilever, 2025a). The demographic developments in Sub-Saharan Africa and South Asia will increase the size of the addressable market of Unilever in the next decade.</w:t>
      </w:r>
    </w:p>
    <w:p w14:paraId="11DCCFA0" w14:textId="7E23C235" w:rsidR="001A5336" w:rsidRPr="005A6862" w:rsidRDefault="001A5336" w:rsidP="005A6862">
      <w:pPr>
        <w:spacing w:line="360" w:lineRule="auto"/>
        <w:rPr>
          <w:rFonts w:ascii="Times New Roman" w:hAnsi="Times New Roman" w:cs="Times New Roman"/>
          <w:sz w:val="24"/>
        </w:rPr>
      </w:pPr>
      <w:r w:rsidRPr="005A6862">
        <w:rPr>
          <w:rFonts w:ascii="Times New Roman" w:hAnsi="Times New Roman" w:cs="Times New Roman"/>
          <w:b/>
          <w:bCs/>
          <w:sz w:val="24"/>
        </w:rPr>
        <w:t xml:space="preserve">Technological: </w:t>
      </w:r>
      <w:r w:rsidR="00C12635" w:rsidRPr="005A6862">
        <w:rPr>
          <w:rFonts w:ascii="Times New Roman" w:hAnsi="Times New Roman" w:cs="Times New Roman"/>
          <w:sz w:val="24"/>
        </w:rPr>
        <w:t>Unilever has adopted the use of AI in its manufacturing processes, which has enhanced operational efficiency; large-scale AI is one of the three pillars of GAP 2030 (</w:t>
      </w:r>
      <w:proofErr w:type="spellStart"/>
      <w:r w:rsidR="00C12635" w:rsidRPr="005A6862">
        <w:rPr>
          <w:rFonts w:ascii="Times New Roman" w:hAnsi="Times New Roman" w:cs="Times New Roman"/>
          <w:sz w:val="24"/>
        </w:rPr>
        <w:t>Kitishian</w:t>
      </w:r>
      <w:proofErr w:type="spellEnd"/>
      <w:r w:rsidR="00C12635" w:rsidRPr="005A6862">
        <w:rPr>
          <w:rFonts w:ascii="Times New Roman" w:hAnsi="Times New Roman" w:cs="Times New Roman"/>
          <w:sz w:val="24"/>
        </w:rPr>
        <w:t>, 2025). With the help of digital ordering platforms, 2.58 million small and medium-sized enterprises have developed their businesses (Unilever, 2024b). However, cybersecurity vulnerabilities and data privacy laws are increasingly becoming technological threats.</w:t>
      </w:r>
    </w:p>
    <w:p w14:paraId="1919E571" w14:textId="09F5C1EC" w:rsidR="001A5336" w:rsidRPr="005A6862" w:rsidRDefault="001A5336" w:rsidP="005A6862">
      <w:pPr>
        <w:spacing w:line="360" w:lineRule="auto"/>
        <w:rPr>
          <w:rFonts w:ascii="Times New Roman" w:hAnsi="Times New Roman" w:cs="Times New Roman"/>
          <w:sz w:val="24"/>
        </w:rPr>
      </w:pPr>
      <w:r w:rsidRPr="005A6862">
        <w:rPr>
          <w:rFonts w:ascii="Times New Roman" w:hAnsi="Times New Roman" w:cs="Times New Roman"/>
          <w:b/>
          <w:bCs/>
          <w:sz w:val="24"/>
        </w:rPr>
        <w:t>Environmental:</w:t>
      </w:r>
      <w:r w:rsidR="00C12635" w:rsidRPr="005A6862">
        <w:rPr>
          <w:rFonts w:ascii="Times New Roman" w:hAnsi="Times New Roman" w:cs="Times New Roman"/>
          <w:b/>
          <w:bCs/>
          <w:sz w:val="24"/>
        </w:rPr>
        <w:t xml:space="preserve"> </w:t>
      </w:r>
      <w:r w:rsidR="00C12635" w:rsidRPr="005A6862">
        <w:rPr>
          <w:rFonts w:ascii="Times New Roman" w:hAnsi="Times New Roman" w:cs="Times New Roman"/>
          <w:sz w:val="24"/>
        </w:rPr>
        <w:t>Unilever has set the goal of ensuring its value chain is dictated to net zero GHG emissions by 2039 and strives to make Scope 1 and Scope 2 emissions go to zero by 2030 (Unilever, 2025b). The world is becoming increasingly regulatory over single-use plastics.</w:t>
      </w:r>
    </w:p>
    <w:p w14:paraId="01B4CC01" w14:textId="3E7F37EE" w:rsidR="001A5336" w:rsidRPr="005A6862" w:rsidRDefault="001A5336" w:rsidP="005A6862">
      <w:pPr>
        <w:spacing w:line="360" w:lineRule="auto"/>
        <w:rPr>
          <w:rFonts w:ascii="Times New Roman" w:hAnsi="Times New Roman" w:cs="Times New Roman"/>
          <w:sz w:val="24"/>
        </w:rPr>
      </w:pPr>
      <w:r w:rsidRPr="005A6862">
        <w:rPr>
          <w:rFonts w:ascii="Times New Roman" w:hAnsi="Times New Roman" w:cs="Times New Roman"/>
          <w:b/>
          <w:bCs/>
          <w:sz w:val="24"/>
        </w:rPr>
        <w:t xml:space="preserve">Legal: </w:t>
      </w:r>
      <w:r w:rsidR="00C12635" w:rsidRPr="005A6862">
        <w:rPr>
          <w:rFonts w:ascii="Times New Roman" w:hAnsi="Times New Roman" w:cs="Times New Roman"/>
          <w:sz w:val="24"/>
        </w:rPr>
        <w:t>Antitrust policies in major markets, product safety, and developing labelling laws restrict the flexibility of a portfolio and raise the cost of compliance (Whittington et al., 2023).</w:t>
      </w:r>
    </w:p>
    <w:p w14:paraId="33B9B692" w14:textId="4DE04CFB" w:rsidR="00C12635" w:rsidRPr="005A6862" w:rsidRDefault="00C12635" w:rsidP="005A6862">
      <w:pPr>
        <w:pStyle w:val="2"/>
        <w:rPr>
          <w:rFonts w:ascii="Times New Roman" w:hAnsi="Times New Roman" w:cs="Times New Roman"/>
          <w:sz w:val="24"/>
          <w:szCs w:val="24"/>
        </w:rPr>
      </w:pPr>
      <w:bookmarkStart w:id="3" w:name="_Toc224923913"/>
      <w:r w:rsidRPr="005A6862">
        <w:rPr>
          <w:rFonts w:ascii="Times New Roman" w:hAnsi="Times New Roman" w:cs="Times New Roman"/>
          <w:sz w:val="24"/>
          <w:szCs w:val="24"/>
        </w:rPr>
        <w:t>2.2 Porter’s Five Forces</w:t>
      </w:r>
      <w:bookmarkEnd w:id="3"/>
    </w:p>
    <w:p w14:paraId="6C89703C" w14:textId="7927AB83" w:rsidR="00C12635" w:rsidRPr="005A6862" w:rsidRDefault="00ED1742" w:rsidP="005A6862">
      <w:pPr>
        <w:spacing w:line="360" w:lineRule="auto"/>
        <w:rPr>
          <w:rFonts w:ascii="Times New Roman" w:hAnsi="Times New Roman" w:cs="Times New Roman"/>
          <w:sz w:val="24"/>
        </w:rPr>
      </w:pPr>
      <w:r w:rsidRPr="005A6862">
        <w:rPr>
          <w:rFonts w:ascii="Times New Roman" w:hAnsi="Times New Roman" w:cs="Times New Roman"/>
          <w:b/>
          <w:bCs/>
          <w:sz w:val="24"/>
        </w:rPr>
        <w:t xml:space="preserve">Threat of </w:t>
      </w:r>
      <w:r w:rsidR="00633C9A" w:rsidRPr="005A6862">
        <w:rPr>
          <w:rFonts w:ascii="Times New Roman" w:hAnsi="Times New Roman" w:cs="Times New Roman"/>
          <w:b/>
          <w:bCs/>
          <w:sz w:val="24"/>
        </w:rPr>
        <w:t>New Entrants</w:t>
      </w:r>
      <w:r w:rsidR="00C12635" w:rsidRPr="005A6862">
        <w:rPr>
          <w:rFonts w:ascii="Times New Roman" w:hAnsi="Times New Roman" w:cs="Times New Roman"/>
          <w:b/>
          <w:bCs/>
          <w:sz w:val="24"/>
        </w:rPr>
        <w:t>:</w:t>
      </w:r>
      <w:r w:rsidR="00633C9A" w:rsidRPr="005A6862">
        <w:rPr>
          <w:rFonts w:ascii="Times New Roman" w:hAnsi="Times New Roman" w:cs="Times New Roman"/>
          <w:sz w:val="24"/>
        </w:rPr>
        <w:t xml:space="preserve"> Entry barriers are high due to the presence of substantial capital requirements, the necessity of distribution networks worldwide, and the creation of brand equity, which is costly (Ross, 2015). Nevertheless, the presence of low switching costs enables niche digital-native brands to find their way in high-end segments, which is a staggering menace.</w:t>
      </w:r>
    </w:p>
    <w:p w14:paraId="7DC91F36" w14:textId="54764F10" w:rsidR="00633C9A" w:rsidRPr="005A6862" w:rsidRDefault="00633C9A" w:rsidP="005A6862">
      <w:pPr>
        <w:spacing w:line="360" w:lineRule="auto"/>
        <w:rPr>
          <w:rFonts w:ascii="Times New Roman" w:hAnsi="Times New Roman" w:cs="Times New Roman"/>
          <w:sz w:val="24"/>
        </w:rPr>
      </w:pPr>
      <w:r w:rsidRPr="005A6862">
        <w:rPr>
          <w:rFonts w:ascii="Times New Roman" w:hAnsi="Times New Roman" w:cs="Times New Roman"/>
          <w:b/>
          <w:bCs/>
          <w:sz w:val="24"/>
        </w:rPr>
        <w:t>Bargaining Power of Suppliers:</w:t>
      </w:r>
      <w:r w:rsidRPr="005A6862">
        <w:rPr>
          <w:rFonts w:ascii="Times New Roman" w:hAnsi="Times New Roman" w:cs="Times New Roman"/>
          <w:sz w:val="24"/>
        </w:rPr>
        <w:t xml:space="preserve"> Unilever has thousands of agricultural and chemical </w:t>
      </w:r>
      <w:r w:rsidRPr="005A6862">
        <w:rPr>
          <w:rFonts w:ascii="Times New Roman" w:hAnsi="Times New Roman" w:cs="Times New Roman"/>
          <w:sz w:val="24"/>
        </w:rPr>
        <w:lastRenderedPageBreak/>
        <w:t>suppliers all over the world. Its size minimizes the leverage of individual suppliers, but commodity price volatility, especially in palm oil, soybean and petrochemicals, limits its ability to manage costs (Unilever, 2023).</w:t>
      </w:r>
    </w:p>
    <w:p w14:paraId="7AEC7A06" w14:textId="0A8F597A" w:rsidR="00633C9A" w:rsidRPr="005A6862" w:rsidRDefault="00633C9A" w:rsidP="005A6862">
      <w:pPr>
        <w:spacing w:line="360" w:lineRule="auto"/>
        <w:rPr>
          <w:rFonts w:ascii="Times New Roman" w:hAnsi="Times New Roman" w:cs="Times New Roman"/>
          <w:sz w:val="24"/>
        </w:rPr>
      </w:pPr>
      <w:r w:rsidRPr="005A6862">
        <w:rPr>
          <w:rFonts w:ascii="Times New Roman" w:hAnsi="Times New Roman" w:cs="Times New Roman"/>
          <w:b/>
          <w:bCs/>
          <w:sz w:val="24"/>
        </w:rPr>
        <w:t>Bargaining Power of Buyers:</w:t>
      </w:r>
      <w:r w:rsidRPr="005A6862">
        <w:rPr>
          <w:rFonts w:ascii="Times New Roman" w:hAnsi="Times New Roman" w:cs="Times New Roman"/>
          <w:sz w:val="24"/>
        </w:rPr>
        <w:t xml:space="preserve"> Major customers can enjoy a large bargaining power due to the retail consolidation process driven by such international chains as Walmart and Tesco. At the same time, the individual switching costs of consumers are insignificant, which creates pressure on the price and investment in promotions (</w:t>
      </w:r>
      <w:proofErr w:type="spellStart"/>
      <w:r w:rsidRPr="005A6862">
        <w:rPr>
          <w:rFonts w:ascii="Times New Roman" w:hAnsi="Times New Roman" w:cs="Times New Roman"/>
          <w:sz w:val="24"/>
        </w:rPr>
        <w:t>Fareniuk</w:t>
      </w:r>
      <w:proofErr w:type="spellEnd"/>
      <w:r w:rsidRPr="005A6862">
        <w:rPr>
          <w:rFonts w:ascii="Times New Roman" w:hAnsi="Times New Roman" w:cs="Times New Roman"/>
          <w:sz w:val="24"/>
        </w:rPr>
        <w:t>, 2022).</w:t>
      </w:r>
    </w:p>
    <w:p w14:paraId="58B8FB59" w14:textId="0CF90C0E" w:rsidR="00633C9A" w:rsidRPr="005A6862" w:rsidRDefault="00633C9A" w:rsidP="005A6862">
      <w:pPr>
        <w:spacing w:line="360" w:lineRule="auto"/>
        <w:rPr>
          <w:rFonts w:ascii="Times New Roman" w:hAnsi="Times New Roman" w:cs="Times New Roman"/>
          <w:sz w:val="24"/>
        </w:rPr>
      </w:pPr>
      <w:r w:rsidRPr="005A6862">
        <w:rPr>
          <w:rFonts w:ascii="Times New Roman" w:hAnsi="Times New Roman" w:cs="Times New Roman"/>
          <w:b/>
          <w:bCs/>
          <w:sz w:val="24"/>
        </w:rPr>
        <w:t>Threat of Substitutes:</w:t>
      </w:r>
      <w:r w:rsidRPr="005A6862">
        <w:rPr>
          <w:rFonts w:ascii="Times New Roman" w:hAnsi="Times New Roman" w:cs="Times New Roman"/>
          <w:sz w:val="24"/>
        </w:rPr>
        <w:t xml:space="preserve"> Since the presence of a private-label substitute, smaller artisans, and local competitors is ubiquitous across all Unilever categories, the threat of substitution is also high (Diya and Aithal, 2025). The major </w:t>
      </w:r>
      <w:proofErr w:type="spellStart"/>
      <w:r w:rsidRPr="005A6862">
        <w:rPr>
          <w:rFonts w:ascii="Times New Roman" w:hAnsi="Times New Roman" w:cs="Times New Roman"/>
          <w:sz w:val="24"/>
        </w:rPr>
        <w:t>defences</w:t>
      </w:r>
      <w:proofErr w:type="spellEnd"/>
      <w:r w:rsidRPr="005A6862">
        <w:rPr>
          <w:rFonts w:ascii="Times New Roman" w:hAnsi="Times New Roman" w:cs="Times New Roman"/>
          <w:sz w:val="24"/>
        </w:rPr>
        <w:t xml:space="preserve"> are product innovation and brand equity</w:t>
      </w:r>
      <w:r w:rsidR="00F50094" w:rsidRPr="005A6862">
        <w:rPr>
          <w:rFonts w:ascii="Times New Roman" w:hAnsi="Times New Roman" w:cs="Times New Roman"/>
          <w:sz w:val="24"/>
        </w:rPr>
        <w:t>.</w:t>
      </w:r>
    </w:p>
    <w:p w14:paraId="5F2B265B" w14:textId="3D8F520A" w:rsidR="00633C9A" w:rsidRPr="005A6862" w:rsidRDefault="00633C9A" w:rsidP="005A6862">
      <w:pPr>
        <w:spacing w:line="360" w:lineRule="auto"/>
        <w:rPr>
          <w:rFonts w:ascii="Times New Roman" w:hAnsi="Times New Roman" w:cs="Times New Roman"/>
          <w:sz w:val="24"/>
        </w:rPr>
      </w:pPr>
      <w:r w:rsidRPr="005A6862">
        <w:rPr>
          <w:rFonts w:ascii="Times New Roman" w:hAnsi="Times New Roman" w:cs="Times New Roman"/>
          <w:b/>
          <w:bCs/>
          <w:sz w:val="24"/>
        </w:rPr>
        <w:t>Competitive Rivalry:</w:t>
      </w:r>
      <w:r w:rsidRPr="005A6862">
        <w:rPr>
          <w:rFonts w:ascii="Times New Roman" w:hAnsi="Times New Roman" w:cs="Times New Roman"/>
          <w:sz w:val="24"/>
        </w:rPr>
        <w:t xml:space="preserve"> Entry barriers are high due to the presence of substantial capital requirements, the necessity of distribution networks worldwide, and the creation of brand equity, which is costly (Ross, 2015). Nevertheless, the presence of low switching costs enables niche digital-native brands to find their way in high-end segments, which is a staggering menace.</w:t>
      </w:r>
    </w:p>
    <w:p w14:paraId="21F4BC36" w14:textId="26A75DAB" w:rsidR="00F50094" w:rsidRPr="005A6862" w:rsidRDefault="00F50094" w:rsidP="005A6862">
      <w:pPr>
        <w:spacing w:line="360" w:lineRule="auto"/>
        <w:rPr>
          <w:rFonts w:ascii="Times New Roman" w:hAnsi="Times New Roman" w:cs="Times New Roman"/>
          <w:b/>
          <w:bCs/>
          <w:sz w:val="24"/>
        </w:rPr>
      </w:pPr>
      <w:r w:rsidRPr="005A6862">
        <w:rPr>
          <w:rFonts w:ascii="Times New Roman" w:hAnsi="Times New Roman" w:cs="Times New Roman"/>
          <w:b/>
          <w:bCs/>
          <w:sz w:val="24"/>
        </w:rPr>
        <w:t>Porter’s Five Forces Analysis of Unilever</w:t>
      </w:r>
    </w:p>
    <w:tbl>
      <w:tblPr>
        <w:tblStyle w:val="5-1"/>
        <w:tblW w:w="0" w:type="auto"/>
        <w:tblLook w:val="04A0" w:firstRow="1" w:lastRow="0" w:firstColumn="1" w:lastColumn="0" w:noHBand="0" w:noVBand="1"/>
      </w:tblPr>
      <w:tblGrid>
        <w:gridCol w:w="1973"/>
        <w:gridCol w:w="1643"/>
        <w:gridCol w:w="4680"/>
      </w:tblGrid>
      <w:tr w:rsidR="00152E21" w:rsidRPr="005A6862" w14:paraId="685E8670" w14:textId="77777777" w:rsidTr="00F5009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0E771180" w14:textId="0BAAEFEF" w:rsidR="00F50094" w:rsidRPr="005A6862" w:rsidRDefault="00F50094" w:rsidP="005A6862">
            <w:pPr>
              <w:spacing w:line="360" w:lineRule="auto"/>
              <w:rPr>
                <w:rFonts w:ascii="Times New Roman" w:hAnsi="Times New Roman" w:cs="Times New Roman"/>
                <w:sz w:val="24"/>
              </w:rPr>
            </w:pPr>
            <w:r w:rsidRPr="005A6862">
              <w:rPr>
                <w:rFonts w:ascii="Times New Roman" w:hAnsi="Times New Roman" w:cs="Times New Roman"/>
                <w:sz w:val="24"/>
              </w:rPr>
              <w:t>Force</w:t>
            </w:r>
          </w:p>
        </w:tc>
        <w:tc>
          <w:tcPr>
            <w:tcW w:w="0" w:type="auto"/>
          </w:tcPr>
          <w:p w14:paraId="08E70324" w14:textId="2C073639" w:rsidR="00F50094" w:rsidRPr="005A6862" w:rsidRDefault="00F50094" w:rsidP="005A6862">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sidRPr="005A6862">
              <w:rPr>
                <w:rFonts w:ascii="Times New Roman" w:hAnsi="Times New Roman" w:cs="Times New Roman"/>
                <w:sz w:val="24"/>
              </w:rPr>
              <w:t>Intensity</w:t>
            </w:r>
          </w:p>
        </w:tc>
        <w:tc>
          <w:tcPr>
            <w:tcW w:w="0" w:type="auto"/>
          </w:tcPr>
          <w:p w14:paraId="217032EE" w14:textId="442FBFFB" w:rsidR="00F50094" w:rsidRPr="005A6862" w:rsidRDefault="00F50094" w:rsidP="005A6862">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sidRPr="005A6862">
              <w:rPr>
                <w:rFonts w:ascii="Times New Roman" w:hAnsi="Times New Roman" w:cs="Times New Roman"/>
                <w:sz w:val="24"/>
              </w:rPr>
              <w:t>Key Drivers for Unilever</w:t>
            </w:r>
          </w:p>
        </w:tc>
      </w:tr>
      <w:tr w:rsidR="00152E21" w:rsidRPr="005A6862" w14:paraId="4FA20641" w14:textId="77777777" w:rsidTr="00F500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0D585673" w14:textId="3E3722E3" w:rsidR="00F50094" w:rsidRPr="005A6862" w:rsidRDefault="000A34A3" w:rsidP="005A6862">
            <w:pPr>
              <w:spacing w:line="360" w:lineRule="auto"/>
              <w:rPr>
                <w:rFonts w:ascii="Times New Roman" w:hAnsi="Times New Roman" w:cs="Times New Roman"/>
                <w:sz w:val="24"/>
              </w:rPr>
            </w:pPr>
            <w:r w:rsidRPr="005A6862">
              <w:rPr>
                <w:rFonts w:ascii="Times New Roman" w:hAnsi="Times New Roman" w:cs="Times New Roman"/>
                <w:sz w:val="24"/>
              </w:rPr>
              <w:t>Threat of New Entrants</w:t>
            </w:r>
          </w:p>
        </w:tc>
        <w:tc>
          <w:tcPr>
            <w:tcW w:w="0" w:type="auto"/>
          </w:tcPr>
          <w:p w14:paraId="10F93280" w14:textId="11093605" w:rsidR="00F50094" w:rsidRPr="005A6862" w:rsidRDefault="000A34A3" w:rsidP="005A6862">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5A6862">
              <w:rPr>
                <w:rFonts w:ascii="Times New Roman" w:hAnsi="Times New Roman" w:cs="Times New Roman"/>
                <w:sz w:val="24"/>
              </w:rPr>
              <w:t>Low/Moderate</w:t>
            </w:r>
          </w:p>
        </w:tc>
        <w:tc>
          <w:tcPr>
            <w:tcW w:w="0" w:type="auto"/>
          </w:tcPr>
          <w:p w14:paraId="43131F3C" w14:textId="590F3253" w:rsidR="00F50094" w:rsidRPr="005A6862" w:rsidRDefault="000A34A3" w:rsidP="005A6862">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5A6862">
              <w:rPr>
                <w:rFonts w:ascii="Times New Roman" w:hAnsi="Times New Roman" w:cs="Times New Roman"/>
                <w:sz w:val="24"/>
              </w:rPr>
              <w:t>High capital and brand building barriers. Digital native niche brands growing in premium personal care segments.</w:t>
            </w:r>
          </w:p>
        </w:tc>
      </w:tr>
      <w:tr w:rsidR="00152E21" w:rsidRPr="005A6862" w14:paraId="3F5ECE68" w14:textId="77777777" w:rsidTr="00F50094">
        <w:tc>
          <w:tcPr>
            <w:cnfStyle w:val="001000000000" w:firstRow="0" w:lastRow="0" w:firstColumn="1" w:lastColumn="0" w:oddVBand="0" w:evenVBand="0" w:oddHBand="0" w:evenHBand="0" w:firstRowFirstColumn="0" w:firstRowLastColumn="0" w:lastRowFirstColumn="0" w:lastRowLastColumn="0"/>
            <w:tcW w:w="0" w:type="auto"/>
          </w:tcPr>
          <w:p w14:paraId="15D6D411" w14:textId="657CF722" w:rsidR="00F50094" w:rsidRPr="005A6862" w:rsidRDefault="00F50094" w:rsidP="005A6862">
            <w:pPr>
              <w:spacing w:line="360" w:lineRule="auto"/>
              <w:rPr>
                <w:rFonts w:ascii="Times New Roman" w:hAnsi="Times New Roman" w:cs="Times New Roman"/>
                <w:sz w:val="24"/>
              </w:rPr>
            </w:pPr>
            <w:r w:rsidRPr="005A6862">
              <w:rPr>
                <w:rFonts w:ascii="Times New Roman" w:hAnsi="Times New Roman" w:cs="Times New Roman"/>
                <w:sz w:val="24"/>
              </w:rPr>
              <w:t>Bargaining Power of Suppliers</w:t>
            </w:r>
          </w:p>
        </w:tc>
        <w:tc>
          <w:tcPr>
            <w:tcW w:w="0" w:type="auto"/>
          </w:tcPr>
          <w:p w14:paraId="6D924B97" w14:textId="713852BD" w:rsidR="00F50094" w:rsidRPr="005A6862" w:rsidRDefault="000A34A3" w:rsidP="005A686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5A6862">
              <w:rPr>
                <w:rFonts w:ascii="Times New Roman" w:hAnsi="Times New Roman" w:cs="Times New Roman"/>
                <w:sz w:val="24"/>
              </w:rPr>
              <w:t>Moderate</w:t>
            </w:r>
          </w:p>
        </w:tc>
        <w:tc>
          <w:tcPr>
            <w:tcW w:w="0" w:type="auto"/>
          </w:tcPr>
          <w:p w14:paraId="206AE1A2" w14:textId="1E548B89" w:rsidR="00F50094" w:rsidRPr="005A6862" w:rsidRDefault="00152E21" w:rsidP="005A686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5A6862">
              <w:rPr>
                <w:rFonts w:ascii="Times New Roman" w:hAnsi="Times New Roman" w:cs="Times New Roman"/>
                <w:sz w:val="24"/>
              </w:rPr>
              <w:t>Scale reduces dependence. However, palm oil, soybean and petrochemical volatility constrain cost management.</w:t>
            </w:r>
          </w:p>
        </w:tc>
      </w:tr>
      <w:tr w:rsidR="00152E21" w:rsidRPr="005A6862" w14:paraId="666DE3ED" w14:textId="77777777" w:rsidTr="00F500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3213B5B" w14:textId="79D38EB4" w:rsidR="00F50094" w:rsidRPr="005A6862" w:rsidRDefault="00F50094" w:rsidP="005A6862">
            <w:pPr>
              <w:spacing w:line="360" w:lineRule="auto"/>
              <w:rPr>
                <w:rFonts w:ascii="Times New Roman" w:hAnsi="Times New Roman" w:cs="Times New Roman"/>
                <w:sz w:val="24"/>
              </w:rPr>
            </w:pPr>
            <w:r w:rsidRPr="005A6862">
              <w:rPr>
                <w:rFonts w:ascii="Times New Roman" w:hAnsi="Times New Roman" w:cs="Times New Roman"/>
                <w:sz w:val="24"/>
              </w:rPr>
              <w:t>Bargaining Power of Buyers</w:t>
            </w:r>
          </w:p>
        </w:tc>
        <w:tc>
          <w:tcPr>
            <w:tcW w:w="0" w:type="auto"/>
          </w:tcPr>
          <w:p w14:paraId="1CEEE827" w14:textId="714432B6" w:rsidR="00F50094" w:rsidRPr="005A6862" w:rsidRDefault="000A34A3" w:rsidP="005A6862">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5A6862">
              <w:rPr>
                <w:rFonts w:ascii="Times New Roman" w:hAnsi="Times New Roman" w:cs="Times New Roman"/>
                <w:sz w:val="24"/>
              </w:rPr>
              <w:t>High</w:t>
            </w:r>
          </w:p>
        </w:tc>
        <w:tc>
          <w:tcPr>
            <w:tcW w:w="0" w:type="auto"/>
          </w:tcPr>
          <w:p w14:paraId="144CEEB2" w14:textId="32806F6D" w:rsidR="00F50094" w:rsidRPr="005A6862" w:rsidRDefault="00152E21" w:rsidP="005A6862">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5A6862">
              <w:rPr>
                <w:rFonts w:ascii="Times New Roman" w:hAnsi="Times New Roman" w:cs="Times New Roman"/>
                <w:sz w:val="24"/>
              </w:rPr>
              <w:t>Walmart, Tesco and retail consolidation grant significant negotia</w:t>
            </w:r>
            <w:r w:rsidR="000A35EB" w:rsidRPr="005A6862">
              <w:rPr>
                <w:rFonts w:ascii="Times New Roman" w:hAnsi="Times New Roman" w:cs="Times New Roman"/>
                <w:sz w:val="24"/>
              </w:rPr>
              <w:t>ting chips, the conversion cost for individual consumers is zero.</w:t>
            </w:r>
          </w:p>
        </w:tc>
      </w:tr>
      <w:tr w:rsidR="00152E21" w:rsidRPr="005A6862" w14:paraId="6B4369FB" w14:textId="77777777" w:rsidTr="00F50094">
        <w:tc>
          <w:tcPr>
            <w:cnfStyle w:val="001000000000" w:firstRow="0" w:lastRow="0" w:firstColumn="1" w:lastColumn="0" w:oddVBand="0" w:evenVBand="0" w:oddHBand="0" w:evenHBand="0" w:firstRowFirstColumn="0" w:firstRowLastColumn="0" w:lastRowFirstColumn="0" w:lastRowLastColumn="0"/>
            <w:tcW w:w="0" w:type="auto"/>
          </w:tcPr>
          <w:p w14:paraId="20CDDCF5" w14:textId="4DC99BD5" w:rsidR="00F50094" w:rsidRPr="005A6862" w:rsidRDefault="00F50094" w:rsidP="005A6862">
            <w:pPr>
              <w:spacing w:line="360" w:lineRule="auto"/>
              <w:rPr>
                <w:rFonts w:ascii="Times New Roman" w:hAnsi="Times New Roman" w:cs="Times New Roman"/>
                <w:sz w:val="24"/>
              </w:rPr>
            </w:pPr>
            <w:r w:rsidRPr="005A6862">
              <w:rPr>
                <w:rFonts w:ascii="Times New Roman" w:hAnsi="Times New Roman" w:cs="Times New Roman"/>
                <w:sz w:val="24"/>
              </w:rPr>
              <w:lastRenderedPageBreak/>
              <w:t>Threat of Substitutes</w:t>
            </w:r>
          </w:p>
        </w:tc>
        <w:tc>
          <w:tcPr>
            <w:tcW w:w="0" w:type="auto"/>
          </w:tcPr>
          <w:p w14:paraId="14A25F06" w14:textId="5FDE1E6B" w:rsidR="00F50094" w:rsidRPr="005A6862" w:rsidRDefault="000A34A3" w:rsidP="005A686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5A6862">
              <w:rPr>
                <w:rFonts w:ascii="Times New Roman" w:hAnsi="Times New Roman" w:cs="Times New Roman"/>
                <w:sz w:val="24"/>
              </w:rPr>
              <w:t>High</w:t>
            </w:r>
          </w:p>
        </w:tc>
        <w:tc>
          <w:tcPr>
            <w:tcW w:w="0" w:type="auto"/>
          </w:tcPr>
          <w:p w14:paraId="34242F9D" w14:textId="12FD3732" w:rsidR="00F50094" w:rsidRPr="005A6862" w:rsidRDefault="00CD24CB" w:rsidP="005A686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5A6862">
              <w:rPr>
                <w:rFonts w:ascii="Times New Roman" w:hAnsi="Times New Roman" w:cs="Times New Roman"/>
                <w:sz w:val="24"/>
              </w:rPr>
              <w:t xml:space="preserve">Private label and handcrafted alternatives are pervasive across all categories, product superiority and brand equity are primary </w:t>
            </w:r>
            <w:proofErr w:type="spellStart"/>
            <w:r w:rsidRPr="005A6862">
              <w:rPr>
                <w:rFonts w:ascii="Times New Roman" w:hAnsi="Times New Roman" w:cs="Times New Roman"/>
                <w:sz w:val="24"/>
              </w:rPr>
              <w:t>defences</w:t>
            </w:r>
            <w:proofErr w:type="spellEnd"/>
            <w:r w:rsidRPr="005A6862">
              <w:rPr>
                <w:rFonts w:ascii="Times New Roman" w:hAnsi="Times New Roman" w:cs="Times New Roman"/>
                <w:sz w:val="24"/>
              </w:rPr>
              <w:t>.</w:t>
            </w:r>
          </w:p>
        </w:tc>
      </w:tr>
      <w:tr w:rsidR="00152E21" w:rsidRPr="005A6862" w14:paraId="5715FBDD" w14:textId="77777777" w:rsidTr="00F500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445BB1F" w14:textId="3B6C77FA" w:rsidR="00F50094" w:rsidRPr="005A6862" w:rsidRDefault="00F50094" w:rsidP="005A6862">
            <w:pPr>
              <w:spacing w:line="360" w:lineRule="auto"/>
              <w:rPr>
                <w:rFonts w:ascii="Times New Roman" w:hAnsi="Times New Roman" w:cs="Times New Roman"/>
                <w:sz w:val="24"/>
              </w:rPr>
            </w:pPr>
            <w:r w:rsidRPr="005A6862">
              <w:rPr>
                <w:rFonts w:ascii="Times New Roman" w:hAnsi="Times New Roman" w:cs="Times New Roman"/>
                <w:sz w:val="24"/>
              </w:rPr>
              <w:t>Competitive Rivalry</w:t>
            </w:r>
          </w:p>
        </w:tc>
        <w:tc>
          <w:tcPr>
            <w:tcW w:w="0" w:type="auto"/>
          </w:tcPr>
          <w:p w14:paraId="52284E2E" w14:textId="7CBC8B97" w:rsidR="00F50094" w:rsidRPr="005A6862" w:rsidRDefault="000A34A3" w:rsidP="005A6862">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5A6862">
              <w:rPr>
                <w:rFonts w:ascii="Times New Roman" w:hAnsi="Times New Roman" w:cs="Times New Roman"/>
                <w:sz w:val="24"/>
              </w:rPr>
              <w:t>High</w:t>
            </w:r>
          </w:p>
        </w:tc>
        <w:tc>
          <w:tcPr>
            <w:tcW w:w="0" w:type="auto"/>
          </w:tcPr>
          <w:p w14:paraId="6F4C2435" w14:textId="581D074B" w:rsidR="00F50094" w:rsidRPr="005A6862" w:rsidRDefault="000A34A3" w:rsidP="005A6862">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5A6862">
              <w:rPr>
                <w:rFonts w:ascii="Times New Roman" w:hAnsi="Times New Roman" w:cs="Times New Roman"/>
                <w:sz w:val="24"/>
              </w:rPr>
              <w:t>P&amp;G, Nestle’, PepsiCo, Colgate. Low consumer switching costs intensify price and innovation pressure.</w:t>
            </w:r>
          </w:p>
        </w:tc>
      </w:tr>
    </w:tbl>
    <w:p w14:paraId="75759F9D" w14:textId="6F183937" w:rsidR="00F50094" w:rsidRPr="005A6862" w:rsidRDefault="00F50094" w:rsidP="005A6862">
      <w:pPr>
        <w:spacing w:line="360" w:lineRule="auto"/>
        <w:rPr>
          <w:rFonts w:ascii="Times New Roman" w:hAnsi="Times New Roman" w:cs="Times New Roman"/>
          <w:sz w:val="24"/>
        </w:rPr>
      </w:pPr>
    </w:p>
    <w:p w14:paraId="3B4FECE0" w14:textId="4AB659E9" w:rsidR="00CD24CB" w:rsidRPr="005A6862" w:rsidRDefault="00CD24CB" w:rsidP="005A6862">
      <w:pPr>
        <w:pStyle w:val="1"/>
        <w:rPr>
          <w:rFonts w:ascii="Times New Roman" w:hAnsi="Times New Roman" w:cs="Times New Roman"/>
          <w:sz w:val="24"/>
          <w:szCs w:val="24"/>
        </w:rPr>
      </w:pPr>
      <w:bookmarkStart w:id="4" w:name="_Toc224923914"/>
      <w:r w:rsidRPr="005A6862">
        <w:rPr>
          <w:rFonts w:ascii="Times New Roman" w:hAnsi="Times New Roman" w:cs="Times New Roman"/>
          <w:sz w:val="24"/>
          <w:szCs w:val="24"/>
        </w:rPr>
        <w:t>3. Internal Analysis</w:t>
      </w:r>
      <w:bookmarkEnd w:id="4"/>
    </w:p>
    <w:p w14:paraId="44B161DB" w14:textId="14DCC7B2" w:rsidR="00CD24CB" w:rsidRPr="005A6862" w:rsidRDefault="00CD24CB" w:rsidP="005A6862">
      <w:pPr>
        <w:pStyle w:val="2"/>
        <w:rPr>
          <w:rFonts w:ascii="Times New Roman" w:hAnsi="Times New Roman" w:cs="Times New Roman"/>
          <w:sz w:val="24"/>
          <w:szCs w:val="24"/>
        </w:rPr>
      </w:pPr>
      <w:bookmarkStart w:id="5" w:name="_Toc224923915"/>
      <w:r w:rsidRPr="005A6862">
        <w:rPr>
          <w:rFonts w:ascii="Times New Roman" w:hAnsi="Times New Roman" w:cs="Times New Roman"/>
          <w:sz w:val="24"/>
          <w:szCs w:val="24"/>
        </w:rPr>
        <w:t xml:space="preserve">3.1 </w:t>
      </w:r>
      <w:r w:rsidR="002D3176" w:rsidRPr="005A6862">
        <w:rPr>
          <w:rFonts w:ascii="Times New Roman" w:hAnsi="Times New Roman" w:cs="Times New Roman"/>
          <w:sz w:val="24"/>
          <w:szCs w:val="24"/>
        </w:rPr>
        <w:t>RBV</w:t>
      </w:r>
      <w:bookmarkEnd w:id="5"/>
    </w:p>
    <w:p w14:paraId="2D27D01E" w14:textId="28A38F5B" w:rsidR="002D3176" w:rsidRPr="0009460D" w:rsidRDefault="002D3176" w:rsidP="005A6862">
      <w:pPr>
        <w:spacing w:line="360" w:lineRule="auto"/>
        <w:rPr>
          <w:rFonts w:ascii="Times New Roman" w:hAnsi="Times New Roman" w:cs="Times New Roman"/>
          <w:sz w:val="24"/>
        </w:rPr>
      </w:pPr>
      <w:r w:rsidRPr="005A6862">
        <w:rPr>
          <w:rFonts w:ascii="Times New Roman" w:hAnsi="Times New Roman" w:cs="Times New Roman"/>
          <w:sz w:val="24"/>
        </w:rPr>
        <w:t xml:space="preserve">The RBV paradigm considers the internal resources of a company to find out whether they are Valuable, Rare, Inimitable, and Non-substitutable (VRIN) and provides the foundation of the enduring competitive advantage (Mailani et al., 2024). The collection of brands under the Unilever company, such as Dove, Hellmann's, Knorr and Rexona are also a group of highly inimitable resources that the company has </w:t>
      </w:r>
      <w:r w:rsidRPr="0009460D">
        <w:rPr>
          <w:rFonts w:ascii="Times New Roman" w:hAnsi="Times New Roman" w:cs="Times New Roman"/>
          <w:sz w:val="24"/>
        </w:rPr>
        <w:t>developed over several decades of investments. In 2024, the company spent</w:t>
      </w:r>
      <w:r w:rsidR="00D15085" w:rsidRPr="0009460D">
        <w:rPr>
          <w:rFonts w:ascii="Times New Roman" w:hAnsi="Times New Roman" w:cs="Times New Roman"/>
          <w:sz w:val="24"/>
        </w:rPr>
        <w:t xml:space="preserve"> €</w:t>
      </w:r>
      <w:r w:rsidRPr="0009460D">
        <w:rPr>
          <w:rFonts w:ascii="Times New Roman" w:hAnsi="Times New Roman" w:cs="Times New Roman"/>
          <w:sz w:val="24"/>
        </w:rPr>
        <w:t>9.4 billion on brand and marketing, which is 15.5 per cent of turnover, with an increment of 120 basis points year after year (Unilever, 2024b). This long-term investment renders brand equity more difficult to copy by other competitors.</w:t>
      </w:r>
    </w:p>
    <w:p w14:paraId="30F446EE" w14:textId="57C9BD25" w:rsidR="002D3176" w:rsidRPr="0009460D" w:rsidRDefault="0009460D" w:rsidP="0009460D">
      <w:pPr>
        <w:pStyle w:val="font-claude-response-body"/>
        <w:spacing w:line="360" w:lineRule="auto"/>
        <w:jc w:val="both"/>
        <w:rPr>
          <w:iCs/>
        </w:rPr>
      </w:pPr>
      <w:r w:rsidRPr="0009460D">
        <w:rPr>
          <w:color w:val="000000" w:themeColor="text1"/>
        </w:rPr>
        <w:t xml:space="preserve">The R&amp;D capacity of Unilever is a unique and expensive asset, especially in the field of microbiome engineering, biotechnology, and next-generation fragrance development (Unilever, 2024b). </w:t>
      </w:r>
      <w:r w:rsidRPr="0009460D">
        <w:rPr>
          <w:rStyle w:val="15"/>
          <w:rFonts w:ascii="Times New Roman" w:hAnsi="Times New Roman" w:cs="Times New Roman"/>
          <w:i w:val="0"/>
          <w:color w:val="000000" w:themeColor="text1"/>
        </w:rPr>
        <w:t xml:space="preserve">Nonetheless, the implementation risks of the model of innovation at Unilever are high. The development pipelines and regulatory approvals of biotechnology and microbiome science are long, and thus, the R&amp;D investment does not translate into a commercial payoff. </w:t>
      </w:r>
      <w:r w:rsidRPr="0009460D">
        <w:rPr>
          <w:color w:val="000000" w:themeColor="text1"/>
        </w:rPr>
        <w:t>€</w:t>
      </w:r>
      <w:r w:rsidRPr="0009460D">
        <w:rPr>
          <w:rStyle w:val="15"/>
          <w:rFonts w:ascii="Times New Roman" w:hAnsi="Times New Roman" w:cs="Times New Roman"/>
          <w:i w:val="0"/>
          <w:color w:val="000000" w:themeColor="text1"/>
        </w:rPr>
        <w:t xml:space="preserve">987 million a year is also a significant fixed cost-line burden that will limit financial flexibility in times of margin pressure. Additionally, competitors like P&amp;G are investing similar resources in science-led </w:t>
      </w:r>
      <w:r w:rsidRPr="0009460D">
        <w:rPr>
          <w:rStyle w:val="15"/>
          <w:rFonts w:ascii="Times New Roman" w:hAnsi="Times New Roman" w:cs="Times New Roman"/>
          <w:i w:val="0"/>
          <w:color w:val="000000" w:themeColor="text1"/>
        </w:rPr>
        <w:lastRenderedPageBreak/>
        <w:t>differentiation, and this poses a threat of letting Unilever lose its innovative advantage in the long run.</w:t>
      </w:r>
    </w:p>
    <w:p w14:paraId="253E2F48" w14:textId="19203A43" w:rsidR="002D3176" w:rsidRPr="0009460D" w:rsidRDefault="002D3176" w:rsidP="005A6862">
      <w:pPr>
        <w:spacing w:line="360" w:lineRule="auto"/>
        <w:rPr>
          <w:rFonts w:ascii="Times New Roman" w:hAnsi="Times New Roman" w:cs="Times New Roman"/>
          <w:sz w:val="24"/>
        </w:rPr>
      </w:pPr>
      <w:r w:rsidRPr="005A6862">
        <w:rPr>
          <w:rFonts w:ascii="Times New Roman" w:hAnsi="Times New Roman" w:cs="Times New Roman"/>
          <w:sz w:val="24"/>
        </w:rPr>
        <w:t xml:space="preserve">The distribution infrastructure of the company, which it uses to serve its 4.4 million retail stores through distributors in the top 10 emerging markets (Unilever, 2023), is a non-substitutable operational asset. </w:t>
      </w:r>
      <w:r w:rsidR="0009460D" w:rsidRPr="0009460D">
        <w:rPr>
          <w:rFonts w:ascii="Times New Roman" w:hAnsi="Times New Roman" w:cs="Times New Roman"/>
          <w:sz w:val="24"/>
        </w:rPr>
        <w:t xml:space="preserve">However, </w:t>
      </w:r>
      <w:r w:rsidR="0009460D" w:rsidRPr="0009460D">
        <w:rPr>
          <w:rStyle w:val="15"/>
          <w:rFonts w:ascii="Times New Roman" w:hAnsi="Times New Roman" w:cs="Times New Roman"/>
          <w:i w:val="0"/>
          <w:sz w:val="24"/>
        </w:rPr>
        <w:t>this new market stance has its share of strategic risks, which should be equally weighted. The political instability in the region, as seen in the case of consumer boycotts in Indonesia, indicates that brand equity that had been developed over decades can be upset by a political stance within a short period of time. Currency fluctuation is one of the structural weaknesses. Competitors have lower cost bases and greater cultural resonance in the form of local and regional competitors whose pressure is increasing across India, Brazil and Southeast Asia.</w:t>
      </w:r>
      <w:r w:rsidR="0009460D" w:rsidRPr="0009460D">
        <w:rPr>
          <w:rStyle w:val="15"/>
          <w:rFonts w:ascii="Times New Roman" w:hAnsi="Times New Roman" w:cs="Times New Roman"/>
          <w:i w:val="0"/>
          <w:sz w:val="24"/>
        </w:rPr>
        <w:t xml:space="preserve"> </w:t>
      </w:r>
      <w:r w:rsidRPr="0009460D">
        <w:rPr>
          <w:rFonts w:ascii="Times New Roman" w:hAnsi="Times New Roman" w:cs="Times New Roman"/>
          <w:sz w:val="24"/>
        </w:rPr>
        <w:t>In addition, the digital and AI competencies of Unilever, such as scaled AI in the supply chain, manufacturing, and demand creation, are a dynamic capability (Gerhart and Feng, 2021) that allows keeping up with rapidly changing consumer and retail conditions.</w:t>
      </w:r>
    </w:p>
    <w:p w14:paraId="3D360E41" w14:textId="51CB1537" w:rsidR="00F24018" w:rsidRPr="005A6862" w:rsidRDefault="00F24018" w:rsidP="005A6862">
      <w:pPr>
        <w:spacing w:line="360" w:lineRule="auto"/>
        <w:rPr>
          <w:rFonts w:ascii="Times New Roman" w:hAnsi="Times New Roman" w:cs="Times New Roman"/>
          <w:b/>
          <w:bCs/>
          <w:sz w:val="24"/>
        </w:rPr>
      </w:pPr>
      <w:r w:rsidRPr="005A6862">
        <w:rPr>
          <w:rFonts w:ascii="Times New Roman" w:hAnsi="Times New Roman" w:cs="Times New Roman"/>
          <w:b/>
          <w:bCs/>
          <w:sz w:val="24"/>
        </w:rPr>
        <w:t>VRIN Analysis of Unilever</w:t>
      </w:r>
    </w:p>
    <w:tbl>
      <w:tblPr>
        <w:tblStyle w:val="5-1"/>
        <w:tblW w:w="0" w:type="auto"/>
        <w:tblLook w:val="04A0" w:firstRow="1" w:lastRow="0" w:firstColumn="1" w:lastColumn="0" w:noHBand="0" w:noVBand="1"/>
      </w:tblPr>
      <w:tblGrid>
        <w:gridCol w:w="2259"/>
        <w:gridCol w:w="1095"/>
        <w:gridCol w:w="708"/>
        <w:gridCol w:w="1259"/>
        <w:gridCol w:w="1547"/>
        <w:gridCol w:w="1428"/>
      </w:tblGrid>
      <w:tr w:rsidR="00F24018" w:rsidRPr="005A6862" w14:paraId="211ABECF" w14:textId="77777777" w:rsidTr="00F2401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2" w:type="dxa"/>
          </w:tcPr>
          <w:p w14:paraId="5A53030A" w14:textId="1C6776DB" w:rsidR="00F24018" w:rsidRPr="005A6862" w:rsidRDefault="00F24018" w:rsidP="005A6862">
            <w:pPr>
              <w:spacing w:line="360" w:lineRule="auto"/>
              <w:rPr>
                <w:rFonts w:ascii="Times New Roman" w:hAnsi="Times New Roman" w:cs="Times New Roman"/>
                <w:sz w:val="24"/>
              </w:rPr>
            </w:pPr>
            <w:r w:rsidRPr="005A6862">
              <w:rPr>
                <w:rFonts w:ascii="Times New Roman" w:hAnsi="Times New Roman" w:cs="Times New Roman"/>
                <w:sz w:val="24"/>
              </w:rPr>
              <w:t>Resource/Capability</w:t>
            </w:r>
          </w:p>
        </w:tc>
        <w:tc>
          <w:tcPr>
            <w:tcW w:w="1382" w:type="dxa"/>
          </w:tcPr>
          <w:p w14:paraId="3DA86A54" w14:textId="17F32C6D" w:rsidR="00F24018" w:rsidRPr="005A6862" w:rsidRDefault="00F24018" w:rsidP="005A6862">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sidRPr="005A6862">
              <w:rPr>
                <w:rFonts w:ascii="Times New Roman" w:hAnsi="Times New Roman" w:cs="Times New Roman"/>
                <w:sz w:val="24"/>
              </w:rPr>
              <w:t>Valuable</w:t>
            </w:r>
          </w:p>
        </w:tc>
        <w:tc>
          <w:tcPr>
            <w:tcW w:w="1383" w:type="dxa"/>
          </w:tcPr>
          <w:p w14:paraId="0103EE3D" w14:textId="43282411" w:rsidR="00F24018" w:rsidRPr="005A6862" w:rsidRDefault="00F24018" w:rsidP="005A6862">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sidRPr="005A6862">
              <w:rPr>
                <w:rFonts w:ascii="Times New Roman" w:hAnsi="Times New Roman" w:cs="Times New Roman"/>
                <w:sz w:val="24"/>
              </w:rPr>
              <w:t>Rare</w:t>
            </w:r>
          </w:p>
        </w:tc>
        <w:tc>
          <w:tcPr>
            <w:tcW w:w="1383" w:type="dxa"/>
          </w:tcPr>
          <w:p w14:paraId="0ED745D9" w14:textId="148D8F7A" w:rsidR="00F24018" w:rsidRPr="005A6862" w:rsidRDefault="00F24018" w:rsidP="005A6862">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sidRPr="005A6862">
              <w:rPr>
                <w:rFonts w:ascii="Times New Roman" w:hAnsi="Times New Roman" w:cs="Times New Roman"/>
                <w:sz w:val="24"/>
              </w:rPr>
              <w:t>Inimitable</w:t>
            </w:r>
          </w:p>
        </w:tc>
        <w:tc>
          <w:tcPr>
            <w:tcW w:w="1383" w:type="dxa"/>
          </w:tcPr>
          <w:p w14:paraId="739F4556" w14:textId="516379C1" w:rsidR="00F24018" w:rsidRPr="005A6862" w:rsidRDefault="00F24018" w:rsidP="005A6862">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proofErr w:type="gramStart"/>
            <w:r w:rsidRPr="005A6862">
              <w:rPr>
                <w:rFonts w:ascii="Times New Roman" w:hAnsi="Times New Roman" w:cs="Times New Roman"/>
                <w:sz w:val="24"/>
              </w:rPr>
              <w:t>Non Substitutable</w:t>
            </w:r>
            <w:proofErr w:type="gramEnd"/>
          </w:p>
        </w:tc>
        <w:tc>
          <w:tcPr>
            <w:tcW w:w="1383" w:type="dxa"/>
          </w:tcPr>
          <w:p w14:paraId="4033DFBA" w14:textId="7335AA11" w:rsidR="00F24018" w:rsidRPr="005A6862" w:rsidRDefault="00F24018" w:rsidP="005A6862">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sidRPr="005A6862">
              <w:rPr>
                <w:rFonts w:ascii="Times New Roman" w:hAnsi="Times New Roman" w:cs="Times New Roman"/>
                <w:sz w:val="24"/>
              </w:rPr>
              <w:t>Strategic Implication</w:t>
            </w:r>
          </w:p>
        </w:tc>
      </w:tr>
      <w:tr w:rsidR="00F24018" w:rsidRPr="005A6862" w14:paraId="27021073" w14:textId="77777777" w:rsidTr="00F240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2" w:type="dxa"/>
          </w:tcPr>
          <w:p w14:paraId="1A16D5AE" w14:textId="71B5B744" w:rsidR="00F24018" w:rsidRPr="005A6862" w:rsidRDefault="00F24018" w:rsidP="005A6862">
            <w:pPr>
              <w:spacing w:line="360" w:lineRule="auto"/>
              <w:rPr>
                <w:rFonts w:ascii="Times New Roman" w:hAnsi="Times New Roman" w:cs="Times New Roman"/>
                <w:sz w:val="24"/>
              </w:rPr>
            </w:pPr>
            <w:r w:rsidRPr="005A6862">
              <w:rPr>
                <w:rFonts w:ascii="Times New Roman" w:hAnsi="Times New Roman" w:cs="Times New Roman"/>
                <w:sz w:val="24"/>
              </w:rPr>
              <w:t>Brand Portfolio (Dove, Knorr, Rexona, Hellmann’s)</w:t>
            </w:r>
          </w:p>
        </w:tc>
        <w:tc>
          <w:tcPr>
            <w:tcW w:w="1382" w:type="dxa"/>
          </w:tcPr>
          <w:p w14:paraId="79103CD0" w14:textId="40B4AA9C" w:rsidR="00F24018" w:rsidRPr="005A6862" w:rsidRDefault="00D15085" w:rsidP="005A6862">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5A6862">
              <w:rPr>
                <w:rFonts w:ascii="Times New Roman" w:hAnsi="Times New Roman" w:cs="Times New Roman"/>
                <w:sz w:val="24"/>
              </w:rPr>
              <w:t>√</w:t>
            </w:r>
          </w:p>
        </w:tc>
        <w:tc>
          <w:tcPr>
            <w:tcW w:w="1383" w:type="dxa"/>
          </w:tcPr>
          <w:p w14:paraId="7EF9F823" w14:textId="6E01FE4F" w:rsidR="00F24018" w:rsidRPr="005A6862" w:rsidRDefault="00D15085" w:rsidP="005A6862">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5A6862">
              <w:rPr>
                <w:rFonts w:ascii="Times New Roman" w:hAnsi="Times New Roman" w:cs="Times New Roman"/>
                <w:sz w:val="24"/>
              </w:rPr>
              <w:t>√</w:t>
            </w:r>
          </w:p>
        </w:tc>
        <w:tc>
          <w:tcPr>
            <w:tcW w:w="1383" w:type="dxa"/>
          </w:tcPr>
          <w:p w14:paraId="56B14B3A" w14:textId="5D85FC28" w:rsidR="00F24018" w:rsidRPr="005A6862" w:rsidRDefault="00D15085" w:rsidP="005A6862">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5A6862">
              <w:rPr>
                <w:rFonts w:ascii="Times New Roman" w:hAnsi="Times New Roman" w:cs="Times New Roman"/>
                <w:sz w:val="24"/>
              </w:rPr>
              <w:t>√</w:t>
            </w:r>
          </w:p>
        </w:tc>
        <w:tc>
          <w:tcPr>
            <w:tcW w:w="1383" w:type="dxa"/>
          </w:tcPr>
          <w:p w14:paraId="6A9FDB4A" w14:textId="5E6DA070" w:rsidR="00F24018" w:rsidRPr="005A6862" w:rsidRDefault="00D15085" w:rsidP="005A6862">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5A6862">
              <w:rPr>
                <w:rFonts w:ascii="Times New Roman" w:hAnsi="Times New Roman" w:cs="Times New Roman"/>
                <w:sz w:val="24"/>
              </w:rPr>
              <w:t>√</w:t>
            </w:r>
          </w:p>
        </w:tc>
        <w:tc>
          <w:tcPr>
            <w:tcW w:w="1383" w:type="dxa"/>
          </w:tcPr>
          <w:p w14:paraId="11ACA351" w14:textId="0E9745AB" w:rsidR="00F24018" w:rsidRPr="005A6862" w:rsidRDefault="004E1B94" w:rsidP="005A6862">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5A6862">
              <w:rPr>
                <w:rFonts w:ascii="Times New Roman" w:hAnsi="Times New Roman" w:cs="Times New Roman"/>
                <w:sz w:val="24"/>
              </w:rPr>
              <w:t>Decades of investment €9.4bn brand &amp; marketing spend 2024</w:t>
            </w:r>
          </w:p>
        </w:tc>
      </w:tr>
      <w:tr w:rsidR="00F24018" w:rsidRPr="005A6862" w14:paraId="586B8E2C" w14:textId="77777777" w:rsidTr="00F24018">
        <w:tc>
          <w:tcPr>
            <w:cnfStyle w:val="001000000000" w:firstRow="0" w:lastRow="0" w:firstColumn="1" w:lastColumn="0" w:oddVBand="0" w:evenVBand="0" w:oddHBand="0" w:evenHBand="0" w:firstRowFirstColumn="0" w:firstRowLastColumn="0" w:lastRowFirstColumn="0" w:lastRowLastColumn="0"/>
            <w:tcW w:w="1382" w:type="dxa"/>
          </w:tcPr>
          <w:p w14:paraId="153DE432" w14:textId="2DDD1577" w:rsidR="00F24018" w:rsidRPr="005A6862" w:rsidRDefault="00F24018" w:rsidP="005A6862">
            <w:pPr>
              <w:spacing w:line="360" w:lineRule="auto"/>
              <w:rPr>
                <w:rFonts w:ascii="Times New Roman" w:hAnsi="Times New Roman" w:cs="Times New Roman"/>
                <w:sz w:val="24"/>
              </w:rPr>
            </w:pPr>
            <w:r w:rsidRPr="005A6862">
              <w:rPr>
                <w:rFonts w:ascii="Times New Roman" w:hAnsi="Times New Roman" w:cs="Times New Roman"/>
                <w:sz w:val="24"/>
              </w:rPr>
              <w:t>R&amp;D Capability (</w:t>
            </w:r>
            <w:r w:rsidR="00D15085" w:rsidRPr="005A6862">
              <w:rPr>
                <w:rFonts w:ascii="Times New Roman" w:hAnsi="Times New Roman" w:cs="Times New Roman"/>
                <w:sz w:val="24"/>
              </w:rPr>
              <w:t>€987m, more than 5000 scientists)</w:t>
            </w:r>
          </w:p>
        </w:tc>
        <w:tc>
          <w:tcPr>
            <w:tcW w:w="1382" w:type="dxa"/>
          </w:tcPr>
          <w:p w14:paraId="02681288" w14:textId="2EB0CE37" w:rsidR="00F24018" w:rsidRPr="005A6862" w:rsidRDefault="00D15085" w:rsidP="005A686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5A6862">
              <w:rPr>
                <w:rFonts w:ascii="Times New Roman" w:hAnsi="Times New Roman" w:cs="Times New Roman"/>
                <w:sz w:val="24"/>
              </w:rPr>
              <w:t>√</w:t>
            </w:r>
          </w:p>
        </w:tc>
        <w:tc>
          <w:tcPr>
            <w:tcW w:w="1383" w:type="dxa"/>
          </w:tcPr>
          <w:p w14:paraId="6D9BA001" w14:textId="4FE3F28A" w:rsidR="00F24018" w:rsidRPr="005A6862" w:rsidRDefault="00D15085" w:rsidP="005A686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5A6862">
              <w:rPr>
                <w:rFonts w:ascii="Times New Roman" w:hAnsi="Times New Roman" w:cs="Times New Roman"/>
                <w:sz w:val="24"/>
              </w:rPr>
              <w:t>√</w:t>
            </w:r>
          </w:p>
        </w:tc>
        <w:tc>
          <w:tcPr>
            <w:tcW w:w="1383" w:type="dxa"/>
          </w:tcPr>
          <w:p w14:paraId="065633D7" w14:textId="76DC7ACF" w:rsidR="00F24018" w:rsidRPr="005A6862" w:rsidRDefault="00D15085" w:rsidP="005A686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5A6862">
              <w:rPr>
                <w:rFonts w:ascii="Times New Roman" w:hAnsi="Times New Roman" w:cs="Times New Roman"/>
                <w:sz w:val="24"/>
              </w:rPr>
              <w:t>√</w:t>
            </w:r>
          </w:p>
        </w:tc>
        <w:tc>
          <w:tcPr>
            <w:tcW w:w="1383" w:type="dxa"/>
          </w:tcPr>
          <w:p w14:paraId="340F71AF" w14:textId="03605FDF" w:rsidR="00F24018" w:rsidRPr="005A6862" w:rsidRDefault="00D15085" w:rsidP="005A686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5A6862">
              <w:rPr>
                <w:rFonts w:ascii="Times New Roman" w:hAnsi="Times New Roman" w:cs="Times New Roman"/>
                <w:sz w:val="24"/>
              </w:rPr>
              <w:t>√</w:t>
            </w:r>
          </w:p>
        </w:tc>
        <w:tc>
          <w:tcPr>
            <w:tcW w:w="1383" w:type="dxa"/>
          </w:tcPr>
          <w:p w14:paraId="4F89115A" w14:textId="6F41455F" w:rsidR="00F24018" w:rsidRPr="005A6862" w:rsidRDefault="004E1B94" w:rsidP="005A686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5A6862">
              <w:rPr>
                <w:rFonts w:ascii="Times New Roman" w:hAnsi="Times New Roman" w:cs="Times New Roman"/>
                <w:sz w:val="24"/>
              </w:rPr>
              <w:t>Proprietary science in microbiome</w:t>
            </w:r>
            <w:r w:rsidRPr="005A6862">
              <w:rPr>
                <w:rFonts w:ascii="Times New Roman" w:hAnsi="Times New Roman" w:cs="Times New Roman"/>
                <w:sz w:val="24"/>
              </w:rPr>
              <w:lastRenderedPageBreak/>
              <w:t>, biotech &amp; fragrance</w:t>
            </w:r>
          </w:p>
        </w:tc>
      </w:tr>
      <w:tr w:rsidR="00F24018" w:rsidRPr="005A6862" w14:paraId="208B29BA" w14:textId="77777777" w:rsidTr="00F240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2" w:type="dxa"/>
          </w:tcPr>
          <w:p w14:paraId="313A1E14" w14:textId="525FC968" w:rsidR="00F24018" w:rsidRPr="005A6862" w:rsidRDefault="00D15085" w:rsidP="005A6862">
            <w:pPr>
              <w:spacing w:line="360" w:lineRule="auto"/>
              <w:rPr>
                <w:rFonts w:ascii="Times New Roman" w:hAnsi="Times New Roman" w:cs="Times New Roman"/>
                <w:sz w:val="24"/>
              </w:rPr>
            </w:pPr>
            <w:r w:rsidRPr="005A6862">
              <w:rPr>
                <w:rFonts w:ascii="Times New Roman" w:hAnsi="Times New Roman" w:cs="Times New Roman"/>
                <w:sz w:val="24"/>
              </w:rPr>
              <w:lastRenderedPageBreak/>
              <w:t>Emerging Market Distribution (4.4m retail stores, top 10 emerging markets)</w:t>
            </w:r>
          </w:p>
        </w:tc>
        <w:tc>
          <w:tcPr>
            <w:tcW w:w="1382" w:type="dxa"/>
          </w:tcPr>
          <w:p w14:paraId="1DA0B4EB" w14:textId="234AAD7A" w:rsidR="00F24018" w:rsidRPr="005A6862" w:rsidRDefault="00D15085" w:rsidP="005A6862">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5A6862">
              <w:rPr>
                <w:rFonts w:ascii="Times New Roman" w:hAnsi="Times New Roman" w:cs="Times New Roman"/>
                <w:sz w:val="24"/>
              </w:rPr>
              <w:t>√</w:t>
            </w:r>
          </w:p>
        </w:tc>
        <w:tc>
          <w:tcPr>
            <w:tcW w:w="1383" w:type="dxa"/>
          </w:tcPr>
          <w:p w14:paraId="39495212" w14:textId="02EDF565" w:rsidR="00F24018" w:rsidRPr="005A6862" w:rsidRDefault="00D15085" w:rsidP="005A6862">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5A6862">
              <w:rPr>
                <w:rFonts w:ascii="Times New Roman" w:hAnsi="Times New Roman" w:cs="Times New Roman"/>
                <w:sz w:val="24"/>
              </w:rPr>
              <w:t>√</w:t>
            </w:r>
          </w:p>
        </w:tc>
        <w:tc>
          <w:tcPr>
            <w:tcW w:w="1383" w:type="dxa"/>
          </w:tcPr>
          <w:p w14:paraId="4CDE46F1" w14:textId="7DEBCF85" w:rsidR="00F24018" w:rsidRPr="005A6862" w:rsidRDefault="00D15085" w:rsidP="005A6862">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5A6862">
              <w:rPr>
                <w:rFonts w:ascii="Times New Roman" w:hAnsi="Times New Roman" w:cs="Times New Roman"/>
                <w:sz w:val="24"/>
              </w:rPr>
              <w:t>√</w:t>
            </w:r>
          </w:p>
        </w:tc>
        <w:tc>
          <w:tcPr>
            <w:tcW w:w="1383" w:type="dxa"/>
          </w:tcPr>
          <w:p w14:paraId="0654738E" w14:textId="5A852B7C" w:rsidR="00F24018" w:rsidRPr="005A6862" w:rsidRDefault="00D15085" w:rsidP="005A6862">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5A6862">
              <w:rPr>
                <w:rFonts w:ascii="Times New Roman" w:hAnsi="Times New Roman" w:cs="Times New Roman"/>
                <w:sz w:val="24"/>
              </w:rPr>
              <w:t>√</w:t>
            </w:r>
          </w:p>
        </w:tc>
        <w:tc>
          <w:tcPr>
            <w:tcW w:w="1383" w:type="dxa"/>
          </w:tcPr>
          <w:p w14:paraId="70E1C68E" w14:textId="180485DA" w:rsidR="00F24018" w:rsidRPr="005A6862" w:rsidRDefault="004E1B94" w:rsidP="005A6862">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5A6862">
              <w:rPr>
                <w:rFonts w:ascii="Times New Roman" w:hAnsi="Times New Roman" w:cs="Times New Roman"/>
                <w:sz w:val="24"/>
              </w:rPr>
              <w:t>Last mile reach built over decades, prohibitively costly for rivals to replicate</w:t>
            </w:r>
          </w:p>
        </w:tc>
      </w:tr>
      <w:tr w:rsidR="00F24018" w:rsidRPr="005A6862" w14:paraId="05192C5C" w14:textId="77777777" w:rsidTr="00F24018">
        <w:tc>
          <w:tcPr>
            <w:cnfStyle w:val="001000000000" w:firstRow="0" w:lastRow="0" w:firstColumn="1" w:lastColumn="0" w:oddVBand="0" w:evenVBand="0" w:oddHBand="0" w:evenHBand="0" w:firstRowFirstColumn="0" w:firstRowLastColumn="0" w:lastRowFirstColumn="0" w:lastRowLastColumn="0"/>
            <w:tcW w:w="1382" w:type="dxa"/>
          </w:tcPr>
          <w:p w14:paraId="15CC8CE1" w14:textId="39E11912" w:rsidR="00F24018" w:rsidRPr="005A6862" w:rsidRDefault="00D15085" w:rsidP="005A6862">
            <w:pPr>
              <w:spacing w:line="360" w:lineRule="auto"/>
              <w:rPr>
                <w:rFonts w:ascii="Times New Roman" w:hAnsi="Times New Roman" w:cs="Times New Roman"/>
                <w:sz w:val="24"/>
              </w:rPr>
            </w:pPr>
            <w:r w:rsidRPr="005A6862">
              <w:rPr>
                <w:rFonts w:ascii="Times New Roman" w:hAnsi="Times New Roman" w:cs="Times New Roman"/>
                <w:sz w:val="24"/>
              </w:rPr>
              <w:t>Scaled AI &amp; Digital Platforms</w:t>
            </w:r>
          </w:p>
        </w:tc>
        <w:tc>
          <w:tcPr>
            <w:tcW w:w="1382" w:type="dxa"/>
          </w:tcPr>
          <w:p w14:paraId="63455214" w14:textId="41E222B7" w:rsidR="00F24018" w:rsidRPr="005A6862" w:rsidRDefault="00D15085" w:rsidP="005A686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5A6862">
              <w:rPr>
                <w:rFonts w:ascii="Times New Roman" w:hAnsi="Times New Roman" w:cs="Times New Roman"/>
                <w:sz w:val="24"/>
              </w:rPr>
              <w:t>√</w:t>
            </w:r>
          </w:p>
        </w:tc>
        <w:tc>
          <w:tcPr>
            <w:tcW w:w="1383" w:type="dxa"/>
          </w:tcPr>
          <w:p w14:paraId="756AA7E6" w14:textId="3209CFBC" w:rsidR="00F24018" w:rsidRPr="005A6862" w:rsidRDefault="00D15085" w:rsidP="005A686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5A6862">
              <w:rPr>
                <w:rFonts w:ascii="Apple Color Emoji" w:hAnsi="Apple Color Emoji" w:cs="Apple Color Emoji"/>
                <w:sz w:val="24"/>
              </w:rPr>
              <w:t>✖️</w:t>
            </w:r>
          </w:p>
        </w:tc>
        <w:tc>
          <w:tcPr>
            <w:tcW w:w="1383" w:type="dxa"/>
          </w:tcPr>
          <w:p w14:paraId="17B80C35" w14:textId="51DAE62C" w:rsidR="00F24018" w:rsidRPr="005A6862" w:rsidRDefault="00D15085" w:rsidP="005A686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Cambria Math" w:hAnsi="Times New Roman" w:cs="Times New Roman"/>
                <w:sz w:val="24"/>
              </w:rPr>
            </w:pPr>
            <w:r w:rsidRPr="005A6862">
              <w:rPr>
                <w:rFonts w:ascii="Apple Color Emoji" w:hAnsi="Apple Color Emoji" w:cs="Apple Color Emoji"/>
                <w:sz w:val="24"/>
              </w:rPr>
              <w:t>✖️</w:t>
            </w:r>
          </w:p>
        </w:tc>
        <w:tc>
          <w:tcPr>
            <w:tcW w:w="1383" w:type="dxa"/>
          </w:tcPr>
          <w:p w14:paraId="0AB90514" w14:textId="75F055A2" w:rsidR="00F24018" w:rsidRPr="005A6862" w:rsidRDefault="00D15085" w:rsidP="005A686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5A6862">
              <w:rPr>
                <w:rFonts w:ascii="Apple Color Emoji" w:hAnsi="Apple Color Emoji" w:cs="Apple Color Emoji"/>
                <w:sz w:val="24"/>
              </w:rPr>
              <w:t>✖️</w:t>
            </w:r>
          </w:p>
        </w:tc>
        <w:tc>
          <w:tcPr>
            <w:tcW w:w="1383" w:type="dxa"/>
          </w:tcPr>
          <w:p w14:paraId="7704901A" w14:textId="5F5FEE2F" w:rsidR="00F24018" w:rsidRPr="005A6862" w:rsidRDefault="006203F6" w:rsidP="005A686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5A6862">
              <w:rPr>
                <w:rFonts w:ascii="Times New Roman" w:hAnsi="Times New Roman" w:cs="Times New Roman"/>
                <w:sz w:val="24"/>
              </w:rPr>
              <w:t>Dynamic capabilities (Gerhart and Feng, 2021), rivals can acquire similar tools over time.</w:t>
            </w:r>
          </w:p>
        </w:tc>
      </w:tr>
    </w:tbl>
    <w:p w14:paraId="664AF56A" w14:textId="77777777" w:rsidR="00F24018" w:rsidRPr="005A6862" w:rsidRDefault="00F24018" w:rsidP="005A6862">
      <w:pPr>
        <w:spacing w:line="360" w:lineRule="auto"/>
        <w:rPr>
          <w:rFonts w:ascii="Times New Roman" w:hAnsi="Times New Roman" w:cs="Times New Roman"/>
          <w:sz w:val="24"/>
        </w:rPr>
      </w:pPr>
    </w:p>
    <w:p w14:paraId="2BD699DB" w14:textId="462E6BE1" w:rsidR="006203F6" w:rsidRPr="005A6862" w:rsidRDefault="006203F6" w:rsidP="005A6862">
      <w:pPr>
        <w:pStyle w:val="2"/>
        <w:rPr>
          <w:rFonts w:ascii="Times New Roman" w:hAnsi="Times New Roman" w:cs="Times New Roman"/>
          <w:sz w:val="24"/>
          <w:szCs w:val="24"/>
        </w:rPr>
      </w:pPr>
      <w:bookmarkStart w:id="6" w:name="_Toc224923916"/>
      <w:r w:rsidRPr="005A6862">
        <w:rPr>
          <w:rFonts w:ascii="Times New Roman" w:hAnsi="Times New Roman" w:cs="Times New Roman"/>
          <w:sz w:val="24"/>
          <w:szCs w:val="24"/>
        </w:rPr>
        <w:t>3.2 Value Chain Analysis</w:t>
      </w:r>
      <w:bookmarkEnd w:id="6"/>
    </w:p>
    <w:p w14:paraId="194F6C14" w14:textId="23257161" w:rsidR="006203F6" w:rsidRPr="005A6862" w:rsidRDefault="003E0394" w:rsidP="005A6862">
      <w:pPr>
        <w:spacing w:line="360" w:lineRule="auto"/>
        <w:rPr>
          <w:rFonts w:ascii="Times New Roman" w:hAnsi="Times New Roman" w:cs="Times New Roman"/>
          <w:sz w:val="24"/>
        </w:rPr>
      </w:pPr>
      <w:r w:rsidRPr="005A6862">
        <w:rPr>
          <w:rFonts w:ascii="Times New Roman" w:hAnsi="Times New Roman" w:cs="Times New Roman"/>
          <w:sz w:val="24"/>
        </w:rPr>
        <w:t>The Value Chain An</w:t>
      </w:r>
      <w:r w:rsidR="00664ACA" w:rsidRPr="005A6862">
        <w:rPr>
          <w:rFonts w:ascii="Times New Roman" w:hAnsi="Times New Roman" w:cs="Times New Roman"/>
          <w:sz w:val="24"/>
        </w:rPr>
        <w:t>alysis by Porter determines the primary and support activities in which a firm creates a margin (Zamora, 2016).</w:t>
      </w:r>
    </w:p>
    <w:p w14:paraId="0C5FF0CB" w14:textId="13B6BFC6" w:rsidR="00664ACA" w:rsidRPr="005A6862" w:rsidRDefault="00664ACA" w:rsidP="005A6862">
      <w:pPr>
        <w:spacing w:line="360" w:lineRule="auto"/>
        <w:rPr>
          <w:rFonts w:ascii="Times New Roman" w:hAnsi="Times New Roman" w:cs="Times New Roman"/>
          <w:b/>
          <w:bCs/>
          <w:sz w:val="24"/>
        </w:rPr>
      </w:pPr>
      <w:r w:rsidRPr="005A6862">
        <w:rPr>
          <w:rFonts w:ascii="Times New Roman" w:hAnsi="Times New Roman" w:cs="Times New Roman"/>
          <w:b/>
          <w:bCs/>
          <w:sz w:val="24"/>
        </w:rPr>
        <w:t>Valu</w:t>
      </w:r>
      <w:r w:rsidR="00432896" w:rsidRPr="005A6862">
        <w:rPr>
          <w:rFonts w:ascii="Times New Roman" w:hAnsi="Times New Roman" w:cs="Times New Roman"/>
          <w:b/>
          <w:bCs/>
          <w:sz w:val="24"/>
        </w:rPr>
        <w:t>e Chain Analysis of Unilever</w:t>
      </w:r>
    </w:p>
    <w:tbl>
      <w:tblPr>
        <w:tblStyle w:val="5-40"/>
        <w:tblW w:w="0" w:type="auto"/>
        <w:tblLook w:val="04A0" w:firstRow="1" w:lastRow="0" w:firstColumn="1" w:lastColumn="0" w:noHBand="0" w:noVBand="1"/>
      </w:tblPr>
      <w:tblGrid>
        <w:gridCol w:w="2380"/>
        <w:gridCol w:w="5866"/>
      </w:tblGrid>
      <w:tr w:rsidR="00432896" w:rsidRPr="005A6862" w14:paraId="390A3846" w14:textId="77777777" w:rsidTr="00432896">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380" w:type="dxa"/>
            <w:shd w:val="clear" w:color="auto" w:fill="0F4761" w:themeFill="accent1" w:themeFillShade="BF"/>
          </w:tcPr>
          <w:p w14:paraId="761F6773" w14:textId="3AA9E25A" w:rsidR="00432896" w:rsidRPr="005A6862" w:rsidRDefault="00432896" w:rsidP="005A6862">
            <w:pPr>
              <w:spacing w:line="360" w:lineRule="auto"/>
              <w:rPr>
                <w:rFonts w:ascii="Times New Roman" w:hAnsi="Times New Roman" w:cs="Times New Roman"/>
                <w:sz w:val="24"/>
              </w:rPr>
            </w:pPr>
          </w:p>
        </w:tc>
        <w:tc>
          <w:tcPr>
            <w:tcW w:w="5866" w:type="dxa"/>
            <w:shd w:val="clear" w:color="auto" w:fill="0F4761" w:themeFill="accent1" w:themeFillShade="BF"/>
          </w:tcPr>
          <w:p w14:paraId="2DD0A9AE" w14:textId="674108E9" w:rsidR="00432896" w:rsidRPr="005A6862" w:rsidRDefault="00432896" w:rsidP="005A6862">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sidRPr="005A6862">
              <w:rPr>
                <w:rFonts w:ascii="Times New Roman" w:hAnsi="Times New Roman" w:cs="Times New Roman"/>
                <w:sz w:val="24"/>
              </w:rPr>
              <w:t>Primary Activities</w:t>
            </w:r>
          </w:p>
        </w:tc>
      </w:tr>
      <w:tr w:rsidR="00432896" w:rsidRPr="005A6862" w14:paraId="51A6381A" w14:textId="77777777" w:rsidTr="004328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80" w:type="dxa"/>
            <w:shd w:val="clear" w:color="auto" w:fill="A5C9EB" w:themeFill="text2" w:themeFillTint="40"/>
          </w:tcPr>
          <w:p w14:paraId="581DBAE2" w14:textId="2AA7F6E2" w:rsidR="00432896" w:rsidRPr="005A6862" w:rsidRDefault="00432896" w:rsidP="005A6862">
            <w:pPr>
              <w:spacing w:line="360" w:lineRule="auto"/>
              <w:rPr>
                <w:rFonts w:ascii="Times New Roman" w:hAnsi="Times New Roman" w:cs="Times New Roman"/>
                <w:b w:val="0"/>
                <w:bCs w:val="0"/>
                <w:color w:val="000000" w:themeColor="text1"/>
                <w:sz w:val="24"/>
              </w:rPr>
            </w:pPr>
            <w:r w:rsidRPr="005A6862">
              <w:rPr>
                <w:rFonts w:ascii="Times New Roman" w:hAnsi="Times New Roman" w:cs="Times New Roman"/>
                <w:b w:val="0"/>
                <w:bCs w:val="0"/>
                <w:color w:val="000000" w:themeColor="text1"/>
                <w:sz w:val="24"/>
              </w:rPr>
              <w:t>Inbound Logistics</w:t>
            </w:r>
          </w:p>
        </w:tc>
        <w:tc>
          <w:tcPr>
            <w:tcW w:w="5866" w:type="dxa"/>
          </w:tcPr>
          <w:p w14:paraId="079747B2" w14:textId="40836AE4" w:rsidR="00432896" w:rsidRPr="005A6862" w:rsidRDefault="00432896" w:rsidP="005A6862">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 xml:space="preserve">Inbound logistics in the main operations of Unilever that are assisted by a digitally integrated supply chain having 7 global operational hubs and provides 24 million customer </w:t>
            </w:r>
            <w:r w:rsidRPr="005A6862">
              <w:rPr>
                <w:rFonts w:ascii="Times New Roman" w:hAnsi="Times New Roman" w:cs="Times New Roman"/>
                <w:color w:val="000000" w:themeColor="text1"/>
                <w:sz w:val="24"/>
              </w:rPr>
              <w:lastRenderedPageBreak/>
              <w:t>orders in a year (Unilever, 2026a).</w:t>
            </w:r>
          </w:p>
        </w:tc>
      </w:tr>
      <w:tr w:rsidR="00432896" w:rsidRPr="005A6862" w14:paraId="395E6662" w14:textId="77777777" w:rsidTr="00432896">
        <w:tc>
          <w:tcPr>
            <w:cnfStyle w:val="001000000000" w:firstRow="0" w:lastRow="0" w:firstColumn="1" w:lastColumn="0" w:oddVBand="0" w:evenVBand="0" w:oddHBand="0" w:evenHBand="0" w:firstRowFirstColumn="0" w:firstRowLastColumn="0" w:lastRowFirstColumn="0" w:lastRowLastColumn="0"/>
            <w:tcW w:w="2380" w:type="dxa"/>
            <w:shd w:val="clear" w:color="auto" w:fill="A5C9EB" w:themeFill="text2" w:themeFillTint="40"/>
          </w:tcPr>
          <w:p w14:paraId="70C31F60" w14:textId="3B7BCEE6" w:rsidR="00432896" w:rsidRPr="005A6862" w:rsidRDefault="00432896" w:rsidP="005A6862">
            <w:pPr>
              <w:spacing w:line="360" w:lineRule="auto"/>
              <w:rPr>
                <w:rFonts w:ascii="Times New Roman" w:hAnsi="Times New Roman" w:cs="Times New Roman"/>
                <w:b w:val="0"/>
                <w:bCs w:val="0"/>
                <w:color w:val="000000" w:themeColor="text1"/>
                <w:sz w:val="24"/>
              </w:rPr>
            </w:pPr>
            <w:r w:rsidRPr="005A6862">
              <w:rPr>
                <w:rFonts w:ascii="Times New Roman" w:hAnsi="Times New Roman" w:cs="Times New Roman"/>
                <w:b w:val="0"/>
                <w:bCs w:val="0"/>
                <w:color w:val="000000" w:themeColor="text1"/>
                <w:sz w:val="24"/>
              </w:rPr>
              <w:lastRenderedPageBreak/>
              <w:t>Operations</w:t>
            </w:r>
          </w:p>
        </w:tc>
        <w:tc>
          <w:tcPr>
            <w:tcW w:w="5866" w:type="dxa"/>
          </w:tcPr>
          <w:p w14:paraId="08978F3A" w14:textId="4C81A882" w:rsidR="00432896" w:rsidRPr="005A6862" w:rsidRDefault="006400A8" w:rsidP="005A686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 xml:space="preserve">AI-driven manufacturing boosts efficiency and saves </w:t>
            </w:r>
            <w:proofErr w:type="gramStart"/>
            <w:r w:rsidRPr="005A6862">
              <w:rPr>
                <w:rFonts w:ascii="Times New Roman" w:hAnsi="Times New Roman" w:cs="Times New Roman"/>
                <w:color w:val="000000" w:themeColor="text1"/>
                <w:sz w:val="24"/>
              </w:rPr>
              <w:t>money, and</w:t>
            </w:r>
            <w:proofErr w:type="gramEnd"/>
            <w:r w:rsidRPr="005A6862">
              <w:rPr>
                <w:rFonts w:ascii="Times New Roman" w:hAnsi="Times New Roman" w:cs="Times New Roman"/>
                <w:color w:val="000000" w:themeColor="text1"/>
                <w:sz w:val="24"/>
              </w:rPr>
              <w:t xml:space="preserve"> enhances the quality of operations.</w:t>
            </w:r>
          </w:p>
        </w:tc>
      </w:tr>
      <w:tr w:rsidR="00432896" w:rsidRPr="005A6862" w14:paraId="6ED4598E" w14:textId="77777777" w:rsidTr="004328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80" w:type="dxa"/>
            <w:shd w:val="clear" w:color="auto" w:fill="A5C9EB" w:themeFill="text2" w:themeFillTint="40"/>
          </w:tcPr>
          <w:p w14:paraId="758A8DEC" w14:textId="17FF7983" w:rsidR="00432896" w:rsidRPr="005A6862" w:rsidRDefault="00432896" w:rsidP="005A6862">
            <w:pPr>
              <w:spacing w:line="360" w:lineRule="auto"/>
              <w:rPr>
                <w:rFonts w:ascii="Times New Roman" w:hAnsi="Times New Roman" w:cs="Times New Roman"/>
                <w:b w:val="0"/>
                <w:bCs w:val="0"/>
                <w:color w:val="000000" w:themeColor="text1"/>
                <w:sz w:val="24"/>
              </w:rPr>
            </w:pPr>
            <w:r w:rsidRPr="005A6862">
              <w:rPr>
                <w:rFonts w:ascii="Times New Roman" w:hAnsi="Times New Roman" w:cs="Times New Roman"/>
                <w:b w:val="0"/>
                <w:bCs w:val="0"/>
                <w:color w:val="000000" w:themeColor="text1"/>
                <w:sz w:val="24"/>
              </w:rPr>
              <w:t>Outbound Logistics</w:t>
            </w:r>
          </w:p>
        </w:tc>
        <w:tc>
          <w:tcPr>
            <w:tcW w:w="5866" w:type="dxa"/>
          </w:tcPr>
          <w:p w14:paraId="5F738C25" w14:textId="3950D41B" w:rsidR="00432896" w:rsidRPr="005A6862" w:rsidRDefault="006400A8" w:rsidP="005A6862">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A multi modal distribution, a pilot of the use of electric and biofuel fleets in the UK and CO2 reduction in relation to fossil fuels all support outbound logistics.</w:t>
            </w:r>
          </w:p>
        </w:tc>
      </w:tr>
      <w:tr w:rsidR="00432896" w:rsidRPr="005A6862" w14:paraId="2E4043B4" w14:textId="77777777" w:rsidTr="00432896">
        <w:tc>
          <w:tcPr>
            <w:cnfStyle w:val="001000000000" w:firstRow="0" w:lastRow="0" w:firstColumn="1" w:lastColumn="0" w:oddVBand="0" w:evenVBand="0" w:oddHBand="0" w:evenHBand="0" w:firstRowFirstColumn="0" w:firstRowLastColumn="0" w:lastRowFirstColumn="0" w:lastRowLastColumn="0"/>
            <w:tcW w:w="2380" w:type="dxa"/>
            <w:shd w:val="clear" w:color="auto" w:fill="A5C9EB" w:themeFill="text2" w:themeFillTint="40"/>
          </w:tcPr>
          <w:p w14:paraId="637C8EED" w14:textId="438C7B7F" w:rsidR="00432896" w:rsidRPr="005A6862" w:rsidRDefault="00432896" w:rsidP="005A6862">
            <w:pPr>
              <w:spacing w:line="360" w:lineRule="auto"/>
              <w:rPr>
                <w:rFonts w:ascii="Times New Roman" w:hAnsi="Times New Roman" w:cs="Times New Roman"/>
                <w:b w:val="0"/>
                <w:bCs w:val="0"/>
                <w:color w:val="000000" w:themeColor="text1"/>
                <w:sz w:val="24"/>
              </w:rPr>
            </w:pPr>
            <w:r w:rsidRPr="005A6862">
              <w:rPr>
                <w:rFonts w:ascii="Times New Roman" w:hAnsi="Times New Roman" w:cs="Times New Roman"/>
                <w:b w:val="0"/>
                <w:bCs w:val="0"/>
                <w:color w:val="000000" w:themeColor="text1"/>
                <w:sz w:val="24"/>
              </w:rPr>
              <w:t>Marketing &amp; Sales</w:t>
            </w:r>
          </w:p>
        </w:tc>
        <w:tc>
          <w:tcPr>
            <w:tcW w:w="5866" w:type="dxa"/>
          </w:tcPr>
          <w:p w14:paraId="3C83FAFB" w14:textId="306A7291" w:rsidR="00432896" w:rsidRPr="005A6862" w:rsidRDefault="006400A8" w:rsidP="005A686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€9.4 billion of yearly brand investment and data driven demand generation strategies, which serve as key competitive points.</w:t>
            </w:r>
          </w:p>
        </w:tc>
      </w:tr>
      <w:tr w:rsidR="00432896" w:rsidRPr="005A6862" w14:paraId="04431A53" w14:textId="77777777" w:rsidTr="004328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80" w:type="dxa"/>
            <w:shd w:val="clear" w:color="auto" w:fill="A5C9EB" w:themeFill="text2" w:themeFillTint="40"/>
          </w:tcPr>
          <w:p w14:paraId="72722608" w14:textId="3F81215A" w:rsidR="00432896" w:rsidRPr="005A6862" w:rsidRDefault="00432896" w:rsidP="005A6862">
            <w:pPr>
              <w:spacing w:line="360" w:lineRule="auto"/>
              <w:rPr>
                <w:rFonts w:ascii="Times New Roman" w:hAnsi="Times New Roman" w:cs="Times New Roman"/>
                <w:b w:val="0"/>
                <w:bCs w:val="0"/>
                <w:color w:val="000000" w:themeColor="text1"/>
                <w:sz w:val="24"/>
              </w:rPr>
            </w:pPr>
            <w:r w:rsidRPr="005A6862">
              <w:rPr>
                <w:rFonts w:ascii="Times New Roman" w:hAnsi="Times New Roman" w:cs="Times New Roman"/>
                <w:b w:val="0"/>
                <w:bCs w:val="0"/>
                <w:color w:val="000000" w:themeColor="text1"/>
                <w:sz w:val="24"/>
              </w:rPr>
              <w:t>Service/After Sales</w:t>
            </w:r>
          </w:p>
        </w:tc>
        <w:tc>
          <w:tcPr>
            <w:tcW w:w="5866" w:type="dxa"/>
          </w:tcPr>
          <w:p w14:paraId="2029F25A" w14:textId="28E536A0" w:rsidR="00432896" w:rsidRPr="005A6862" w:rsidRDefault="006400A8" w:rsidP="005A6862">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Sustainability linked product development contributes to the provision of after sales service as it enhances consumer confidence and loyalty.</w:t>
            </w:r>
          </w:p>
        </w:tc>
      </w:tr>
    </w:tbl>
    <w:tbl>
      <w:tblPr>
        <w:tblStyle w:val="5-20"/>
        <w:tblW w:w="0" w:type="auto"/>
        <w:tblLook w:val="04A0" w:firstRow="1" w:lastRow="0" w:firstColumn="1" w:lastColumn="0" w:noHBand="0" w:noVBand="1"/>
      </w:tblPr>
      <w:tblGrid>
        <w:gridCol w:w="2380"/>
        <w:gridCol w:w="5866"/>
      </w:tblGrid>
      <w:tr w:rsidR="006400A8" w:rsidRPr="005A6862" w14:paraId="3588E23E" w14:textId="77777777" w:rsidTr="006400A8">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380" w:type="dxa"/>
          </w:tcPr>
          <w:p w14:paraId="56ECCB95" w14:textId="77777777" w:rsidR="006400A8" w:rsidRPr="005A6862" w:rsidRDefault="006400A8" w:rsidP="005A6862">
            <w:pPr>
              <w:spacing w:line="360" w:lineRule="auto"/>
              <w:rPr>
                <w:rFonts w:ascii="Times New Roman" w:hAnsi="Times New Roman" w:cs="Times New Roman"/>
                <w:color w:val="000000" w:themeColor="text1"/>
                <w:sz w:val="24"/>
              </w:rPr>
            </w:pPr>
          </w:p>
        </w:tc>
        <w:tc>
          <w:tcPr>
            <w:tcW w:w="5866" w:type="dxa"/>
          </w:tcPr>
          <w:p w14:paraId="554AE6E6" w14:textId="2E2E9D1C" w:rsidR="006400A8" w:rsidRPr="005A6862" w:rsidRDefault="006400A8" w:rsidP="005A6862">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Support Activities</w:t>
            </w:r>
          </w:p>
        </w:tc>
      </w:tr>
      <w:tr w:rsidR="006400A8" w:rsidRPr="005A6862" w14:paraId="29F36848" w14:textId="77777777" w:rsidTr="006400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80" w:type="dxa"/>
            <w:shd w:val="clear" w:color="auto" w:fill="F6C5AC" w:themeFill="accent2" w:themeFillTint="66"/>
          </w:tcPr>
          <w:p w14:paraId="5F5C3273" w14:textId="14BE3178" w:rsidR="006400A8" w:rsidRPr="005A6862" w:rsidRDefault="006400A8" w:rsidP="005A6862">
            <w:pPr>
              <w:spacing w:line="360" w:lineRule="auto"/>
              <w:rPr>
                <w:rFonts w:ascii="Times New Roman" w:hAnsi="Times New Roman" w:cs="Times New Roman"/>
                <w:b w:val="0"/>
                <w:bCs w:val="0"/>
                <w:color w:val="000000" w:themeColor="text1"/>
                <w:sz w:val="24"/>
              </w:rPr>
            </w:pPr>
            <w:r w:rsidRPr="005A6862">
              <w:rPr>
                <w:rFonts w:ascii="Times New Roman" w:hAnsi="Times New Roman" w:cs="Times New Roman"/>
                <w:b w:val="0"/>
                <w:bCs w:val="0"/>
                <w:color w:val="000000" w:themeColor="text1"/>
                <w:sz w:val="24"/>
              </w:rPr>
              <w:t>Company Infrastructure</w:t>
            </w:r>
          </w:p>
        </w:tc>
        <w:tc>
          <w:tcPr>
            <w:tcW w:w="5866" w:type="dxa"/>
            <w:shd w:val="clear" w:color="auto" w:fill="FAE2D5" w:themeFill="accent2" w:themeFillTint="33"/>
          </w:tcPr>
          <w:p w14:paraId="6F083C04" w14:textId="213C2F0B" w:rsidR="006400A8" w:rsidRPr="005A6862" w:rsidRDefault="003B4593" w:rsidP="005A6862">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It includes dual-listed governance within the UK and the Netherlands jurisdictions, which makes it compliant with the regulations and provides access to deep capital markets.</w:t>
            </w:r>
          </w:p>
        </w:tc>
      </w:tr>
      <w:tr w:rsidR="006400A8" w:rsidRPr="005A6862" w14:paraId="6C406EFA" w14:textId="77777777" w:rsidTr="006400A8">
        <w:tc>
          <w:tcPr>
            <w:cnfStyle w:val="001000000000" w:firstRow="0" w:lastRow="0" w:firstColumn="1" w:lastColumn="0" w:oddVBand="0" w:evenVBand="0" w:oddHBand="0" w:evenHBand="0" w:firstRowFirstColumn="0" w:firstRowLastColumn="0" w:lastRowFirstColumn="0" w:lastRowLastColumn="0"/>
            <w:tcW w:w="2380" w:type="dxa"/>
            <w:shd w:val="clear" w:color="auto" w:fill="F6C5AC" w:themeFill="accent2" w:themeFillTint="66"/>
          </w:tcPr>
          <w:p w14:paraId="79F44B2C" w14:textId="069A98E0" w:rsidR="006400A8" w:rsidRPr="005A6862" w:rsidRDefault="006400A8" w:rsidP="005A6862">
            <w:pPr>
              <w:spacing w:line="360" w:lineRule="auto"/>
              <w:rPr>
                <w:rFonts w:ascii="Times New Roman" w:hAnsi="Times New Roman" w:cs="Times New Roman"/>
                <w:b w:val="0"/>
                <w:bCs w:val="0"/>
                <w:color w:val="000000" w:themeColor="text1"/>
                <w:sz w:val="24"/>
              </w:rPr>
            </w:pPr>
            <w:r w:rsidRPr="005A6862">
              <w:rPr>
                <w:rFonts w:ascii="Times New Roman" w:hAnsi="Times New Roman" w:cs="Times New Roman"/>
                <w:b w:val="0"/>
                <w:bCs w:val="0"/>
                <w:color w:val="000000" w:themeColor="text1"/>
                <w:sz w:val="24"/>
              </w:rPr>
              <w:t>HR Management</w:t>
            </w:r>
          </w:p>
        </w:tc>
        <w:tc>
          <w:tcPr>
            <w:tcW w:w="5866" w:type="dxa"/>
            <w:shd w:val="clear" w:color="auto" w:fill="FAE2D5" w:themeFill="accent2" w:themeFillTint="33"/>
          </w:tcPr>
          <w:p w14:paraId="2BF4DFF4" w14:textId="39367A13" w:rsidR="006400A8" w:rsidRPr="005A6862" w:rsidRDefault="003B4593" w:rsidP="005A686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Human resources management is characterized by a high level of engagement: 79% of employees are engaged, and 87% of employees are proud to work at Unilever (Unilever, 2026b).</w:t>
            </w:r>
          </w:p>
        </w:tc>
      </w:tr>
      <w:tr w:rsidR="006400A8" w:rsidRPr="005A6862" w14:paraId="0B4EBB23" w14:textId="77777777" w:rsidTr="006400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80" w:type="dxa"/>
            <w:shd w:val="clear" w:color="auto" w:fill="F6C5AC" w:themeFill="accent2" w:themeFillTint="66"/>
          </w:tcPr>
          <w:p w14:paraId="7EEE56C4" w14:textId="13AD9621" w:rsidR="006400A8" w:rsidRPr="005A6862" w:rsidRDefault="006400A8" w:rsidP="005A6862">
            <w:pPr>
              <w:spacing w:line="360" w:lineRule="auto"/>
              <w:rPr>
                <w:rFonts w:ascii="Times New Roman" w:hAnsi="Times New Roman" w:cs="Times New Roman"/>
                <w:b w:val="0"/>
                <w:bCs w:val="0"/>
                <w:color w:val="000000" w:themeColor="text1"/>
                <w:sz w:val="24"/>
              </w:rPr>
            </w:pPr>
            <w:r w:rsidRPr="005A6862">
              <w:rPr>
                <w:rFonts w:ascii="Times New Roman" w:hAnsi="Times New Roman" w:cs="Times New Roman"/>
                <w:b w:val="0"/>
                <w:bCs w:val="0"/>
                <w:color w:val="000000" w:themeColor="text1"/>
                <w:sz w:val="24"/>
              </w:rPr>
              <w:t>Technology</w:t>
            </w:r>
            <w:r w:rsidR="003B4593" w:rsidRPr="005A6862">
              <w:rPr>
                <w:rFonts w:ascii="Times New Roman" w:hAnsi="Times New Roman" w:cs="Times New Roman"/>
                <w:b w:val="0"/>
                <w:bCs w:val="0"/>
                <w:color w:val="000000" w:themeColor="text1"/>
                <w:sz w:val="24"/>
              </w:rPr>
              <w:t xml:space="preserve"> Development</w:t>
            </w:r>
          </w:p>
        </w:tc>
        <w:tc>
          <w:tcPr>
            <w:tcW w:w="5866" w:type="dxa"/>
            <w:shd w:val="clear" w:color="auto" w:fill="FAE2D5" w:themeFill="accent2" w:themeFillTint="33"/>
          </w:tcPr>
          <w:p w14:paraId="18839744" w14:textId="4E3D9545" w:rsidR="006400A8" w:rsidRPr="005A6862" w:rsidRDefault="003B4593" w:rsidP="005A6862">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Technology Development in Unilever covers €987 million R&amp;D financing that has a PS100 million five-year investment in in-house fragrance capacity to enhance product differentiation.</w:t>
            </w:r>
          </w:p>
        </w:tc>
      </w:tr>
      <w:tr w:rsidR="006400A8" w:rsidRPr="005A6862" w14:paraId="1CE3FC8D" w14:textId="77777777" w:rsidTr="006400A8">
        <w:tc>
          <w:tcPr>
            <w:cnfStyle w:val="001000000000" w:firstRow="0" w:lastRow="0" w:firstColumn="1" w:lastColumn="0" w:oddVBand="0" w:evenVBand="0" w:oddHBand="0" w:evenHBand="0" w:firstRowFirstColumn="0" w:firstRowLastColumn="0" w:lastRowFirstColumn="0" w:lastRowLastColumn="0"/>
            <w:tcW w:w="2380" w:type="dxa"/>
            <w:shd w:val="clear" w:color="auto" w:fill="F6C5AC" w:themeFill="accent2" w:themeFillTint="66"/>
          </w:tcPr>
          <w:p w14:paraId="666DE05D" w14:textId="43A5E19B" w:rsidR="006400A8" w:rsidRPr="005A6862" w:rsidRDefault="003B4593" w:rsidP="005A6862">
            <w:pPr>
              <w:spacing w:line="360" w:lineRule="auto"/>
              <w:rPr>
                <w:rFonts w:ascii="Times New Roman" w:hAnsi="Times New Roman" w:cs="Times New Roman"/>
                <w:b w:val="0"/>
                <w:bCs w:val="0"/>
                <w:color w:val="000000" w:themeColor="text1"/>
                <w:sz w:val="24"/>
              </w:rPr>
            </w:pPr>
            <w:r w:rsidRPr="005A6862">
              <w:rPr>
                <w:rFonts w:ascii="Times New Roman" w:hAnsi="Times New Roman" w:cs="Times New Roman"/>
                <w:b w:val="0"/>
                <w:bCs w:val="0"/>
                <w:color w:val="000000" w:themeColor="text1"/>
                <w:sz w:val="24"/>
              </w:rPr>
              <w:t>Procurement</w:t>
            </w:r>
          </w:p>
        </w:tc>
        <w:tc>
          <w:tcPr>
            <w:tcW w:w="5866" w:type="dxa"/>
            <w:shd w:val="clear" w:color="auto" w:fill="FAE2D5" w:themeFill="accent2" w:themeFillTint="33"/>
          </w:tcPr>
          <w:p w14:paraId="204547E6" w14:textId="27FAF1A2" w:rsidR="006400A8" w:rsidRPr="005A6862" w:rsidRDefault="003B4593" w:rsidP="005A686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It has been working with 291 suppliers to speed up their action and capabilities in climate, who generate about 42% of our Scope 3 GHG emissions in the areas of raw materials, ingredients, and packaging (Unilever, 2026d).</w:t>
            </w:r>
          </w:p>
        </w:tc>
      </w:tr>
    </w:tbl>
    <w:p w14:paraId="2936CBAC" w14:textId="6CDC1FD2" w:rsidR="00432896" w:rsidRPr="005A6862" w:rsidRDefault="003B4593" w:rsidP="005A6862">
      <w:p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lastRenderedPageBreak/>
        <w:t>It can be concluded that brand investment, innovation and supply chain efficiency are the main margin drivers of Unilever.</w:t>
      </w:r>
    </w:p>
    <w:p w14:paraId="309AE4D9" w14:textId="5EE439DF" w:rsidR="003B4593" w:rsidRPr="005A6862" w:rsidRDefault="003B4593" w:rsidP="005A6862">
      <w:pPr>
        <w:pStyle w:val="2"/>
        <w:rPr>
          <w:rFonts w:ascii="Times New Roman" w:hAnsi="Times New Roman" w:cs="Times New Roman"/>
          <w:sz w:val="24"/>
          <w:szCs w:val="24"/>
        </w:rPr>
      </w:pPr>
      <w:bookmarkStart w:id="7" w:name="_Toc224923917"/>
      <w:r w:rsidRPr="005A6862">
        <w:rPr>
          <w:rFonts w:ascii="Times New Roman" w:hAnsi="Times New Roman" w:cs="Times New Roman"/>
          <w:sz w:val="24"/>
          <w:szCs w:val="24"/>
        </w:rPr>
        <w:t>3.3 SWOT/TOWS Analysis</w:t>
      </w:r>
      <w:bookmarkEnd w:id="7"/>
    </w:p>
    <w:p w14:paraId="621D120D" w14:textId="308D719A" w:rsidR="003B4593" w:rsidRPr="005A6862" w:rsidRDefault="003B4593" w:rsidP="005A6862">
      <w:p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 xml:space="preserve">The </w:t>
      </w:r>
      <w:r w:rsidR="009F2296" w:rsidRPr="005A6862">
        <w:rPr>
          <w:rFonts w:ascii="Times New Roman" w:hAnsi="Times New Roman" w:cs="Times New Roman"/>
          <w:color w:val="000000" w:themeColor="text1"/>
          <w:sz w:val="24"/>
        </w:rPr>
        <w:t>following SWOT matrix summarizes Unilever’s strategic position:</w:t>
      </w:r>
    </w:p>
    <w:p w14:paraId="25DE0E55" w14:textId="41D14D75" w:rsidR="009F2296" w:rsidRPr="005A6862" w:rsidRDefault="009F2296" w:rsidP="005A6862">
      <w:p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SWOT Analysis of Unilever</w:t>
      </w:r>
    </w:p>
    <w:tbl>
      <w:tblPr>
        <w:tblStyle w:val="ae"/>
        <w:tblW w:w="0" w:type="auto"/>
        <w:tblLook w:val="04A0" w:firstRow="1" w:lastRow="0" w:firstColumn="1" w:lastColumn="0" w:noHBand="0" w:noVBand="1"/>
      </w:tblPr>
      <w:tblGrid>
        <w:gridCol w:w="4148"/>
        <w:gridCol w:w="4148"/>
      </w:tblGrid>
      <w:tr w:rsidR="009F2296" w:rsidRPr="005A6862" w14:paraId="63955697" w14:textId="77777777" w:rsidTr="009F2296">
        <w:tc>
          <w:tcPr>
            <w:tcW w:w="4148" w:type="dxa"/>
            <w:shd w:val="clear" w:color="auto" w:fill="C1E4F5" w:themeFill="accent1" w:themeFillTint="33"/>
          </w:tcPr>
          <w:p w14:paraId="7425666E" w14:textId="77777777" w:rsidR="009F2296" w:rsidRPr="005A6862" w:rsidRDefault="009F2296" w:rsidP="005A6862">
            <w:p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Strengths</w:t>
            </w:r>
          </w:p>
          <w:p w14:paraId="3EF13649" w14:textId="0FFD438E" w:rsidR="009F2296" w:rsidRPr="005A6862" w:rsidRDefault="009F2296" w:rsidP="005A6862">
            <w:pPr>
              <w:pStyle w:val="a9"/>
              <w:numPr>
                <w:ilvl w:val="0"/>
                <w:numId w:val="1"/>
              </w:num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€60.8bn turnover, more than 400 brands</w:t>
            </w:r>
          </w:p>
          <w:p w14:paraId="064D893F" w14:textId="77777777" w:rsidR="009F2296" w:rsidRPr="005A6862" w:rsidRDefault="009F2296" w:rsidP="005A6862">
            <w:pPr>
              <w:pStyle w:val="a9"/>
              <w:numPr>
                <w:ilvl w:val="0"/>
                <w:numId w:val="1"/>
              </w:num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 xml:space="preserve">30 power </w:t>
            </w:r>
            <w:proofErr w:type="gramStart"/>
            <w:r w:rsidRPr="005A6862">
              <w:rPr>
                <w:rFonts w:ascii="Times New Roman" w:hAnsi="Times New Roman" w:cs="Times New Roman"/>
                <w:color w:val="000000" w:themeColor="text1"/>
                <w:sz w:val="24"/>
              </w:rPr>
              <w:t>brand</w:t>
            </w:r>
            <w:proofErr w:type="gramEnd"/>
            <w:r w:rsidR="00C863EA" w:rsidRPr="005A6862">
              <w:rPr>
                <w:rFonts w:ascii="Times New Roman" w:hAnsi="Times New Roman" w:cs="Times New Roman"/>
                <w:color w:val="000000" w:themeColor="text1"/>
                <w:sz w:val="24"/>
              </w:rPr>
              <w:t>=</w:t>
            </w:r>
            <w:r w:rsidRPr="005A6862">
              <w:rPr>
                <w:rFonts w:ascii="Times New Roman" w:hAnsi="Times New Roman" w:cs="Times New Roman"/>
                <w:color w:val="000000" w:themeColor="text1"/>
                <w:sz w:val="24"/>
              </w:rPr>
              <w:t>75%</w:t>
            </w:r>
            <w:r w:rsidR="00C863EA" w:rsidRPr="005A6862">
              <w:rPr>
                <w:rFonts w:ascii="Times New Roman" w:hAnsi="Times New Roman" w:cs="Times New Roman"/>
                <w:color w:val="000000" w:themeColor="text1"/>
                <w:sz w:val="24"/>
              </w:rPr>
              <w:t xml:space="preserve"> turnover</w:t>
            </w:r>
          </w:p>
          <w:p w14:paraId="300D55F5" w14:textId="77777777" w:rsidR="00C863EA" w:rsidRPr="005A6862" w:rsidRDefault="00C863EA" w:rsidP="005A6862">
            <w:pPr>
              <w:pStyle w:val="a9"/>
              <w:numPr>
                <w:ilvl w:val="0"/>
                <w:numId w:val="1"/>
              </w:num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R&amp;D spend of €987m, over 5000 scientists</w:t>
            </w:r>
          </w:p>
          <w:p w14:paraId="01619392" w14:textId="4D7BF4A7" w:rsidR="00C863EA" w:rsidRPr="005A6862" w:rsidRDefault="00C863EA" w:rsidP="005A6862">
            <w:pPr>
              <w:pStyle w:val="a9"/>
              <w:numPr>
                <w:ilvl w:val="0"/>
                <w:numId w:val="1"/>
              </w:num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72% scope 1&amp;2 GHG cut since 2015</w:t>
            </w:r>
          </w:p>
        </w:tc>
        <w:tc>
          <w:tcPr>
            <w:tcW w:w="4148" w:type="dxa"/>
            <w:shd w:val="clear" w:color="auto" w:fill="FAE2D5" w:themeFill="accent2" w:themeFillTint="33"/>
          </w:tcPr>
          <w:p w14:paraId="7AD8D512" w14:textId="77777777" w:rsidR="009F2296" w:rsidRPr="005A6862" w:rsidRDefault="009F2296" w:rsidP="005A6862">
            <w:p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Weaknesses</w:t>
            </w:r>
          </w:p>
          <w:p w14:paraId="2A209393" w14:textId="77777777" w:rsidR="00C863EA" w:rsidRPr="005A6862" w:rsidRDefault="00C863EA" w:rsidP="005A6862">
            <w:pPr>
              <w:pStyle w:val="a9"/>
              <w:numPr>
                <w:ilvl w:val="0"/>
                <w:numId w:val="2"/>
              </w:num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Reliance on commodity prices</w:t>
            </w:r>
          </w:p>
          <w:p w14:paraId="178AF2F0" w14:textId="77777777" w:rsidR="00C863EA" w:rsidRPr="005A6862" w:rsidRDefault="00C863EA" w:rsidP="005A6862">
            <w:pPr>
              <w:pStyle w:val="a9"/>
              <w:numPr>
                <w:ilvl w:val="0"/>
                <w:numId w:val="2"/>
              </w:num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Private label pressure in Europe</w:t>
            </w:r>
          </w:p>
          <w:p w14:paraId="6001A1EF" w14:textId="77777777" w:rsidR="00C863EA" w:rsidRPr="005A6862" w:rsidRDefault="00C863EA" w:rsidP="005A6862">
            <w:pPr>
              <w:pStyle w:val="a9"/>
              <w:numPr>
                <w:ilvl w:val="0"/>
                <w:numId w:val="2"/>
              </w:num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Geopolitical brand boycotts</w:t>
            </w:r>
          </w:p>
          <w:p w14:paraId="1766F36D" w14:textId="4EBD617B" w:rsidR="00C863EA" w:rsidRPr="005A6862" w:rsidRDefault="00C863EA" w:rsidP="005A6862">
            <w:pPr>
              <w:pStyle w:val="a9"/>
              <w:numPr>
                <w:ilvl w:val="0"/>
                <w:numId w:val="2"/>
              </w:num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Scaled back ESG pledges (Mirza, 2024)</w:t>
            </w:r>
          </w:p>
        </w:tc>
      </w:tr>
      <w:tr w:rsidR="009F2296" w:rsidRPr="005A6862" w14:paraId="1078D3C4" w14:textId="77777777" w:rsidTr="009F2296">
        <w:tc>
          <w:tcPr>
            <w:tcW w:w="4148" w:type="dxa"/>
            <w:shd w:val="clear" w:color="auto" w:fill="C1F0C7" w:themeFill="accent3" w:themeFillTint="33"/>
          </w:tcPr>
          <w:p w14:paraId="1DEC26CD" w14:textId="77777777" w:rsidR="009F2296" w:rsidRPr="005A6862" w:rsidRDefault="009F2296" w:rsidP="005A6862">
            <w:p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Opportunities</w:t>
            </w:r>
          </w:p>
          <w:p w14:paraId="0AC954CE" w14:textId="77777777" w:rsidR="00C863EA" w:rsidRPr="005A6862" w:rsidRDefault="00C863EA" w:rsidP="005A6862">
            <w:pPr>
              <w:pStyle w:val="a9"/>
              <w:numPr>
                <w:ilvl w:val="0"/>
                <w:numId w:val="3"/>
              </w:num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Emerging markets growth</w:t>
            </w:r>
          </w:p>
          <w:p w14:paraId="4FEA09F0" w14:textId="77777777" w:rsidR="00C863EA" w:rsidRPr="005A6862" w:rsidRDefault="00C863EA" w:rsidP="005A6862">
            <w:pPr>
              <w:pStyle w:val="a9"/>
              <w:numPr>
                <w:ilvl w:val="0"/>
                <w:numId w:val="3"/>
              </w:num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Digital/e-commerce channels</w:t>
            </w:r>
          </w:p>
          <w:p w14:paraId="2532502D" w14:textId="77777777" w:rsidR="00C863EA" w:rsidRPr="005A6862" w:rsidRDefault="00C863EA" w:rsidP="005A6862">
            <w:pPr>
              <w:pStyle w:val="a9"/>
              <w:numPr>
                <w:ilvl w:val="0"/>
                <w:numId w:val="3"/>
              </w:numPr>
              <w:spacing w:line="360" w:lineRule="auto"/>
              <w:rPr>
                <w:rFonts w:ascii="Times New Roman" w:hAnsi="Times New Roman" w:cs="Times New Roman"/>
                <w:color w:val="000000" w:themeColor="text1"/>
                <w:sz w:val="24"/>
              </w:rPr>
            </w:pPr>
            <w:proofErr w:type="spellStart"/>
            <w:r w:rsidRPr="005A6862">
              <w:rPr>
                <w:rFonts w:ascii="Times New Roman" w:hAnsi="Times New Roman" w:cs="Times New Roman"/>
                <w:color w:val="000000" w:themeColor="text1"/>
                <w:sz w:val="24"/>
              </w:rPr>
              <w:t>Premiumisation</w:t>
            </w:r>
            <w:proofErr w:type="spellEnd"/>
            <w:r w:rsidRPr="005A6862">
              <w:rPr>
                <w:rFonts w:ascii="Times New Roman" w:hAnsi="Times New Roman" w:cs="Times New Roman"/>
                <w:color w:val="000000" w:themeColor="text1"/>
                <w:sz w:val="24"/>
              </w:rPr>
              <w:t xml:space="preserve"> via acquisitions</w:t>
            </w:r>
          </w:p>
          <w:p w14:paraId="7327DAD2" w14:textId="2D778B23" w:rsidR="00C863EA" w:rsidRPr="005A6862" w:rsidRDefault="00C863EA" w:rsidP="005A6862">
            <w:pPr>
              <w:pStyle w:val="a9"/>
              <w:numPr>
                <w:ilvl w:val="0"/>
                <w:numId w:val="3"/>
              </w:num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Regenerative agriculture supply chain</w:t>
            </w:r>
          </w:p>
        </w:tc>
        <w:tc>
          <w:tcPr>
            <w:tcW w:w="4148" w:type="dxa"/>
            <w:shd w:val="clear" w:color="auto" w:fill="F2CEED" w:themeFill="accent5" w:themeFillTint="33"/>
          </w:tcPr>
          <w:p w14:paraId="48E29E37" w14:textId="77777777" w:rsidR="009F2296" w:rsidRPr="005A6862" w:rsidRDefault="009F2296" w:rsidP="005A6862">
            <w:p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Threats</w:t>
            </w:r>
          </w:p>
          <w:p w14:paraId="5E84751D" w14:textId="77777777" w:rsidR="00C863EA" w:rsidRPr="005A6862" w:rsidRDefault="00C863EA" w:rsidP="005A6862">
            <w:pPr>
              <w:pStyle w:val="a9"/>
              <w:numPr>
                <w:ilvl w:val="0"/>
                <w:numId w:val="4"/>
              </w:num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P&amp;G, Nestle’s, PepsiCo rivalry</w:t>
            </w:r>
          </w:p>
          <w:p w14:paraId="5FF9A416" w14:textId="77777777" w:rsidR="00C863EA" w:rsidRPr="005A6862" w:rsidRDefault="00C863EA" w:rsidP="005A6862">
            <w:pPr>
              <w:pStyle w:val="a9"/>
              <w:numPr>
                <w:ilvl w:val="0"/>
                <w:numId w:val="4"/>
              </w:num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Currency volatility</w:t>
            </w:r>
          </w:p>
          <w:p w14:paraId="2B69991C" w14:textId="77777777" w:rsidR="00C863EA" w:rsidRPr="005A6862" w:rsidRDefault="00C863EA" w:rsidP="005A6862">
            <w:pPr>
              <w:pStyle w:val="a9"/>
              <w:numPr>
                <w:ilvl w:val="0"/>
                <w:numId w:val="4"/>
              </w:num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Tightening EU ESG regulation</w:t>
            </w:r>
          </w:p>
          <w:p w14:paraId="5B02AB77" w14:textId="7EF00A8C" w:rsidR="00C863EA" w:rsidRPr="005A6862" w:rsidRDefault="00C863EA" w:rsidP="005A6862">
            <w:pPr>
              <w:pStyle w:val="a9"/>
              <w:numPr>
                <w:ilvl w:val="0"/>
                <w:numId w:val="4"/>
              </w:num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 xml:space="preserve">Consumer </w:t>
            </w:r>
            <w:proofErr w:type="spellStart"/>
            <w:r w:rsidRPr="005A6862">
              <w:rPr>
                <w:rFonts w:ascii="Times New Roman" w:hAnsi="Times New Roman" w:cs="Times New Roman"/>
                <w:color w:val="000000" w:themeColor="text1"/>
                <w:sz w:val="24"/>
              </w:rPr>
              <w:t>behavioural</w:t>
            </w:r>
            <w:proofErr w:type="spellEnd"/>
            <w:r w:rsidRPr="005A6862">
              <w:rPr>
                <w:rFonts w:ascii="Times New Roman" w:hAnsi="Times New Roman" w:cs="Times New Roman"/>
                <w:color w:val="000000" w:themeColor="text1"/>
                <w:sz w:val="24"/>
              </w:rPr>
              <w:t xml:space="preserve"> shifts</w:t>
            </w:r>
          </w:p>
        </w:tc>
      </w:tr>
    </w:tbl>
    <w:p w14:paraId="2064D38B" w14:textId="77777777" w:rsidR="009F2296" w:rsidRPr="005A6862" w:rsidRDefault="009F2296" w:rsidP="005A6862">
      <w:pPr>
        <w:spacing w:line="360" w:lineRule="auto"/>
        <w:rPr>
          <w:rFonts w:ascii="Times New Roman" w:hAnsi="Times New Roman" w:cs="Times New Roman"/>
          <w:color w:val="000000" w:themeColor="text1"/>
          <w:sz w:val="24"/>
        </w:rPr>
      </w:pPr>
    </w:p>
    <w:p w14:paraId="2B7F4D8D" w14:textId="2946501E" w:rsidR="00431083" w:rsidRPr="005A6862" w:rsidRDefault="00431083" w:rsidP="005A6862">
      <w:pPr>
        <w:pStyle w:val="1"/>
        <w:rPr>
          <w:rFonts w:ascii="Times New Roman" w:hAnsi="Times New Roman" w:cs="Times New Roman"/>
          <w:sz w:val="24"/>
          <w:szCs w:val="24"/>
        </w:rPr>
      </w:pPr>
      <w:bookmarkStart w:id="8" w:name="_Toc224923918"/>
      <w:r w:rsidRPr="005A6862">
        <w:rPr>
          <w:rFonts w:ascii="Times New Roman" w:hAnsi="Times New Roman" w:cs="Times New Roman"/>
          <w:sz w:val="24"/>
          <w:szCs w:val="24"/>
        </w:rPr>
        <w:t>4. Strategy Formulation &amp; Competitive Positioning</w:t>
      </w:r>
      <w:bookmarkEnd w:id="8"/>
    </w:p>
    <w:p w14:paraId="00F6B870" w14:textId="6E39C250" w:rsidR="00431083" w:rsidRPr="005A6862" w:rsidRDefault="00431083" w:rsidP="005A6862">
      <w:pPr>
        <w:pStyle w:val="2"/>
        <w:rPr>
          <w:rFonts w:ascii="Times New Roman" w:hAnsi="Times New Roman" w:cs="Times New Roman"/>
          <w:sz w:val="24"/>
          <w:szCs w:val="24"/>
        </w:rPr>
      </w:pPr>
      <w:bookmarkStart w:id="9" w:name="_Toc224923919"/>
      <w:r w:rsidRPr="005A6862">
        <w:rPr>
          <w:rFonts w:ascii="Times New Roman" w:hAnsi="Times New Roman" w:cs="Times New Roman"/>
          <w:sz w:val="24"/>
          <w:szCs w:val="24"/>
        </w:rPr>
        <w:t>4.1 Bowman Strategy Clock</w:t>
      </w:r>
      <w:bookmarkEnd w:id="9"/>
    </w:p>
    <w:p w14:paraId="132D2168" w14:textId="4736E984" w:rsidR="00431083" w:rsidRPr="005A6862" w:rsidRDefault="00431083" w:rsidP="005A6862">
      <w:p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 xml:space="preserve">Applying the Bowman Strategy Clock (Eyvrigh, 2016), Unilever is in position 4, which is differentiation; the company focuses on the perceived product value rather than on low prices (Figure 1). This is </w:t>
      </w:r>
      <w:proofErr w:type="gramStart"/>
      <w:r w:rsidRPr="005A6862">
        <w:rPr>
          <w:rFonts w:ascii="Times New Roman" w:hAnsi="Times New Roman" w:cs="Times New Roman"/>
          <w:color w:val="000000" w:themeColor="text1"/>
          <w:sz w:val="24"/>
        </w:rPr>
        <w:t>similar to</w:t>
      </w:r>
      <w:proofErr w:type="gramEnd"/>
      <w:r w:rsidRPr="005A6862">
        <w:rPr>
          <w:rFonts w:ascii="Times New Roman" w:hAnsi="Times New Roman" w:cs="Times New Roman"/>
          <w:color w:val="000000" w:themeColor="text1"/>
          <w:sz w:val="24"/>
        </w:rPr>
        <w:t xml:space="preserve"> the purchase of K18 and Minimalist in the high-end haircare and skincare product lines (Unilever, 2025c). It strengthens Beauty &amp; Wellbeing as the fastest-growing business unit. But in the case of emerging </w:t>
      </w:r>
      <w:r w:rsidRPr="005A6862">
        <w:rPr>
          <w:rFonts w:ascii="Times New Roman" w:hAnsi="Times New Roman" w:cs="Times New Roman"/>
          <w:color w:val="000000" w:themeColor="text1"/>
          <w:sz w:val="24"/>
        </w:rPr>
        <w:lastRenderedPageBreak/>
        <w:t>markets, some aspects of a hybrid strategy arise. Unilever differentiates its pricing and pack size to target low-income earners without losing brand differentiation (Reza, 2020). This dynamic positioning is in line with the findings by Alnoor et al. (2023) that heterogeneous global markets can maintain a competitive advantage using hybrid strategies.</w:t>
      </w:r>
    </w:p>
    <w:p w14:paraId="1921CA84" w14:textId="5D29A084" w:rsidR="00431083" w:rsidRPr="005A6862" w:rsidRDefault="00431083" w:rsidP="005A6862">
      <w:pPr>
        <w:spacing w:line="360" w:lineRule="auto"/>
        <w:rPr>
          <w:rFonts w:ascii="Times New Roman" w:hAnsi="Times New Roman" w:cs="Times New Roman"/>
          <w:b/>
          <w:bCs/>
          <w:color w:val="000000" w:themeColor="text1"/>
          <w:sz w:val="24"/>
        </w:rPr>
      </w:pPr>
      <w:r w:rsidRPr="005A6862">
        <w:rPr>
          <w:rFonts w:ascii="Times New Roman" w:hAnsi="Times New Roman" w:cs="Times New Roman"/>
          <w:b/>
          <w:bCs/>
          <w:color w:val="000000" w:themeColor="text1"/>
          <w:sz w:val="24"/>
        </w:rPr>
        <w:t>Figure 1: Bowman Strategy Clock Analysis of Unilever</w:t>
      </w:r>
    </w:p>
    <w:p w14:paraId="122712FA" w14:textId="76CF2A68" w:rsidR="00431083" w:rsidRPr="005A6862" w:rsidRDefault="00431083" w:rsidP="005A6862">
      <w:pPr>
        <w:spacing w:line="360" w:lineRule="auto"/>
        <w:rPr>
          <w:rFonts w:ascii="Times New Roman" w:hAnsi="Times New Roman" w:cs="Times New Roman"/>
          <w:color w:val="000000" w:themeColor="text1"/>
          <w:sz w:val="24"/>
        </w:rPr>
      </w:pPr>
      <w:r w:rsidRPr="005A6862">
        <w:rPr>
          <w:rFonts w:ascii="Times New Roman" w:hAnsi="Times New Roman" w:cs="Times New Roman"/>
          <w:noProof/>
          <w:color w:val="000000" w:themeColor="text1"/>
          <w:sz w:val="24"/>
        </w:rPr>
        <w:drawing>
          <wp:inline distT="0" distB="0" distL="0" distR="0" wp14:anchorId="049AC9FA" wp14:editId="18441F90">
            <wp:extent cx="5274310" cy="2948305"/>
            <wp:effectExtent l="0" t="0" r="0" b="0"/>
            <wp:docPr id="75340665" name="图片 1" descr="图示&#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40665" name="图片 1" descr="图示&#10;&#10;AI 生成的内容可能不正确。"/>
                    <pic:cNvPicPr/>
                  </pic:nvPicPr>
                  <pic:blipFill>
                    <a:blip r:embed="rId7" cstate="print">
                      <a:extLst>
                        <a:ext uri="{28A0092B-C50C-407E-A947-70E740481C1C}">
                          <a14:useLocalDpi xmlns:a14="http://schemas.microsoft.com/office/drawing/2010/main" val="0"/>
                        </a:ext>
                      </a:extLst>
                    </a:blip>
                    <a:stretch>
                      <a:fillRect/>
                    </a:stretch>
                  </pic:blipFill>
                  <pic:spPr>
                    <a:xfrm>
                      <a:off x="0" y="0"/>
                      <a:ext cx="5274310" cy="2948305"/>
                    </a:xfrm>
                    <a:prstGeom prst="rect">
                      <a:avLst/>
                    </a:prstGeom>
                  </pic:spPr>
                </pic:pic>
              </a:graphicData>
            </a:graphic>
          </wp:inline>
        </w:drawing>
      </w:r>
    </w:p>
    <w:p w14:paraId="788B6F92" w14:textId="1C8779C3" w:rsidR="00431083" w:rsidRPr="005A6862" w:rsidRDefault="004C2A7C" w:rsidP="005A6862">
      <w:pPr>
        <w:pStyle w:val="2"/>
        <w:rPr>
          <w:rFonts w:ascii="Times New Roman" w:hAnsi="Times New Roman" w:cs="Times New Roman"/>
          <w:sz w:val="24"/>
          <w:szCs w:val="24"/>
        </w:rPr>
      </w:pPr>
      <w:bookmarkStart w:id="10" w:name="_Toc224923920"/>
      <w:r w:rsidRPr="005A6862">
        <w:rPr>
          <w:rFonts w:ascii="Times New Roman" w:hAnsi="Times New Roman" w:cs="Times New Roman"/>
          <w:sz w:val="24"/>
          <w:szCs w:val="24"/>
        </w:rPr>
        <w:t>4.2 Ansoff’s Matrix</w:t>
      </w:r>
      <w:bookmarkEnd w:id="10"/>
    </w:p>
    <w:p w14:paraId="203CC295" w14:textId="78BFDCB3" w:rsidR="004C2A7C" w:rsidRPr="005A6862" w:rsidRDefault="004C2A7C" w:rsidP="005A6862">
      <w:pPr>
        <w:spacing w:line="360" w:lineRule="auto"/>
        <w:rPr>
          <w:rFonts w:ascii="Times New Roman" w:hAnsi="Times New Roman" w:cs="Times New Roman"/>
          <w:b/>
          <w:bCs/>
          <w:color w:val="000000" w:themeColor="text1"/>
          <w:sz w:val="24"/>
        </w:rPr>
      </w:pPr>
      <w:r w:rsidRPr="005A6862">
        <w:rPr>
          <w:rFonts w:ascii="Times New Roman" w:hAnsi="Times New Roman" w:cs="Times New Roman"/>
          <w:b/>
          <w:bCs/>
          <w:color w:val="000000" w:themeColor="text1"/>
          <w:sz w:val="24"/>
        </w:rPr>
        <w:t>Market Penetration:</w:t>
      </w:r>
      <w:r w:rsidR="005A6862" w:rsidRPr="005A6862">
        <w:rPr>
          <w:rFonts w:ascii="Times New Roman" w:hAnsi="Times New Roman" w:cs="Times New Roman"/>
          <w:b/>
          <w:bCs/>
          <w:color w:val="000000" w:themeColor="text1"/>
          <w:sz w:val="24"/>
        </w:rPr>
        <w:t xml:space="preserve"> </w:t>
      </w:r>
      <w:r w:rsidRPr="005A6862">
        <w:rPr>
          <w:rFonts w:ascii="Times New Roman" w:hAnsi="Times New Roman" w:cs="Times New Roman"/>
          <w:color w:val="000000" w:themeColor="text1"/>
          <w:sz w:val="24"/>
        </w:rPr>
        <w:t xml:space="preserve">The Unilever 30 Power Brands strategy, where the company focused its resources on its leading brands </w:t>
      </w:r>
      <w:proofErr w:type="gramStart"/>
      <w:r w:rsidRPr="005A6862">
        <w:rPr>
          <w:rFonts w:ascii="Times New Roman" w:hAnsi="Times New Roman" w:cs="Times New Roman"/>
          <w:color w:val="000000" w:themeColor="text1"/>
          <w:sz w:val="24"/>
        </w:rPr>
        <w:t>in an attempt to</w:t>
      </w:r>
      <w:proofErr w:type="gramEnd"/>
      <w:r w:rsidRPr="005A6862">
        <w:rPr>
          <w:rFonts w:ascii="Times New Roman" w:hAnsi="Times New Roman" w:cs="Times New Roman"/>
          <w:color w:val="000000" w:themeColor="text1"/>
          <w:sz w:val="24"/>
        </w:rPr>
        <w:t xml:space="preserve"> increase share in the existing markets, is a classical market penetration strategy. Power Brands have become over 75% Group turnover (Unilever, 2025d) and, with more focus on both activation and distribution, they have enhanced their competitive advantages.</w:t>
      </w:r>
    </w:p>
    <w:p w14:paraId="15D84653" w14:textId="795F52A5" w:rsidR="004C2A7C" w:rsidRPr="005A6862" w:rsidRDefault="004C2A7C" w:rsidP="005A6862">
      <w:pPr>
        <w:spacing w:line="360" w:lineRule="auto"/>
        <w:rPr>
          <w:rFonts w:ascii="Times New Roman" w:hAnsi="Times New Roman" w:cs="Times New Roman"/>
          <w:b/>
          <w:bCs/>
          <w:color w:val="000000" w:themeColor="text1"/>
          <w:sz w:val="24"/>
        </w:rPr>
      </w:pPr>
      <w:r w:rsidRPr="005A6862">
        <w:rPr>
          <w:rFonts w:ascii="Times New Roman" w:hAnsi="Times New Roman" w:cs="Times New Roman"/>
          <w:b/>
          <w:bCs/>
          <w:color w:val="000000" w:themeColor="text1"/>
          <w:sz w:val="24"/>
        </w:rPr>
        <w:t>Product Development:</w:t>
      </w:r>
      <w:r w:rsidR="005A6862" w:rsidRPr="005A6862">
        <w:rPr>
          <w:rFonts w:ascii="Times New Roman" w:hAnsi="Times New Roman" w:cs="Times New Roman"/>
          <w:b/>
          <w:bCs/>
          <w:color w:val="000000" w:themeColor="text1"/>
          <w:sz w:val="24"/>
        </w:rPr>
        <w:t xml:space="preserve"> </w:t>
      </w:r>
      <w:r w:rsidRPr="005A6862">
        <w:rPr>
          <w:rFonts w:ascii="Times New Roman" w:hAnsi="Times New Roman" w:cs="Times New Roman"/>
          <w:color w:val="000000" w:themeColor="text1"/>
          <w:sz w:val="24"/>
        </w:rPr>
        <w:t>Its investments of €987 million in R&amp;D are multi-year, scalable innovations in the fields of biotechnology, microbiome, and sustainable formulations, and new products for the existing consumers.</w:t>
      </w:r>
    </w:p>
    <w:p w14:paraId="3C1AD1F8" w14:textId="6823AF73" w:rsidR="004C2A7C" w:rsidRPr="005A6862" w:rsidRDefault="004C2A7C" w:rsidP="005A6862">
      <w:pPr>
        <w:spacing w:line="360" w:lineRule="auto"/>
        <w:rPr>
          <w:rFonts w:ascii="Times New Roman" w:hAnsi="Times New Roman" w:cs="Times New Roman"/>
          <w:b/>
          <w:bCs/>
          <w:color w:val="000000" w:themeColor="text1"/>
          <w:sz w:val="24"/>
        </w:rPr>
      </w:pPr>
      <w:r w:rsidRPr="005A6862">
        <w:rPr>
          <w:rFonts w:ascii="Times New Roman" w:hAnsi="Times New Roman" w:cs="Times New Roman"/>
          <w:b/>
          <w:bCs/>
          <w:color w:val="000000" w:themeColor="text1"/>
          <w:sz w:val="24"/>
        </w:rPr>
        <w:t>Market Development:</w:t>
      </w:r>
      <w:r w:rsidR="005A6862" w:rsidRPr="005A6862">
        <w:rPr>
          <w:rFonts w:ascii="Times New Roman" w:hAnsi="Times New Roman" w:cs="Times New Roman"/>
          <w:b/>
          <w:bCs/>
          <w:color w:val="000000" w:themeColor="text1"/>
          <w:sz w:val="24"/>
        </w:rPr>
        <w:t xml:space="preserve"> </w:t>
      </w:r>
      <w:r w:rsidRPr="005A6862">
        <w:rPr>
          <w:rFonts w:ascii="Times New Roman" w:hAnsi="Times New Roman" w:cs="Times New Roman"/>
          <w:color w:val="000000" w:themeColor="text1"/>
          <w:sz w:val="24"/>
        </w:rPr>
        <w:t xml:space="preserve">The 24 top markets approach, representing about 85 of the </w:t>
      </w:r>
      <w:proofErr w:type="gramStart"/>
      <w:r w:rsidRPr="005A6862">
        <w:rPr>
          <w:rFonts w:ascii="Times New Roman" w:hAnsi="Times New Roman" w:cs="Times New Roman"/>
          <w:color w:val="000000" w:themeColor="text1"/>
          <w:sz w:val="24"/>
        </w:rPr>
        <w:t>turnover</w:t>
      </w:r>
      <w:proofErr w:type="gramEnd"/>
      <w:r w:rsidRPr="005A6862">
        <w:rPr>
          <w:rFonts w:ascii="Times New Roman" w:hAnsi="Times New Roman" w:cs="Times New Roman"/>
          <w:color w:val="000000" w:themeColor="text1"/>
          <w:sz w:val="24"/>
        </w:rPr>
        <w:t xml:space="preserve">, is the strategy by which Unilever concentrates resources on further geographic expansion and penetration of high-growth emerging markets, including </w:t>
      </w:r>
      <w:r w:rsidRPr="005A6862">
        <w:rPr>
          <w:rFonts w:ascii="Times New Roman" w:hAnsi="Times New Roman" w:cs="Times New Roman"/>
          <w:color w:val="000000" w:themeColor="text1"/>
          <w:sz w:val="24"/>
        </w:rPr>
        <w:lastRenderedPageBreak/>
        <w:t>India, Vietnam, and Bangladesh (Unilever, 2025d).</w:t>
      </w:r>
    </w:p>
    <w:p w14:paraId="672AEE46" w14:textId="1B2AD2C5" w:rsidR="004C2A7C" w:rsidRPr="005A6862" w:rsidRDefault="004C2A7C" w:rsidP="005A6862">
      <w:pPr>
        <w:spacing w:line="360" w:lineRule="auto"/>
        <w:rPr>
          <w:rFonts w:ascii="Times New Roman" w:hAnsi="Times New Roman" w:cs="Times New Roman"/>
          <w:b/>
          <w:bCs/>
          <w:color w:val="000000" w:themeColor="text1"/>
          <w:sz w:val="24"/>
        </w:rPr>
      </w:pPr>
      <w:r w:rsidRPr="005A6862">
        <w:rPr>
          <w:rFonts w:ascii="Times New Roman" w:hAnsi="Times New Roman" w:cs="Times New Roman"/>
          <w:b/>
          <w:bCs/>
          <w:color w:val="000000" w:themeColor="text1"/>
          <w:sz w:val="24"/>
        </w:rPr>
        <w:t>Diversification:</w:t>
      </w:r>
      <w:r w:rsidR="005A6862" w:rsidRPr="005A6862">
        <w:rPr>
          <w:rFonts w:ascii="Times New Roman" w:hAnsi="Times New Roman" w:cs="Times New Roman"/>
          <w:b/>
          <w:bCs/>
          <w:color w:val="000000" w:themeColor="text1"/>
          <w:sz w:val="24"/>
        </w:rPr>
        <w:t xml:space="preserve"> </w:t>
      </w:r>
      <w:r w:rsidRPr="005A6862">
        <w:rPr>
          <w:rFonts w:ascii="Times New Roman" w:hAnsi="Times New Roman" w:cs="Times New Roman"/>
          <w:color w:val="000000" w:themeColor="text1"/>
          <w:sz w:val="24"/>
        </w:rPr>
        <w:t xml:space="preserve">The split </w:t>
      </w:r>
      <w:proofErr w:type="gramStart"/>
      <w:r w:rsidRPr="005A6862">
        <w:rPr>
          <w:rFonts w:ascii="Times New Roman" w:hAnsi="Times New Roman" w:cs="Times New Roman"/>
          <w:color w:val="000000" w:themeColor="text1"/>
          <w:sz w:val="24"/>
        </w:rPr>
        <w:t>off of</w:t>
      </w:r>
      <w:proofErr w:type="gramEnd"/>
      <w:r w:rsidRPr="005A6862">
        <w:rPr>
          <w:rFonts w:ascii="Times New Roman" w:hAnsi="Times New Roman" w:cs="Times New Roman"/>
          <w:color w:val="000000" w:themeColor="text1"/>
          <w:sz w:val="24"/>
        </w:rPr>
        <w:t xml:space="preserve"> the Ice Cream business, to occur in 2025, is considered a strategic divestiture, but not diversification and is part of the portfolio rationalization to focus on higher growth categories. Examples of previous acquisitions of K18 demonstrate that M&amp;A is a tool of market development and product development, and selective acquisitions promote penetration (Jansen, 2023).</w:t>
      </w:r>
    </w:p>
    <w:p w14:paraId="13F7AB84" w14:textId="2773726E" w:rsidR="004C2A7C" w:rsidRPr="005A6862" w:rsidRDefault="004C2A7C" w:rsidP="005A6862">
      <w:pPr>
        <w:pStyle w:val="1"/>
        <w:rPr>
          <w:rFonts w:ascii="Times New Roman" w:hAnsi="Times New Roman" w:cs="Times New Roman"/>
          <w:sz w:val="24"/>
          <w:szCs w:val="24"/>
        </w:rPr>
      </w:pPr>
      <w:bookmarkStart w:id="11" w:name="_Toc224923921"/>
      <w:r w:rsidRPr="005A6862">
        <w:rPr>
          <w:rFonts w:ascii="Times New Roman" w:hAnsi="Times New Roman" w:cs="Times New Roman"/>
          <w:sz w:val="24"/>
          <w:szCs w:val="24"/>
        </w:rPr>
        <w:t>5. Sustainability &amp; Strategic Recommendations</w:t>
      </w:r>
      <w:bookmarkEnd w:id="11"/>
    </w:p>
    <w:p w14:paraId="5E69D7B6" w14:textId="42D4D84A" w:rsidR="004C2A7C" w:rsidRPr="005A6862" w:rsidRDefault="004C2A7C" w:rsidP="005A6862">
      <w:p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 xml:space="preserve">Unilever has incorporated sustainability in its GAP 2030 in four priorities, namely Climate, Nature, Plastics, and Livelihoods. By 2030, the company seeks to have eliminated Scope 1 and 2 emissions by 100 per cent, and it has signed the Climate Transition Action Plan backed by 97.5 per cent of shareholders in the 2024 AGM (Unilever, 2024b). Plastic development has been less steady: Unilever is at 23 per cent of virgin plastic reduction versus a 2019 base, short of its 30 per cent target by 2026 and has been criticized to backtrack on previous ESG-related pledging to investors (Unilever, 2026c). In 2024, 85 per cent of the electricity consumed in operations was renewable, and 2.58 million SMEs were enabled </w:t>
      </w:r>
      <w:proofErr w:type="gramStart"/>
      <w:r w:rsidRPr="005A6862">
        <w:rPr>
          <w:rFonts w:ascii="Times New Roman" w:hAnsi="Times New Roman" w:cs="Times New Roman"/>
          <w:color w:val="000000" w:themeColor="text1"/>
          <w:sz w:val="24"/>
        </w:rPr>
        <w:t>by the use of</w:t>
      </w:r>
      <w:proofErr w:type="gramEnd"/>
      <w:r w:rsidRPr="005A6862">
        <w:rPr>
          <w:rFonts w:ascii="Times New Roman" w:hAnsi="Times New Roman" w:cs="Times New Roman"/>
          <w:color w:val="000000" w:themeColor="text1"/>
          <w:sz w:val="24"/>
        </w:rPr>
        <w:t xml:space="preserve"> digital platforms (Unilever, 2024b). Nevertheless, a Greenpeace 2023 report pointed to a lack of progress regarding the elimination of single-use plastic, which shows a lack of commitment gap between intention and action (Greenpeace, 2023).</w:t>
      </w:r>
    </w:p>
    <w:p w14:paraId="46B9BFBD" w14:textId="30FCF0FD" w:rsidR="004C2A7C" w:rsidRPr="005A6862" w:rsidRDefault="004C2A7C" w:rsidP="005A6862">
      <w:pPr>
        <w:spacing w:line="360" w:lineRule="auto"/>
        <w:rPr>
          <w:rFonts w:ascii="Times New Roman" w:hAnsi="Times New Roman" w:cs="Times New Roman"/>
          <w:b/>
          <w:bCs/>
          <w:color w:val="000000" w:themeColor="text1"/>
          <w:sz w:val="24"/>
        </w:rPr>
      </w:pPr>
      <w:r w:rsidRPr="005A6862">
        <w:rPr>
          <w:rFonts w:ascii="Times New Roman" w:hAnsi="Times New Roman" w:cs="Times New Roman"/>
          <w:b/>
          <w:bCs/>
          <w:color w:val="000000" w:themeColor="text1"/>
          <w:sz w:val="24"/>
        </w:rPr>
        <w:t>Recommendations:</w:t>
      </w:r>
    </w:p>
    <w:p w14:paraId="08BCE115" w14:textId="77777777" w:rsidR="000B4028" w:rsidRPr="005A6862" w:rsidRDefault="000B4028" w:rsidP="005A6862">
      <w:pPr>
        <w:spacing w:line="360" w:lineRule="auto"/>
        <w:rPr>
          <w:rFonts w:ascii="Times New Roman" w:hAnsi="Times New Roman" w:cs="Times New Roman"/>
          <w:b/>
          <w:bCs/>
          <w:color w:val="000000" w:themeColor="text1"/>
          <w:sz w:val="24"/>
        </w:rPr>
      </w:pPr>
      <w:r w:rsidRPr="005A6862">
        <w:rPr>
          <w:rFonts w:ascii="Times New Roman" w:hAnsi="Times New Roman" w:cs="Times New Roman"/>
          <w:b/>
          <w:bCs/>
          <w:color w:val="000000" w:themeColor="text1"/>
          <w:sz w:val="24"/>
        </w:rPr>
        <w:t xml:space="preserve">1. Accelerate </w:t>
      </w:r>
      <w:proofErr w:type="spellStart"/>
      <w:r w:rsidRPr="005A6862">
        <w:rPr>
          <w:rFonts w:ascii="Times New Roman" w:hAnsi="Times New Roman" w:cs="Times New Roman"/>
          <w:b/>
          <w:bCs/>
          <w:color w:val="000000" w:themeColor="text1"/>
          <w:sz w:val="24"/>
        </w:rPr>
        <w:t>Premiumisation</w:t>
      </w:r>
      <w:proofErr w:type="spellEnd"/>
      <w:r w:rsidRPr="005A6862">
        <w:rPr>
          <w:rFonts w:ascii="Times New Roman" w:hAnsi="Times New Roman" w:cs="Times New Roman"/>
          <w:b/>
          <w:bCs/>
          <w:color w:val="000000" w:themeColor="text1"/>
          <w:sz w:val="24"/>
        </w:rPr>
        <w:t xml:space="preserve"> in the Emerging Markets through Selective M&amp;A.</w:t>
      </w:r>
    </w:p>
    <w:p w14:paraId="51139B20" w14:textId="77777777" w:rsidR="000B4028" w:rsidRPr="005A6862" w:rsidRDefault="000B4028" w:rsidP="005A6862">
      <w:p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Unilever must buy the high-quality health, wellness, and beauty brands in high-growth markets (India, Vietnam, Sub-Saharan Africa), which is the same playbook as K18/Minimalist. The 58% turnover with better USG is represented by emerging markets. The high-end segments provide a better margin and help lower the exposure to the private-label and maintain the competitive advantage.</w:t>
      </w:r>
    </w:p>
    <w:p w14:paraId="7832F2D0" w14:textId="77777777" w:rsidR="000B4028" w:rsidRPr="005A6862" w:rsidRDefault="000B4028" w:rsidP="005A6862">
      <w:pPr>
        <w:spacing w:line="360" w:lineRule="auto"/>
        <w:rPr>
          <w:rFonts w:ascii="Times New Roman" w:hAnsi="Times New Roman" w:cs="Times New Roman"/>
          <w:b/>
          <w:bCs/>
          <w:color w:val="000000" w:themeColor="text1"/>
          <w:sz w:val="24"/>
        </w:rPr>
      </w:pPr>
      <w:r w:rsidRPr="005A6862">
        <w:rPr>
          <w:rFonts w:ascii="Times New Roman" w:hAnsi="Times New Roman" w:cs="Times New Roman"/>
          <w:b/>
          <w:bCs/>
          <w:color w:val="000000" w:themeColor="text1"/>
          <w:sz w:val="24"/>
        </w:rPr>
        <w:t>2. Increase AI Impact in Supply Chain to Minimize Scope 3 Emissions.</w:t>
      </w:r>
    </w:p>
    <w:p w14:paraId="559A0DBF" w14:textId="77777777" w:rsidR="000B4028" w:rsidRPr="005A6862" w:rsidRDefault="000B4028" w:rsidP="005A6862">
      <w:p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lastRenderedPageBreak/>
        <w:t xml:space="preserve">SCO 3 supplier engagement should be expanded to Scope 3 AI engagement. Having 291 suppliers as the members of the Supplier Climate </w:t>
      </w:r>
      <w:proofErr w:type="spellStart"/>
      <w:r w:rsidRPr="005A6862">
        <w:rPr>
          <w:rFonts w:ascii="Times New Roman" w:hAnsi="Times New Roman" w:cs="Times New Roman"/>
          <w:color w:val="000000" w:themeColor="text1"/>
          <w:sz w:val="24"/>
        </w:rPr>
        <w:t>Programme</w:t>
      </w:r>
      <w:proofErr w:type="spellEnd"/>
      <w:r w:rsidRPr="005A6862">
        <w:rPr>
          <w:rFonts w:ascii="Times New Roman" w:hAnsi="Times New Roman" w:cs="Times New Roman"/>
          <w:color w:val="000000" w:themeColor="text1"/>
          <w:sz w:val="24"/>
        </w:rPr>
        <w:t xml:space="preserve"> (42 of the relevant Scope 3 GHG), AI-generated carbon footprint tracking and procurement processes can become a way to achieve Scope 3 minimization objectives faster, prioritizing cost-effectiveness over the net zero 2039 goal (Unilever, 2025b).</w:t>
      </w:r>
    </w:p>
    <w:p w14:paraId="120E3FB7" w14:textId="77777777" w:rsidR="000B4028" w:rsidRPr="005A6862" w:rsidRDefault="000B4028" w:rsidP="005A6862">
      <w:pPr>
        <w:spacing w:line="360" w:lineRule="auto"/>
        <w:rPr>
          <w:rFonts w:ascii="Times New Roman" w:hAnsi="Times New Roman" w:cs="Times New Roman"/>
          <w:b/>
          <w:bCs/>
          <w:color w:val="000000" w:themeColor="text1"/>
          <w:sz w:val="24"/>
        </w:rPr>
      </w:pPr>
      <w:r w:rsidRPr="005A6862">
        <w:rPr>
          <w:rFonts w:ascii="Times New Roman" w:hAnsi="Times New Roman" w:cs="Times New Roman"/>
          <w:b/>
          <w:bCs/>
          <w:color w:val="000000" w:themeColor="text1"/>
          <w:sz w:val="24"/>
        </w:rPr>
        <w:t>3. Rebuild ESG Credibility through Independently Audited Circular Packaging Achievements.</w:t>
      </w:r>
    </w:p>
    <w:p w14:paraId="47AF1577" w14:textId="77777777" w:rsidR="000B4028" w:rsidRPr="005A6862" w:rsidRDefault="000B4028" w:rsidP="005A6862">
      <w:p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After the review of the 2024 sustainability targets and the lapses in the implementation of the plastics, Unilever ought to have board-level, accountable, independent, assured milestones. The collaboration with the Ellen MacArthur Foundation on the packaging circular economy and publishing verified annual progress reports will help to restore investor and consumer faith.</w:t>
      </w:r>
    </w:p>
    <w:p w14:paraId="22D742BC" w14:textId="77777777" w:rsidR="000B4028" w:rsidRPr="005A6862" w:rsidRDefault="000B4028" w:rsidP="005A6862">
      <w:pPr>
        <w:spacing w:line="360" w:lineRule="auto"/>
        <w:rPr>
          <w:rFonts w:ascii="Times New Roman" w:hAnsi="Times New Roman" w:cs="Times New Roman"/>
          <w:b/>
          <w:bCs/>
          <w:color w:val="000000" w:themeColor="text1"/>
          <w:sz w:val="24"/>
        </w:rPr>
      </w:pPr>
      <w:r w:rsidRPr="005A6862">
        <w:rPr>
          <w:rFonts w:ascii="Times New Roman" w:hAnsi="Times New Roman" w:cs="Times New Roman"/>
          <w:b/>
          <w:bCs/>
          <w:color w:val="000000" w:themeColor="text1"/>
          <w:sz w:val="24"/>
        </w:rPr>
        <w:t xml:space="preserve">4. </w:t>
      </w:r>
      <w:proofErr w:type="spellStart"/>
      <w:r w:rsidRPr="005A6862">
        <w:rPr>
          <w:rFonts w:ascii="Times New Roman" w:hAnsi="Times New Roman" w:cs="Times New Roman"/>
          <w:b/>
          <w:bCs/>
          <w:color w:val="000000" w:themeColor="text1"/>
          <w:sz w:val="24"/>
        </w:rPr>
        <w:t>Internationalisation</w:t>
      </w:r>
      <w:proofErr w:type="spellEnd"/>
      <w:r w:rsidRPr="005A6862">
        <w:rPr>
          <w:rFonts w:ascii="Times New Roman" w:hAnsi="Times New Roman" w:cs="Times New Roman"/>
          <w:b/>
          <w:bCs/>
          <w:color w:val="000000" w:themeColor="text1"/>
          <w:sz w:val="24"/>
        </w:rPr>
        <w:t xml:space="preserve"> into Sub-Saharan Africa through riding on the existing infrastructure.</w:t>
      </w:r>
    </w:p>
    <w:p w14:paraId="473E367A" w14:textId="11781479" w:rsidR="004C2A7C" w:rsidRPr="005A6862" w:rsidRDefault="000B4028" w:rsidP="005A6862">
      <w:p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The demographic dividend of Sub-Saharan Africa, a young, fast urbanizing market segment, is a potential, unexplored growth market. Unilever has Ownership (brands, R&amp;D) benefits, Location (existing distribution, regulatory relationships) benefits, and Internalization (direct investment preferable to licensing) benefits (Kumar, 2025). Expanding online retail platforms into SMEs is a duplication of the India and Indonesia success story (Unilever Livelihoods, 2025).</w:t>
      </w:r>
    </w:p>
    <w:p w14:paraId="2519E1BC" w14:textId="246B7484" w:rsidR="000B4028" w:rsidRPr="005A6862" w:rsidRDefault="000B4028" w:rsidP="005A6862">
      <w:pPr>
        <w:pStyle w:val="1"/>
        <w:rPr>
          <w:rFonts w:ascii="Times New Roman" w:hAnsi="Times New Roman" w:cs="Times New Roman"/>
          <w:sz w:val="24"/>
          <w:szCs w:val="24"/>
        </w:rPr>
      </w:pPr>
      <w:bookmarkStart w:id="12" w:name="_Toc224923922"/>
      <w:r w:rsidRPr="005A6862">
        <w:rPr>
          <w:rFonts w:ascii="Times New Roman" w:hAnsi="Times New Roman" w:cs="Times New Roman"/>
          <w:sz w:val="24"/>
          <w:szCs w:val="24"/>
        </w:rPr>
        <w:t>6. Conclusion</w:t>
      </w:r>
      <w:bookmarkEnd w:id="12"/>
    </w:p>
    <w:p w14:paraId="44500C8D" w14:textId="223D88D9" w:rsidR="000B4028" w:rsidRPr="005A6862" w:rsidRDefault="000B4028" w:rsidP="005A6862">
      <w:p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 xml:space="preserve">In this report, there has been a detailed strategic analysis of Unilever PLC that has established the usefulness and weaknesses of major management structures. PESTEL and Porter's Five Forces indicate a difficult and complicated macro environment with inflationary forces, political uncertainty, and increased regulatory demands. RBV and Value Chain Analysis affirm that the brand portfolio, R&amp;D, and global distribution network of Unilever are the lasting sources of competitive advantage, but it is </w:t>
      </w:r>
      <w:r w:rsidRPr="005A6862">
        <w:rPr>
          <w:rFonts w:ascii="Times New Roman" w:hAnsi="Times New Roman" w:cs="Times New Roman"/>
          <w:color w:val="000000" w:themeColor="text1"/>
          <w:sz w:val="24"/>
        </w:rPr>
        <w:lastRenderedPageBreak/>
        <w:t xml:space="preserve">increasingly threatened by the pressure of imitation by digital-native brands and challengers with their own labels. The strategy of GAP 2030, which is based on Focus, Excel, and Accelerate, offers a logical directional framework, but the repeated implementation is the hallmark challenge. Sustainability is a strategically important </w:t>
      </w:r>
      <w:proofErr w:type="gramStart"/>
      <w:r w:rsidRPr="005A6862">
        <w:rPr>
          <w:rFonts w:ascii="Times New Roman" w:hAnsi="Times New Roman" w:cs="Times New Roman"/>
          <w:color w:val="000000" w:themeColor="text1"/>
          <w:sz w:val="24"/>
        </w:rPr>
        <w:t>concept, but</w:t>
      </w:r>
      <w:proofErr w:type="gramEnd"/>
      <w:r w:rsidRPr="005A6862">
        <w:rPr>
          <w:rFonts w:ascii="Times New Roman" w:hAnsi="Times New Roman" w:cs="Times New Roman"/>
          <w:color w:val="000000" w:themeColor="text1"/>
          <w:sz w:val="24"/>
        </w:rPr>
        <w:t xml:space="preserve"> has lost credibility after scaled-down ESG promises. The current business environment requires strategic management that focuses on the incorporation of financial performance and sincere environmental and social commitments.</w:t>
      </w:r>
    </w:p>
    <w:p w14:paraId="2682CB56" w14:textId="26CA44FE" w:rsidR="000B4028" w:rsidRDefault="000B4028" w:rsidP="005A6862">
      <w:pPr>
        <w:widowControl/>
        <w:spacing w:line="360" w:lineRule="auto"/>
        <w:rPr>
          <w:rFonts w:ascii="Times New Roman" w:hAnsi="Times New Roman" w:cs="Times New Roman"/>
          <w:color w:val="000000" w:themeColor="text1"/>
          <w:sz w:val="24"/>
        </w:rPr>
      </w:pPr>
    </w:p>
    <w:p w14:paraId="7647E1B5" w14:textId="77777777" w:rsidR="00F71D42" w:rsidRDefault="00F71D42" w:rsidP="005A6862">
      <w:pPr>
        <w:widowControl/>
        <w:spacing w:line="360" w:lineRule="auto"/>
        <w:rPr>
          <w:rFonts w:ascii="Times New Roman" w:hAnsi="Times New Roman" w:cs="Times New Roman"/>
          <w:color w:val="000000" w:themeColor="text1"/>
          <w:sz w:val="24"/>
        </w:rPr>
      </w:pPr>
    </w:p>
    <w:p w14:paraId="39F8BB27" w14:textId="77777777" w:rsidR="00F71D42" w:rsidRDefault="00F71D42" w:rsidP="005A6862">
      <w:pPr>
        <w:widowControl/>
        <w:spacing w:line="360" w:lineRule="auto"/>
        <w:rPr>
          <w:rFonts w:ascii="Times New Roman" w:hAnsi="Times New Roman" w:cs="Times New Roman"/>
          <w:color w:val="000000" w:themeColor="text1"/>
          <w:sz w:val="24"/>
        </w:rPr>
      </w:pPr>
    </w:p>
    <w:p w14:paraId="7CBC0EB7" w14:textId="77777777" w:rsidR="00F71D42" w:rsidRDefault="00F71D42" w:rsidP="005A6862">
      <w:pPr>
        <w:widowControl/>
        <w:spacing w:line="360" w:lineRule="auto"/>
        <w:rPr>
          <w:rFonts w:ascii="Times New Roman" w:hAnsi="Times New Roman" w:cs="Times New Roman"/>
          <w:color w:val="000000" w:themeColor="text1"/>
          <w:sz w:val="24"/>
        </w:rPr>
      </w:pPr>
    </w:p>
    <w:p w14:paraId="2031A03F" w14:textId="77777777" w:rsidR="00F71D42" w:rsidRDefault="00F71D42" w:rsidP="005A6862">
      <w:pPr>
        <w:widowControl/>
        <w:spacing w:line="360" w:lineRule="auto"/>
        <w:rPr>
          <w:rFonts w:ascii="Times New Roman" w:hAnsi="Times New Roman" w:cs="Times New Roman"/>
          <w:color w:val="000000" w:themeColor="text1"/>
          <w:sz w:val="24"/>
        </w:rPr>
      </w:pPr>
    </w:p>
    <w:p w14:paraId="69D20172" w14:textId="77777777" w:rsidR="00F71D42" w:rsidRDefault="00F71D42" w:rsidP="005A6862">
      <w:pPr>
        <w:widowControl/>
        <w:spacing w:line="360" w:lineRule="auto"/>
        <w:rPr>
          <w:rFonts w:ascii="Times New Roman" w:hAnsi="Times New Roman" w:cs="Times New Roman"/>
          <w:color w:val="000000" w:themeColor="text1"/>
          <w:sz w:val="24"/>
        </w:rPr>
      </w:pPr>
    </w:p>
    <w:p w14:paraId="069AB2AC" w14:textId="77777777" w:rsidR="00F71D42" w:rsidRDefault="00F71D42" w:rsidP="005A6862">
      <w:pPr>
        <w:widowControl/>
        <w:spacing w:line="360" w:lineRule="auto"/>
        <w:rPr>
          <w:rFonts w:ascii="Times New Roman" w:hAnsi="Times New Roman" w:cs="Times New Roman"/>
          <w:color w:val="000000" w:themeColor="text1"/>
          <w:sz w:val="24"/>
        </w:rPr>
      </w:pPr>
    </w:p>
    <w:p w14:paraId="4AD230BF" w14:textId="77777777" w:rsidR="00F71D42" w:rsidRDefault="00F71D42" w:rsidP="005A6862">
      <w:pPr>
        <w:widowControl/>
        <w:spacing w:line="360" w:lineRule="auto"/>
        <w:rPr>
          <w:rFonts w:ascii="Times New Roman" w:hAnsi="Times New Roman" w:cs="Times New Roman"/>
          <w:color w:val="000000" w:themeColor="text1"/>
          <w:sz w:val="24"/>
        </w:rPr>
      </w:pPr>
    </w:p>
    <w:p w14:paraId="0607603D" w14:textId="77777777" w:rsidR="00F71D42" w:rsidRDefault="00F71D42" w:rsidP="005A6862">
      <w:pPr>
        <w:widowControl/>
        <w:spacing w:line="360" w:lineRule="auto"/>
        <w:rPr>
          <w:rFonts w:ascii="Times New Roman" w:hAnsi="Times New Roman" w:cs="Times New Roman"/>
          <w:color w:val="000000" w:themeColor="text1"/>
          <w:sz w:val="24"/>
        </w:rPr>
      </w:pPr>
    </w:p>
    <w:p w14:paraId="313DA6A3" w14:textId="77777777" w:rsidR="00F71D42" w:rsidRDefault="00F71D42" w:rsidP="005A6862">
      <w:pPr>
        <w:widowControl/>
        <w:spacing w:line="360" w:lineRule="auto"/>
        <w:rPr>
          <w:rFonts w:ascii="Times New Roman" w:hAnsi="Times New Roman" w:cs="Times New Roman"/>
          <w:color w:val="000000" w:themeColor="text1"/>
          <w:sz w:val="24"/>
        </w:rPr>
      </w:pPr>
    </w:p>
    <w:p w14:paraId="1E5BCE86" w14:textId="77777777" w:rsidR="00F71D42" w:rsidRDefault="00F71D42" w:rsidP="005A6862">
      <w:pPr>
        <w:widowControl/>
        <w:spacing w:line="360" w:lineRule="auto"/>
        <w:rPr>
          <w:rFonts w:ascii="Times New Roman" w:hAnsi="Times New Roman" w:cs="Times New Roman"/>
          <w:color w:val="000000" w:themeColor="text1"/>
          <w:sz w:val="24"/>
        </w:rPr>
      </w:pPr>
    </w:p>
    <w:p w14:paraId="67E0A470" w14:textId="77777777" w:rsidR="00F71D42" w:rsidRDefault="00F71D42" w:rsidP="005A6862">
      <w:pPr>
        <w:widowControl/>
        <w:spacing w:line="360" w:lineRule="auto"/>
        <w:rPr>
          <w:rFonts w:ascii="Times New Roman" w:hAnsi="Times New Roman" w:cs="Times New Roman"/>
          <w:color w:val="000000" w:themeColor="text1"/>
          <w:sz w:val="24"/>
        </w:rPr>
      </w:pPr>
    </w:p>
    <w:p w14:paraId="740BF468" w14:textId="77777777" w:rsidR="00F71D42" w:rsidRDefault="00F71D42" w:rsidP="005A6862">
      <w:pPr>
        <w:widowControl/>
        <w:spacing w:line="360" w:lineRule="auto"/>
        <w:rPr>
          <w:rFonts w:ascii="Times New Roman" w:hAnsi="Times New Roman" w:cs="Times New Roman"/>
          <w:color w:val="000000" w:themeColor="text1"/>
          <w:sz w:val="24"/>
        </w:rPr>
      </w:pPr>
    </w:p>
    <w:p w14:paraId="2324CE50" w14:textId="77777777" w:rsidR="00F71D42" w:rsidRDefault="00F71D42" w:rsidP="005A6862">
      <w:pPr>
        <w:widowControl/>
        <w:spacing w:line="360" w:lineRule="auto"/>
        <w:rPr>
          <w:rFonts w:ascii="Times New Roman" w:hAnsi="Times New Roman" w:cs="Times New Roman"/>
          <w:color w:val="000000" w:themeColor="text1"/>
          <w:sz w:val="24"/>
        </w:rPr>
      </w:pPr>
    </w:p>
    <w:p w14:paraId="2DDFE5F8" w14:textId="77777777" w:rsidR="00F71D42" w:rsidRDefault="00F71D42" w:rsidP="005A6862">
      <w:pPr>
        <w:widowControl/>
        <w:spacing w:line="360" w:lineRule="auto"/>
        <w:rPr>
          <w:rFonts w:ascii="Times New Roman" w:hAnsi="Times New Roman" w:cs="Times New Roman"/>
          <w:color w:val="000000" w:themeColor="text1"/>
          <w:sz w:val="24"/>
        </w:rPr>
      </w:pPr>
    </w:p>
    <w:p w14:paraId="145D11E0" w14:textId="77777777" w:rsidR="00F71D42" w:rsidRPr="005A6862" w:rsidRDefault="00F71D42" w:rsidP="005A6862">
      <w:pPr>
        <w:widowControl/>
        <w:spacing w:line="360" w:lineRule="auto"/>
        <w:rPr>
          <w:rFonts w:ascii="Times New Roman" w:hAnsi="Times New Roman" w:cs="Times New Roman"/>
          <w:color w:val="000000" w:themeColor="text1"/>
          <w:sz w:val="24"/>
        </w:rPr>
      </w:pPr>
    </w:p>
    <w:p w14:paraId="6BD0CABF" w14:textId="3223362A" w:rsidR="000B4028" w:rsidRPr="005A6862" w:rsidRDefault="000B4028" w:rsidP="005A6862">
      <w:pPr>
        <w:pStyle w:val="1"/>
        <w:rPr>
          <w:rFonts w:ascii="Times New Roman" w:hAnsi="Times New Roman" w:cs="Times New Roman"/>
          <w:sz w:val="24"/>
          <w:szCs w:val="24"/>
        </w:rPr>
      </w:pPr>
      <w:bookmarkStart w:id="13" w:name="_Toc224923923"/>
      <w:r w:rsidRPr="005A6862">
        <w:rPr>
          <w:rFonts w:ascii="Times New Roman" w:hAnsi="Times New Roman" w:cs="Times New Roman"/>
          <w:sz w:val="24"/>
          <w:szCs w:val="24"/>
        </w:rPr>
        <w:lastRenderedPageBreak/>
        <w:t>Reference</w:t>
      </w:r>
      <w:bookmarkEnd w:id="13"/>
    </w:p>
    <w:p w14:paraId="647BE27F" w14:textId="710B93A5" w:rsidR="000B4028" w:rsidRPr="005A6862" w:rsidRDefault="000B4028" w:rsidP="005A6862">
      <w:p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 xml:space="preserve">Alnoor, A., Khaw, K.W., Chew, X., Abbas, S. (2023) ‘Khattak, Z.Z. The Influence of the Barriers of Hybrid Strategy on Strategic Competitive Priorities: Evidence from Oil Companies. </w:t>
      </w:r>
      <w:r w:rsidRPr="005A6862">
        <w:rPr>
          <w:rFonts w:ascii="Times New Roman" w:hAnsi="Times New Roman" w:cs="Times New Roman"/>
          <w:i/>
          <w:iCs/>
          <w:color w:val="000000" w:themeColor="text1"/>
          <w:sz w:val="24"/>
        </w:rPr>
        <w:t>Global Journal of Flexible Systems Management,</w:t>
      </w:r>
      <w:r w:rsidRPr="005A6862">
        <w:rPr>
          <w:rFonts w:ascii="Times New Roman" w:hAnsi="Times New Roman" w:cs="Times New Roman"/>
          <w:color w:val="000000" w:themeColor="text1"/>
          <w:sz w:val="24"/>
        </w:rPr>
        <w:t xml:space="preserve"> 24(2), pp. 179-198. </w:t>
      </w:r>
    </w:p>
    <w:p w14:paraId="7FAD1140" w14:textId="642C0558" w:rsidR="000B4028" w:rsidRPr="005A6862" w:rsidRDefault="000B4028" w:rsidP="005A6862">
      <w:p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 xml:space="preserve">Diya. and Aithal, P.S. (2025) ‘Procter &amp; Gamble: Mastering Global Markets Through Innovation, Strategy, and Consumer Excellence’, </w:t>
      </w:r>
      <w:proofErr w:type="spellStart"/>
      <w:r w:rsidRPr="005A6862">
        <w:rPr>
          <w:rFonts w:ascii="Times New Roman" w:hAnsi="Times New Roman" w:cs="Times New Roman"/>
          <w:i/>
          <w:iCs/>
          <w:color w:val="000000" w:themeColor="text1"/>
          <w:sz w:val="24"/>
        </w:rPr>
        <w:t>Poornaprajna</w:t>
      </w:r>
      <w:proofErr w:type="spellEnd"/>
      <w:r w:rsidRPr="005A6862">
        <w:rPr>
          <w:rFonts w:ascii="Times New Roman" w:hAnsi="Times New Roman" w:cs="Times New Roman"/>
          <w:i/>
          <w:iCs/>
          <w:color w:val="000000" w:themeColor="text1"/>
          <w:sz w:val="24"/>
        </w:rPr>
        <w:t xml:space="preserve"> International Journal of Teaching &amp; Research Case Studies (PIJTRCS),</w:t>
      </w:r>
      <w:r w:rsidRPr="005A6862">
        <w:rPr>
          <w:rFonts w:ascii="Times New Roman" w:hAnsi="Times New Roman" w:cs="Times New Roman"/>
          <w:color w:val="000000" w:themeColor="text1"/>
          <w:sz w:val="24"/>
        </w:rPr>
        <w:t xml:space="preserve"> 2(2), PP. 316-347. </w:t>
      </w:r>
    </w:p>
    <w:p w14:paraId="2D7BD2C4" w14:textId="77E0D009" w:rsidR="000B4028" w:rsidRPr="005A6862" w:rsidRDefault="000B4028" w:rsidP="005A6862">
      <w:p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 xml:space="preserve">European Union (2025) </w:t>
      </w:r>
      <w:r w:rsidRPr="005A6862">
        <w:rPr>
          <w:rFonts w:ascii="Times New Roman" w:hAnsi="Times New Roman" w:cs="Times New Roman"/>
          <w:i/>
          <w:iCs/>
          <w:color w:val="000000" w:themeColor="text1"/>
          <w:sz w:val="24"/>
        </w:rPr>
        <w:t>Directive (EU) 2022/2464 of the European Parliament and of the Council of 14 December 2022 amending Regulation (EU) No 537/2014, Directive 2004/109/EC, Directive 2006/43/EC and Directive 2013/34/EU, as regards corporate sustainability reporting (Text with EEA relevance).</w:t>
      </w:r>
      <w:r w:rsidRPr="005A6862">
        <w:rPr>
          <w:rFonts w:ascii="Times New Roman" w:hAnsi="Times New Roman" w:cs="Times New Roman"/>
          <w:color w:val="000000" w:themeColor="text1"/>
          <w:sz w:val="24"/>
        </w:rPr>
        <w:t xml:space="preserve"> Available at: </w:t>
      </w:r>
      <w:hyperlink r:id="rId8" w:history="1">
        <w:r w:rsidRPr="005A6862">
          <w:rPr>
            <w:rStyle w:val="af0"/>
            <w:rFonts w:ascii="Times New Roman" w:hAnsi="Times New Roman" w:cs="Times New Roman"/>
            <w:sz w:val="24"/>
          </w:rPr>
          <w:t>https://eur-lex.europa.eu/legal-content/EN/TXT/?uri=CELEX:32022L2464</w:t>
        </w:r>
      </w:hyperlink>
      <w:proofErr w:type="gramStart"/>
      <w:r w:rsidRPr="005A6862">
        <w:rPr>
          <w:rFonts w:ascii="Times New Roman" w:hAnsi="Times New Roman" w:cs="Times New Roman"/>
          <w:color w:val="000000" w:themeColor="text1"/>
          <w:sz w:val="24"/>
        </w:rPr>
        <w:t xml:space="preserve">   (</w:t>
      </w:r>
      <w:proofErr w:type="gramEnd"/>
      <w:r w:rsidRPr="005A6862">
        <w:rPr>
          <w:rFonts w:ascii="Times New Roman" w:hAnsi="Times New Roman" w:cs="Times New Roman"/>
          <w:color w:val="000000" w:themeColor="text1"/>
          <w:sz w:val="24"/>
        </w:rPr>
        <w:t>Accessed 16 March 2026).</w:t>
      </w:r>
    </w:p>
    <w:p w14:paraId="02516F1E" w14:textId="77777777" w:rsidR="000B4028" w:rsidRPr="005A6862" w:rsidRDefault="000B4028" w:rsidP="005A6862">
      <w:p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 xml:space="preserve">Eyvrigh, G. M. (2016) ‘A Review of marketing strategies’, </w:t>
      </w:r>
      <w:r w:rsidRPr="005A6862">
        <w:rPr>
          <w:rFonts w:ascii="Times New Roman" w:hAnsi="Times New Roman" w:cs="Times New Roman"/>
          <w:i/>
          <w:iCs/>
          <w:color w:val="000000" w:themeColor="text1"/>
          <w:sz w:val="24"/>
        </w:rPr>
        <w:t>Kuwait Chapter of Arabian Journal of Business and Management Review,</w:t>
      </w:r>
      <w:r w:rsidRPr="005A6862">
        <w:rPr>
          <w:rFonts w:ascii="Times New Roman" w:hAnsi="Times New Roman" w:cs="Times New Roman"/>
          <w:color w:val="000000" w:themeColor="text1"/>
          <w:sz w:val="24"/>
        </w:rPr>
        <w:t xml:space="preserve"> 6(1), pp. 77-83.</w:t>
      </w:r>
    </w:p>
    <w:p w14:paraId="09207113" w14:textId="15127D69" w:rsidR="000B4028" w:rsidRPr="005A6862" w:rsidRDefault="000B4028" w:rsidP="005A6862">
      <w:p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 xml:space="preserve">Fareniuk, Y. (2022) ‘Marketing strategy optimization in FMCG Market’, </w:t>
      </w:r>
      <w:proofErr w:type="spellStart"/>
      <w:r w:rsidRPr="005A6862">
        <w:rPr>
          <w:rFonts w:ascii="Times New Roman" w:hAnsi="Times New Roman" w:cs="Times New Roman"/>
          <w:i/>
          <w:iCs/>
          <w:color w:val="000000" w:themeColor="text1"/>
          <w:sz w:val="24"/>
        </w:rPr>
        <w:t>Ekohomika</w:t>
      </w:r>
      <w:proofErr w:type="spellEnd"/>
      <w:r w:rsidRPr="005A6862">
        <w:rPr>
          <w:rFonts w:ascii="Times New Roman" w:hAnsi="Times New Roman" w:cs="Times New Roman"/>
          <w:i/>
          <w:iCs/>
          <w:color w:val="000000" w:themeColor="text1"/>
          <w:sz w:val="24"/>
        </w:rPr>
        <w:t xml:space="preserve">, </w:t>
      </w:r>
      <w:r w:rsidRPr="005A6862">
        <w:rPr>
          <w:rFonts w:ascii="Times New Roman" w:hAnsi="Times New Roman" w:cs="Times New Roman"/>
          <w:color w:val="000000" w:themeColor="text1"/>
          <w:sz w:val="24"/>
        </w:rPr>
        <w:t xml:space="preserve">2(219), pp. 49-57. </w:t>
      </w:r>
    </w:p>
    <w:p w14:paraId="3C9E8899" w14:textId="0161E104" w:rsidR="000B4028" w:rsidRPr="005A6862" w:rsidRDefault="000B4028" w:rsidP="005A6862">
      <w:p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 xml:space="preserve">Gerhart, B. and Feng, J. (2021) ‘The Resource-Based View of the Firm, Human Resources, and Human Capital: Progress and Prospects’, </w:t>
      </w:r>
      <w:r w:rsidRPr="005A6862">
        <w:rPr>
          <w:rFonts w:ascii="Times New Roman" w:hAnsi="Times New Roman" w:cs="Times New Roman"/>
          <w:i/>
          <w:iCs/>
          <w:color w:val="000000" w:themeColor="text1"/>
          <w:sz w:val="24"/>
        </w:rPr>
        <w:t>Journal of Management</w:t>
      </w:r>
      <w:r w:rsidRPr="005A6862">
        <w:rPr>
          <w:rFonts w:ascii="Times New Roman" w:hAnsi="Times New Roman" w:cs="Times New Roman"/>
          <w:color w:val="000000" w:themeColor="text1"/>
          <w:sz w:val="24"/>
        </w:rPr>
        <w:t xml:space="preserve">, 47(4), pp. 1796-1819. </w:t>
      </w:r>
    </w:p>
    <w:p w14:paraId="28EB23E0" w14:textId="6E381093" w:rsidR="000B4028" w:rsidRPr="005A6862" w:rsidRDefault="000B4028" w:rsidP="005A6862">
      <w:p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 xml:space="preserve">Greenpeace (2023) </w:t>
      </w:r>
      <w:r w:rsidRPr="005A6862">
        <w:rPr>
          <w:rFonts w:ascii="Times New Roman" w:hAnsi="Times New Roman" w:cs="Times New Roman"/>
          <w:i/>
          <w:iCs/>
          <w:color w:val="000000" w:themeColor="text1"/>
          <w:sz w:val="24"/>
        </w:rPr>
        <w:t xml:space="preserve">Unilever’s complicity in the plastics crisis and </w:t>
      </w:r>
      <w:proofErr w:type="spellStart"/>
      <w:proofErr w:type="gramStart"/>
      <w:r w:rsidRPr="005A6862">
        <w:rPr>
          <w:rFonts w:ascii="Times New Roman" w:hAnsi="Times New Roman" w:cs="Times New Roman"/>
          <w:i/>
          <w:iCs/>
          <w:color w:val="000000" w:themeColor="text1"/>
          <w:sz w:val="24"/>
        </w:rPr>
        <w:t>it’s</w:t>
      </w:r>
      <w:proofErr w:type="spellEnd"/>
      <w:proofErr w:type="gramEnd"/>
      <w:r w:rsidRPr="005A6862">
        <w:rPr>
          <w:rFonts w:ascii="Times New Roman" w:hAnsi="Times New Roman" w:cs="Times New Roman"/>
          <w:i/>
          <w:iCs/>
          <w:color w:val="000000" w:themeColor="text1"/>
          <w:sz w:val="24"/>
        </w:rPr>
        <w:t xml:space="preserve"> power to solve it. </w:t>
      </w:r>
      <w:r w:rsidRPr="005A6862">
        <w:rPr>
          <w:rFonts w:ascii="Times New Roman" w:hAnsi="Times New Roman" w:cs="Times New Roman"/>
          <w:color w:val="000000" w:themeColor="text1"/>
          <w:sz w:val="24"/>
        </w:rPr>
        <w:t xml:space="preserve">Available at: </w:t>
      </w:r>
      <w:hyperlink r:id="rId9" w:history="1">
        <w:r w:rsidRPr="005A6862">
          <w:rPr>
            <w:rStyle w:val="af0"/>
            <w:rFonts w:ascii="Times New Roman" w:hAnsi="Times New Roman" w:cs="Times New Roman"/>
            <w:sz w:val="24"/>
          </w:rPr>
          <w:t>https://www.greenpeace.org/static/planet4-international-stateless/2023/11/6cf67ce7-unilever-uncovered.pdf</w:t>
        </w:r>
      </w:hyperlink>
      <w:r w:rsidRPr="005A6862">
        <w:rPr>
          <w:rFonts w:ascii="Times New Roman" w:hAnsi="Times New Roman" w:cs="Times New Roman"/>
          <w:color w:val="000000" w:themeColor="text1"/>
          <w:sz w:val="24"/>
        </w:rPr>
        <w:t xml:space="preserve">  (Accessed 19 March 2026).</w:t>
      </w:r>
    </w:p>
    <w:p w14:paraId="5FCC0BCF" w14:textId="63091358" w:rsidR="000B4028" w:rsidRPr="005A6862" w:rsidRDefault="000B4028" w:rsidP="005A6862">
      <w:p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Jansen, C. (2023) ‘</w:t>
      </w:r>
      <w:r w:rsidRPr="005A6862">
        <w:rPr>
          <w:rFonts w:ascii="Times New Roman" w:hAnsi="Times New Roman" w:cs="Times New Roman"/>
          <w:i/>
          <w:iCs/>
          <w:color w:val="000000" w:themeColor="text1"/>
          <w:sz w:val="24"/>
        </w:rPr>
        <w:t xml:space="preserve">Unilever to acquire K18’, Retail Dive, 22 December. </w:t>
      </w:r>
      <w:r w:rsidRPr="005A6862">
        <w:rPr>
          <w:rFonts w:ascii="Times New Roman" w:hAnsi="Times New Roman" w:cs="Times New Roman"/>
          <w:color w:val="000000" w:themeColor="text1"/>
          <w:sz w:val="24"/>
        </w:rPr>
        <w:t xml:space="preserve">Available at: </w:t>
      </w:r>
      <w:hyperlink r:id="rId10" w:history="1">
        <w:r w:rsidRPr="005A6862">
          <w:rPr>
            <w:rStyle w:val="af0"/>
            <w:rFonts w:ascii="Times New Roman" w:hAnsi="Times New Roman" w:cs="Times New Roman"/>
            <w:sz w:val="24"/>
          </w:rPr>
          <w:t>https://www.retaildive.com/news/unilever-acquires-hair-care-brand-k18/703348/</w:t>
        </w:r>
      </w:hyperlink>
      <w:r w:rsidRPr="005A6862">
        <w:rPr>
          <w:rFonts w:ascii="Times New Roman" w:hAnsi="Times New Roman" w:cs="Times New Roman"/>
          <w:color w:val="000000" w:themeColor="text1"/>
          <w:sz w:val="24"/>
        </w:rPr>
        <w:t xml:space="preserve">  (Accessed</w:t>
      </w:r>
      <w:r w:rsidR="00C40E3C" w:rsidRPr="005A6862">
        <w:rPr>
          <w:rFonts w:ascii="Times New Roman" w:hAnsi="Times New Roman" w:cs="Times New Roman"/>
          <w:color w:val="000000" w:themeColor="text1"/>
          <w:sz w:val="24"/>
        </w:rPr>
        <w:t xml:space="preserve"> </w:t>
      </w:r>
      <w:r w:rsidRPr="005A6862">
        <w:rPr>
          <w:rFonts w:ascii="Times New Roman" w:hAnsi="Times New Roman" w:cs="Times New Roman"/>
          <w:color w:val="000000" w:themeColor="text1"/>
          <w:sz w:val="24"/>
        </w:rPr>
        <w:t>19 March 2026).</w:t>
      </w:r>
    </w:p>
    <w:p w14:paraId="31EDF052" w14:textId="39BDD863" w:rsidR="000B4028" w:rsidRPr="005A6862" w:rsidRDefault="000B4028" w:rsidP="005A6862">
      <w:pPr>
        <w:spacing w:line="360" w:lineRule="auto"/>
        <w:rPr>
          <w:rFonts w:ascii="Times New Roman" w:hAnsi="Times New Roman" w:cs="Times New Roman"/>
          <w:color w:val="000000" w:themeColor="text1"/>
          <w:sz w:val="24"/>
        </w:rPr>
      </w:pPr>
      <w:proofErr w:type="spellStart"/>
      <w:r w:rsidRPr="005A6862">
        <w:rPr>
          <w:rFonts w:ascii="Times New Roman" w:hAnsi="Times New Roman" w:cs="Times New Roman"/>
          <w:color w:val="000000" w:themeColor="text1"/>
          <w:sz w:val="24"/>
        </w:rPr>
        <w:t>Kitishian</w:t>
      </w:r>
      <w:proofErr w:type="spellEnd"/>
      <w:r w:rsidRPr="005A6862">
        <w:rPr>
          <w:rFonts w:ascii="Times New Roman" w:hAnsi="Times New Roman" w:cs="Times New Roman"/>
          <w:color w:val="000000" w:themeColor="text1"/>
          <w:sz w:val="24"/>
        </w:rPr>
        <w:t>, D. (2025) ‘</w:t>
      </w:r>
      <w:r w:rsidRPr="005A6862">
        <w:rPr>
          <w:rFonts w:ascii="Times New Roman" w:hAnsi="Times New Roman" w:cs="Times New Roman"/>
          <w:i/>
          <w:iCs/>
          <w:color w:val="000000" w:themeColor="text1"/>
          <w:sz w:val="24"/>
        </w:rPr>
        <w:t xml:space="preserve">Unilever’s AI strategy: Analysis of Dominance in </w:t>
      </w:r>
      <w:proofErr w:type="gramStart"/>
      <w:r w:rsidRPr="005A6862">
        <w:rPr>
          <w:rFonts w:ascii="Times New Roman" w:hAnsi="Times New Roman" w:cs="Times New Roman"/>
          <w:i/>
          <w:iCs/>
          <w:color w:val="000000" w:themeColor="text1"/>
          <w:sz w:val="24"/>
        </w:rPr>
        <w:t xml:space="preserve">Consumer </w:t>
      </w:r>
      <w:r w:rsidRPr="005A6862">
        <w:rPr>
          <w:rFonts w:ascii="Times New Roman" w:hAnsi="Times New Roman" w:cs="Times New Roman"/>
          <w:i/>
          <w:iCs/>
          <w:color w:val="000000" w:themeColor="text1"/>
          <w:sz w:val="24"/>
        </w:rPr>
        <w:lastRenderedPageBreak/>
        <w:t>Packaged</w:t>
      </w:r>
      <w:proofErr w:type="gramEnd"/>
      <w:r w:rsidRPr="005A6862">
        <w:rPr>
          <w:rFonts w:ascii="Times New Roman" w:hAnsi="Times New Roman" w:cs="Times New Roman"/>
          <w:i/>
          <w:iCs/>
          <w:color w:val="000000" w:themeColor="text1"/>
          <w:sz w:val="24"/>
        </w:rPr>
        <w:t xml:space="preserve"> Goods’, Klover.AI, 20 July. </w:t>
      </w:r>
      <w:r w:rsidRPr="005A6862">
        <w:rPr>
          <w:rFonts w:ascii="Times New Roman" w:hAnsi="Times New Roman" w:cs="Times New Roman"/>
          <w:color w:val="000000" w:themeColor="text1"/>
          <w:sz w:val="24"/>
        </w:rPr>
        <w:t xml:space="preserve">Available at: </w:t>
      </w:r>
      <w:hyperlink r:id="rId11" w:history="1">
        <w:r w:rsidRPr="005A6862">
          <w:rPr>
            <w:rStyle w:val="af0"/>
            <w:rFonts w:ascii="Times New Roman" w:hAnsi="Times New Roman" w:cs="Times New Roman"/>
            <w:sz w:val="24"/>
          </w:rPr>
          <w:t>https://www.klover.ai/unilever-ai-strategy-analysis-of-dominance-in-consumer-packaged-goods/</w:t>
        </w:r>
      </w:hyperlink>
      <w:r w:rsidRPr="005A6862">
        <w:rPr>
          <w:rFonts w:ascii="Times New Roman" w:hAnsi="Times New Roman" w:cs="Times New Roman"/>
          <w:color w:val="000000" w:themeColor="text1"/>
          <w:sz w:val="24"/>
        </w:rPr>
        <w:t xml:space="preserve">  (Accessed 16 March 2026).</w:t>
      </w:r>
    </w:p>
    <w:p w14:paraId="102957C1" w14:textId="77777777" w:rsidR="000B4028" w:rsidRPr="005A6862" w:rsidRDefault="000B4028" w:rsidP="005A6862">
      <w:p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 xml:space="preserve">Kumar, N. (2025) ‘International Business and Strategy’, </w:t>
      </w:r>
      <w:r w:rsidRPr="005A6862">
        <w:rPr>
          <w:rFonts w:ascii="Times New Roman" w:hAnsi="Times New Roman" w:cs="Times New Roman"/>
          <w:i/>
          <w:iCs/>
          <w:color w:val="000000" w:themeColor="text1"/>
          <w:sz w:val="24"/>
        </w:rPr>
        <w:t>International Journal of Humanities Social Science and Management (IJHSSM)’,</w:t>
      </w:r>
      <w:r w:rsidRPr="005A6862">
        <w:rPr>
          <w:rFonts w:ascii="Times New Roman" w:hAnsi="Times New Roman" w:cs="Times New Roman"/>
          <w:color w:val="000000" w:themeColor="text1"/>
          <w:sz w:val="24"/>
        </w:rPr>
        <w:t xml:space="preserve"> 5(4), pp. 648-655.</w:t>
      </w:r>
    </w:p>
    <w:p w14:paraId="1D18320D" w14:textId="7E40E8A7" w:rsidR="000B4028" w:rsidRPr="005A6862" w:rsidRDefault="000B4028" w:rsidP="005A6862">
      <w:p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 xml:space="preserve">Mailani, D., Hulu, M.Z.T., Simamora, M.R. and Ade Kesuma, S. (2024) ‘Resource-Based View Theory to Achieve a Sustainable Competitive Advantage of the Firm: Systematic Literature Review’, </w:t>
      </w:r>
      <w:r w:rsidRPr="005A6862">
        <w:rPr>
          <w:rFonts w:ascii="Times New Roman" w:hAnsi="Times New Roman" w:cs="Times New Roman"/>
          <w:i/>
          <w:iCs/>
          <w:color w:val="000000" w:themeColor="text1"/>
          <w:sz w:val="24"/>
        </w:rPr>
        <w:t>International Journal of Entrepreneurship and Sustainability Studies,</w:t>
      </w:r>
      <w:r w:rsidRPr="005A6862">
        <w:rPr>
          <w:rFonts w:ascii="Times New Roman" w:hAnsi="Times New Roman" w:cs="Times New Roman"/>
          <w:color w:val="000000" w:themeColor="text1"/>
          <w:sz w:val="24"/>
        </w:rPr>
        <w:t xml:space="preserve"> 4(1), pp. 1-15.</w:t>
      </w:r>
    </w:p>
    <w:p w14:paraId="4444D345" w14:textId="07754AA9" w:rsidR="000B4028" w:rsidRPr="005A6862" w:rsidRDefault="000B4028" w:rsidP="005A6862">
      <w:pPr>
        <w:spacing w:line="360" w:lineRule="auto"/>
        <w:rPr>
          <w:rFonts w:ascii="Times New Roman" w:hAnsi="Times New Roman" w:cs="Times New Roman"/>
          <w:color w:val="000000" w:themeColor="text1"/>
          <w:sz w:val="24"/>
        </w:rPr>
      </w:pPr>
      <w:proofErr w:type="spellStart"/>
      <w:r w:rsidRPr="005A6862">
        <w:rPr>
          <w:rFonts w:ascii="Times New Roman" w:hAnsi="Times New Roman" w:cs="Times New Roman"/>
          <w:color w:val="000000" w:themeColor="text1"/>
          <w:sz w:val="24"/>
        </w:rPr>
        <w:t>Marchelin</w:t>
      </w:r>
      <w:proofErr w:type="spellEnd"/>
      <w:r w:rsidRPr="005A6862">
        <w:rPr>
          <w:rFonts w:ascii="Times New Roman" w:hAnsi="Times New Roman" w:cs="Times New Roman"/>
          <w:color w:val="000000" w:themeColor="text1"/>
          <w:sz w:val="24"/>
        </w:rPr>
        <w:t xml:space="preserve">, T. (2025) ‘Prolonged boycott: Unilever's challenge to restore its brand image in Indonesia’, </w:t>
      </w:r>
      <w:r w:rsidRPr="005A6862">
        <w:rPr>
          <w:rFonts w:ascii="Times New Roman" w:hAnsi="Times New Roman" w:cs="Times New Roman"/>
          <w:i/>
          <w:iCs/>
          <w:color w:val="000000" w:themeColor="text1"/>
          <w:sz w:val="24"/>
        </w:rPr>
        <w:t>Campaign Indonesia, 17 March.</w:t>
      </w:r>
      <w:r w:rsidRPr="005A6862">
        <w:rPr>
          <w:rFonts w:ascii="Times New Roman" w:hAnsi="Times New Roman" w:cs="Times New Roman"/>
          <w:color w:val="000000" w:themeColor="text1"/>
          <w:sz w:val="24"/>
        </w:rPr>
        <w:t xml:space="preserve"> Available at:</w:t>
      </w:r>
      <w:r w:rsidRPr="005A6862">
        <w:rPr>
          <w:rFonts w:ascii="Times New Roman" w:hAnsi="Times New Roman" w:cs="Times New Roman"/>
          <w:sz w:val="24"/>
        </w:rPr>
        <w:t xml:space="preserve"> </w:t>
      </w:r>
      <w:hyperlink r:id="rId12" w:history="1">
        <w:r w:rsidRPr="005A6862">
          <w:rPr>
            <w:rStyle w:val="af0"/>
            <w:rFonts w:ascii="Times New Roman" w:hAnsi="Times New Roman" w:cs="Times New Roman"/>
            <w:sz w:val="24"/>
          </w:rPr>
          <w:t>https://www.campaignindonesia.id/en/article/boikot-berkepanjangan-tantangan-unilever-memulihkan-citra-merek-di-indonesia/1909841</w:t>
        </w:r>
      </w:hyperlink>
      <w:r w:rsidRPr="005A6862">
        <w:rPr>
          <w:rFonts w:ascii="Times New Roman" w:hAnsi="Times New Roman" w:cs="Times New Roman"/>
          <w:color w:val="000000" w:themeColor="text1"/>
          <w:sz w:val="24"/>
        </w:rPr>
        <w:t xml:space="preserve">  (Accessed 19 March 2026).</w:t>
      </w:r>
    </w:p>
    <w:p w14:paraId="1F69E0E6" w14:textId="71AFFC77" w:rsidR="000B4028" w:rsidRPr="005A6862" w:rsidRDefault="000B4028" w:rsidP="005A6862">
      <w:p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 xml:space="preserve">Mirza, Z. (2024) </w:t>
      </w:r>
      <w:r w:rsidRPr="005A6862">
        <w:rPr>
          <w:rFonts w:ascii="Times New Roman" w:hAnsi="Times New Roman" w:cs="Times New Roman"/>
          <w:i/>
          <w:iCs/>
          <w:color w:val="000000" w:themeColor="text1"/>
          <w:sz w:val="24"/>
        </w:rPr>
        <w:t xml:space="preserve">'Unilever to Scale Back ESG Pledges Focused on Plastic Usage and Diversity', ESG Dive, 22 April. </w:t>
      </w:r>
      <w:r w:rsidRPr="005A6862">
        <w:rPr>
          <w:rFonts w:ascii="Times New Roman" w:hAnsi="Times New Roman" w:cs="Times New Roman"/>
          <w:color w:val="000000" w:themeColor="text1"/>
          <w:sz w:val="24"/>
        </w:rPr>
        <w:t xml:space="preserve">Available at: </w:t>
      </w:r>
      <w:hyperlink r:id="rId13" w:history="1">
        <w:r w:rsidRPr="005A6862">
          <w:rPr>
            <w:rStyle w:val="af0"/>
            <w:rFonts w:ascii="Times New Roman" w:hAnsi="Times New Roman" w:cs="Times New Roman"/>
            <w:sz w:val="24"/>
          </w:rPr>
          <w:t>https://www.esgdive.com/news/unilever-scale-back-esg-pledges-focused-plastic-usage-diversity/713882/</w:t>
        </w:r>
      </w:hyperlink>
      <w:r w:rsidRPr="005A6862">
        <w:rPr>
          <w:rFonts w:ascii="Times New Roman" w:hAnsi="Times New Roman" w:cs="Times New Roman"/>
          <w:color w:val="000000" w:themeColor="text1"/>
          <w:sz w:val="24"/>
        </w:rPr>
        <w:t xml:space="preserve">  (Accessed 19 March 2026).</w:t>
      </w:r>
    </w:p>
    <w:p w14:paraId="3BE5A16F" w14:textId="77777777" w:rsidR="000B4028" w:rsidRPr="005A6862" w:rsidRDefault="000B4028" w:rsidP="005A6862">
      <w:p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 xml:space="preserve">Reza, M.H. (2020) ‘Marketing Strategy and Sustainable Plan of Unilever’, </w:t>
      </w:r>
      <w:r w:rsidRPr="005A6862">
        <w:rPr>
          <w:rFonts w:ascii="Times New Roman" w:hAnsi="Times New Roman" w:cs="Times New Roman"/>
          <w:i/>
          <w:iCs/>
          <w:color w:val="000000" w:themeColor="text1"/>
          <w:sz w:val="24"/>
        </w:rPr>
        <w:t>International Journal of Scientific Research and Engineering Development,</w:t>
      </w:r>
      <w:r w:rsidRPr="005A6862">
        <w:rPr>
          <w:rFonts w:ascii="Times New Roman" w:hAnsi="Times New Roman" w:cs="Times New Roman"/>
          <w:color w:val="000000" w:themeColor="text1"/>
          <w:sz w:val="24"/>
        </w:rPr>
        <w:t xml:space="preserve"> 3(4), pp. 68-692.</w:t>
      </w:r>
    </w:p>
    <w:p w14:paraId="736EFCE8" w14:textId="3BA6A769" w:rsidR="000B4028" w:rsidRPr="005A6862" w:rsidRDefault="000B4028" w:rsidP="005A6862">
      <w:p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 xml:space="preserve">Ross, D.F. (2015) ‘International distribution’, </w:t>
      </w:r>
      <w:r w:rsidRPr="005A6862">
        <w:rPr>
          <w:rFonts w:ascii="Times New Roman" w:hAnsi="Times New Roman" w:cs="Times New Roman"/>
          <w:i/>
          <w:iCs/>
          <w:color w:val="000000" w:themeColor="text1"/>
          <w:sz w:val="24"/>
        </w:rPr>
        <w:t>Distribution Planning and Control,</w:t>
      </w:r>
      <w:r w:rsidRPr="005A6862">
        <w:rPr>
          <w:rFonts w:ascii="Times New Roman" w:hAnsi="Times New Roman" w:cs="Times New Roman"/>
          <w:color w:val="000000" w:themeColor="text1"/>
          <w:sz w:val="24"/>
        </w:rPr>
        <w:t xml:space="preserve"> pp. 763-826.</w:t>
      </w:r>
    </w:p>
    <w:p w14:paraId="03E94B78" w14:textId="6D47AC75" w:rsidR="000B4028" w:rsidRPr="005A6862" w:rsidRDefault="000B4028" w:rsidP="005A6862">
      <w:p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 xml:space="preserve">Sky Quest (2025) </w:t>
      </w:r>
      <w:r w:rsidRPr="005A6862">
        <w:rPr>
          <w:rFonts w:ascii="Times New Roman" w:hAnsi="Times New Roman" w:cs="Times New Roman"/>
          <w:i/>
          <w:iCs/>
          <w:color w:val="000000" w:themeColor="text1"/>
          <w:sz w:val="24"/>
        </w:rPr>
        <w:t>FMCG Market Size, Share, and Growth Analysis.</w:t>
      </w:r>
      <w:r w:rsidRPr="005A6862">
        <w:rPr>
          <w:rFonts w:ascii="Times New Roman" w:hAnsi="Times New Roman" w:cs="Times New Roman"/>
          <w:color w:val="000000" w:themeColor="text1"/>
          <w:sz w:val="24"/>
        </w:rPr>
        <w:t xml:space="preserve"> Available at: </w:t>
      </w:r>
      <w:hyperlink r:id="rId14" w:history="1">
        <w:r w:rsidRPr="005A6862">
          <w:rPr>
            <w:rStyle w:val="af0"/>
            <w:rFonts w:ascii="Times New Roman" w:hAnsi="Times New Roman" w:cs="Times New Roman"/>
            <w:sz w:val="24"/>
          </w:rPr>
          <w:t>https://www.skyquestt.com/report/fmcg-market</w:t>
        </w:r>
      </w:hyperlink>
      <w:r w:rsidRPr="005A6862">
        <w:rPr>
          <w:rFonts w:ascii="Times New Roman" w:hAnsi="Times New Roman" w:cs="Times New Roman"/>
          <w:color w:val="000000" w:themeColor="text1"/>
          <w:sz w:val="24"/>
        </w:rPr>
        <w:t xml:space="preserve">  (Accessed 19 March 2026).</w:t>
      </w:r>
    </w:p>
    <w:p w14:paraId="2800DF63" w14:textId="01B3E43D" w:rsidR="000B4028" w:rsidRPr="005A6862" w:rsidRDefault="000B4028" w:rsidP="005A6862">
      <w:p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 xml:space="preserve">Unilever (2023) </w:t>
      </w:r>
      <w:r w:rsidRPr="005A6862">
        <w:rPr>
          <w:rFonts w:ascii="Times New Roman" w:hAnsi="Times New Roman" w:cs="Times New Roman"/>
          <w:i/>
          <w:iCs/>
          <w:color w:val="000000" w:themeColor="text1"/>
          <w:sz w:val="24"/>
        </w:rPr>
        <w:t xml:space="preserve">Unilever Annual Report and Accounts 2023. </w:t>
      </w:r>
      <w:r w:rsidRPr="005A6862">
        <w:rPr>
          <w:rFonts w:ascii="Times New Roman" w:hAnsi="Times New Roman" w:cs="Times New Roman"/>
          <w:color w:val="000000" w:themeColor="text1"/>
          <w:sz w:val="24"/>
        </w:rPr>
        <w:t xml:space="preserve">Available at: </w:t>
      </w:r>
      <w:hyperlink r:id="rId15" w:history="1">
        <w:r w:rsidRPr="005A6862">
          <w:rPr>
            <w:rStyle w:val="af0"/>
            <w:rFonts w:ascii="Times New Roman" w:hAnsi="Times New Roman" w:cs="Times New Roman"/>
            <w:sz w:val="24"/>
          </w:rPr>
          <w:t>https://www.unilever.com/files/92ui5egz/production/b09c3510ee7cec58440d5f044f02</w:t>
        </w:r>
        <w:r w:rsidRPr="005A6862">
          <w:rPr>
            <w:rStyle w:val="af0"/>
            <w:rFonts w:ascii="Times New Roman" w:hAnsi="Times New Roman" w:cs="Times New Roman"/>
            <w:sz w:val="24"/>
          </w:rPr>
          <w:lastRenderedPageBreak/>
          <w:t>bdefe85aa186.pdf</w:t>
        </w:r>
      </w:hyperlink>
      <w:r w:rsidRPr="005A6862">
        <w:rPr>
          <w:rFonts w:ascii="Times New Roman" w:hAnsi="Times New Roman" w:cs="Times New Roman"/>
          <w:color w:val="000000" w:themeColor="text1"/>
          <w:sz w:val="24"/>
        </w:rPr>
        <w:t xml:space="preserve">  (Accessed</w:t>
      </w:r>
      <w:r w:rsidR="00C40E3C" w:rsidRPr="005A6862">
        <w:rPr>
          <w:rFonts w:ascii="Times New Roman" w:hAnsi="Times New Roman" w:cs="Times New Roman"/>
          <w:color w:val="000000" w:themeColor="text1"/>
          <w:sz w:val="24"/>
        </w:rPr>
        <w:t xml:space="preserve"> </w:t>
      </w:r>
      <w:r w:rsidRPr="005A6862">
        <w:rPr>
          <w:rFonts w:ascii="Times New Roman" w:hAnsi="Times New Roman" w:cs="Times New Roman"/>
          <w:color w:val="000000" w:themeColor="text1"/>
          <w:sz w:val="24"/>
        </w:rPr>
        <w:t>19 March 2026).</w:t>
      </w:r>
    </w:p>
    <w:p w14:paraId="4486938F" w14:textId="612EA1B7" w:rsidR="000B4028" w:rsidRPr="005A6862" w:rsidRDefault="000B4028" w:rsidP="005A6862">
      <w:p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 xml:space="preserve">Unilever (2024a) </w:t>
      </w:r>
      <w:r w:rsidRPr="005A6862">
        <w:rPr>
          <w:rFonts w:ascii="Times New Roman" w:hAnsi="Times New Roman" w:cs="Times New Roman"/>
          <w:i/>
          <w:iCs/>
          <w:color w:val="000000" w:themeColor="text1"/>
          <w:sz w:val="24"/>
        </w:rPr>
        <w:t>Unilever Annual Report on Form 20-F- 2024.</w:t>
      </w:r>
      <w:r w:rsidRPr="005A6862">
        <w:rPr>
          <w:rFonts w:ascii="Times New Roman" w:hAnsi="Times New Roman" w:cs="Times New Roman"/>
          <w:color w:val="000000" w:themeColor="text1"/>
          <w:sz w:val="24"/>
        </w:rPr>
        <w:t xml:space="preserve"> Available at: </w:t>
      </w:r>
      <w:hyperlink r:id="rId16" w:history="1">
        <w:r w:rsidRPr="005A6862">
          <w:rPr>
            <w:rStyle w:val="af0"/>
            <w:rFonts w:ascii="Times New Roman" w:hAnsi="Times New Roman" w:cs="Times New Roman"/>
            <w:sz w:val="24"/>
          </w:rPr>
          <w:t>https://www.unilever.com/files/unilever-annual-report-on-form-20-f-2024.pdf</w:t>
        </w:r>
      </w:hyperlink>
      <w:r w:rsidRPr="005A6862">
        <w:rPr>
          <w:rFonts w:ascii="Times New Roman" w:hAnsi="Times New Roman" w:cs="Times New Roman"/>
          <w:color w:val="000000" w:themeColor="text1"/>
          <w:sz w:val="24"/>
        </w:rPr>
        <w:t xml:space="preserve">  (Accessed 20 March 2026).</w:t>
      </w:r>
    </w:p>
    <w:p w14:paraId="79D7B06F" w14:textId="3D9A3D4E" w:rsidR="000B4028" w:rsidRPr="005A6862" w:rsidRDefault="000B4028" w:rsidP="005A6862">
      <w:p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 xml:space="preserve">Unilever (2024b) </w:t>
      </w:r>
      <w:r w:rsidRPr="005A6862">
        <w:rPr>
          <w:rFonts w:ascii="Times New Roman" w:hAnsi="Times New Roman" w:cs="Times New Roman"/>
          <w:i/>
          <w:iCs/>
          <w:color w:val="000000" w:themeColor="text1"/>
          <w:sz w:val="24"/>
        </w:rPr>
        <w:t>Unilever Annual Report and Accounts 2024.</w:t>
      </w:r>
      <w:r w:rsidRPr="005A6862">
        <w:rPr>
          <w:rFonts w:ascii="Times New Roman" w:hAnsi="Times New Roman" w:cs="Times New Roman"/>
          <w:color w:val="000000" w:themeColor="text1"/>
          <w:sz w:val="24"/>
        </w:rPr>
        <w:t xml:space="preserve"> Available at: </w:t>
      </w:r>
      <w:hyperlink r:id="rId17" w:history="1">
        <w:r w:rsidRPr="005A6862">
          <w:rPr>
            <w:rStyle w:val="af0"/>
            <w:rFonts w:ascii="Times New Roman" w:hAnsi="Times New Roman" w:cs="Times New Roman"/>
            <w:sz w:val="24"/>
          </w:rPr>
          <w:t>https://www.unilever.com/files/unilever-annual-report-and-accounts-2024.pdf</w:t>
        </w:r>
      </w:hyperlink>
      <w:r w:rsidRPr="005A6862">
        <w:rPr>
          <w:rFonts w:ascii="Times New Roman" w:hAnsi="Times New Roman" w:cs="Times New Roman"/>
          <w:color w:val="000000" w:themeColor="text1"/>
          <w:sz w:val="24"/>
        </w:rPr>
        <w:t xml:space="preserve">  (Accessed 20 March 2026).</w:t>
      </w:r>
    </w:p>
    <w:p w14:paraId="62988A35" w14:textId="18743822" w:rsidR="000B4028" w:rsidRPr="005A6862" w:rsidRDefault="000B4028" w:rsidP="005A6862">
      <w:pPr>
        <w:spacing w:line="360" w:lineRule="auto"/>
        <w:rPr>
          <w:rFonts w:ascii="Times New Roman" w:hAnsi="Times New Roman" w:cs="Times New Roman"/>
          <w:color w:val="000000" w:themeColor="text1"/>
          <w:sz w:val="24"/>
        </w:rPr>
      </w:pPr>
      <w:proofErr w:type="spellStart"/>
      <w:r w:rsidRPr="005A6862">
        <w:rPr>
          <w:rFonts w:ascii="Times New Roman" w:hAnsi="Times New Roman" w:cs="Times New Roman"/>
          <w:color w:val="000000" w:themeColor="text1"/>
          <w:sz w:val="24"/>
        </w:rPr>
        <w:t>Uilever</w:t>
      </w:r>
      <w:proofErr w:type="spellEnd"/>
      <w:r w:rsidRPr="005A6862">
        <w:rPr>
          <w:rFonts w:ascii="Times New Roman" w:hAnsi="Times New Roman" w:cs="Times New Roman"/>
          <w:color w:val="000000" w:themeColor="text1"/>
          <w:sz w:val="24"/>
        </w:rPr>
        <w:t xml:space="preserve"> (2024c) </w:t>
      </w:r>
      <w:r w:rsidRPr="005A6862">
        <w:rPr>
          <w:rFonts w:ascii="Times New Roman" w:hAnsi="Times New Roman" w:cs="Times New Roman"/>
          <w:i/>
          <w:iCs/>
          <w:color w:val="000000" w:themeColor="text1"/>
          <w:sz w:val="24"/>
        </w:rPr>
        <w:t>Implementing growth action plan at pace.</w:t>
      </w:r>
      <w:r w:rsidRPr="005A6862">
        <w:rPr>
          <w:rFonts w:ascii="Times New Roman" w:hAnsi="Times New Roman" w:cs="Times New Roman"/>
          <w:color w:val="000000" w:themeColor="text1"/>
          <w:sz w:val="24"/>
        </w:rPr>
        <w:t xml:space="preserve"> Available at: </w:t>
      </w:r>
      <w:hyperlink r:id="rId18" w:history="1">
        <w:r w:rsidRPr="005A6862">
          <w:rPr>
            <w:rStyle w:val="af0"/>
            <w:rFonts w:ascii="Times New Roman" w:hAnsi="Times New Roman" w:cs="Times New Roman"/>
            <w:sz w:val="24"/>
          </w:rPr>
          <w:t>https://www.unilever.com/news/press-and-media/press-releases/2024/implementing-growth-action-plan-at-pace/</w:t>
        </w:r>
      </w:hyperlink>
      <w:r w:rsidRPr="005A6862">
        <w:rPr>
          <w:rFonts w:ascii="Times New Roman" w:hAnsi="Times New Roman" w:cs="Times New Roman"/>
          <w:color w:val="000000" w:themeColor="text1"/>
          <w:sz w:val="24"/>
        </w:rPr>
        <w:t xml:space="preserve">  (Accessed 20 March 2026).</w:t>
      </w:r>
    </w:p>
    <w:p w14:paraId="10FB0513" w14:textId="49ECB1F7" w:rsidR="000B4028" w:rsidRPr="005A6862" w:rsidRDefault="000B4028" w:rsidP="005A6862">
      <w:p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 xml:space="preserve">Unilever (2025a) </w:t>
      </w:r>
      <w:r w:rsidRPr="005A6862">
        <w:rPr>
          <w:rFonts w:ascii="Times New Roman" w:hAnsi="Times New Roman" w:cs="Times New Roman"/>
          <w:i/>
          <w:iCs/>
          <w:color w:val="000000" w:themeColor="text1"/>
          <w:sz w:val="24"/>
        </w:rPr>
        <w:t xml:space="preserve">How </w:t>
      </w:r>
      <w:proofErr w:type="spellStart"/>
      <w:r w:rsidRPr="005A6862">
        <w:rPr>
          <w:rFonts w:ascii="Times New Roman" w:hAnsi="Times New Roman" w:cs="Times New Roman"/>
          <w:i/>
          <w:iCs/>
          <w:color w:val="000000" w:themeColor="text1"/>
          <w:sz w:val="24"/>
        </w:rPr>
        <w:t>Premiumisation</w:t>
      </w:r>
      <w:proofErr w:type="spellEnd"/>
      <w:r w:rsidRPr="005A6862">
        <w:rPr>
          <w:rFonts w:ascii="Times New Roman" w:hAnsi="Times New Roman" w:cs="Times New Roman"/>
          <w:i/>
          <w:iCs/>
          <w:color w:val="000000" w:themeColor="text1"/>
          <w:sz w:val="24"/>
        </w:rPr>
        <w:t xml:space="preserve"> is powering growth for Unilever’s beauty brands. </w:t>
      </w:r>
      <w:r w:rsidRPr="005A6862">
        <w:rPr>
          <w:rFonts w:ascii="Times New Roman" w:hAnsi="Times New Roman" w:cs="Times New Roman"/>
          <w:color w:val="000000" w:themeColor="text1"/>
          <w:sz w:val="24"/>
        </w:rPr>
        <w:t xml:space="preserve">Available at: </w:t>
      </w:r>
      <w:hyperlink r:id="rId19" w:history="1">
        <w:r w:rsidRPr="005A6862">
          <w:rPr>
            <w:rStyle w:val="af0"/>
            <w:rFonts w:ascii="Times New Roman" w:hAnsi="Times New Roman" w:cs="Times New Roman"/>
            <w:sz w:val="24"/>
          </w:rPr>
          <w:t>https://www.unilever.com/news/news-search/2025/how-premiumisation-is-powering-growth-for-unilevers-beauty-brands/</w:t>
        </w:r>
      </w:hyperlink>
      <w:r w:rsidRPr="005A6862">
        <w:rPr>
          <w:rFonts w:ascii="Times New Roman" w:hAnsi="Times New Roman" w:cs="Times New Roman"/>
          <w:color w:val="000000" w:themeColor="text1"/>
          <w:sz w:val="24"/>
        </w:rPr>
        <w:t xml:space="preserve">  (Accessed 20 March 2026).</w:t>
      </w:r>
    </w:p>
    <w:p w14:paraId="08FE5A03" w14:textId="3B37EEC9" w:rsidR="000B4028" w:rsidRPr="005A6862" w:rsidRDefault="000B4028" w:rsidP="005A6862">
      <w:p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 xml:space="preserve">Unilever (2025b) </w:t>
      </w:r>
      <w:r w:rsidRPr="005A6862">
        <w:rPr>
          <w:rFonts w:ascii="Times New Roman" w:hAnsi="Times New Roman" w:cs="Times New Roman"/>
          <w:i/>
          <w:iCs/>
          <w:color w:val="000000" w:themeColor="text1"/>
          <w:sz w:val="24"/>
        </w:rPr>
        <w:t xml:space="preserve">Sustainability: We’re working to reduce emissions across our value chain. </w:t>
      </w:r>
      <w:r w:rsidRPr="005A6862">
        <w:rPr>
          <w:rFonts w:ascii="Times New Roman" w:hAnsi="Times New Roman" w:cs="Times New Roman"/>
          <w:color w:val="000000" w:themeColor="text1"/>
          <w:sz w:val="24"/>
        </w:rPr>
        <w:t xml:space="preserve">Available at: </w:t>
      </w:r>
      <w:hyperlink r:id="rId20" w:history="1">
        <w:r w:rsidRPr="005A6862">
          <w:rPr>
            <w:rStyle w:val="af0"/>
            <w:rFonts w:ascii="Times New Roman" w:hAnsi="Times New Roman" w:cs="Times New Roman"/>
            <w:sz w:val="24"/>
          </w:rPr>
          <w:t>https://www.unilever.com/sustainability/climate/</w:t>
        </w:r>
      </w:hyperlink>
      <w:r w:rsidRPr="005A6862">
        <w:rPr>
          <w:rFonts w:ascii="Times New Roman" w:hAnsi="Times New Roman" w:cs="Times New Roman"/>
          <w:color w:val="000000" w:themeColor="text1"/>
          <w:sz w:val="24"/>
        </w:rPr>
        <w:t xml:space="preserve">  (Accessed</w:t>
      </w:r>
      <w:r w:rsidR="00C40E3C" w:rsidRPr="005A6862">
        <w:rPr>
          <w:rFonts w:ascii="Times New Roman" w:hAnsi="Times New Roman" w:cs="Times New Roman"/>
          <w:color w:val="000000" w:themeColor="text1"/>
          <w:sz w:val="24"/>
        </w:rPr>
        <w:t xml:space="preserve"> 20</w:t>
      </w:r>
      <w:r w:rsidRPr="005A6862">
        <w:rPr>
          <w:rFonts w:ascii="Times New Roman" w:hAnsi="Times New Roman" w:cs="Times New Roman"/>
          <w:color w:val="000000" w:themeColor="text1"/>
          <w:sz w:val="24"/>
        </w:rPr>
        <w:t xml:space="preserve"> March 2026).</w:t>
      </w:r>
    </w:p>
    <w:p w14:paraId="20CFC9BB" w14:textId="4D15C3B9" w:rsidR="000B4028" w:rsidRPr="005A6862" w:rsidRDefault="000B4028" w:rsidP="005A6862">
      <w:p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 xml:space="preserve">Unilever (2025c) </w:t>
      </w:r>
      <w:r w:rsidRPr="005A6862">
        <w:rPr>
          <w:rFonts w:ascii="Times New Roman" w:hAnsi="Times New Roman" w:cs="Times New Roman"/>
          <w:i/>
          <w:iCs/>
          <w:color w:val="000000" w:themeColor="text1"/>
          <w:sz w:val="24"/>
        </w:rPr>
        <w:t>HUL to acquire premium beauty brand Minimalist.</w:t>
      </w:r>
      <w:r w:rsidRPr="005A6862">
        <w:rPr>
          <w:rFonts w:ascii="Times New Roman" w:hAnsi="Times New Roman" w:cs="Times New Roman"/>
          <w:color w:val="000000" w:themeColor="text1"/>
          <w:sz w:val="24"/>
        </w:rPr>
        <w:t xml:space="preserve"> Available at: </w:t>
      </w:r>
      <w:hyperlink r:id="rId21" w:history="1">
        <w:r w:rsidRPr="005A6862">
          <w:rPr>
            <w:rStyle w:val="af0"/>
            <w:rFonts w:ascii="Times New Roman" w:hAnsi="Times New Roman" w:cs="Times New Roman"/>
            <w:sz w:val="24"/>
          </w:rPr>
          <w:t>https://www.unilever.com/news/press-and-media/press-releases/2025/hul-to-acquire-premium-beauty-brand-minimalist/</w:t>
        </w:r>
      </w:hyperlink>
      <w:r w:rsidRPr="005A6862">
        <w:rPr>
          <w:rFonts w:ascii="Times New Roman" w:hAnsi="Times New Roman" w:cs="Times New Roman"/>
          <w:color w:val="000000" w:themeColor="text1"/>
          <w:sz w:val="24"/>
        </w:rPr>
        <w:t xml:space="preserve">  (Accessed 1</w:t>
      </w:r>
      <w:r w:rsidR="00C40E3C" w:rsidRPr="005A6862">
        <w:rPr>
          <w:rFonts w:ascii="Times New Roman" w:hAnsi="Times New Roman" w:cs="Times New Roman"/>
          <w:color w:val="000000" w:themeColor="text1"/>
          <w:sz w:val="24"/>
        </w:rPr>
        <w:t>9</w:t>
      </w:r>
      <w:r w:rsidRPr="005A6862">
        <w:rPr>
          <w:rFonts w:ascii="Times New Roman" w:hAnsi="Times New Roman" w:cs="Times New Roman"/>
          <w:color w:val="000000" w:themeColor="text1"/>
          <w:sz w:val="24"/>
        </w:rPr>
        <w:t xml:space="preserve"> March 2026).</w:t>
      </w:r>
    </w:p>
    <w:p w14:paraId="5E7ADDF4" w14:textId="4DA75751" w:rsidR="000B4028" w:rsidRPr="005A6862" w:rsidRDefault="000B4028" w:rsidP="005A6862">
      <w:p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 xml:space="preserve">Unilever (2025d) </w:t>
      </w:r>
      <w:r w:rsidRPr="005A6862">
        <w:rPr>
          <w:rFonts w:ascii="Times New Roman" w:hAnsi="Times New Roman" w:cs="Times New Roman"/>
          <w:i/>
          <w:iCs/>
          <w:color w:val="000000" w:themeColor="text1"/>
          <w:sz w:val="24"/>
        </w:rPr>
        <w:t>Unilever Annual Report and Accounts 2025.</w:t>
      </w:r>
      <w:r w:rsidRPr="005A6862">
        <w:rPr>
          <w:rFonts w:ascii="Times New Roman" w:hAnsi="Times New Roman" w:cs="Times New Roman"/>
          <w:color w:val="000000" w:themeColor="text1"/>
          <w:sz w:val="24"/>
        </w:rPr>
        <w:t xml:space="preserve"> Available at: </w:t>
      </w:r>
      <w:hyperlink r:id="rId22" w:history="1">
        <w:r w:rsidRPr="005A6862">
          <w:rPr>
            <w:rStyle w:val="af0"/>
            <w:rFonts w:ascii="Times New Roman" w:hAnsi="Times New Roman" w:cs="Times New Roman"/>
            <w:sz w:val="24"/>
          </w:rPr>
          <w:t>https://www.unilever.com/files/unilever-annual-report-and-accounts-2025.pdf</w:t>
        </w:r>
      </w:hyperlink>
      <w:r w:rsidRPr="005A6862">
        <w:rPr>
          <w:rFonts w:ascii="Times New Roman" w:hAnsi="Times New Roman" w:cs="Times New Roman"/>
          <w:color w:val="000000" w:themeColor="text1"/>
          <w:sz w:val="24"/>
        </w:rPr>
        <w:t xml:space="preserve">  (Accessed 1</w:t>
      </w:r>
      <w:r w:rsidR="00C40E3C" w:rsidRPr="005A6862">
        <w:rPr>
          <w:rFonts w:ascii="Times New Roman" w:hAnsi="Times New Roman" w:cs="Times New Roman"/>
          <w:color w:val="000000" w:themeColor="text1"/>
          <w:sz w:val="24"/>
        </w:rPr>
        <w:t>9</w:t>
      </w:r>
      <w:r w:rsidRPr="005A6862">
        <w:rPr>
          <w:rFonts w:ascii="Times New Roman" w:hAnsi="Times New Roman" w:cs="Times New Roman"/>
          <w:color w:val="000000" w:themeColor="text1"/>
          <w:sz w:val="24"/>
        </w:rPr>
        <w:t xml:space="preserve"> March 2026).</w:t>
      </w:r>
    </w:p>
    <w:p w14:paraId="2AA1BD5F" w14:textId="50FD0F8D" w:rsidR="000B4028" w:rsidRPr="005A6862" w:rsidRDefault="000B4028" w:rsidP="005A6862">
      <w:p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 xml:space="preserve">Unilever (2026a) </w:t>
      </w:r>
      <w:r w:rsidRPr="005A6862">
        <w:rPr>
          <w:rFonts w:ascii="Times New Roman" w:hAnsi="Times New Roman" w:cs="Times New Roman"/>
          <w:i/>
          <w:iCs/>
          <w:color w:val="000000" w:themeColor="text1"/>
          <w:sz w:val="24"/>
        </w:rPr>
        <w:t xml:space="preserve">Our Company: We are Unilever. </w:t>
      </w:r>
      <w:r w:rsidRPr="005A6862">
        <w:rPr>
          <w:rFonts w:ascii="Times New Roman" w:hAnsi="Times New Roman" w:cs="Times New Roman"/>
          <w:color w:val="000000" w:themeColor="text1"/>
          <w:sz w:val="24"/>
        </w:rPr>
        <w:t xml:space="preserve">Available at: </w:t>
      </w:r>
      <w:hyperlink r:id="rId23" w:history="1">
        <w:r w:rsidRPr="005A6862">
          <w:rPr>
            <w:rStyle w:val="af0"/>
            <w:rFonts w:ascii="Times New Roman" w:hAnsi="Times New Roman" w:cs="Times New Roman"/>
            <w:sz w:val="24"/>
          </w:rPr>
          <w:t>https://www.unilever.co.id/en//our-company/</w:t>
        </w:r>
      </w:hyperlink>
      <w:r w:rsidRPr="005A6862">
        <w:rPr>
          <w:rFonts w:ascii="Times New Roman" w:hAnsi="Times New Roman" w:cs="Times New Roman"/>
          <w:color w:val="000000" w:themeColor="text1"/>
          <w:sz w:val="24"/>
        </w:rPr>
        <w:t xml:space="preserve">  (Accessed </w:t>
      </w:r>
      <w:r w:rsidR="00C40E3C" w:rsidRPr="005A6862">
        <w:rPr>
          <w:rFonts w:ascii="Times New Roman" w:hAnsi="Times New Roman" w:cs="Times New Roman"/>
          <w:color w:val="000000" w:themeColor="text1"/>
          <w:sz w:val="24"/>
        </w:rPr>
        <w:t>20</w:t>
      </w:r>
      <w:r w:rsidRPr="005A6862">
        <w:rPr>
          <w:rFonts w:ascii="Times New Roman" w:hAnsi="Times New Roman" w:cs="Times New Roman"/>
          <w:color w:val="000000" w:themeColor="text1"/>
          <w:sz w:val="24"/>
        </w:rPr>
        <w:t xml:space="preserve"> March 2026).</w:t>
      </w:r>
    </w:p>
    <w:p w14:paraId="19EAB649" w14:textId="27D6D8E4" w:rsidR="000B4028" w:rsidRPr="005A6862" w:rsidRDefault="000B4028" w:rsidP="005A6862">
      <w:p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 xml:space="preserve">Unilever (2026b) </w:t>
      </w:r>
      <w:r w:rsidRPr="005A6862">
        <w:rPr>
          <w:rFonts w:ascii="Times New Roman" w:hAnsi="Times New Roman" w:cs="Times New Roman"/>
          <w:i/>
          <w:iCs/>
          <w:color w:val="000000" w:themeColor="text1"/>
          <w:sz w:val="24"/>
        </w:rPr>
        <w:t>Careers at Unilever.</w:t>
      </w:r>
      <w:r w:rsidRPr="005A6862">
        <w:rPr>
          <w:rFonts w:ascii="Times New Roman" w:hAnsi="Times New Roman" w:cs="Times New Roman"/>
          <w:color w:val="000000" w:themeColor="text1"/>
          <w:sz w:val="24"/>
        </w:rPr>
        <w:t xml:space="preserve"> Available at: </w:t>
      </w:r>
      <w:hyperlink r:id="rId24" w:history="1">
        <w:r w:rsidRPr="005A6862">
          <w:rPr>
            <w:rStyle w:val="af0"/>
            <w:rFonts w:ascii="Times New Roman" w:hAnsi="Times New Roman" w:cs="Times New Roman"/>
            <w:sz w:val="24"/>
          </w:rPr>
          <w:t>https://www.unilever.com/working-at-unilever/careers/</w:t>
        </w:r>
      </w:hyperlink>
      <w:r w:rsidRPr="005A6862">
        <w:rPr>
          <w:rFonts w:ascii="Times New Roman" w:hAnsi="Times New Roman" w:cs="Times New Roman"/>
          <w:color w:val="000000" w:themeColor="text1"/>
          <w:sz w:val="24"/>
        </w:rPr>
        <w:t xml:space="preserve">  (Accessed</w:t>
      </w:r>
      <w:r w:rsidR="00C40E3C" w:rsidRPr="005A6862">
        <w:rPr>
          <w:rFonts w:ascii="Times New Roman" w:hAnsi="Times New Roman" w:cs="Times New Roman"/>
          <w:color w:val="000000" w:themeColor="text1"/>
          <w:sz w:val="24"/>
        </w:rPr>
        <w:t xml:space="preserve"> 20</w:t>
      </w:r>
      <w:r w:rsidRPr="005A6862">
        <w:rPr>
          <w:rFonts w:ascii="Times New Roman" w:hAnsi="Times New Roman" w:cs="Times New Roman"/>
          <w:color w:val="000000" w:themeColor="text1"/>
          <w:sz w:val="24"/>
        </w:rPr>
        <w:t xml:space="preserve"> March 2026).</w:t>
      </w:r>
    </w:p>
    <w:p w14:paraId="5C5FE104" w14:textId="6A1B79B4" w:rsidR="000B4028" w:rsidRPr="005A6862" w:rsidRDefault="000B4028" w:rsidP="005A6862">
      <w:p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 xml:space="preserve">Unilever (2026c) </w:t>
      </w:r>
      <w:r w:rsidRPr="005A6862">
        <w:rPr>
          <w:rFonts w:ascii="Times New Roman" w:hAnsi="Times New Roman" w:cs="Times New Roman"/>
          <w:i/>
          <w:iCs/>
          <w:color w:val="000000" w:themeColor="text1"/>
          <w:sz w:val="24"/>
        </w:rPr>
        <w:t>Sustainability: We’re tackling plastic pollution through reduction, circulation and collaboration.</w:t>
      </w:r>
      <w:r w:rsidRPr="005A6862">
        <w:rPr>
          <w:rFonts w:ascii="Times New Roman" w:hAnsi="Times New Roman" w:cs="Times New Roman"/>
          <w:color w:val="000000" w:themeColor="text1"/>
          <w:sz w:val="24"/>
        </w:rPr>
        <w:t xml:space="preserve"> Available at: </w:t>
      </w:r>
      <w:hyperlink r:id="rId25" w:history="1">
        <w:r w:rsidRPr="005A6862">
          <w:rPr>
            <w:rStyle w:val="af0"/>
            <w:rFonts w:ascii="Times New Roman" w:hAnsi="Times New Roman" w:cs="Times New Roman"/>
            <w:sz w:val="24"/>
          </w:rPr>
          <w:t>https://www.unilever.com/sustainability/plastics/</w:t>
        </w:r>
      </w:hyperlink>
      <w:r w:rsidRPr="005A6862">
        <w:rPr>
          <w:rFonts w:ascii="Times New Roman" w:hAnsi="Times New Roman" w:cs="Times New Roman"/>
          <w:color w:val="000000" w:themeColor="text1"/>
          <w:sz w:val="24"/>
        </w:rPr>
        <w:t xml:space="preserve">  (Accessed</w:t>
      </w:r>
      <w:r w:rsidR="00C40E3C" w:rsidRPr="005A6862">
        <w:rPr>
          <w:rFonts w:ascii="Times New Roman" w:hAnsi="Times New Roman" w:cs="Times New Roman"/>
          <w:color w:val="000000" w:themeColor="text1"/>
          <w:sz w:val="24"/>
        </w:rPr>
        <w:t xml:space="preserve"> 20</w:t>
      </w:r>
      <w:r w:rsidRPr="005A6862">
        <w:rPr>
          <w:rFonts w:ascii="Times New Roman" w:hAnsi="Times New Roman" w:cs="Times New Roman"/>
          <w:color w:val="000000" w:themeColor="text1"/>
          <w:sz w:val="24"/>
        </w:rPr>
        <w:t xml:space="preserve"> March 2026).</w:t>
      </w:r>
    </w:p>
    <w:p w14:paraId="65482FC4" w14:textId="43706558" w:rsidR="000B4028" w:rsidRPr="005A6862" w:rsidRDefault="000B4028" w:rsidP="005A6862">
      <w:p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 xml:space="preserve">Unilever (2026d) </w:t>
      </w:r>
      <w:r w:rsidRPr="005A6862">
        <w:rPr>
          <w:rFonts w:ascii="Times New Roman" w:hAnsi="Times New Roman" w:cs="Times New Roman"/>
          <w:i/>
          <w:iCs/>
          <w:color w:val="000000" w:themeColor="text1"/>
          <w:sz w:val="24"/>
        </w:rPr>
        <w:t xml:space="preserve">Supplier Climate </w:t>
      </w:r>
      <w:proofErr w:type="spellStart"/>
      <w:r w:rsidRPr="005A6862">
        <w:rPr>
          <w:rFonts w:ascii="Times New Roman" w:hAnsi="Times New Roman" w:cs="Times New Roman"/>
          <w:i/>
          <w:iCs/>
          <w:color w:val="000000" w:themeColor="text1"/>
          <w:sz w:val="24"/>
        </w:rPr>
        <w:t>Programme</w:t>
      </w:r>
      <w:proofErr w:type="spellEnd"/>
      <w:r w:rsidRPr="005A6862">
        <w:rPr>
          <w:rFonts w:ascii="Times New Roman" w:hAnsi="Times New Roman" w:cs="Times New Roman"/>
          <w:i/>
          <w:iCs/>
          <w:color w:val="000000" w:themeColor="text1"/>
          <w:sz w:val="24"/>
        </w:rPr>
        <w:t>.</w:t>
      </w:r>
      <w:r w:rsidRPr="005A6862">
        <w:rPr>
          <w:rFonts w:ascii="Times New Roman" w:hAnsi="Times New Roman" w:cs="Times New Roman"/>
          <w:color w:val="000000" w:themeColor="text1"/>
          <w:sz w:val="24"/>
        </w:rPr>
        <w:t xml:space="preserve"> Available at: </w:t>
      </w:r>
      <w:hyperlink r:id="rId26" w:history="1">
        <w:r w:rsidRPr="005A6862">
          <w:rPr>
            <w:rStyle w:val="af0"/>
            <w:rFonts w:ascii="Times New Roman" w:hAnsi="Times New Roman" w:cs="Times New Roman"/>
            <w:sz w:val="24"/>
          </w:rPr>
          <w:t>https://www.unilever.com/suppliers/supplier-climate-programme/</w:t>
        </w:r>
      </w:hyperlink>
      <w:r w:rsidRPr="005A6862">
        <w:rPr>
          <w:rFonts w:ascii="Times New Roman" w:hAnsi="Times New Roman" w:cs="Times New Roman"/>
          <w:color w:val="000000" w:themeColor="text1"/>
          <w:sz w:val="24"/>
        </w:rPr>
        <w:t xml:space="preserve">  (Accessed</w:t>
      </w:r>
      <w:r w:rsidR="00C40E3C" w:rsidRPr="005A6862">
        <w:rPr>
          <w:rFonts w:ascii="Times New Roman" w:hAnsi="Times New Roman" w:cs="Times New Roman"/>
          <w:color w:val="000000" w:themeColor="text1"/>
          <w:sz w:val="24"/>
        </w:rPr>
        <w:t xml:space="preserve"> 20</w:t>
      </w:r>
      <w:r w:rsidRPr="005A6862">
        <w:rPr>
          <w:rFonts w:ascii="Times New Roman" w:hAnsi="Times New Roman" w:cs="Times New Roman"/>
          <w:color w:val="000000" w:themeColor="text1"/>
          <w:sz w:val="24"/>
        </w:rPr>
        <w:t xml:space="preserve"> March 2026).</w:t>
      </w:r>
    </w:p>
    <w:p w14:paraId="1D5D5FD3" w14:textId="77777777" w:rsidR="000B4028" w:rsidRPr="005A6862" w:rsidRDefault="000B4028" w:rsidP="005A6862">
      <w:p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 xml:space="preserve">Whittington, R., Angwin, D., </w:t>
      </w:r>
      <w:proofErr w:type="spellStart"/>
      <w:r w:rsidRPr="005A6862">
        <w:rPr>
          <w:rFonts w:ascii="Times New Roman" w:hAnsi="Times New Roman" w:cs="Times New Roman"/>
          <w:color w:val="000000" w:themeColor="text1"/>
          <w:sz w:val="24"/>
        </w:rPr>
        <w:t>Regnér</w:t>
      </w:r>
      <w:proofErr w:type="spellEnd"/>
      <w:r w:rsidRPr="005A6862">
        <w:rPr>
          <w:rFonts w:ascii="Times New Roman" w:hAnsi="Times New Roman" w:cs="Times New Roman"/>
          <w:color w:val="000000" w:themeColor="text1"/>
          <w:sz w:val="24"/>
        </w:rPr>
        <w:t xml:space="preserve">, P., Johnson, G. and Scholes, K. (2023) </w:t>
      </w:r>
      <w:r w:rsidRPr="005A6862">
        <w:rPr>
          <w:rFonts w:ascii="Times New Roman" w:hAnsi="Times New Roman" w:cs="Times New Roman"/>
          <w:i/>
          <w:iCs/>
          <w:color w:val="000000" w:themeColor="text1"/>
          <w:sz w:val="24"/>
        </w:rPr>
        <w:t>Exploring Strategy: Text and Cases.</w:t>
      </w:r>
      <w:r w:rsidRPr="005A6862">
        <w:rPr>
          <w:rFonts w:ascii="Times New Roman" w:hAnsi="Times New Roman" w:cs="Times New Roman"/>
          <w:color w:val="000000" w:themeColor="text1"/>
          <w:sz w:val="24"/>
        </w:rPr>
        <w:t xml:space="preserve"> 11th ed. Harlow: Pearson Education.</w:t>
      </w:r>
    </w:p>
    <w:p w14:paraId="2231F187" w14:textId="409133D7" w:rsidR="000B4028" w:rsidRPr="005A6862" w:rsidRDefault="000B4028" w:rsidP="005A6862">
      <w:pPr>
        <w:spacing w:line="360" w:lineRule="auto"/>
        <w:rPr>
          <w:rFonts w:ascii="Times New Roman" w:hAnsi="Times New Roman" w:cs="Times New Roman"/>
          <w:color w:val="000000" w:themeColor="text1"/>
          <w:sz w:val="24"/>
        </w:rPr>
      </w:pPr>
      <w:r w:rsidRPr="005A6862">
        <w:rPr>
          <w:rFonts w:ascii="Times New Roman" w:hAnsi="Times New Roman" w:cs="Times New Roman"/>
          <w:color w:val="000000" w:themeColor="text1"/>
          <w:sz w:val="24"/>
        </w:rPr>
        <w:t xml:space="preserve">Zamora, E. (2016) ‘Value Chain Analysis: A Brief Review’, </w:t>
      </w:r>
      <w:r w:rsidRPr="005A6862">
        <w:rPr>
          <w:rFonts w:ascii="Times New Roman" w:hAnsi="Times New Roman" w:cs="Times New Roman"/>
          <w:i/>
          <w:iCs/>
          <w:color w:val="000000" w:themeColor="text1"/>
          <w:sz w:val="24"/>
        </w:rPr>
        <w:t>Asian Journal of Innovation and Policy,</w:t>
      </w:r>
      <w:r w:rsidRPr="005A6862">
        <w:rPr>
          <w:rFonts w:ascii="Times New Roman" w:hAnsi="Times New Roman" w:cs="Times New Roman"/>
          <w:color w:val="000000" w:themeColor="text1"/>
          <w:sz w:val="24"/>
        </w:rPr>
        <w:t xml:space="preserve"> 5(2), pp. 116-128.</w:t>
      </w:r>
    </w:p>
    <w:p w14:paraId="6E628F1F" w14:textId="77777777" w:rsidR="000B4028" w:rsidRPr="005A6862" w:rsidRDefault="000B4028" w:rsidP="005A6862">
      <w:pPr>
        <w:spacing w:line="360" w:lineRule="auto"/>
        <w:rPr>
          <w:rFonts w:ascii="Times New Roman" w:hAnsi="Times New Roman" w:cs="Times New Roman"/>
          <w:color w:val="000000" w:themeColor="text1"/>
          <w:sz w:val="24"/>
        </w:rPr>
      </w:pPr>
    </w:p>
    <w:sectPr w:rsidR="000B4028" w:rsidRPr="005A6862">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0"/>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Apple Color Emoji">
    <w:panose1 w:val="00000000000000000000"/>
    <w:charset w:val="00"/>
    <w:family w:val="auto"/>
    <w:pitch w:val="variable"/>
    <w:sig w:usb0="00000003" w:usb1="18000000" w:usb2="1400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240533"/>
    <w:multiLevelType w:val="hybridMultilevel"/>
    <w:tmpl w:val="55BC67E4"/>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 w15:restartNumberingAfterBreak="0">
    <w:nsid w:val="50035AA2"/>
    <w:multiLevelType w:val="hybridMultilevel"/>
    <w:tmpl w:val="60B214D2"/>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 w15:restartNumberingAfterBreak="0">
    <w:nsid w:val="60DD4887"/>
    <w:multiLevelType w:val="hybridMultilevel"/>
    <w:tmpl w:val="449A3FFA"/>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3" w15:restartNumberingAfterBreak="0">
    <w:nsid w:val="7DBC61BF"/>
    <w:multiLevelType w:val="hybridMultilevel"/>
    <w:tmpl w:val="543026C2"/>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num w:numId="1" w16cid:durableId="1345590853">
    <w:abstractNumId w:val="3"/>
  </w:num>
  <w:num w:numId="2" w16cid:durableId="432358907">
    <w:abstractNumId w:val="2"/>
  </w:num>
  <w:num w:numId="3" w16cid:durableId="591594410">
    <w:abstractNumId w:val="1"/>
  </w:num>
  <w:num w:numId="4" w16cid:durableId="1252456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228"/>
    <w:rsid w:val="00013710"/>
    <w:rsid w:val="00080026"/>
    <w:rsid w:val="00086F70"/>
    <w:rsid w:val="0009460D"/>
    <w:rsid w:val="000A34A3"/>
    <w:rsid w:val="000A35EB"/>
    <w:rsid w:val="000A7386"/>
    <w:rsid w:val="000B4028"/>
    <w:rsid w:val="000C68A5"/>
    <w:rsid w:val="000E1891"/>
    <w:rsid w:val="000F39FB"/>
    <w:rsid w:val="00100398"/>
    <w:rsid w:val="00152E21"/>
    <w:rsid w:val="0016708A"/>
    <w:rsid w:val="001826A0"/>
    <w:rsid w:val="001A5336"/>
    <w:rsid w:val="001C4CA5"/>
    <w:rsid w:val="001D4A17"/>
    <w:rsid w:val="001D635C"/>
    <w:rsid w:val="001E0E34"/>
    <w:rsid w:val="002379BB"/>
    <w:rsid w:val="002D3176"/>
    <w:rsid w:val="002D505B"/>
    <w:rsid w:val="002E2D97"/>
    <w:rsid w:val="00350CCF"/>
    <w:rsid w:val="00354472"/>
    <w:rsid w:val="003B4593"/>
    <w:rsid w:val="003C6413"/>
    <w:rsid w:val="003E0394"/>
    <w:rsid w:val="003E2013"/>
    <w:rsid w:val="00400738"/>
    <w:rsid w:val="00404DDF"/>
    <w:rsid w:val="0040721D"/>
    <w:rsid w:val="00431083"/>
    <w:rsid w:val="00432896"/>
    <w:rsid w:val="00433ED4"/>
    <w:rsid w:val="00435DCB"/>
    <w:rsid w:val="00441755"/>
    <w:rsid w:val="004511AE"/>
    <w:rsid w:val="00470BD9"/>
    <w:rsid w:val="00491519"/>
    <w:rsid w:val="004C2A7C"/>
    <w:rsid w:val="004D7F30"/>
    <w:rsid w:val="004E1B94"/>
    <w:rsid w:val="004F0F8E"/>
    <w:rsid w:val="0051652B"/>
    <w:rsid w:val="00534C6A"/>
    <w:rsid w:val="00593BAA"/>
    <w:rsid w:val="005A6862"/>
    <w:rsid w:val="005C6058"/>
    <w:rsid w:val="00606B1B"/>
    <w:rsid w:val="006203F6"/>
    <w:rsid w:val="006267A5"/>
    <w:rsid w:val="00633C9A"/>
    <w:rsid w:val="006400A8"/>
    <w:rsid w:val="00664ACA"/>
    <w:rsid w:val="0066591D"/>
    <w:rsid w:val="00665D9B"/>
    <w:rsid w:val="00693D96"/>
    <w:rsid w:val="006A7832"/>
    <w:rsid w:val="00742C61"/>
    <w:rsid w:val="00761C55"/>
    <w:rsid w:val="007929AB"/>
    <w:rsid w:val="007B686C"/>
    <w:rsid w:val="008307A3"/>
    <w:rsid w:val="008A7F8C"/>
    <w:rsid w:val="008F6F6A"/>
    <w:rsid w:val="009E78E9"/>
    <w:rsid w:val="009F2296"/>
    <w:rsid w:val="00A438F0"/>
    <w:rsid w:val="00A44698"/>
    <w:rsid w:val="00A53D12"/>
    <w:rsid w:val="00A85F01"/>
    <w:rsid w:val="00AA0763"/>
    <w:rsid w:val="00AB68D6"/>
    <w:rsid w:val="00B10228"/>
    <w:rsid w:val="00B15F0C"/>
    <w:rsid w:val="00B2154D"/>
    <w:rsid w:val="00B37DCA"/>
    <w:rsid w:val="00B422A2"/>
    <w:rsid w:val="00B61D12"/>
    <w:rsid w:val="00BC2CCF"/>
    <w:rsid w:val="00C12635"/>
    <w:rsid w:val="00C21BFC"/>
    <w:rsid w:val="00C30302"/>
    <w:rsid w:val="00C40E3C"/>
    <w:rsid w:val="00C75A18"/>
    <w:rsid w:val="00C76CE2"/>
    <w:rsid w:val="00C844C1"/>
    <w:rsid w:val="00C863EA"/>
    <w:rsid w:val="00CD24CB"/>
    <w:rsid w:val="00CF5F0A"/>
    <w:rsid w:val="00D041AB"/>
    <w:rsid w:val="00D15085"/>
    <w:rsid w:val="00D211F7"/>
    <w:rsid w:val="00D674C1"/>
    <w:rsid w:val="00D8500A"/>
    <w:rsid w:val="00DF5E6B"/>
    <w:rsid w:val="00E0127D"/>
    <w:rsid w:val="00E210A7"/>
    <w:rsid w:val="00E317B9"/>
    <w:rsid w:val="00EC15DF"/>
    <w:rsid w:val="00ED1742"/>
    <w:rsid w:val="00ED296B"/>
    <w:rsid w:val="00F24018"/>
    <w:rsid w:val="00F43B86"/>
    <w:rsid w:val="00F50094"/>
    <w:rsid w:val="00F71D42"/>
    <w:rsid w:val="00F762B2"/>
    <w:rsid w:val="00FA3A7C"/>
    <w:rsid w:val="00FC415B"/>
    <w:rsid w:val="00FC752E"/>
    <w:rsid w:val="00FC7DC6"/>
    <w:rsid w:val="00FF4B0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25A85B02"/>
  <w15:chartTrackingRefBased/>
  <w15:docId w15:val="{C0B3E7AB-4F98-5444-94B0-610CB2EB3F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B10228"/>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unhideWhenUsed/>
    <w:qFormat/>
    <w:rsid w:val="00B10228"/>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B10228"/>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B10228"/>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B10228"/>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B10228"/>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B10228"/>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B10228"/>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B10228"/>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B10228"/>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rsid w:val="00B10228"/>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B10228"/>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B10228"/>
    <w:rPr>
      <w:rFonts w:cstheme="majorBidi"/>
      <w:color w:val="0F4761" w:themeColor="accent1" w:themeShade="BF"/>
      <w:sz w:val="28"/>
      <w:szCs w:val="28"/>
    </w:rPr>
  </w:style>
  <w:style w:type="character" w:customStyle="1" w:styleId="50">
    <w:name w:val="标题 5 字符"/>
    <w:basedOn w:val="a0"/>
    <w:link w:val="5"/>
    <w:uiPriority w:val="9"/>
    <w:semiHidden/>
    <w:rsid w:val="00B10228"/>
    <w:rPr>
      <w:rFonts w:cstheme="majorBidi"/>
      <w:color w:val="0F4761" w:themeColor="accent1" w:themeShade="BF"/>
      <w:sz w:val="24"/>
    </w:rPr>
  </w:style>
  <w:style w:type="character" w:customStyle="1" w:styleId="60">
    <w:name w:val="标题 6 字符"/>
    <w:basedOn w:val="a0"/>
    <w:link w:val="6"/>
    <w:uiPriority w:val="9"/>
    <w:semiHidden/>
    <w:rsid w:val="00B10228"/>
    <w:rPr>
      <w:rFonts w:cstheme="majorBidi"/>
      <w:b/>
      <w:bCs/>
      <w:color w:val="0F4761" w:themeColor="accent1" w:themeShade="BF"/>
    </w:rPr>
  </w:style>
  <w:style w:type="character" w:customStyle="1" w:styleId="70">
    <w:name w:val="标题 7 字符"/>
    <w:basedOn w:val="a0"/>
    <w:link w:val="7"/>
    <w:uiPriority w:val="9"/>
    <w:semiHidden/>
    <w:rsid w:val="00B10228"/>
    <w:rPr>
      <w:rFonts w:cstheme="majorBidi"/>
      <w:b/>
      <w:bCs/>
      <w:color w:val="595959" w:themeColor="text1" w:themeTint="A6"/>
    </w:rPr>
  </w:style>
  <w:style w:type="character" w:customStyle="1" w:styleId="80">
    <w:name w:val="标题 8 字符"/>
    <w:basedOn w:val="a0"/>
    <w:link w:val="8"/>
    <w:uiPriority w:val="9"/>
    <w:semiHidden/>
    <w:rsid w:val="00B10228"/>
    <w:rPr>
      <w:rFonts w:cstheme="majorBidi"/>
      <w:color w:val="595959" w:themeColor="text1" w:themeTint="A6"/>
    </w:rPr>
  </w:style>
  <w:style w:type="character" w:customStyle="1" w:styleId="90">
    <w:name w:val="标题 9 字符"/>
    <w:basedOn w:val="a0"/>
    <w:link w:val="9"/>
    <w:uiPriority w:val="9"/>
    <w:semiHidden/>
    <w:rsid w:val="00B10228"/>
    <w:rPr>
      <w:rFonts w:eastAsiaTheme="majorEastAsia" w:cstheme="majorBidi"/>
      <w:color w:val="595959" w:themeColor="text1" w:themeTint="A6"/>
    </w:rPr>
  </w:style>
  <w:style w:type="paragraph" w:styleId="a3">
    <w:name w:val="Title"/>
    <w:basedOn w:val="a"/>
    <w:next w:val="a"/>
    <w:link w:val="a4"/>
    <w:uiPriority w:val="10"/>
    <w:qFormat/>
    <w:rsid w:val="00B10228"/>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B10228"/>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B10228"/>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B10228"/>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B10228"/>
    <w:pPr>
      <w:spacing w:before="160"/>
      <w:jc w:val="center"/>
    </w:pPr>
    <w:rPr>
      <w:i/>
      <w:iCs/>
      <w:color w:val="404040" w:themeColor="text1" w:themeTint="BF"/>
    </w:rPr>
  </w:style>
  <w:style w:type="character" w:customStyle="1" w:styleId="a8">
    <w:name w:val="引用 字符"/>
    <w:basedOn w:val="a0"/>
    <w:link w:val="a7"/>
    <w:uiPriority w:val="29"/>
    <w:rsid w:val="00B10228"/>
    <w:rPr>
      <w:i/>
      <w:iCs/>
      <w:color w:val="404040" w:themeColor="text1" w:themeTint="BF"/>
    </w:rPr>
  </w:style>
  <w:style w:type="paragraph" w:styleId="a9">
    <w:name w:val="List Paragraph"/>
    <w:basedOn w:val="a"/>
    <w:uiPriority w:val="34"/>
    <w:qFormat/>
    <w:rsid w:val="00B10228"/>
    <w:pPr>
      <w:ind w:left="720"/>
      <w:contextualSpacing/>
    </w:pPr>
  </w:style>
  <w:style w:type="character" w:styleId="aa">
    <w:name w:val="Intense Emphasis"/>
    <w:basedOn w:val="a0"/>
    <w:uiPriority w:val="21"/>
    <w:qFormat/>
    <w:rsid w:val="00B10228"/>
    <w:rPr>
      <w:i/>
      <w:iCs/>
      <w:color w:val="0F4761" w:themeColor="accent1" w:themeShade="BF"/>
    </w:rPr>
  </w:style>
  <w:style w:type="paragraph" w:styleId="ab">
    <w:name w:val="Intense Quote"/>
    <w:basedOn w:val="a"/>
    <w:next w:val="a"/>
    <w:link w:val="ac"/>
    <w:uiPriority w:val="30"/>
    <w:qFormat/>
    <w:rsid w:val="00B102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B10228"/>
    <w:rPr>
      <w:i/>
      <w:iCs/>
      <w:color w:val="0F4761" w:themeColor="accent1" w:themeShade="BF"/>
    </w:rPr>
  </w:style>
  <w:style w:type="character" w:styleId="ad">
    <w:name w:val="Intense Reference"/>
    <w:basedOn w:val="a0"/>
    <w:uiPriority w:val="32"/>
    <w:qFormat/>
    <w:rsid w:val="00B10228"/>
    <w:rPr>
      <w:b/>
      <w:bCs/>
      <w:smallCaps/>
      <w:color w:val="0F4761" w:themeColor="accent1" w:themeShade="BF"/>
      <w:spacing w:val="5"/>
    </w:rPr>
  </w:style>
  <w:style w:type="table" w:styleId="ae">
    <w:name w:val="Table Grid"/>
    <w:basedOn w:val="a1"/>
    <w:uiPriority w:val="39"/>
    <w:rsid w:val="00F500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11">
    <w:name w:val="Grid Table 1 Light"/>
    <w:basedOn w:val="a1"/>
    <w:uiPriority w:val="46"/>
    <w:rsid w:val="00F50094"/>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af">
    <w:name w:val="Grid Table Light"/>
    <w:basedOn w:val="a1"/>
    <w:uiPriority w:val="40"/>
    <w:rsid w:val="00F5009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51">
    <w:name w:val="Grid Table 5 Dark"/>
    <w:basedOn w:val="a1"/>
    <w:uiPriority w:val="50"/>
    <w:rsid w:val="00F5009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5-1">
    <w:name w:val="Grid Table 5 Dark Accent 1"/>
    <w:basedOn w:val="a1"/>
    <w:uiPriority w:val="50"/>
    <w:rsid w:val="00F5009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5-2">
    <w:name w:val="Grid Table 5 Dark Accent 2"/>
    <w:basedOn w:val="a1"/>
    <w:uiPriority w:val="50"/>
    <w:rsid w:val="00F5009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table" w:styleId="5-4">
    <w:name w:val="Grid Table 5 Dark Accent 4"/>
    <w:basedOn w:val="a1"/>
    <w:uiPriority w:val="50"/>
    <w:rsid w:val="00F5009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5-5">
    <w:name w:val="Grid Table 5 Dark Accent 5"/>
    <w:basedOn w:val="a1"/>
    <w:uiPriority w:val="50"/>
    <w:rsid w:val="00F5009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table" w:styleId="5-6">
    <w:name w:val="Grid Table 5 Dark Accent 6"/>
    <w:basedOn w:val="a1"/>
    <w:uiPriority w:val="50"/>
    <w:rsid w:val="00F5009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table" w:styleId="4-1">
    <w:name w:val="Grid Table 4 Accent 1"/>
    <w:basedOn w:val="a1"/>
    <w:uiPriority w:val="49"/>
    <w:rsid w:val="00F24018"/>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21">
    <w:name w:val="Plain Table 2"/>
    <w:basedOn w:val="a1"/>
    <w:uiPriority w:val="42"/>
    <w:rsid w:val="00432896"/>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3-1">
    <w:name w:val="List Table 3 Accent 1"/>
    <w:basedOn w:val="a1"/>
    <w:uiPriority w:val="48"/>
    <w:rsid w:val="00432896"/>
    <w:pPr>
      <w:spacing w:after="0" w:line="240" w:lineRule="auto"/>
    </w:pPr>
    <w:tblPr>
      <w:tblStyleRowBandSize w:val="1"/>
      <w:tblStyleColBandSize w:val="1"/>
      <w:tblBorders>
        <w:top w:val="single" w:sz="4" w:space="0" w:color="156082" w:themeColor="accent1"/>
        <w:left w:val="single" w:sz="4" w:space="0" w:color="156082" w:themeColor="accent1"/>
        <w:bottom w:val="single" w:sz="4" w:space="0" w:color="156082" w:themeColor="accent1"/>
        <w:right w:val="single" w:sz="4" w:space="0" w:color="156082" w:themeColor="accent1"/>
      </w:tblBorders>
    </w:tblPr>
    <w:tblStylePr w:type="firstRow">
      <w:rPr>
        <w:b/>
        <w:bCs/>
        <w:color w:val="FFFFFF" w:themeColor="background1"/>
      </w:rPr>
      <w:tblPr/>
      <w:tcPr>
        <w:shd w:val="clear" w:color="auto" w:fill="156082" w:themeFill="accent1"/>
      </w:tcPr>
    </w:tblStylePr>
    <w:tblStylePr w:type="lastRow">
      <w:rPr>
        <w:b/>
        <w:bCs/>
      </w:rPr>
      <w:tblPr/>
      <w:tcPr>
        <w:tcBorders>
          <w:top w:val="double" w:sz="4" w:space="0" w:color="156082"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56082" w:themeColor="accent1"/>
          <w:right w:val="single" w:sz="4" w:space="0" w:color="156082" w:themeColor="accent1"/>
        </w:tcBorders>
      </w:tcPr>
    </w:tblStylePr>
    <w:tblStylePr w:type="band1Horz">
      <w:tblPr/>
      <w:tcPr>
        <w:tcBorders>
          <w:top w:val="single" w:sz="4" w:space="0" w:color="156082" w:themeColor="accent1"/>
          <w:bottom w:val="single" w:sz="4" w:space="0" w:color="156082"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56082" w:themeColor="accent1"/>
          <w:left w:val="nil"/>
        </w:tcBorders>
      </w:tcPr>
    </w:tblStylePr>
    <w:tblStylePr w:type="swCell">
      <w:tblPr/>
      <w:tcPr>
        <w:tcBorders>
          <w:top w:val="double" w:sz="4" w:space="0" w:color="156082" w:themeColor="accent1"/>
          <w:right w:val="nil"/>
        </w:tcBorders>
      </w:tcPr>
    </w:tblStylePr>
  </w:style>
  <w:style w:type="table" w:styleId="5-10">
    <w:name w:val="List Table 5 Dark Accent 1"/>
    <w:basedOn w:val="a1"/>
    <w:uiPriority w:val="50"/>
    <w:rsid w:val="00432896"/>
    <w:pPr>
      <w:spacing w:after="0" w:line="240" w:lineRule="auto"/>
    </w:pPr>
    <w:rPr>
      <w:color w:val="FFFFFF" w:themeColor="background1"/>
    </w:rPr>
    <w:tblPr>
      <w:tblStyleRowBandSize w:val="1"/>
      <w:tblStyleColBandSize w:val="1"/>
      <w:tblBorders>
        <w:top w:val="single" w:sz="24" w:space="0" w:color="156082" w:themeColor="accent1"/>
        <w:left w:val="single" w:sz="24" w:space="0" w:color="156082" w:themeColor="accent1"/>
        <w:bottom w:val="single" w:sz="24" w:space="0" w:color="156082" w:themeColor="accent1"/>
        <w:right w:val="single" w:sz="24" w:space="0" w:color="156082" w:themeColor="accent1"/>
      </w:tblBorders>
    </w:tblPr>
    <w:tcPr>
      <w:shd w:val="clear" w:color="auto" w:fill="156082"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5-40">
    <w:name w:val="List Table 5 Dark Accent 4"/>
    <w:basedOn w:val="a1"/>
    <w:uiPriority w:val="50"/>
    <w:rsid w:val="00432896"/>
    <w:pPr>
      <w:spacing w:after="0" w:line="240" w:lineRule="auto"/>
    </w:pPr>
    <w:rPr>
      <w:color w:val="FFFFFF" w:themeColor="background1"/>
    </w:rPr>
    <w:tblPr>
      <w:tblStyleRowBandSize w:val="1"/>
      <w:tblStyleColBandSize w:val="1"/>
      <w:tblBorders>
        <w:top w:val="single" w:sz="24" w:space="0" w:color="0F9ED5" w:themeColor="accent4"/>
        <w:left w:val="single" w:sz="24" w:space="0" w:color="0F9ED5" w:themeColor="accent4"/>
        <w:bottom w:val="single" w:sz="24" w:space="0" w:color="0F9ED5" w:themeColor="accent4"/>
        <w:right w:val="single" w:sz="24" w:space="0" w:color="0F9ED5" w:themeColor="accent4"/>
      </w:tblBorders>
    </w:tblPr>
    <w:tcPr>
      <w:shd w:val="clear" w:color="auto" w:fill="83CAEB" w:themeFill="accent1" w:themeFillTint="6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5-20">
    <w:name w:val="List Table 5 Dark Accent 2"/>
    <w:basedOn w:val="a1"/>
    <w:uiPriority w:val="50"/>
    <w:rsid w:val="006400A8"/>
    <w:pPr>
      <w:spacing w:after="0" w:line="240" w:lineRule="auto"/>
    </w:pPr>
    <w:rPr>
      <w:color w:val="FFFFFF" w:themeColor="background1"/>
    </w:rPr>
    <w:tblPr>
      <w:tblStyleRowBandSize w:val="1"/>
      <w:tblStyleColBandSize w:val="1"/>
      <w:tblBorders>
        <w:top w:val="single" w:sz="24" w:space="0" w:color="E97132" w:themeColor="accent2"/>
        <w:left w:val="single" w:sz="24" w:space="0" w:color="E97132" w:themeColor="accent2"/>
        <w:bottom w:val="single" w:sz="24" w:space="0" w:color="E97132" w:themeColor="accent2"/>
        <w:right w:val="single" w:sz="24" w:space="0" w:color="E97132" w:themeColor="accent2"/>
      </w:tblBorders>
    </w:tblPr>
    <w:tcPr>
      <w:shd w:val="clear" w:color="auto" w:fill="E97132"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character" w:styleId="af0">
    <w:name w:val="Hyperlink"/>
    <w:basedOn w:val="a0"/>
    <w:uiPriority w:val="99"/>
    <w:unhideWhenUsed/>
    <w:rsid w:val="000B4028"/>
    <w:rPr>
      <w:color w:val="467886" w:themeColor="hyperlink"/>
      <w:u w:val="single"/>
    </w:rPr>
  </w:style>
  <w:style w:type="character" w:styleId="af1">
    <w:name w:val="Unresolved Mention"/>
    <w:basedOn w:val="a0"/>
    <w:uiPriority w:val="99"/>
    <w:semiHidden/>
    <w:unhideWhenUsed/>
    <w:rsid w:val="000B4028"/>
    <w:rPr>
      <w:color w:val="605E5C"/>
      <w:shd w:val="clear" w:color="auto" w:fill="E1DFDD"/>
    </w:rPr>
  </w:style>
  <w:style w:type="character" w:styleId="af2">
    <w:name w:val="FollowedHyperlink"/>
    <w:basedOn w:val="a0"/>
    <w:uiPriority w:val="99"/>
    <w:semiHidden/>
    <w:unhideWhenUsed/>
    <w:rsid w:val="000B4028"/>
    <w:rPr>
      <w:color w:val="96607D" w:themeColor="followedHyperlink"/>
      <w:u w:val="single"/>
    </w:rPr>
  </w:style>
  <w:style w:type="paragraph" w:styleId="TOC">
    <w:name w:val="TOC Heading"/>
    <w:basedOn w:val="1"/>
    <w:next w:val="a"/>
    <w:uiPriority w:val="39"/>
    <w:unhideWhenUsed/>
    <w:qFormat/>
    <w:rsid w:val="005A6862"/>
    <w:pPr>
      <w:widowControl/>
      <w:spacing w:after="0" w:line="276" w:lineRule="auto"/>
      <w:outlineLvl w:val="9"/>
    </w:pPr>
    <w:rPr>
      <w:b/>
      <w:bCs/>
      <w:kern w:val="0"/>
      <w:sz w:val="28"/>
      <w:szCs w:val="28"/>
      <w14:ligatures w14:val="none"/>
    </w:rPr>
  </w:style>
  <w:style w:type="paragraph" w:styleId="TOC1">
    <w:name w:val="toc 1"/>
    <w:basedOn w:val="a"/>
    <w:next w:val="a"/>
    <w:autoRedefine/>
    <w:uiPriority w:val="39"/>
    <w:unhideWhenUsed/>
    <w:rsid w:val="005A6862"/>
    <w:pPr>
      <w:spacing w:before="120" w:after="120"/>
    </w:pPr>
    <w:rPr>
      <w:rFonts w:eastAsiaTheme="minorHAnsi"/>
      <w:b/>
      <w:bCs/>
      <w:caps/>
      <w:sz w:val="20"/>
      <w:szCs w:val="20"/>
    </w:rPr>
  </w:style>
  <w:style w:type="paragraph" w:styleId="TOC2">
    <w:name w:val="toc 2"/>
    <w:basedOn w:val="a"/>
    <w:next w:val="a"/>
    <w:autoRedefine/>
    <w:uiPriority w:val="39"/>
    <w:unhideWhenUsed/>
    <w:rsid w:val="005A6862"/>
    <w:pPr>
      <w:spacing w:after="0"/>
      <w:ind w:left="220"/>
    </w:pPr>
    <w:rPr>
      <w:rFonts w:eastAsiaTheme="minorHAnsi"/>
      <w:smallCaps/>
      <w:sz w:val="20"/>
      <w:szCs w:val="20"/>
    </w:rPr>
  </w:style>
  <w:style w:type="paragraph" w:styleId="TOC3">
    <w:name w:val="toc 3"/>
    <w:basedOn w:val="a"/>
    <w:next w:val="a"/>
    <w:autoRedefine/>
    <w:uiPriority w:val="39"/>
    <w:semiHidden/>
    <w:unhideWhenUsed/>
    <w:rsid w:val="005A6862"/>
    <w:pPr>
      <w:spacing w:after="0"/>
      <w:ind w:left="440"/>
    </w:pPr>
    <w:rPr>
      <w:rFonts w:eastAsiaTheme="minorHAnsi"/>
      <w:i/>
      <w:iCs/>
      <w:sz w:val="20"/>
      <w:szCs w:val="20"/>
    </w:rPr>
  </w:style>
  <w:style w:type="paragraph" w:styleId="TOC4">
    <w:name w:val="toc 4"/>
    <w:basedOn w:val="a"/>
    <w:next w:val="a"/>
    <w:autoRedefine/>
    <w:uiPriority w:val="39"/>
    <w:semiHidden/>
    <w:unhideWhenUsed/>
    <w:rsid w:val="005A6862"/>
    <w:pPr>
      <w:spacing w:after="0"/>
      <w:ind w:left="660"/>
    </w:pPr>
    <w:rPr>
      <w:rFonts w:eastAsiaTheme="minorHAnsi"/>
      <w:sz w:val="18"/>
      <w:szCs w:val="18"/>
    </w:rPr>
  </w:style>
  <w:style w:type="paragraph" w:styleId="TOC5">
    <w:name w:val="toc 5"/>
    <w:basedOn w:val="a"/>
    <w:next w:val="a"/>
    <w:autoRedefine/>
    <w:uiPriority w:val="39"/>
    <w:semiHidden/>
    <w:unhideWhenUsed/>
    <w:rsid w:val="005A6862"/>
    <w:pPr>
      <w:spacing w:after="0"/>
      <w:ind w:left="880"/>
    </w:pPr>
    <w:rPr>
      <w:rFonts w:eastAsiaTheme="minorHAnsi"/>
      <w:sz w:val="18"/>
      <w:szCs w:val="18"/>
    </w:rPr>
  </w:style>
  <w:style w:type="paragraph" w:styleId="TOC6">
    <w:name w:val="toc 6"/>
    <w:basedOn w:val="a"/>
    <w:next w:val="a"/>
    <w:autoRedefine/>
    <w:uiPriority w:val="39"/>
    <w:semiHidden/>
    <w:unhideWhenUsed/>
    <w:rsid w:val="005A6862"/>
    <w:pPr>
      <w:spacing w:after="0"/>
      <w:ind w:left="1100"/>
    </w:pPr>
    <w:rPr>
      <w:rFonts w:eastAsiaTheme="minorHAnsi"/>
      <w:sz w:val="18"/>
      <w:szCs w:val="18"/>
    </w:rPr>
  </w:style>
  <w:style w:type="paragraph" w:styleId="TOC7">
    <w:name w:val="toc 7"/>
    <w:basedOn w:val="a"/>
    <w:next w:val="a"/>
    <w:autoRedefine/>
    <w:uiPriority w:val="39"/>
    <w:semiHidden/>
    <w:unhideWhenUsed/>
    <w:rsid w:val="005A6862"/>
    <w:pPr>
      <w:spacing w:after="0"/>
      <w:ind w:left="1320"/>
    </w:pPr>
    <w:rPr>
      <w:rFonts w:eastAsiaTheme="minorHAnsi"/>
      <w:sz w:val="18"/>
      <w:szCs w:val="18"/>
    </w:rPr>
  </w:style>
  <w:style w:type="paragraph" w:styleId="TOC8">
    <w:name w:val="toc 8"/>
    <w:basedOn w:val="a"/>
    <w:next w:val="a"/>
    <w:autoRedefine/>
    <w:uiPriority w:val="39"/>
    <w:semiHidden/>
    <w:unhideWhenUsed/>
    <w:rsid w:val="005A6862"/>
    <w:pPr>
      <w:spacing w:after="0"/>
      <w:ind w:left="1540"/>
    </w:pPr>
    <w:rPr>
      <w:rFonts w:eastAsiaTheme="minorHAnsi"/>
      <w:sz w:val="18"/>
      <w:szCs w:val="18"/>
    </w:rPr>
  </w:style>
  <w:style w:type="paragraph" w:styleId="TOC9">
    <w:name w:val="toc 9"/>
    <w:basedOn w:val="a"/>
    <w:next w:val="a"/>
    <w:autoRedefine/>
    <w:uiPriority w:val="39"/>
    <w:semiHidden/>
    <w:unhideWhenUsed/>
    <w:rsid w:val="005A6862"/>
    <w:pPr>
      <w:spacing w:after="0"/>
      <w:ind w:left="1760"/>
    </w:pPr>
    <w:rPr>
      <w:rFonts w:eastAsiaTheme="minorHAnsi"/>
      <w:sz w:val="18"/>
      <w:szCs w:val="18"/>
    </w:rPr>
  </w:style>
  <w:style w:type="paragraph" w:customStyle="1" w:styleId="font-claude-response-body">
    <w:name w:val="font-claude-response-body"/>
    <w:basedOn w:val="a"/>
    <w:rsid w:val="0009460D"/>
    <w:pPr>
      <w:widowControl/>
      <w:spacing w:before="100" w:beforeAutospacing="1" w:after="100" w:afterAutospacing="1" w:line="240" w:lineRule="auto"/>
    </w:pPr>
    <w:rPr>
      <w:rFonts w:ascii="Times New Roman" w:eastAsia="宋体" w:hAnsi="Times New Roman" w:cs="Times New Roman"/>
      <w:kern w:val="0"/>
      <w:sz w:val="24"/>
      <w14:ligatures w14:val="none"/>
    </w:rPr>
  </w:style>
  <w:style w:type="character" w:customStyle="1" w:styleId="15">
    <w:name w:val="15"/>
    <w:basedOn w:val="a0"/>
    <w:rsid w:val="0009460D"/>
    <w:rPr>
      <w:rFonts w:ascii="Arial" w:hAnsi="Arial" w:cs="Arial" w:hint="default"/>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lex.europa.eu/legal-content/EN/TXT/?uri=CELEX:32022L2464" TargetMode="External"/><Relationship Id="rId13" Type="http://schemas.openxmlformats.org/officeDocument/2006/relationships/hyperlink" Target="https://www.esgdive.com/news/unilever-scale-back-esg-pledges-focused-plastic-usage-diversity/713882/" TargetMode="External"/><Relationship Id="rId18" Type="http://schemas.openxmlformats.org/officeDocument/2006/relationships/hyperlink" Target="https://www.unilever.com/news/press-and-media/press-releases/2024/implementing-growth-action-plan-at-pace/" TargetMode="External"/><Relationship Id="rId26" Type="http://schemas.openxmlformats.org/officeDocument/2006/relationships/hyperlink" Target="https://www.unilever.com/suppliers/supplier-climate-programme/" TargetMode="External"/><Relationship Id="rId3" Type="http://schemas.openxmlformats.org/officeDocument/2006/relationships/styles" Target="styles.xml"/><Relationship Id="rId21" Type="http://schemas.openxmlformats.org/officeDocument/2006/relationships/hyperlink" Target="https://www.unilever.com/news/press-and-media/press-releases/2025/hul-to-acquire-premium-beauty-brand-minimalist/" TargetMode="External"/><Relationship Id="rId7" Type="http://schemas.openxmlformats.org/officeDocument/2006/relationships/image" Target="media/image2.jpeg"/><Relationship Id="rId12" Type="http://schemas.openxmlformats.org/officeDocument/2006/relationships/hyperlink" Target="https://www.campaignindonesia.id/en/article/boikot-berkepanjangan-tantangan-unilever-memulihkan-citra-merek-di-indonesia/1909841" TargetMode="External"/><Relationship Id="rId17" Type="http://schemas.openxmlformats.org/officeDocument/2006/relationships/hyperlink" Target="https://www.unilever.com/files/unilever-annual-report-and-accounts-2024.pdf" TargetMode="External"/><Relationship Id="rId25" Type="http://schemas.openxmlformats.org/officeDocument/2006/relationships/hyperlink" Target="https://www.unilever.com/sustainability/plastics/" TargetMode="External"/><Relationship Id="rId2" Type="http://schemas.openxmlformats.org/officeDocument/2006/relationships/numbering" Target="numbering.xml"/><Relationship Id="rId16" Type="http://schemas.openxmlformats.org/officeDocument/2006/relationships/hyperlink" Target="https://www.unilever.com/files/unilever-annual-report-on-form-20-f-2024.pdf" TargetMode="External"/><Relationship Id="rId20" Type="http://schemas.openxmlformats.org/officeDocument/2006/relationships/hyperlink" Target="https://www.unilever.com/sustainability/climate/"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klover.ai/unilever-ai-strategy-analysis-of-dominance-in-consumer-packaged-goods/" TargetMode="External"/><Relationship Id="rId24" Type="http://schemas.openxmlformats.org/officeDocument/2006/relationships/hyperlink" Target="https://www.unilever.com/working-at-unilever/careers/" TargetMode="External"/><Relationship Id="rId5" Type="http://schemas.openxmlformats.org/officeDocument/2006/relationships/webSettings" Target="webSettings.xml"/><Relationship Id="rId15" Type="http://schemas.openxmlformats.org/officeDocument/2006/relationships/hyperlink" Target="https://www.unilever.com/files/92ui5egz/production/b09c3510ee7cec58440d5f044f02bdefe85aa186.pdf" TargetMode="External"/><Relationship Id="rId23" Type="http://schemas.openxmlformats.org/officeDocument/2006/relationships/hyperlink" Target="https://www.unilever.co.id/en//our-company/" TargetMode="External"/><Relationship Id="rId28" Type="http://schemas.openxmlformats.org/officeDocument/2006/relationships/theme" Target="theme/theme1.xml"/><Relationship Id="rId10" Type="http://schemas.openxmlformats.org/officeDocument/2006/relationships/hyperlink" Target="https://www.retaildive.com/news/unilever-acquires-hair-care-brand-k18/703348/" TargetMode="External"/><Relationship Id="rId19" Type="http://schemas.openxmlformats.org/officeDocument/2006/relationships/hyperlink" Target="https://www.unilever.com/news/news-search/2025/how-premiumisation-is-powering-growth-for-unilevers-beauty-brands/" TargetMode="External"/><Relationship Id="rId4" Type="http://schemas.openxmlformats.org/officeDocument/2006/relationships/settings" Target="settings.xml"/><Relationship Id="rId9" Type="http://schemas.openxmlformats.org/officeDocument/2006/relationships/hyperlink" Target="https://www.greenpeace.org/static/planet4-international-stateless/2023/11/6cf67ce7-unilever-uncovered.pdf" TargetMode="External"/><Relationship Id="rId14" Type="http://schemas.openxmlformats.org/officeDocument/2006/relationships/hyperlink" Target="https://www.skyquestt.com/report/fmcg-market" TargetMode="External"/><Relationship Id="rId22" Type="http://schemas.openxmlformats.org/officeDocument/2006/relationships/hyperlink" Target="https://www.unilever.com/files/unilever-annual-report-and-accounts-2025.pdf" TargetMode="External"/><Relationship Id="rId27"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B53710-613A-FF45-8B56-D0E73F1C09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357</TotalTime>
  <Pages>19</Pages>
  <Words>3936</Words>
  <Characters>24996</Characters>
  <Application>Microsoft Office Word</Application>
  <DocSecurity>0</DocSecurity>
  <Lines>595</Lines>
  <Paragraphs>256</Paragraphs>
  <ScaleCrop>false</ScaleCrop>
  <Company/>
  <LinksUpToDate>false</LinksUpToDate>
  <CharactersWithSpaces>28676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钰清 崔</dc:creator>
  <cp:keywords/>
  <dc:description/>
  <cp:lastModifiedBy>Yuqing Cui (2500104)</cp:lastModifiedBy>
  <cp:revision>8</cp:revision>
  <dcterms:created xsi:type="dcterms:W3CDTF">2026-03-13T13:52:00Z</dcterms:created>
  <dcterms:modified xsi:type="dcterms:W3CDTF">2026-03-26T13:49:00Z</dcterms:modified>
</cp:coreProperties>
</file>