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3204341"/>
        <w:docPartObj>
          <w:docPartGallery w:val="Cover Pages"/>
          <w:docPartUnique/>
        </w:docPartObj>
      </w:sdtPr>
      <w:sdtEndPr>
        <w:rPr>
          <w:rFonts w:ascii="Times New Roman" w:eastAsia="Times New Roman" w:hAnsi="Times New Roman" w:cs="Times New Roman"/>
          <w:b/>
          <w:bCs/>
          <w:kern w:val="36"/>
          <w:sz w:val="48"/>
          <w:szCs w:val="48"/>
          <w:lang w:eastAsia="en-GB"/>
        </w:rPr>
      </w:sdtEndPr>
      <w:sdtContent>
        <w:p w14:paraId="4BA8116B" w14:textId="49CA296D" w:rsidR="00D44C01" w:rsidRDefault="00D44C01">
          <w:r>
            <w:rPr>
              <w:noProof/>
            </w:rPr>
            <mc:AlternateContent>
              <mc:Choice Requires="wps">
                <w:drawing>
                  <wp:anchor distT="0" distB="0" distL="114300" distR="114300" simplePos="0" relativeHeight="251661312" behindDoc="0" locked="0" layoutInCell="1" allowOverlap="1" wp14:anchorId="09B118B5" wp14:editId="6A0D7B45">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C9F91C1" w14:textId="1BD22FA2" w:rsidR="00D44C01" w:rsidRDefault="00D44C01">
                                    <w:pPr>
                                      <w:pStyle w:val="NoSpacing"/>
                                      <w:spacing w:after="480"/>
                                      <w:rPr>
                                        <w:i/>
                                        <w:color w:val="262626" w:themeColor="text1" w:themeTint="D9"/>
                                        <w:sz w:val="32"/>
                                        <w:szCs w:val="32"/>
                                      </w:rPr>
                                    </w:pPr>
                                    <w:r>
                                      <w:rPr>
                                        <w:i/>
                                        <w:color w:val="262626" w:themeColor="text1" w:themeTint="D9"/>
                                        <w:sz w:val="32"/>
                                        <w:szCs w:val="32"/>
                                      </w:rPr>
                                      <w:t>Marius-Catalin Bobitiu</w:t>
                                    </w:r>
                                  </w:p>
                                </w:sdtContent>
                              </w:sdt>
                              <w:p w14:paraId="00A75908" w14:textId="7AE15271" w:rsidR="00D44C01" w:rsidRDefault="00D44C01">
                                <w:pPr>
                                  <w:pStyle w:val="NoSpacing"/>
                                  <w:rPr>
                                    <w:i/>
                                    <w:color w:val="262626" w:themeColor="text1" w:themeTint="D9"/>
                                    <w:sz w:val="26"/>
                                    <w:szCs w:val="26"/>
                                  </w:rPr>
                                </w:pPr>
                                <w:r>
                                  <w:rPr>
                                    <w:i/>
                                    <w:color w:val="262626" w:themeColor="text1" w:themeTint="D9"/>
                                    <w:sz w:val="26"/>
                                    <w:szCs w:val="26"/>
                                  </w:rPr>
                                  <w:t>StudentID: 1813436</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9B118B5"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C9F91C1" w14:textId="1BD22FA2" w:rsidR="00D44C01" w:rsidRDefault="00D44C01">
                              <w:pPr>
                                <w:pStyle w:val="NoSpacing"/>
                                <w:spacing w:after="480"/>
                                <w:rPr>
                                  <w:i/>
                                  <w:color w:val="262626" w:themeColor="text1" w:themeTint="D9"/>
                                  <w:sz w:val="32"/>
                                  <w:szCs w:val="32"/>
                                </w:rPr>
                              </w:pPr>
                              <w:r>
                                <w:rPr>
                                  <w:i/>
                                  <w:color w:val="262626" w:themeColor="text1" w:themeTint="D9"/>
                                  <w:sz w:val="32"/>
                                  <w:szCs w:val="32"/>
                                </w:rPr>
                                <w:t>Marius-Catalin Bobitiu</w:t>
                              </w:r>
                            </w:p>
                          </w:sdtContent>
                        </w:sdt>
                        <w:p w14:paraId="00A75908" w14:textId="7AE15271" w:rsidR="00D44C01" w:rsidRDefault="00D44C01">
                          <w:pPr>
                            <w:pStyle w:val="NoSpacing"/>
                            <w:rPr>
                              <w:i/>
                              <w:color w:val="262626" w:themeColor="text1" w:themeTint="D9"/>
                              <w:sz w:val="26"/>
                              <w:szCs w:val="26"/>
                            </w:rPr>
                          </w:pPr>
                          <w:r>
                            <w:rPr>
                              <w:i/>
                              <w:color w:val="262626" w:themeColor="text1" w:themeTint="D9"/>
                              <w:sz w:val="26"/>
                              <w:szCs w:val="26"/>
                            </w:rPr>
                            <w:t>StudentID: 1813436</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23EE3A7" wp14:editId="61B0527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833D220"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4595090" wp14:editId="3174854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60CD448" w14:textId="1EFCC174" w:rsidR="00D44C01" w:rsidRDefault="00D44C01">
                                    <w:pPr>
                                      <w:pStyle w:val="NoSpacing"/>
                                      <w:spacing w:after="900"/>
                                      <w:rPr>
                                        <w:rFonts w:asciiTheme="majorHAnsi" w:hAnsiTheme="majorHAnsi"/>
                                        <w:i/>
                                        <w:caps/>
                                        <w:color w:val="262626" w:themeColor="text1" w:themeTint="D9"/>
                                        <w:sz w:val="120"/>
                                        <w:szCs w:val="120"/>
                                      </w:rPr>
                                    </w:pPr>
                                    <w:r w:rsidRPr="00D44C01">
                                      <w:rPr>
                                        <w:rFonts w:asciiTheme="majorHAnsi" w:hAnsiTheme="majorHAnsi"/>
                                        <w:i/>
                                        <w:caps/>
                                        <w:color w:val="262626" w:themeColor="text1" w:themeTint="D9"/>
                                        <w:sz w:val="120"/>
                                        <w:szCs w:val="120"/>
                                      </w:rPr>
                                      <w:t>Data Warehousing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538BFB5" w14:textId="5F35F28D" w:rsidR="00D44C01" w:rsidRDefault="00D44C01">
                                    <w:pPr>
                                      <w:pStyle w:val="NoSpacing"/>
                                      <w:rPr>
                                        <w:i/>
                                        <w:color w:val="262626" w:themeColor="text1" w:themeTint="D9"/>
                                        <w:sz w:val="36"/>
                                        <w:szCs w:val="36"/>
                                      </w:rPr>
                                    </w:pPr>
                                    <w:r>
                                      <w:rPr>
                                        <w:color w:val="262626" w:themeColor="text1" w:themeTint="D9"/>
                                        <w:sz w:val="36"/>
                                        <w:szCs w:val="36"/>
                                      </w:rPr>
                                      <w:t>Assessment 1</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4595090"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60CD448" w14:textId="1EFCC174" w:rsidR="00D44C01" w:rsidRDefault="00D44C01">
                              <w:pPr>
                                <w:pStyle w:val="NoSpacing"/>
                                <w:spacing w:after="900"/>
                                <w:rPr>
                                  <w:rFonts w:asciiTheme="majorHAnsi" w:hAnsiTheme="majorHAnsi"/>
                                  <w:i/>
                                  <w:caps/>
                                  <w:color w:val="262626" w:themeColor="text1" w:themeTint="D9"/>
                                  <w:sz w:val="120"/>
                                  <w:szCs w:val="120"/>
                                </w:rPr>
                              </w:pPr>
                              <w:r w:rsidRPr="00D44C01">
                                <w:rPr>
                                  <w:rFonts w:asciiTheme="majorHAnsi" w:hAnsiTheme="majorHAnsi"/>
                                  <w:i/>
                                  <w:caps/>
                                  <w:color w:val="262626" w:themeColor="text1" w:themeTint="D9"/>
                                  <w:sz w:val="120"/>
                                  <w:szCs w:val="120"/>
                                </w:rPr>
                                <w:t>Data Warehousing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538BFB5" w14:textId="5F35F28D" w:rsidR="00D44C01" w:rsidRDefault="00D44C01">
                              <w:pPr>
                                <w:pStyle w:val="NoSpacing"/>
                                <w:rPr>
                                  <w:i/>
                                  <w:color w:val="262626" w:themeColor="text1" w:themeTint="D9"/>
                                  <w:sz w:val="36"/>
                                  <w:szCs w:val="36"/>
                                </w:rPr>
                              </w:pPr>
                              <w:r>
                                <w:rPr>
                                  <w:color w:val="262626" w:themeColor="text1" w:themeTint="D9"/>
                                  <w:sz w:val="36"/>
                                  <w:szCs w:val="36"/>
                                </w:rPr>
                                <w:t>Assessment 1</w:t>
                              </w:r>
                            </w:p>
                          </w:sdtContent>
                        </w:sdt>
                      </w:txbxContent>
                    </v:textbox>
                    <w10:wrap anchorx="page" anchory="page"/>
                  </v:shape>
                </w:pict>
              </mc:Fallback>
            </mc:AlternateContent>
          </w:r>
        </w:p>
        <w:p w14:paraId="62082F21" w14:textId="4DCB39CA" w:rsidR="00D44C01" w:rsidRDefault="00D44C01">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br w:type="page"/>
          </w:r>
        </w:p>
      </w:sdtContent>
    </w:sdt>
    <w:p w14:paraId="4C43A353" w14:textId="6E738D7F" w:rsidR="00D44C01" w:rsidRPr="00D44C01" w:rsidRDefault="00D44C01" w:rsidP="00D44C0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D44C01">
        <w:rPr>
          <w:rFonts w:ascii="Times New Roman" w:eastAsia="Times New Roman" w:hAnsi="Times New Roman" w:cs="Times New Roman"/>
          <w:b/>
          <w:bCs/>
          <w:kern w:val="36"/>
          <w:sz w:val="48"/>
          <w:szCs w:val="48"/>
          <w:lang w:eastAsia="en-GB"/>
        </w:rPr>
        <w:lastRenderedPageBreak/>
        <w:t>Task 1 – Strategic Data Warehousing Proposal for DHL Supply Chain UK &amp; Ireland</w:t>
      </w:r>
    </w:p>
    <w:p w14:paraId="59DD7B72" w14:textId="77777777"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p>
    <w:p w14:paraId="4021BE65" w14:textId="5B2F8BA7" w:rsidR="00D44C01" w:rsidRPr="00D44C01" w:rsidRDefault="00D44C01" w:rsidP="00D44C0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44C01">
        <w:rPr>
          <w:rFonts w:ascii="Times New Roman" w:eastAsia="Times New Roman" w:hAnsi="Times New Roman" w:cs="Times New Roman"/>
          <w:b/>
          <w:bCs/>
          <w:sz w:val="36"/>
          <w:szCs w:val="36"/>
          <w:lang w:eastAsia="en-GB"/>
        </w:rPr>
        <w:t>Introduction</w:t>
      </w:r>
    </w:p>
    <w:p w14:paraId="21528EC3" w14:textId="2E0D9C3D"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DHL Supply Chain operates across multiple UK and European locations and manages a large amount of operational data from warehousing, transport, client contracts, and financial processes. In the case study, the main issue is not that data is missing, but that it is spread across several systems and sites, making it difficult for management to gain a single, reliable view of performance. This creates problems when trying to monitor bottlenecks, assess profitability, improve warehouse utilisation, and respond quickly to changes in the market.  </w:t>
      </w:r>
    </w:p>
    <w:p w14:paraId="4339759F" w14:textId="1CB3854D"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A data warehouse would help DHL bring together information from different systems into one central environment designed for reporting and decision-making. This is especially important in a business such as DHL, where shipments, orders, inventory, transport, clients, and finance are closely connected. The following sections explain the difference between DHL’s current operational systems and a data warehouse, how a warehouse architecture and ETL process could work, how data marts could support different directors, and how dimensional modelling differs from the normalised structures typically used in OLTP systems.  </w:t>
      </w:r>
    </w:p>
    <w:p w14:paraId="66A5A6FF" w14:textId="565BD97D" w:rsidR="00D44C01" w:rsidRPr="00D44C01" w:rsidRDefault="00D44C01" w:rsidP="00D44C0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44C01">
        <w:rPr>
          <w:rFonts w:ascii="Times New Roman" w:eastAsia="Times New Roman" w:hAnsi="Times New Roman" w:cs="Times New Roman"/>
          <w:b/>
          <w:bCs/>
          <w:sz w:val="36"/>
          <w:szCs w:val="36"/>
          <w:lang w:eastAsia="en-GB"/>
        </w:rPr>
        <w:t>1.1 OLTP vs Data Warehouse</w:t>
      </w:r>
    </w:p>
    <w:p w14:paraId="5132E2C4" w14:textId="4A0D680C"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An Online Transaction Processing system, or OLTP system, is designed to handle day-to-day business transactions quickly and accurately. In DHL’s case, this includes systems such as the Warehouse Management System, Transportation Management System, and Order Management System. These systems are used for live operational activity, for example recording a shipment, updating stock levels, assigning a route, or confirming that an order has been delivered. Their main purpose is to support operational efficiency and ensure that transactions are processed correctly.  </w:t>
      </w:r>
    </w:p>
    <w:p w14:paraId="2BFF31CF" w14:textId="7F5D8127"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A data warehouse is different because it is not mainly used for processing current transactions. Instead, it stores integrated historical data from multiple systems so that the business can analyse performance over time. For DHL, this would allow management to compare warehouse productivity across Daventry, Heathrow, Glasgow, Düsseldorf, Rotterdam, and Lyon, rather than only viewing activity inside one local system.  </w:t>
      </w:r>
    </w:p>
    <w:p w14:paraId="7DFC14CD" w14:textId="4130AB7B"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The main benefit of a data warehouse is that it supports decision-making. For example, an OLTP system can show that a shipment was delayed, but a data warehouse can show patterns in delays by hub, route, client, or service type. It can also help DHL understand trends such as whether express deliveries are becoming less profitable, whether cold chain operations have higher exception rates, or whether certain clients consistently generate more returns. In this way, OLTP systems keep the business running, while a data warehouse helps managers understand how well the business is running overall. This is why DHL would benefit from having both.</w:t>
      </w:r>
    </w:p>
    <w:p w14:paraId="6A4A3C1C" w14:textId="032F6055" w:rsidR="00D44C01" w:rsidRPr="00D44C01" w:rsidRDefault="00D44C01" w:rsidP="00D44C0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44C01">
        <w:rPr>
          <w:rFonts w:ascii="Times New Roman" w:eastAsia="Times New Roman" w:hAnsi="Times New Roman" w:cs="Times New Roman"/>
          <w:b/>
          <w:bCs/>
          <w:sz w:val="36"/>
          <w:szCs w:val="36"/>
          <w:lang w:eastAsia="en-GB"/>
        </w:rPr>
        <w:t>1.2 Data Warehouse Architecture and ETL</w:t>
      </w:r>
    </w:p>
    <w:p w14:paraId="7F67D393" w14:textId="4B8F5DC4"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DHL’s data warehouse should be built around a central architecture that collects data from multiple internal and external systems and prepares it for analysis. The case study already identifies a wide operational data landscape, including shipment data, warehouse data, order data, fleet and transport data, client data, and financial data. These would act as the main source systems feeding into the warehouse.  </w:t>
      </w:r>
    </w:p>
    <w:p w14:paraId="4D2CBC77" w14:textId="77777777"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A simplified architecture is shown below:</w:t>
      </w:r>
    </w:p>
    <w:p w14:paraId="48470A0E"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Source Systems</w:t>
      </w:r>
    </w:p>
    <w:p w14:paraId="68599958"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w:t>
      </w:r>
    </w:p>
    <w:p w14:paraId="505CB223"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OMS | WMS | TMS | Fleet/GPS | Finance</w:t>
      </w:r>
    </w:p>
    <w:p w14:paraId="0F2ADB82"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Client records | Returns data | SLA data</w:t>
      </w:r>
    </w:p>
    <w:p w14:paraId="2F93E1F5" w14:textId="560D0D95"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External feeds (customs, fuel, emissions)</w:t>
      </w:r>
    </w:p>
    <w:p w14:paraId="57504BE5"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lastRenderedPageBreak/>
        <w:t xml:space="preserve">                ↓</w:t>
      </w:r>
    </w:p>
    <w:p w14:paraId="3E7C6C81"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465B624F"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Staging Area</w:t>
      </w:r>
    </w:p>
    <w:p w14:paraId="3AD75B8C"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w:t>
      </w:r>
    </w:p>
    <w:p w14:paraId="72DFE472"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Data extraction</w:t>
      </w:r>
    </w:p>
    <w:p w14:paraId="124BDA69"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Validation</w:t>
      </w:r>
    </w:p>
    <w:p w14:paraId="03069E54"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Cleansing</w:t>
      </w:r>
    </w:p>
    <w:p w14:paraId="2FF4A820"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Matching and deduplication</w:t>
      </w:r>
    </w:p>
    <w:p w14:paraId="57E2A287"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2C81E9CA"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
    <w:p w14:paraId="0EF2AE92"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0F1FD5C2"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Enterprise Data Warehouse</w:t>
      </w:r>
    </w:p>
    <w:p w14:paraId="5358283A"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w:t>
      </w:r>
    </w:p>
    <w:p w14:paraId="780C0E1C"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Integrated historical logistics data</w:t>
      </w:r>
    </w:p>
    <w:p w14:paraId="01864E99"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1881F1D1"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
    <w:p w14:paraId="4C26952D"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7F35B1CD"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Data Marts / Dashboards / Reports</w:t>
      </w:r>
    </w:p>
    <w:p w14:paraId="49F314E3"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w:t>
      </w:r>
    </w:p>
    <w:p w14:paraId="0D751545"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Operations | Finance | Sales &amp; Marketing</w:t>
      </w:r>
    </w:p>
    <w:p w14:paraId="0B761925" w14:textId="24DDC910"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In this model, data is first extracted from the operational systems into a staging area. The staging area is important because it allows data to be cleaned and standardised before it enters the warehouse. For DHL, this may involve matching client IDs across systems, standardising route names, correcting missing location values, calculating planned versus actual transit times, and combining order data with freight cost data.  </w:t>
      </w:r>
    </w:p>
    <w:p w14:paraId="7D30502B" w14:textId="6B77421A"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This process is known as ETL: Extract, Transform, and Load. During </w:t>
      </w:r>
      <w:r w:rsidRPr="00D44C01">
        <w:rPr>
          <w:rFonts w:ascii="Times New Roman" w:eastAsia="Times New Roman" w:hAnsi="Times New Roman" w:cs="Times New Roman"/>
          <w:b/>
          <w:bCs/>
          <w:lang w:eastAsia="en-GB"/>
        </w:rPr>
        <w:t>Extract</w:t>
      </w:r>
      <w:r w:rsidRPr="00D44C01">
        <w:rPr>
          <w:rFonts w:ascii="Times New Roman" w:eastAsia="Times New Roman" w:hAnsi="Times New Roman" w:cs="Times New Roman"/>
          <w:lang w:eastAsia="en-GB"/>
        </w:rPr>
        <w:t xml:space="preserve">, data is taken from source systems such as OMS, WMS, TMS, and financial applications. During </w:t>
      </w:r>
      <w:r w:rsidRPr="00D44C01">
        <w:rPr>
          <w:rFonts w:ascii="Times New Roman" w:eastAsia="Times New Roman" w:hAnsi="Times New Roman" w:cs="Times New Roman"/>
          <w:b/>
          <w:bCs/>
          <w:lang w:eastAsia="en-GB"/>
        </w:rPr>
        <w:t>Transform</w:t>
      </w:r>
      <w:r w:rsidRPr="00D44C01">
        <w:rPr>
          <w:rFonts w:ascii="Times New Roman" w:eastAsia="Times New Roman" w:hAnsi="Times New Roman" w:cs="Times New Roman"/>
          <w:lang w:eastAsia="en-GB"/>
        </w:rPr>
        <w:t xml:space="preserve">, the data is cleaned, checked for errors, made consistent, and sometimes enriched with calculated values such as SLA breach flags, cost per shipment, or warehouse utilisation percentages. During </w:t>
      </w:r>
      <w:r w:rsidRPr="00D44C01">
        <w:rPr>
          <w:rFonts w:ascii="Times New Roman" w:eastAsia="Times New Roman" w:hAnsi="Times New Roman" w:cs="Times New Roman"/>
          <w:b/>
          <w:bCs/>
          <w:lang w:eastAsia="en-GB"/>
        </w:rPr>
        <w:t>Load</w:t>
      </w:r>
      <w:r w:rsidRPr="00D44C01">
        <w:rPr>
          <w:rFonts w:ascii="Times New Roman" w:eastAsia="Times New Roman" w:hAnsi="Times New Roman" w:cs="Times New Roman"/>
          <w:lang w:eastAsia="en-GB"/>
        </w:rPr>
        <w:t xml:space="preserve">, the transformed data is stored in the warehouse so it can be queried efficiently for reporting.  </w:t>
      </w:r>
    </w:p>
    <w:p w14:paraId="7A8E26FC" w14:textId="592FD0BC"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An important point for the CEO is that this process would not interfere with daily operations. DHL’s OLTP systems would continue to run as normal, while data is copied out into the warehouse environment separately. This means warehouse staff can still scan items, drivers can still update deliveries, and finance teams can still process invoices without disruption. The warehouse does not replace those operational systems; it sits alongside them and provides a layer for analysis and management reporting. This is especially useful for DHL because the business needs a cross-regional view rather than isolated reports from each system.  </w:t>
      </w:r>
    </w:p>
    <w:p w14:paraId="09A0F6A9" w14:textId="1A67AEB7" w:rsidR="00D44C01" w:rsidRPr="00D44C01" w:rsidRDefault="00D44C01" w:rsidP="00D44C0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44C01">
        <w:rPr>
          <w:rFonts w:ascii="Times New Roman" w:eastAsia="Times New Roman" w:hAnsi="Times New Roman" w:cs="Times New Roman"/>
          <w:b/>
          <w:bCs/>
          <w:sz w:val="36"/>
          <w:szCs w:val="36"/>
          <w:lang w:eastAsia="en-GB"/>
        </w:rPr>
        <w:t>1.3 Data Marts for Management Decision-Making</w:t>
      </w:r>
    </w:p>
    <w:p w14:paraId="0CA7E7C3" w14:textId="16A663F8"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Once the data warehouse has integrated DHL’s core data, separate data marts can be created for different senior managers. This is useful because each director needs a different view of the business. The case study specifically identifies the managing director, finance director, and sales and marketing director as users who require tailored insights.  </w:t>
      </w:r>
    </w:p>
    <w:p w14:paraId="740DE9D0" w14:textId="0855F17F"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For the managing director, the data mart should focus on high-level operational performance across the network. It could include KPIs such as on-time delivery rate, warehouse utilisation, order cycle time, returns volume, and cross-border delays. This would allow comparison between locations such as Daventry, Heathrow, Rotterdam, and Lyon and make it easier to identify weak-performing hubs or service areas.  </w:t>
      </w:r>
    </w:p>
    <w:p w14:paraId="44A27447" w14:textId="641E44CA"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For the finance director, the mart should centre on cost, revenue, and profitability. Relevant measures would include freight cost, labour cost, storage cost, fuel cost, invoice value, surcharges, discounts, and profitability by client or contract. This is important in DHL’s context because pricing is affected by service type, urgency, storage duration, specialised handling, and value-added services.  </w:t>
      </w:r>
    </w:p>
    <w:p w14:paraId="4C5E8D31" w14:textId="7841E74D"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For the sales and marketing director, the mart should focus more on client behaviour and service performance. It could include client sector, order frequency, SLA adherence, returns levels, complaint trends, and uptake of premium or value-added services. This would help DHL identify which clients are most valuable, which sectors are growing, and where service issues may risk client retention. I think this mart could also support upselling opportunities, especially where a client already uses transport services but not warehousing or VAS.</w:t>
      </w:r>
    </w:p>
    <w:p w14:paraId="660E9EA8" w14:textId="135360B9" w:rsidR="00D44C01" w:rsidRPr="00D44C01" w:rsidRDefault="00D44C01" w:rsidP="00D44C0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44C01">
        <w:rPr>
          <w:rFonts w:ascii="Times New Roman" w:eastAsia="Times New Roman" w:hAnsi="Times New Roman" w:cs="Times New Roman"/>
          <w:b/>
          <w:bCs/>
          <w:sz w:val="36"/>
          <w:szCs w:val="36"/>
          <w:lang w:eastAsia="en-GB"/>
        </w:rPr>
        <w:lastRenderedPageBreak/>
        <w:t>1.4 OLTP Normalisation vs Data Warehouse Dimensional Modelling</w:t>
      </w:r>
    </w:p>
    <w:p w14:paraId="6D7DBC1A" w14:textId="00B25454"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OLTP systems are usually designed using normalisation. This means the data is split into many related tables so that duplication is reduced and updates can be handled efficiently. For DHL, this is suitable in systems such as WMS or OMS, where the priority is accurate day-to-day transaction handling.  </w:t>
      </w:r>
    </w:p>
    <w:p w14:paraId="7D78D0C3" w14:textId="5459DA0E"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A data warehouse normally uses dimensional modelling instead. In this approach, a central fact table stores measurable business events, while dimension tables provide descriptive context. This structure is simpler for reporting because users can analyse events by time, location, client, route, service type, or product category.</w:t>
      </w:r>
    </w:p>
    <w:p w14:paraId="1EEDD64F" w14:textId="77777777"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A basic DHL star schema could look like this:</w:t>
      </w:r>
    </w:p>
    <w:p w14:paraId="254345C7"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roofErr w:type="spellStart"/>
      <w:r w:rsidRPr="00D44C01">
        <w:rPr>
          <w:rFonts w:ascii="Courier New" w:eastAsia="Times New Roman" w:hAnsi="Courier New" w:cs="Courier New"/>
          <w:sz w:val="20"/>
          <w:szCs w:val="20"/>
          <w:lang w:eastAsia="en-GB"/>
        </w:rPr>
        <w:t>DimDate</w:t>
      </w:r>
      <w:proofErr w:type="spellEnd"/>
    </w:p>
    <w:p w14:paraId="20D8BC29"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
    <w:p w14:paraId="35B734B5"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spellStart"/>
      <w:r w:rsidRPr="00D44C01">
        <w:rPr>
          <w:rFonts w:ascii="Courier New" w:eastAsia="Times New Roman" w:hAnsi="Courier New" w:cs="Courier New"/>
          <w:sz w:val="20"/>
          <w:szCs w:val="20"/>
          <w:lang w:eastAsia="en-GB"/>
        </w:rPr>
        <w:t>DimClient</w:t>
      </w:r>
      <w:proofErr w:type="spellEnd"/>
      <w:r w:rsidRPr="00D44C01">
        <w:rPr>
          <w:rFonts w:ascii="Courier New" w:eastAsia="Times New Roman" w:hAnsi="Courier New" w:cs="Courier New"/>
          <w:sz w:val="20"/>
          <w:szCs w:val="20"/>
          <w:lang w:eastAsia="en-GB"/>
        </w:rPr>
        <w:t xml:space="preserve"> ---- </w:t>
      </w:r>
      <w:proofErr w:type="spellStart"/>
      <w:r w:rsidRPr="00D44C01">
        <w:rPr>
          <w:rFonts w:ascii="Courier New" w:eastAsia="Times New Roman" w:hAnsi="Courier New" w:cs="Courier New"/>
          <w:sz w:val="20"/>
          <w:szCs w:val="20"/>
          <w:lang w:eastAsia="en-GB"/>
        </w:rPr>
        <w:t>FactShipment</w:t>
      </w:r>
      <w:proofErr w:type="spellEnd"/>
      <w:r w:rsidRPr="00D44C01">
        <w:rPr>
          <w:rFonts w:ascii="Courier New" w:eastAsia="Times New Roman" w:hAnsi="Courier New" w:cs="Courier New"/>
          <w:sz w:val="20"/>
          <w:szCs w:val="20"/>
          <w:lang w:eastAsia="en-GB"/>
        </w:rPr>
        <w:t xml:space="preserve"> ---- </w:t>
      </w:r>
      <w:proofErr w:type="spellStart"/>
      <w:r w:rsidRPr="00D44C01">
        <w:rPr>
          <w:rFonts w:ascii="Courier New" w:eastAsia="Times New Roman" w:hAnsi="Courier New" w:cs="Courier New"/>
          <w:sz w:val="20"/>
          <w:szCs w:val="20"/>
          <w:lang w:eastAsia="en-GB"/>
        </w:rPr>
        <w:t>DimRoute</w:t>
      </w:r>
      <w:proofErr w:type="spellEnd"/>
    </w:p>
    <w:p w14:paraId="506DC5FD"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
    <w:p w14:paraId="1E516AA1"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roofErr w:type="spellStart"/>
      <w:r w:rsidRPr="00D44C01">
        <w:rPr>
          <w:rFonts w:ascii="Courier New" w:eastAsia="Times New Roman" w:hAnsi="Courier New" w:cs="Courier New"/>
          <w:sz w:val="20"/>
          <w:szCs w:val="20"/>
          <w:lang w:eastAsia="en-GB"/>
        </w:rPr>
        <w:t>DimWarehouse</w:t>
      </w:r>
      <w:proofErr w:type="spellEnd"/>
    </w:p>
    <w:p w14:paraId="347475A9"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
    <w:p w14:paraId="72D29FB2"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roofErr w:type="spellStart"/>
      <w:r w:rsidRPr="00D44C01">
        <w:rPr>
          <w:rFonts w:ascii="Courier New" w:eastAsia="Times New Roman" w:hAnsi="Courier New" w:cs="Courier New"/>
          <w:sz w:val="20"/>
          <w:szCs w:val="20"/>
          <w:lang w:eastAsia="en-GB"/>
        </w:rPr>
        <w:t>DimServiceType</w:t>
      </w:r>
      <w:proofErr w:type="spellEnd"/>
    </w:p>
    <w:p w14:paraId="15455E90"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
    <w:p w14:paraId="21496732" w14:textId="77777777" w:rsidR="00D44C01" w:rsidRPr="00D44C01" w:rsidRDefault="00D44C01" w:rsidP="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D44C01">
        <w:rPr>
          <w:rFonts w:ascii="Courier New" w:eastAsia="Times New Roman" w:hAnsi="Courier New" w:cs="Courier New"/>
          <w:sz w:val="20"/>
          <w:szCs w:val="20"/>
          <w:lang w:eastAsia="en-GB"/>
        </w:rPr>
        <w:t xml:space="preserve">               </w:t>
      </w:r>
      <w:proofErr w:type="spellStart"/>
      <w:r w:rsidRPr="00D44C01">
        <w:rPr>
          <w:rFonts w:ascii="Courier New" w:eastAsia="Times New Roman" w:hAnsi="Courier New" w:cs="Courier New"/>
          <w:sz w:val="20"/>
          <w:szCs w:val="20"/>
          <w:lang w:eastAsia="en-GB"/>
        </w:rPr>
        <w:t>DimVehicle</w:t>
      </w:r>
      <w:proofErr w:type="spellEnd"/>
    </w:p>
    <w:p w14:paraId="220B7C19" w14:textId="160F2621" w:rsidR="00D44C01" w:rsidRPr="00D44C01" w:rsidRDefault="00D44C01" w:rsidP="00D44C01">
      <w:pPr>
        <w:spacing w:before="100" w:beforeAutospacing="1" w:after="100" w:afterAutospacing="1" w:line="240" w:lineRule="auto"/>
        <w:rPr>
          <w:rFonts w:ascii="Times New Roman" w:eastAsia="Times New Roman" w:hAnsi="Times New Roman" w:cs="Times New Roman"/>
          <w:lang w:eastAsia="en-GB"/>
        </w:rPr>
      </w:pPr>
      <w:r w:rsidRPr="00D44C01">
        <w:rPr>
          <w:rFonts w:ascii="Times New Roman" w:eastAsia="Times New Roman" w:hAnsi="Times New Roman" w:cs="Times New Roman"/>
          <w:lang w:eastAsia="en-GB"/>
        </w:rPr>
        <w:t xml:space="preserve">In this example, </w:t>
      </w:r>
      <w:proofErr w:type="spellStart"/>
      <w:r w:rsidRPr="00D44C01">
        <w:rPr>
          <w:rFonts w:ascii="Times New Roman" w:eastAsia="Times New Roman" w:hAnsi="Times New Roman" w:cs="Times New Roman"/>
          <w:b/>
          <w:bCs/>
          <w:lang w:eastAsia="en-GB"/>
        </w:rPr>
        <w:t>FactShipment</w:t>
      </w:r>
      <w:proofErr w:type="spellEnd"/>
      <w:r w:rsidRPr="00D44C01">
        <w:rPr>
          <w:rFonts w:ascii="Times New Roman" w:eastAsia="Times New Roman" w:hAnsi="Times New Roman" w:cs="Times New Roman"/>
          <w:lang w:eastAsia="en-GB"/>
        </w:rPr>
        <w:t xml:space="preserve"> would contain measures such as freight cost, shipment volume, transit time, delay minutes, and revenue. The dimensions would describe the shipment from different business perspectives. This structure is better for analytical queries than a highly normalised OLTP model because it is easier to read and supports faster reporting. For DHL, that would make it easier to analyse logistics performance across the whole network rather than one transaction at a time.</w:t>
      </w:r>
    </w:p>
    <w:p w14:paraId="0AD5663C" w14:textId="46097CB5" w:rsidR="00D44C01" w:rsidRPr="00D44C01" w:rsidRDefault="00D44C01" w:rsidP="00D44C0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44C01">
        <w:rPr>
          <w:rFonts w:ascii="Times New Roman" w:eastAsia="Times New Roman" w:hAnsi="Times New Roman" w:cs="Times New Roman"/>
          <w:b/>
          <w:bCs/>
          <w:sz w:val="36"/>
          <w:szCs w:val="36"/>
          <w:lang w:eastAsia="en-GB"/>
        </w:rPr>
        <w:t>References</w:t>
      </w:r>
    </w:p>
    <w:sectPr w:rsidR="00D44C01" w:rsidRPr="00D44C01" w:rsidSect="00D44C01">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301F9"/>
    <w:multiLevelType w:val="multilevel"/>
    <w:tmpl w:val="D9764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C20CCC"/>
    <w:multiLevelType w:val="multilevel"/>
    <w:tmpl w:val="582E4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1D335F"/>
    <w:multiLevelType w:val="multilevel"/>
    <w:tmpl w:val="C4EA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82964">
    <w:abstractNumId w:val="2"/>
  </w:num>
  <w:num w:numId="2" w16cid:durableId="938607048">
    <w:abstractNumId w:val="1"/>
  </w:num>
  <w:num w:numId="3" w16cid:durableId="686904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C01"/>
    <w:rsid w:val="002354EA"/>
    <w:rsid w:val="00D44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C6C0F"/>
  <w15:chartTrackingRefBased/>
  <w15:docId w15:val="{BA218D76-0FFA-0249-A048-1D0103E55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C01"/>
  </w:style>
  <w:style w:type="paragraph" w:styleId="Heading1">
    <w:name w:val="heading 1"/>
    <w:basedOn w:val="Normal"/>
    <w:next w:val="Normal"/>
    <w:link w:val="Heading1Char"/>
    <w:uiPriority w:val="9"/>
    <w:qFormat/>
    <w:rsid w:val="00D44C01"/>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unhideWhenUsed/>
    <w:qFormat/>
    <w:rsid w:val="00D44C01"/>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D44C01"/>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D44C01"/>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D44C01"/>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D44C01"/>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D44C0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44C01"/>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D44C01"/>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C01"/>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D44C01"/>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D44C01"/>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D44C01"/>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D44C01"/>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D44C01"/>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D44C0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44C01"/>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D44C01"/>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D44C01"/>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D44C01"/>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D44C01"/>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D44C01"/>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D44C01"/>
    <w:rPr>
      <w:i/>
      <w:iCs/>
      <w:color w:val="000000" w:themeColor="text1"/>
    </w:rPr>
  </w:style>
  <w:style w:type="character" w:customStyle="1" w:styleId="QuoteChar">
    <w:name w:val="Quote Char"/>
    <w:basedOn w:val="DefaultParagraphFont"/>
    <w:link w:val="Quote"/>
    <w:uiPriority w:val="29"/>
    <w:rsid w:val="00D44C01"/>
    <w:rPr>
      <w:i/>
      <w:iCs/>
      <w:color w:val="000000" w:themeColor="text1"/>
    </w:rPr>
  </w:style>
  <w:style w:type="paragraph" w:styleId="ListParagraph">
    <w:name w:val="List Paragraph"/>
    <w:basedOn w:val="Normal"/>
    <w:uiPriority w:val="34"/>
    <w:qFormat/>
    <w:rsid w:val="00D44C01"/>
    <w:pPr>
      <w:ind w:left="720"/>
      <w:contextualSpacing/>
    </w:pPr>
  </w:style>
  <w:style w:type="character" w:styleId="IntenseEmphasis">
    <w:name w:val="Intense Emphasis"/>
    <w:basedOn w:val="DefaultParagraphFont"/>
    <w:uiPriority w:val="21"/>
    <w:qFormat/>
    <w:rsid w:val="00D44C01"/>
    <w:rPr>
      <w:b/>
      <w:bCs/>
      <w:i/>
      <w:iCs/>
      <w:color w:val="156082" w:themeColor="accent1"/>
    </w:rPr>
  </w:style>
  <w:style w:type="paragraph" w:styleId="IntenseQuote">
    <w:name w:val="Intense Quote"/>
    <w:basedOn w:val="Normal"/>
    <w:next w:val="Normal"/>
    <w:link w:val="IntenseQuoteChar"/>
    <w:uiPriority w:val="30"/>
    <w:qFormat/>
    <w:rsid w:val="00D44C01"/>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D44C01"/>
    <w:rPr>
      <w:b/>
      <w:bCs/>
      <w:i/>
      <w:iCs/>
      <w:color w:val="156082" w:themeColor="accent1"/>
    </w:rPr>
  </w:style>
  <w:style w:type="character" w:styleId="IntenseReference">
    <w:name w:val="Intense Reference"/>
    <w:basedOn w:val="DefaultParagraphFont"/>
    <w:uiPriority w:val="32"/>
    <w:qFormat/>
    <w:rsid w:val="00D44C01"/>
    <w:rPr>
      <w:b/>
      <w:bCs/>
      <w:smallCaps/>
      <w:color w:val="E97132" w:themeColor="accent2"/>
      <w:spacing w:val="5"/>
      <w:u w:val="single"/>
    </w:rPr>
  </w:style>
  <w:style w:type="paragraph" w:customStyle="1" w:styleId="p1">
    <w:name w:val="p1"/>
    <w:basedOn w:val="Normal"/>
    <w:rsid w:val="00D44C0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s1">
    <w:name w:val="s1"/>
    <w:basedOn w:val="DefaultParagraphFont"/>
    <w:rsid w:val="00D44C01"/>
  </w:style>
  <w:style w:type="character" w:customStyle="1" w:styleId="apple-converted-space">
    <w:name w:val="apple-converted-space"/>
    <w:basedOn w:val="DefaultParagraphFont"/>
    <w:rsid w:val="00D44C01"/>
  </w:style>
  <w:style w:type="character" w:customStyle="1" w:styleId="s2">
    <w:name w:val="s2"/>
    <w:basedOn w:val="DefaultParagraphFont"/>
    <w:rsid w:val="00D44C01"/>
  </w:style>
  <w:style w:type="paragraph" w:customStyle="1" w:styleId="p2">
    <w:name w:val="p2"/>
    <w:basedOn w:val="Normal"/>
    <w:rsid w:val="00D44C0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s3">
    <w:name w:val="s3"/>
    <w:basedOn w:val="DefaultParagraphFont"/>
    <w:rsid w:val="00D44C01"/>
  </w:style>
  <w:style w:type="paragraph" w:styleId="HTMLPreformatted">
    <w:name w:val="HTML Preformatted"/>
    <w:basedOn w:val="Normal"/>
    <w:link w:val="HTMLPreformattedChar"/>
    <w:uiPriority w:val="99"/>
    <w:semiHidden/>
    <w:unhideWhenUsed/>
    <w:rsid w:val="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44C01"/>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D44C01"/>
    <w:rPr>
      <w:rFonts w:ascii="Courier New" w:eastAsia="Times New Roman" w:hAnsi="Courier New" w:cs="Courier New"/>
      <w:sz w:val="20"/>
      <w:szCs w:val="20"/>
    </w:rPr>
  </w:style>
  <w:style w:type="paragraph" w:styleId="Caption">
    <w:name w:val="caption"/>
    <w:basedOn w:val="Normal"/>
    <w:next w:val="Normal"/>
    <w:uiPriority w:val="35"/>
    <w:semiHidden/>
    <w:unhideWhenUsed/>
    <w:qFormat/>
    <w:rsid w:val="00D44C01"/>
    <w:pPr>
      <w:spacing w:line="240" w:lineRule="auto"/>
    </w:pPr>
    <w:rPr>
      <w:b/>
      <w:bCs/>
      <w:color w:val="156082" w:themeColor="accent1"/>
      <w:sz w:val="18"/>
      <w:szCs w:val="18"/>
    </w:rPr>
  </w:style>
  <w:style w:type="character" w:styleId="Strong">
    <w:name w:val="Strong"/>
    <w:basedOn w:val="DefaultParagraphFont"/>
    <w:uiPriority w:val="22"/>
    <w:qFormat/>
    <w:rsid w:val="00D44C01"/>
    <w:rPr>
      <w:b/>
      <w:bCs/>
    </w:rPr>
  </w:style>
  <w:style w:type="character" w:styleId="Emphasis">
    <w:name w:val="Emphasis"/>
    <w:basedOn w:val="DefaultParagraphFont"/>
    <w:uiPriority w:val="20"/>
    <w:qFormat/>
    <w:rsid w:val="00D44C01"/>
    <w:rPr>
      <w:i/>
      <w:iCs/>
    </w:rPr>
  </w:style>
  <w:style w:type="paragraph" w:styleId="NoSpacing">
    <w:name w:val="No Spacing"/>
    <w:link w:val="NoSpacingChar"/>
    <w:uiPriority w:val="1"/>
    <w:qFormat/>
    <w:rsid w:val="00D44C01"/>
    <w:pPr>
      <w:spacing w:after="0" w:line="240" w:lineRule="auto"/>
    </w:pPr>
  </w:style>
  <w:style w:type="character" w:styleId="SubtleEmphasis">
    <w:name w:val="Subtle Emphasis"/>
    <w:basedOn w:val="DefaultParagraphFont"/>
    <w:uiPriority w:val="19"/>
    <w:qFormat/>
    <w:rsid w:val="00D44C01"/>
    <w:rPr>
      <w:i/>
      <w:iCs/>
      <w:color w:val="808080" w:themeColor="text1" w:themeTint="7F"/>
    </w:rPr>
  </w:style>
  <w:style w:type="character" w:styleId="SubtleReference">
    <w:name w:val="Subtle Reference"/>
    <w:basedOn w:val="DefaultParagraphFont"/>
    <w:uiPriority w:val="31"/>
    <w:qFormat/>
    <w:rsid w:val="00D44C01"/>
    <w:rPr>
      <w:smallCaps/>
      <w:color w:val="E97132" w:themeColor="accent2"/>
      <w:u w:val="single"/>
    </w:rPr>
  </w:style>
  <w:style w:type="character" w:styleId="BookTitle">
    <w:name w:val="Book Title"/>
    <w:basedOn w:val="DefaultParagraphFont"/>
    <w:uiPriority w:val="33"/>
    <w:qFormat/>
    <w:rsid w:val="00D44C01"/>
    <w:rPr>
      <w:b/>
      <w:bCs/>
      <w:smallCaps/>
      <w:spacing w:val="5"/>
    </w:rPr>
  </w:style>
  <w:style w:type="paragraph" w:styleId="TOCHeading">
    <w:name w:val="TOC Heading"/>
    <w:basedOn w:val="Heading1"/>
    <w:next w:val="Normal"/>
    <w:uiPriority w:val="39"/>
    <w:semiHidden/>
    <w:unhideWhenUsed/>
    <w:qFormat/>
    <w:rsid w:val="00D44C01"/>
    <w:pPr>
      <w:outlineLvl w:val="9"/>
    </w:pPr>
  </w:style>
  <w:style w:type="character" w:customStyle="1" w:styleId="NoSpacingChar">
    <w:name w:val="No Spacing Char"/>
    <w:basedOn w:val="DefaultParagraphFont"/>
    <w:link w:val="NoSpacing"/>
    <w:uiPriority w:val="1"/>
    <w:rsid w:val="00D44C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1313</Words>
  <Characters>7485</Characters>
  <Application>Microsoft Office Word</Application>
  <DocSecurity>0</DocSecurity>
  <Lines>62</Lines>
  <Paragraphs>17</Paragraphs>
  <ScaleCrop>false</ScaleCrop>
  <Company/>
  <LinksUpToDate>false</LinksUpToDate>
  <CharactersWithSpaces>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Assessment 1</dc:subject>
  <dc:creator>Marius-Catalin Bobitiu</dc:creator>
  <cp:keywords/>
  <dc:description/>
  <cp:lastModifiedBy>Marius Bobitiu</cp:lastModifiedBy>
  <cp:revision>1</cp:revision>
  <dcterms:created xsi:type="dcterms:W3CDTF">2026-03-24T11:55:00Z</dcterms:created>
  <dcterms:modified xsi:type="dcterms:W3CDTF">2026-03-24T11:58:00Z</dcterms:modified>
</cp:coreProperties>
</file>