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5E1C8" w14:textId="77777777" w:rsidR="002C02FC" w:rsidRPr="00A166D7" w:rsidRDefault="002C02FC" w:rsidP="002C02FC">
      <w:pPr>
        <w:spacing w:line="360" w:lineRule="auto"/>
        <w:rPr>
          <w:rFonts w:ascii="Arial" w:hAnsi="Arial" w:cs="Arial"/>
          <w:sz w:val="24"/>
          <w:szCs w:val="24"/>
          <w:u w:val="single"/>
        </w:rPr>
      </w:pPr>
      <w:bookmarkStart w:id="0" w:name="_GoBack"/>
      <w:r w:rsidRPr="00A166D7">
        <w:rPr>
          <w:rFonts w:ascii="Arial" w:hAnsi="Arial" w:cs="Arial"/>
          <w:sz w:val="24"/>
          <w:szCs w:val="24"/>
          <w:u w:val="single"/>
        </w:rPr>
        <w:t>A detailed analysis of one child’s holistic development, with justification for the next steps in learning.</w:t>
      </w:r>
    </w:p>
    <w:bookmarkEnd w:id="0"/>
    <w:p w14:paraId="2103A8F9" w14:textId="77777777" w:rsidR="002C02FC" w:rsidRPr="002C02FC" w:rsidRDefault="002C02FC" w:rsidP="002C02FC">
      <w:pPr>
        <w:spacing w:line="360" w:lineRule="auto"/>
        <w:rPr>
          <w:rFonts w:ascii="Arial" w:hAnsi="Arial" w:cs="Arial"/>
          <w:sz w:val="24"/>
          <w:szCs w:val="24"/>
        </w:rPr>
      </w:pPr>
    </w:p>
    <w:p w14:paraId="247620D7"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Introduction</w:t>
      </w:r>
    </w:p>
    <w:p w14:paraId="62D69D6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The context in which this assignment took place was within a primary school of 302 pupils; situated on the outskirts of a small town; with nine classes of mixed aged pupils. The school is in an area of socioeconomic disadvantage and 40% of the children are considered eligible for free school meals which is 21% higher than the average for Wales. Pupils identified as having additional learning need (ALN) make up 34% of the school which is also above the local and national averages (Estyn, 2015). The school is a pioneer school, working towards the Welsh Government vision for the new curriculum.</w:t>
      </w:r>
    </w:p>
    <w:p w14:paraId="5E61C605"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classroom in which this study was focused contained a mixed year three and four group, with twenty-three learners aged 7-10 years old. The learners within the class included eleven pupils with individual education plans (IEP) or behaviour plans, one more able and talented pupil (MAT), three pupils with autistic spectrum disorder (ASD), three pupils with attention deficit hyperactivity disorder (ADHD) and a number of children with additional emotional, social and behavioural needs. </w:t>
      </w:r>
    </w:p>
    <w:p w14:paraId="67F697D6"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class had a teacher and one learning support assistant (LSA) who was mostly directed by the class teacher to support the lower ability learners. For the purpose of this study one individual learner was chosen as a target pupil in order to analyse their learning and development. This research was aimed at understanding the individual’s motivation for learning and to identify future steps to develop the individuals learning further. </w:t>
      </w:r>
    </w:p>
    <w:p w14:paraId="7A2BEDC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target pupil for the purpose of this study will be referred to as Pupil A, ensuring that the learner remains anonymous throughout. This ethical consideration is in accordance with the codes of practise Data Protection Act (1998). Pupil A is nine years old; male; currently in year four; he received a diagnosis of autistic spectrum disorder (ASD) and attention deficit hyperactivity disorder (ADHD) when he was in year two. </w:t>
      </w:r>
    </w:p>
    <w:p w14:paraId="024D702B" w14:textId="77777777" w:rsidR="002C02FC" w:rsidRPr="002C02FC" w:rsidRDefault="002C02FC" w:rsidP="002C02FC">
      <w:pPr>
        <w:spacing w:line="360" w:lineRule="auto"/>
        <w:rPr>
          <w:rFonts w:ascii="Arial" w:hAnsi="Arial" w:cs="Arial"/>
          <w:sz w:val="24"/>
          <w:szCs w:val="24"/>
        </w:rPr>
      </w:pPr>
    </w:p>
    <w:p w14:paraId="6FD4CDC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Since this diagnosis Pupil A has had an individual education plan to support his learning. The current targets on this plan focus on controlling emotions and concentration. The support available to achieve these targets included constant teacher guidance and a visit from a Communities First health and wellbeing officer once a week (this did not occur during for the duration of this research). These targets have been continuous throughout the academic year and is recorded that Pupil A will continue to need a lot of support in both areas. Pupil A is situated in the more able ability grouping within the class. Using the national curriculum level descriptors, Pupil A had a best fit averaged level of three across literacy and maths, in line with the expected levels of this year group.</w:t>
      </w:r>
    </w:p>
    <w:p w14:paraId="51E63E6E"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Data collection </w:t>
      </w:r>
    </w:p>
    <w:p w14:paraId="08F5E04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main foundation for this research study included a mixed-methodology initially focusing on Clark and Moss (2011) ‘mosaic approach’. This approach used a multi method for compiling qualitative information on a learner through the use of many ‘tiles’ in order to create a full ‘picture’. (Clark and Moss, 2011) This method was chosen in order to include the child’s perspective as well as the researchers within this study. The pupil led feedback helps to inform an understanding of the pupils’ experiences by supporting ‘pupil voice’ limiting the presumed views adults may hold about learning from their own experience as learners. Nevertheless, findings through this approach are personal interpretations subject to bias, as the ‘mosaic approach is not based on scientific evidence’. </w:t>
      </w:r>
    </w:p>
    <w:p w14:paraId="5BAA9162" w14:textId="77777777" w:rsidR="002C02FC" w:rsidRPr="002C02FC" w:rsidRDefault="002C02FC" w:rsidP="002C02FC">
      <w:pPr>
        <w:spacing w:line="360" w:lineRule="auto"/>
        <w:rPr>
          <w:rFonts w:ascii="Arial" w:hAnsi="Arial" w:cs="Arial"/>
          <w:sz w:val="24"/>
          <w:szCs w:val="24"/>
        </w:rPr>
      </w:pPr>
    </w:p>
    <w:p w14:paraId="39984B45" w14:textId="77777777" w:rsidR="002C02FC" w:rsidRPr="002C02FC" w:rsidRDefault="002C02FC" w:rsidP="002C02FC">
      <w:pPr>
        <w:spacing w:line="360" w:lineRule="auto"/>
        <w:rPr>
          <w:rFonts w:ascii="Arial" w:hAnsi="Arial" w:cs="Arial"/>
          <w:sz w:val="24"/>
          <w:szCs w:val="24"/>
        </w:rPr>
      </w:pPr>
      <w:proofErr w:type="spellStart"/>
      <w:r w:rsidRPr="002C02FC">
        <w:rPr>
          <w:rFonts w:ascii="Arial" w:hAnsi="Arial" w:cs="Arial"/>
          <w:sz w:val="24"/>
          <w:szCs w:val="24"/>
        </w:rPr>
        <w:t>Rudduck</w:t>
      </w:r>
      <w:proofErr w:type="spellEnd"/>
      <w:r w:rsidRPr="002C02FC">
        <w:rPr>
          <w:rFonts w:ascii="Arial" w:hAnsi="Arial" w:cs="Arial"/>
          <w:sz w:val="24"/>
          <w:szCs w:val="24"/>
        </w:rPr>
        <w:t xml:space="preserve"> (2006 cited in Alexander, 2010:144) described ‘voice’ as ‘expressing one’s self’ through the consultation and participation of learning. Similarly, Hargreaves (2004 cited in Alexander, 2010:145) believed the opinion of the pupil should be used in order to direct learning priorities, opportunities and development. It must be noted however that His research context was focused at key stage three learners rather than the key stage two learner to which this study was directed. Nevertheless, Burner (1963 cited in Alexander, 2010: 145) considered that pupils voice could be encouraged at any developmental stage. </w:t>
      </w:r>
    </w:p>
    <w:p w14:paraId="228C7AC6" w14:textId="77777777" w:rsidR="002C02FC" w:rsidRPr="002C02FC" w:rsidRDefault="002C02FC" w:rsidP="002C02FC">
      <w:pPr>
        <w:spacing w:line="360" w:lineRule="auto"/>
        <w:rPr>
          <w:rFonts w:ascii="Arial" w:hAnsi="Arial" w:cs="Arial"/>
          <w:sz w:val="24"/>
          <w:szCs w:val="24"/>
        </w:rPr>
      </w:pPr>
    </w:p>
    <w:p w14:paraId="024EB63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‘Article 12 of the ‘United Nations Convention on the Rights of the Child (UNCRC)’ maintains the right for children of all ages to ‘express an opinion and to have that opinion taken into account’ (United Nations Convention on the Rights of the Child., 1989).</w:t>
      </w:r>
    </w:p>
    <w:p w14:paraId="20B0AC2E"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Although aspects of pupil voice and the right of a child have previously been included within the curriculum, following the introduction of Every Child Matters and the 2004 Children Act. Initiatives have often been seen to be too short-lived resulting in no concrete inclusion of a child’s voice in their own learning (Alexander, 2010:144). However, documented within Estyn (2016) the new curriculum reform for Wales shows greater prevalence for children’s rights and pupil voice than ever before. </w:t>
      </w:r>
    </w:p>
    <w:p w14:paraId="34CA1889" w14:textId="77777777" w:rsidR="002C02FC" w:rsidRPr="002C02FC" w:rsidRDefault="002C02FC" w:rsidP="002C02FC">
      <w:pPr>
        <w:spacing w:line="360" w:lineRule="auto"/>
        <w:rPr>
          <w:rFonts w:ascii="Arial" w:hAnsi="Arial" w:cs="Arial"/>
          <w:sz w:val="24"/>
          <w:szCs w:val="24"/>
        </w:rPr>
      </w:pPr>
    </w:p>
    <w:p w14:paraId="481C169C"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Acknowledging the importance of Pupil A’s voice was acquired within this study through the use of combining visual evidence with verbal evidence: photographs, samples of work, reflections, observations and interviews. Before conducting any research of a social nature or collecting any learner data, it was important to gain participant consent following the codes of practise of the British Educational Research Association BERA (2011) and EWC code of practice (2017). This is regarded as crucial by David et al. (2001). As the focused participant was a child, the class teacher was given a consent form outlining the nature of the research to consider and confirm consent from the school with approval from the parent/ guardian (appendix 1). Equally important as described within Nuremberg Code (1947 cited in </w:t>
      </w:r>
      <w:proofErr w:type="spellStart"/>
      <w:r w:rsidRPr="002C02FC">
        <w:rPr>
          <w:rFonts w:ascii="Arial" w:hAnsi="Arial" w:cs="Arial"/>
          <w:sz w:val="24"/>
          <w:szCs w:val="24"/>
        </w:rPr>
        <w:t>Papatheodorou</w:t>
      </w:r>
      <w:proofErr w:type="spellEnd"/>
      <w:r w:rsidRPr="002C02FC">
        <w:rPr>
          <w:rFonts w:ascii="Arial" w:hAnsi="Arial" w:cs="Arial"/>
          <w:sz w:val="24"/>
          <w:szCs w:val="24"/>
        </w:rPr>
        <w:t xml:space="preserve"> et al., 2012) is the child’s permission. Informed assent was acquired from Pupil A through a prepared template written in a child friendly format outlining the aim of the research and the option to participate in the research or have the right to say no (UNCRC, 1989) (appendix 2).</w:t>
      </w:r>
    </w:p>
    <w:p w14:paraId="789C4C83" w14:textId="77777777" w:rsidR="002C02FC" w:rsidRPr="002C02FC" w:rsidRDefault="002C02FC" w:rsidP="002C02FC">
      <w:pPr>
        <w:spacing w:line="360" w:lineRule="auto"/>
        <w:rPr>
          <w:rFonts w:ascii="Arial" w:hAnsi="Arial" w:cs="Arial"/>
          <w:sz w:val="24"/>
          <w:szCs w:val="24"/>
        </w:rPr>
      </w:pPr>
    </w:p>
    <w:p w14:paraId="1F3048BC"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Pupil A was first given an iPad and asked to take photographs of areas within the school which he felt were important as part of a learning walk. This method was used to aid communication and establish an interest in Pupil A’s school life. According to Prosser (2006) the activity of taking photographs is more appealing and accessible to children than the spoken or written word. Using photographs and examples of the </w:t>
      </w:r>
      <w:r w:rsidRPr="002C02FC">
        <w:rPr>
          <w:rFonts w:ascii="Arial" w:hAnsi="Arial" w:cs="Arial"/>
          <w:sz w:val="24"/>
          <w:szCs w:val="24"/>
        </w:rPr>
        <w:lastRenderedPageBreak/>
        <w:t xml:space="preserve">learner’s work allowed the opportunity to see the world through the eye of the learner. Using photographs for research needs to be ethically considered (Clark et al., 2010). Therefore, even with written permission from the school to obtain photographs, no photographs containing images of children are displayed as evidence within this this research project. </w:t>
      </w:r>
    </w:p>
    <w:p w14:paraId="1A63139D" w14:textId="77777777" w:rsidR="002C02FC" w:rsidRPr="002C02FC" w:rsidRDefault="002C02FC" w:rsidP="002C02FC">
      <w:pPr>
        <w:spacing w:line="360" w:lineRule="auto"/>
        <w:rPr>
          <w:rFonts w:ascii="Arial" w:hAnsi="Arial" w:cs="Arial"/>
          <w:sz w:val="24"/>
          <w:szCs w:val="24"/>
        </w:rPr>
      </w:pPr>
    </w:p>
    <w:p w14:paraId="65F4342B"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qualitative aspect of this research was completed by noting down significant observations intimately in a notebook, through personal reflections and by characterising observed behaviours based on Arshad et al. (2012) ADHD model. This method was selected as a practical way of monitoring any learning preferences and to identify any barriers to learning in the learner’s familiar environment; during lessons and during non-structured times of the day. This form of unobstructed observation according to Simpson and </w:t>
      </w:r>
      <w:proofErr w:type="spellStart"/>
      <w:r w:rsidRPr="002C02FC">
        <w:rPr>
          <w:rFonts w:ascii="Arial" w:hAnsi="Arial" w:cs="Arial"/>
          <w:sz w:val="24"/>
          <w:szCs w:val="24"/>
        </w:rPr>
        <w:t>Tuson</w:t>
      </w:r>
      <w:proofErr w:type="spellEnd"/>
      <w:r w:rsidRPr="002C02FC">
        <w:rPr>
          <w:rFonts w:ascii="Arial" w:hAnsi="Arial" w:cs="Arial"/>
          <w:sz w:val="24"/>
          <w:szCs w:val="24"/>
        </w:rPr>
        <w:t xml:space="preserve"> (2008) allowed Pupil A to behave more naturally. Similarly, Sharp (2012) points out that the nature of formal observations could affect the natural behaviour of the participant. While it is the case that this form of observation can provide detailed information, in contrast it can also allow no clear focus proving analysis of information to be more difficult and time consuming (Sharp, 2012). </w:t>
      </w:r>
    </w:p>
    <w:p w14:paraId="6482300F" w14:textId="77777777" w:rsidR="002C02FC" w:rsidRPr="002C02FC" w:rsidRDefault="002C02FC" w:rsidP="002C02FC">
      <w:pPr>
        <w:spacing w:line="360" w:lineRule="auto"/>
        <w:rPr>
          <w:rFonts w:ascii="Arial" w:hAnsi="Arial" w:cs="Arial"/>
          <w:sz w:val="24"/>
          <w:szCs w:val="24"/>
        </w:rPr>
      </w:pPr>
    </w:p>
    <w:p w14:paraId="717A928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observational information collected was also combined with interviews. This is suggested by Simpson and </w:t>
      </w:r>
      <w:proofErr w:type="spellStart"/>
      <w:r w:rsidRPr="002C02FC">
        <w:rPr>
          <w:rFonts w:ascii="Arial" w:hAnsi="Arial" w:cs="Arial"/>
          <w:sz w:val="24"/>
          <w:szCs w:val="24"/>
        </w:rPr>
        <w:t>Tuson</w:t>
      </w:r>
      <w:proofErr w:type="spellEnd"/>
      <w:r w:rsidRPr="002C02FC">
        <w:rPr>
          <w:rFonts w:ascii="Arial" w:hAnsi="Arial" w:cs="Arial"/>
          <w:sz w:val="24"/>
          <w:szCs w:val="24"/>
        </w:rPr>
        <w:t xml:space="preserve"> (2008) to enhance the understanding of the qualitative data further and to provide another part of the ‘mosaic picture’. Although interview questions were partly directed to consider the opinions around Pupil A’s learning needs and behaviours, the interviews themselves were unstructured; informal discussions. This method was selected following Bell (2014) advise in order to allow freedom of expression and limit anxieties. Though this method allowed for adaptability and freedom of expression unlike a structured interview or questionnaire, the difficulty was ensuring the discussion remained critical to the study. This was especially important considering the limited research time available (Bell, 2014). </w:t>
      </w:r>
    </w:p>
    <w:p w14:paraId="06533DA7"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Analysis of learner </w:t>
      </w:r>
    </w:p>
    <w:p w14:paraId="4270DA9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 xml:space="preserve">As part of the learning walk Pupil A was directed to take photographs of areas around the school which were important to him or areas in which he felt he learned best. This was useful in initiating communication and the beginning of building a rapport with Pupil A. This was however a short activity as Pupil A stayed within the proximity of his classroom, not recognising the importance of any other areas within the school. In fact, only four photographs were taken: One of the classroom desks with no clear indication of a particular area, two of the playground outside the classroom and finally one of the corridor area containing a small table and computer (appendix 3). </w:t>
      </w:r>
    </w:p>
    <w:p w14:paraId="7E7F22D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During this time discussion on most of the specific areas was superficial (appendix 4). “I do work in class”; “I like to be here on this computer” or “I bring my work out here”. Although when outside a more enthusiastic tour of the area was given in which Pupil A likes to “play”. This highlighted the importance of the outdoor area and the fact that it was associated with play and not learning. Vygotsky (1933 cited in Alexander, 2010: 97) defined play as an important role in a Childs’ development believing it should be used as a tool to aid learning. Similarly, Neuman and </w:t>
      </w:r>
      <w:proofErr w:type="spellStart"/>
      <w:r w:rsidRPr="002C02FC">
        <w:rPr>
          <w:rFonts w:ascii="Arial" w:hAnsi="Arial" w:cs="Arial"/>
          <w:sz w:val="24"/>
          <w:szCs w:val="24"/>
        </w:rPr>
        <w:t>Roskos</w:t>
      </w:r>
      <w:proofErr w:type="spellEnd"/>
      <w:r w:rsidRPr="002C02FC">
        <w:rPr>
          <w:rFonts w:ascii="Arial" w:hAnsi="Arial" w:cs="Arial"/>
          <w:sz w:val="24"/>
          <w:szCs w:val="24"/>
        </w:rPr>
        <w:t xml:space="preserve"> (1992) highlighted the benefits of cross curricular learning when play is incorporated. This discussion linked with theory was useful in beginning to understand how Pupil A might be motivated with an approach to learning outside through play.  </w:t>
      </w:r>
    </w:p>
    <w:p w14:paraId="6E690E6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When asked about the classroom photograph Pupil A was unsure about where he sits in class but he did have an idea of where groups of his peers often sit. This was later discussed with the class teacher within an informal interview, she confirmed the ability group seating plan and also that Pupil A usually sat near to her at various points in the classroom as he required constant attention. Immediately this emphasised the fact that he may have difficulty with peer group socialising and have a weakness in attention. Both ASD and ADHD are known as separate neurodevelopmental disorders. ASD can often be associated with common traits such as a difficulty in social interactions, while ADHD is often associated with Impulsivity and inattention. Though in recent years it has been recognised that many individuals have a diagnosis of both conditions, there is seldom research on this overlap of conditions and how best to support (Groom et al., 2017). Using Arshad et al. (2012) model Pupil A’s specific behaviours were recorded in order to recognise common ADHD traits. (appendix 5)</w:t>
      </w:r>
    </w:p>
    <w:p w14:paraId="4F59DC48"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 xml:space="preserve">Pupil A’s individual education plan refer to his difficulties with maintaining good relationships with friends and his concentration (appendix 6). These where confirmed during later observations (appendix 7). When observed outside playing with others Pupil A had a disagreement with his peers. This conflict resulted in him becoming visibly frustrated and leaving the area to sit alone. During activities which involved group work, Pupil A displayed a refusal to work in groups. In many cases when the activity was of interest, Pupil A successfully completed work independently often taking himself to the small corridor area outside of the classroom. It is prevalent that individuals with a diagnosis of autistic spectrum disorder often have special interests and strengths. During a case study </w:t>
      </w:r>
      <w:proofErr w:type="spellStart"/>
      <w:r w:rsidRPr="002C02FC">
        <w:rPr>
          <w:rFonts w:ascii="Arial" w:hAnsi="Arial" w:cs="Arial"/>
          <w:sz w:val="24"/>
          <w:szCs w:val="24"/>
        </w:rPr>
        <w:t>Lanou</w:t>
      </w:r>
      <w:proofErr w:type="spellEnd"/>
      <w:r w:rsidRPr="002C02FC">
        <w:rPr>
          <w:rFonts w:ascii="Arial" w:hAnsi="Arial" w:cs="Arial"/>
          <w:sz w:val="24"/>
          <w:szCs w:val="24"/>
        </w:rPr>
        <w:t xml:space="preserve"> et al. (2011) identified that incorporating these interests into educational challenges helped to motivate these learners to achieve success. On occasions where the activity lacked motivational interest and without the sustenance of an adult, Pupil A refused to engage in the activity at all becoming withdrawn. </w:t>
      </w:r>
    </w:p>
    <w:p w14:paraId="45649AC9" w14:textId="77777777" w:rsidR="002C02FC" w:rsidRPr="002C02FC" w:rsidRDefault="002C02FC" w:rsidP="002C02FC">
      <w:pPr>
        <w:spacing w:line="360" w:lineRule="auto"/>
        <w:rPr>
          <w:rFonts w:ascii="Arial" w:hAnsi="Arial" w:cs="Arial"/>
          <w:sz w:val="24"/>
          <w:szCs w:val="24"/>
        </w:rPr>
      </w:pPr>
    </w:p>
    <w:p w14:paraId="3F92E8B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Based on the times when Pupil A appeared to have difficulties dealing with this frustration, it was observed that he would become withdrawn and run out of class. This appeared to occur at times when Pupil A found the work challenging or when he was asked to change his behaviour. Claxton (2010;23) describes developing resilience as the first area to exposing learning potential. Having the ability to accept a challenge, manage distractions and work through a problem. Pupil A lacked perseverance, instead avoiding failure by not trying. For Pupil A these anxiety’s may be underpinned by his diagnosis as ASD research suggests may individuals with the diagnosis have a heightened stress response (Baron, 2006). </w:t>
      </w:r>
    </w:p>
    <w:p w14:paraId="01F56F59" w14:textId="77777777" w:rsidR="002C02FC" w:rsidRPr="002C02FC" w:rsidRDefault="002C02FC" w:rsidP="002C02FC">
      <w:pPr>
        <w:spacing w:line="360" w:lineRule="auto"/>
        <w:rPr>
          <w:rFonts w:ascii="Arial" w:hAnsi="Arial" w:cs="Arial"/>
          <w:sz w:val="24"/>
          <w:szCs w:val="24"/>
        </w:rPr>
      </w:pPr>
    </w:p>
    <w:p w14:paraId="3FBD60C8"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At other times Pupil A would be producing work well and suddenly rip up his work an exclaim that he couldn’t do it and that it was “rubbish”. This Coupled with his avoidance to make mistakes portrayed signs of low self-esteem. By behaving in this way </w:t>
      </w:r>
      <w:proofErr w:type="gramStart"/>
      <w:r w:rsidRPr="002C02FC">
        <w:rPr>
          <w:rFonts w:ascii="Arial" w:hAnsi="Arial" w:cs="Arial"/>
          <w:sz w:val="24"/>
          <w:szCs w:val="24"/>
        </w:rPr>
        <w:t>Pupil</w:t>
      </w:r>
      <w:proofErr w:type="gramEnd"/>
      <w:r w:rsidRPr="002C02FC">
        <w:rPr>
          <w:rFonts w:ascii="Arial" w:hAnsi="Arial" w:cs="Arial"/>
          <w:sz w:val="24"/>
          <w:szCs w:val="24"/>
        </w:rPr>
        <w:t xml:space="preserve"> A has been limiting his opportunities to learn and progress (Dweck, 1999).</w:t>
      </w:r>
    </w:p>
    <w:p w14:paraId="5F369C0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During an informal interview with the class teacher I inquired about Pupil A’s home life in order to gather a holistic understanding of his behaviours. This discussion suggested that Pupil A had Adverse Childhood Experiences (ACEs). These stressful </w:t>
      </w:r>
      <w:r w:rsidRPr="002C02FC">
        <w:rPr>
          <w:rFonts w:ascii="Arial" w:hAnsi="Arial" w:cs="Arial"/>
          <w:sz w:val="24"/>
          <w:szCs w:val="24"/>
        </w:rPr>
        <w:lastRenderedPageBreak/>
        <w:t xml:space="preserve">experiences included parental separation, parent incarceration and mental health in the family. Studies in Wales have found that this may increase the likelihood of health-harming and anti-social behaviours (Aces, 2018). </w:t>
      </w:r>
    </w:p>
    <w:p w14:paraId="4D0C419C"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As mentioned within the introduction, Pupil A’s overall literacy and mathematics levels from his most recent summative assessments averaged at a level three. Pupil A’s has been working at a level three consistently, evidenced in summative assessments throughout the academic year. This positions Pupil A within the more able differentiated group within the class. For the purpose of this assignment Pupil A’s Literacy; oracy, reading and writing abilities were analysed further to identify key strengths and weaknesses within each area. As well as mathematic; number, measurement and geometry. </w:t>
      </w:r>
    </w:p>
    <w:p w14:paraId="6A3DD6A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Regarding oracy Pupil A showed confidence when discussing topics of interest but lacked the same motivation with a range of other topics. He communicated his own opinions and reasons for ideas well. On the other hand, noted during observations, was Pupil A’s inability to listen to his peers’ opinions during both class and group discussions. As identified previously Pupil A experiences social difficulties.</w:t>
      </w:r>
    </w:p>
    <w:p w14:paraId="6161EFA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Pupil A had a reading age of ten to eleven, currently reading level 27 using Oxford reading tree books. When reading aloud Pupil A displayed a good pace and recognition of words. He worked confidently within the guided reading group although became irritated when peers tried to help with unfamiliar words. He was also observed racing through the non-fiction book to reach the end, not following the words as his peers read and continually checking to see how many pages were left. When asked to recall what he had just read he could not. Described by Wray (1981 cited in </w:t>
      </w:r>
      <w:proofErr w:type="spellStart"/>
      <w:r w:rsidRPr="002C02FC">
        <w:rPr>
          <w:rFonts w:ascii="Arial" w:hAnsi="Arial" w:cs="Arial"/>
          <w:sz w:val="24"/>
          <w:szCs w:val="24"/>
        </w:rPr>
        <w:t>Medwell</w:t>
      </w:r>
      <w:proofErr w:type="spellEnd"/>
      <w:r w:rsidRPr="002C02FC">
        <w:rPr>
          <w:rFonts w:ascii="Arial" w:hAnsi="Arial" w:cs="Arial"/>
          <w:sz w:val="24"/>
          <w:szCs w:val="24"/>
        </w:rPr>
        <w:t xml:space="preserve"> et al., 2014: 99) as lacking higher order reading skills.  Although, for children with autism fining meaning in words can be difficult (Moor, 2008). When this observation was discussed with Pupil A he stated that he “didn’t like waiting to read” and that it was “boring”. He was then asked what kind of books he would like to read he replied “Minecraft”. </w:t>
      </w:r>
    </w:p>
    <w:p w14:paraId="0534ECF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It is worth noting that within the school timetable independent reading is not planned for. The class teacher confirmed that the children did not have individual reading books in class or books to take home, despite the school library being next door to the classroom. Children according to Grigg (2015) should be encouraged to read </w:t>
      </w:r>
      <w:r w:rsidRPr="002C02FC">
        <w:rPr>
          <w:rFonts w:ascii="Arial" w:hAnsi="Arial" w:cs="Arial"/>
          <w:sz w:val="24"/>
          <w:szCs w:val="24"/>
        </w:rPr>
        <w:lastRenderedPageBreak/>
        <w:t xml:space="preserve">independently with a book of their choice. During a literacy lesson Pupil A, was given a book on ‘Minecraft’ in order to plan a persuasive writing and oracy task. Through personal reflection and examples of work it was documented that Pupil A was fully engaged with the task and engrossed in the book choosing to continue reading the book after the lesson. He was also observed sharing his findings within the book with a peer. </w:t>
      </w:r>
    </w:p>
    <w:p w14:paraId="5A7256E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Previous writing targets for Pupil A have focused on handwriting, this skill has noticeably improved Pupil A’s formation of letters, joins and consistent size of writing through the academic year. Pupil A’s spelling is consistent and writing is generally to a good standard. Although, little evidence of grammatical devices can be seen within the writing (appendix 8). As with many individuals who have ADHD Pupil A struggles when planning a written task often forgetting the required outcome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w:t>
      </w:r>
    </w:p>
    <w:p w14:paraId="6F7DB496"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With regards to mathematics Pupil A was again within the more able grouping in the classroom. When samples of work were reviewed Pupil A often performed well in many areas of mathematics showing good presentation skills when extracting and interpreting data, a knowledge of number and a development of calculations for a range of mathematical problems (appendix 9). Observations showed that work lacked the use of checking techniques and the willingness to try unfamiliar approaches. If unsure of a problem Pupil A became easily distracted and lost task focus. When introduced to ‘challenge cards’ Pupil A immediately chose the easiest challenge from a choice of three. Unfortunately, with limited research time It could not be recorded if Pupil A always chose the easiest option with this method or would develop the confidence to try harder challenge next time. From the findings this could demonstrate a fixed mindset.</w:t>
      </w:r>
    </w:p>
    <w:p w14:paraId="4485CD5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Pupil A’s unwillingness to accept a challenge and low confidence in his perceived abilities may have limited his learning progression over the academic year. Beginning to explain why his literacy and mathematical national curriculum levels have not improved. Without the ability to build on learning, all curriculum subjects will be impacted. Dweck (1999) proclaims that a fixed mindset can limit a learner’s motivation and future achievements. </w:t>
      </w:r>
    </w:p>
    <w:p w14:paraId="5C22426A" w14:textId="4DC809A5"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In order to fully analyse the mosaic evidence gathered on Pupil A, Nottingham (2013) ‘ASK’ model was utilised to collate all findings into a coherent picture. </w:t>
      </w:r>
      <w:r w:rsidRPr="002C02FC">
        <w:rPr>
          <w:rFonts w:ascii="Arial" w:hAnsi="Arial" w:cs="Arial"/>
          <w:sz w:val="24"/>
          <w:szCs w:val="24"/>
        </w:rPr>
        <w:lastRenderedPageBreak/>
        <w:t xml:space="preserve">Comparing the individual’s attitudes, skills and knowledge. This highlighted a number of areas for concern. Pupil A was observed to be lacking the motivation to learn, refusing to succeed, showing little resilience and difficulty in regulating his emotions. In terms of skill, Pupil A possessed good intellectual and thinking abilities within literacy, maths and topic lessons, but had difficulty with socialising and communicating fully with his peers often becoming distracted and loosing focus. Pupil A retained good knowledge of the subjects he was interested in, remembering writing structures and key mathematical concepts. </w:t>
      </w:r>
    </w:p>
    <w:p w14:paraId="295AB9D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Next steps </w:t>
      </w:r>
    </w:p>
    <w:p w14:paraId="18995FEE" w14:textId="7E54BA25"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Firstly, Pupil A requires support with his attitude towards learning, without a change in attitude little progress can be made in other areas.  One way to change this could be to grow Pupil A’s mindset. This would need to begin with positive feedback and praise from teacher, self and peer assessment. Pupil A will receive positive feedback to encourage his self-esteem, but also constructive advice. Giving clear next steps to improvement across the curriculum in order for Pupil A to understand how he can achieve (Black and </w:t>
      </w:r>
      <w:r w:rsidRPr="002C02FC">
        <w:rPr>
          <w:rFonts w:ascii="Arial" w:hAnsi="Arial" w:cs="Arial"/>
          <w:sz w:val="24"/>
          <w:szCs w:val="24"/>
        </w:rPr>
        <w:t>William</w:t>
      </w:r>
      <w:r w:rsidRPr="002C02FC">
        <w:rPr>
          <w:rFonts w:ascii="Arial" w:hAnsi="Arial" w:cs="Arial"/>
          <w:sz w:val="24"/>
          <w:szCs w:val="24"/>
        </w:rPr>
        <w:t xml:space="preserve">, 1989). Sutton Trust research proclaims too much praise can in fact inhibit pupil performance (Garner, 2014).  However, Mueller and Dweck (1998) claimed that studies showed praising effort was more beneficial than praising intelligence, as subjects praised for their effort were more likely to experience learning enjoyment and task persistence. </w:t>
      </w:r>
    </w:p>
    <w:p w14:paraId="4F01DE9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Another approach to improve Pupil A’s growth mindset is through the use of the ‘learning pit’ this is a challenge method developed by Nottingham (2017). Using the learning pit could help Pupil A to visually see that it’s okay not to understand something at first and models working through a problem. This will help to minimise his anxieties of failing and to promote metacognition. The visual aspect could also promote better concentration as Pupil A can focus on the next steps to success minimising distractions. Thinking through each challenge with others and encouraging group discussion through model questioning could also develop Pupil A’s collaboration and listening skills. As discussed, the use of challenge cards was introduced to Pupil A briefly and so could not be fully analysed. The learning pit is one method which could encourage this activity in the future. </w:t>
      </w:r>
    </w:p>
    <w:p w14:paraId="15C60CD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 xml:space="preserve">The Skill of socialising and communication with peers was identified as a problem area for Pupil A. The introduction of a seating plan during activities may support this by allowing the familiarity of working with the same peers to minimise social anxieties. For an individual with ADHD and ASD, starting with pair work for collaboration and then working towards small group work will minimise anxieties. The Education Endowment foundation (2018) promotes collaboration within learning, based on the findings of many studies demonstrating better learning outcomes. It can be argued though that collaboration is a skill which needs to be supported and practiced before it can be successful and so this would be a long-term approach.    </w:t>
      </w:r>
    </w:p>
    <w:p w14:paraId="69E886B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Encouraging social skills could also be supported through role play activities to incorporate restorative role play in order to help Pupil A understand his emotions and control his frustration. Moor (2008) documented that play and social development are entwined. For many with ASD including Pupil A, role play can help to improve the understanding one’s own emotions therefore improving behaviour and the understanding of others emotions. These activities should also improve Pupil A’s literacy skills in terms of oracy, by listening and responding to other learners appropriately. </w:t>
      </w:r>
    </w:p>
    <w:p w14:paraId="18846A0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Of course, play can be used in another sense. As recognised, Pupil A likes to ‘play’ outside. Planning practical activities in a range of alternative environments will help Pupil A retain his attention and allow natural movement breaks, especially important for individuals with ADHD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Though, Moor (2008) reminds us that children with ASD need structure. This approach could be achieved for example through a maths lesson, by allowing Pupil A to engage with a practical activity in order to solve a problem. He would then record his findings and explain his method to another, modelling peer tutoring in order to apply it to an alternative problem and develop conceptual understanding. This would provide depth of knowledge, metacognition and assessment for learning opportunities. </w:t>
      </w:r>
    </w:p>
    <w:p w14:paraId="2AE36E3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In terms of Pupil A’s writing little intervention is needed as his skills are good, while modelling shared writing and providing planning templates for different writing purposes would support a more thorough outcome. Providing this support would allow Pupil A to also concentrate on increasing his use of punctuation. Sandler (2005 </w:t>
      </w:r>
      <w:r w:rsidRPr="002C02FC">
        <w:rPr>
          <w:rFonts w:ascii="Arial" w:hAnsi="Arial" w:cs="Arial"/>
          <w:sz w:val="24"/>
          <w:szCs w:val="24"/>
        </w:rPr>
        <w:lastRenderedPageBreak/>
        <w:t xml:space="preserve">cited in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309) recommends learners plan for writing using their preferred resources such as visual, auditory or kinaesthetic based.  </w:t>
      </w:r>
    </w:p>
    <w:p w14:paraId="72075917"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Although Pupil A was observed to be a confident reader he was also observed to have poor recall skills and showed little enjoyment in reading. In order to tackle this, following the Welsh Government (2016) best practice in reading, encouragement would be given to Pupil A to choose a book from the library to capture interest. This could be timetabled into the morning registration as a calming activity, preparing Pupil A and the cohort for the school day. Cross curricular alternative reading materials such as magazines or technology-based resources could also be used to strike an interest in reading. However, with an already busy school day it would be beneficial if Pupil A was encouraged to read at home. With little knowledge of Pupil A’s home life, it would be difficult to suggest how home school engagement would be approached.</w:t>
      </w:r>
    </w:p>
    <w:p w14:paraId="1EF1BAE6"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Nurturing a love of learning and developing the Literacy and Numeracy framework skills across the curricular will improve Pupil A’s overall knowledge. By scaffolding his learning through visible success criteria, showing the clear use of the skills needed to be successful and develop independence (Welsh government, 2013). Considering Pupil A’s special interests and including his voice in the planning of lessons will enable ownership of his learning and this should help to motivate attainment and engagement. Although, if only aimed at one pupils interests this approach may limit engagement of other learners in the class, this must be an inclusive strategy where every child has the right to contribute (</w:t>
      </w:r>
      <w:proofErr w:type="spellStart"/>
      <w:r w:rsidRPr="002C02FC">
        <w:rPr>
          <w:rFonts w:ascii="Arial" w:hAnsi="Arial" w:cs="Arial"/>
          <w:sz w:val="24"/>
          <w:szCs w:val="24"/>
        </w:rPr>
        <w:t>Lanou</w:t>
      </w:r>
      <w:proofErr w:type="spellEnd"/>
      <w:r w:rsidRPr="002C02FC">
        <w:rPr>
          <w:rFonts w:ascii="Arial" w:hAnsi="Arial" w:cs="Arial"/>
          <w:sz w:val="24"/>
          <w:szCs w:val="24"/>
        </w:rPr>
        <w:t xml:space="preserve"> et al., 2011).</w:t>
      </w:r>
    </w:p>
    <w:p w14:paraId="3A9BC0A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Conclusions</w:t>
      </w:r>
    </w:p>
    <w:p w14:paraId="0439A76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Despite the challenges of gathering a complete picture of Pupil A, due to the time constraints of the research project, conducting this research and having the opportunity to focus on one learners holistic journey has allowed a better analysis of the motivations behind learning. This knowledge coupled with the additional exploration of techniques to support a learner with ASD and ADHD will help to inform personal future practice in the classroom. It has also revealed that many of these strategies would support the learning of neurotypical learners and improve the pedological delivery of all lessons. The researchers practice would be improved by Including activities that are varied and practical in order to engaging learners. </w:t>
      </w:r>
    </w:p>
    <w:p w14:paraId="32D6BAE8"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 xml:space="preserve">Through focusing on the added benefits of assessment for learning, a new confidence has been acquired on how to implement these techniques effectively to ensure they are having an impact on learning; positive, constructive feedback, success criteria with clear skills attached, pupil collaboration and the use of pupil voice to plan lessons of interest. </w:t>
      </w:r>
    </w:p>
    <w:p w14:paraId="72CD367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methodology used within the research project from the observations and the interview discussions resulted in a variety of information to synthesise. This lead to tangential research that did not influence the next steps to improve learning. An example of this would be the research on ACE. If this project was to be repeated then a scheduled observation timetable with a clear focus and pre-planned interview questions might have been more efficient. Because of this it is the feeling that samples of work and pupil tracking lacked the depth of analysis needed.  </w:t>
      </w:r>
    </w:p>
    <w:p w14:paraId="45B03BF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detailed analysis of the pupil’s holistic development has lead the researcher to recognise that the wellbeing of a learner must be the primary focus of the teacher. If a learner is not emotionally ready to learn then achievement will not be possible. The next steps in leaning must support progress in readiness to learn. All learners need to be aware of their individual learning strengths and weaknesses in order to appreciate them and move forward to be the best learner they can be. </w:t>
      </w:r>
    </w:p>
    <w:p w14:paraId="14F860FF" w14:textId="77777777" w:rsidR="002C02FC" w:rsidRPr="002C02FC" w:rsidRDefault="002C02FC" w:rsidP="002C02FC">
      <w:pPr>
        <w:spacing w:line="360" w:lineRule="auto"/>
        <w:rPr>
          <w:rFonts w:ascii="Arial" w:hAnsi="Arial" w:cs="Arial"/>
          <w:sz w:val="24"/>
          <w:szCs w:val="24"/>
        </w:rPr>
      </w:pPr>
    </w:p>
    <w:p w14:paraId="57043C0A" w14:textId="77777777" w:rsidR="0037172C" w:rsidRPr="002C02FC" w:rsidRDefault="0037172C" w:rsidP="002C02FC">
      <w:pPr>
        <w:spacing w:line="360" w:lineRule="auto"/>
        <w:rPr>
          <w:rFonts w:ascii="Arial" w:hAnsi="Arial" w:cs="Arial"/>
          <w:sz w:val="24"/>
          <w:szCs w:val="24"/>
        </w:rPr>
      </w:pPr>
    </w:p>
    <w:sectPr w:rsidR="0037172C" w:rsidRPr="002C02F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0EF7F" w14:textId="77777777" w:rsidR="00C03A8D" w:rsidRDefault="00C03A8D" w:rsidP="00605558">
      <w:pPr>
        <w:spacing w:after="0" w:line="240" w:lineRule="auto"/>
      </w:pPr>
      <w:r>
        <w:separator/>
      </w:r>
    </w:p>
  </w:endnote>
  <w:endnote w:type="continuationSeparator" w:id="0">
    <w:p w14:paraId="1A36D0B5" w14:textId="77777777" w:rsidR="00C03A8D" w:rsidRDefault="00C03A8D" w:rsidP="00605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AA4B3" w14:textId="77777777" w:rsidR="00C03A8D" w:rsidRDefault="00C03A8D" w:rsidP="00605558">
      <w:pPr>
        <w:spacing w:after="0" w:line="240" w:lineRule="auto"/>
      </w:pPr>
      <w:r>
        <w:separator/>
      </w:r>
    </w:p>
  </w:footnote>
  <w:footnote w:type="continuationSeparator" w:id="0">
    <w:p w14:paraId="27A8037F" w14:textId="77777777" w:rsidR="00C03A8D" w:rsidRDefault="00C03A8D" w:rsidP="00605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929A0" w14:textId="58AFC474" w:rsidR="00605558" w:rsidRDefault="00605558">
    <w:pPr>
      <w:pStyle w:val="Header"/>
    </w:pPr>
    <w:r>
      <w:t>1700434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F80"/>
    <w:rsid w:val="0009188C"/>
    <w:rsid w:val="000B73D8"/>
    <w:rsid w:val="000E32CD"/>
    <w:rsid w:val="002C02FC"/>
    <w:rsid w:val="00363F80"/>
    <w:rsid w:val="0037172C"/>
    <w:rsid w:val="004803CD"/>
    <w:rsid w:val="005037FA"/>
    <w:rsid w:val="00541CA7"/>
    <w:rsid w:val="00605558"/>
    <w:rsid w:val="006941C0"/>
    <w:rsid w:val="007E50C4"/>
    <w:rsid w:val="009F767B"/>
    <w:rsid w:val="00A166D7"/>
    <w:rsid w:val="00A63E0E"/>
    <w:rsid w:val="00AB5655"/>
    <w:rsid w:val="00B5380F"/>
    <w:rsid w:val="00C03A8D"/>
    <w:rsid w:val="00D4186E"/>
    <w:rsid w:val="00E1014F"/>
    <w:rsid w:val="00EB0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ECA0C"/>
  <w15:chartTrackingRefBased/>
  <w15:docId w15:val="{A888CDB2-3296-4349-8B8E-20F06F361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F80"/>
  </w:style>
  <w:style w:type="paragraph" w:styleId="Heading1">
    <w:name w:val="heading 1"/>
    <w:basedOn w:val="Normal"/>
    <w:link w:val="Heading1Char"/>
    <w:uiPriority w:val="9"/>
    <w:qFormat/>
    <w:rsid w:val="009F76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63F80"/>
  </w:style>
  <w:style w:type="character" w:customStyle="1" w:styleId="Heading1Char">
    <w:name w:val="Heading 1 Char"/>
    <w:basedOn w:val="DefaultParagraphFont"/>
    <w:link w:val="Heading1"/>
    <w:uiPriority w:val="9"/>
    <w:rsid w:val="009F767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F767B"/>
    <w:rPr>
      <w:i/>
      <w:iCs/>
    </w:rPr>
  </w:style>
  <w:style w:type="paragraph" w:styleId="Header">
    <w:name w:val="header"/>
    <w:basedOn w:val="Normal"/>
    <w:link w:val="HeaderChar"/>
    <w:uiPriority w:val="99"/>
    <w:unhideWhenUsed/>
    <w:rsid w:val="00605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558"/>
  </w:style>
  <w:style w:type="paragraph" w:styleId="Footer">
    <w:name w:val="footer"/>
    <w:basedOn w:val="Normal"/>
    <w:link w:val="FooterChar"/>
    <w:uiPriority w:val="99"/>
    <w:unhideWhenUsed/>
    <w:rsid w:val="00605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12</Pages>
  <Words>4091</Words>
  <Characters>23324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Prosser (1700434)</dc:creator>
  <cp:keywords/>
  <dc:description/>
  <cp:lastModifiedBy>Holly Prosser (1700434)</cp:lastModifiedBy>
  <cp:revision>10</cp:revision>
  <dcterms:created xsi:type="dcterms:W3CDTF">2018-05-29T14:34:00Z</dcterms:created>
  <dcterms:modified xsi:type="dcterms:W3CDTF">2018-05-29T19:59:00Z</dcterms:modified>
</cp:coreProperties>
</file>