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279A1" w14:textId="7BF3E4FD" w:rsidR="008D1E30" w:rsidRPr="00B839AB" w:rsidRDefault="00E326C6">
      <w:pPr>
        <w:rPr>
          <w:rFonts w:ascii="Times" w:hAnsi="Times" w:cs="Times"/>
          <w:lang w:val="en-US"/>
        </w:rPr>
      </w:pPr>
      <w:r w:rsidRPr="00B839AB">
        <w:rPr>
          <w:rFonts w:ascii="Times" w:hAnsi="Times" w:cs="Times"/>
          <w:lang w:val="en-US"/>
        </w:rPr>
        <w:t xml:space="preserve">Discuss the representation of physical disability in </w:t>
      </w:r>
      <w:r w:rsidR="00AC7CCF" w:rsidRPr="00B839AB">
        <w:rPr>
          <w:rFonts w:ascii="Times" w:hAnsi="Times" w:cs="Times"/>
          <w:lang w:val="en-US"/>
        </w:rPr>
        <w:t>Roman</w:t>
      </w:r>
      <w:r w:rsidRPr="00B839AB">
        <w:rPr>
          <w:rFonts w:ascii="Times" w:hAnsi="Times" w:cs="Times"/>
          <w:lang w:val="en-US"/>
        </w:rPr>
        <w:t xml:space="preserve"> literature and art.</w:t>
      </w:r>
    </w:p>
    <w:p w14:paraId="689C4697" w14:textId="77777777" w:rsidR="00E326C6" w:rsidRDefault="00E326C6"/>
    <w:p w14:paraId="4B9BE601" w14:textId="6F1D3ECB" w:rsidR="00AE6B79" w:rsidRDefault="00E326C6">
      <w:r>
        <w:t>Disability in the ancient world is a relatively new area of interest</w:t>
      </w:r>
      <w:r w:rsidR="0081478A">
        <w:t xml:space="preserve"> </w:t>
      </w:r>
      <w:r w:rsidR="002369F4">
        <w:t xml:space="preserve">for many </w:t>
      </w:r>
      <w:r w:rsidR="00035B30">
        <w:t xml:space="preserve">modern </w:t>
      </w:r>
      <w:r w:rsidR="002369F4">
        <w:t xml:space="preserve">historians. </w:t>
      </w:r>
      <w:r w:rsidR="008C6D52">
        <w:t>Unfortunately,</w:t>
      </w:r>
      <w:r w:rsidR="004229CB">
        <w:t xml:space="preserve"> knowledge of disabilit</w:t>
      </w:r>
      <w:r w:rsidR="007812AB">
        <w:t>ies</w:t>
      </w:r>
      <w:r w:rsidR="004229CB">
        <w:t xml:space="preserve"> w</w:t>
      </w:r>
      <w:r w:rsidR="007812AB">
        <w:t>as</w:t>
      </w:r>
      <w:r w:rsidR="004229CB">
        <w:t xml:space="preserve"> often misinformed</w:t>
      </w:r>
      <w:r w:rsidR="008C6D52">
        <w:t xml:space="preserve"> in Ancient Rome</w:t>
      </w:r>
      <w:r w:rsidR="007812AB">
        <w:t>,</w:t>
      </w:r>
      <w:r w:rsidR="008C6D52">
        <w:t xml:space="preserve"> </w:t>
      </w:r>
      <w:r w:rsidR="007812AB">
        <w:t>causing</w:t>
      </w:r>
      <w:r w:rsidR="008C6D52">
        <w:t xml:space="preserve"> </w:t>
      </w:r>
      <w:r w:rsidR="007812AB">
        <w:t>most</w:t>
      </w:r>
      <w:r w:rsidR="008C6D52">
        <w:t xml:space="preserve"> people afflicted </w:t>
      </w:r>
      <w:r w:rsidR="007812AB">
        <w:t xml:space="preserve">to </w:t>
      </w:r>
      <w:r w:rsidR="008C6D52">
        <w:t>f</w:t>
      </w:r>
      <w:r w:rsidR="007812AB">
        <w:t>i</w:t>
      </w:r>
      <w:r w:rsidR="008C6D52">
        <w:t>nd life difficult</w:t>
      </w:r>
      <w:r w:rsidR="004229CB">
        <w:t>.</w:t>
      </w:r>
      <w:r w:rsidR="008C6D52">
        <w:rPr>
          <w:rStyle w:val="FootnoteReference"/>
        </w:rPr>
        <w:footnoteReference w:id="1"/>
      </w:r>
      <w:r w:rsidR="004229CB">
        <w:t xml:space="preserve"> This essay </w:t>
      </w:r>
      <w:r w:rsidR="007812AB">
        <w:t>look</w:t>
      </w:r>
      <w:r w:rsidR="00EB1FF1">
        <w:t>s</w:t>
      </w:r>
      <w:r w:rsidR="007812AB">
        <w:t xml:space="preserve"> at</w:t>
      </w:r>
      <w:r w:rsidR="004229CB">
        <w:t xml:space="preserve"> </w:t>
      </w:r>
      <w:r w:rsidR="00EB1FF1">
        <w:t>the representations we have from Roman literature and what this can tell us about the lives</w:t>
      </w:r>
      <w:r w:rsidR="007812AB">
        <w:t xml:space="preserve"> and treatments</w:t>
      </w:r>
      <w:r w:rsidR="00EB1FF1">
        <w:t xml:space="preserve"> of the </w:t>
      </w:r>
      <w:r w:rsidR="002F4F6F">
        <w:t>average citizens</w:t>
      </w:r>
      <w:r w:rsidR="004229CB">
        <w:t xml:space="preserve"> living with a disability in Ancient </w:t>
      </w:r>
      <w:r w:rsidR="00AC7CCF">
        <w:t>Rome</w:t>
      </w:r>
      <w:r w:rsidR="004229CB">
        <w:t xml:space="preserve">. </w:t>
      </w:r>
      <w:r w:rsidR="007812AB">
        <w:t>I conclude that while for the average citizen life with a disability was one of survival,</w:t>
      </w:r>
      <w:r w:rsidR="004229CB">
        <w:t xml:space="preserve"> there are exceptions</w:t>
      </w:r>
      <w:r w:rsidR="007812AB">
        <w:t xml:space="preserve"> concerning individuals rich enough to manage their illnesses</w:t>
      </w:r>
      <w:r w:rsidR="004229CB">
        <w:t>.</w:t>
      </w:r>
      <w:r w:rsidR="00AC7CCF">
        <w:rPr>
          <w:rStyle w:val="FootnoteReference"/>
        </w:rPr>
        <w:footnoteReference w:id="2"/>
      </w:r>
      <w:r w:rsidR="00E03EBE">
        <w:t xml:space="preserve"> This essay therefore examines </w:t>
      </w:r>
      <w:r w:rsidR="00E2388B">
        <w:t>the idea</w:t>
      </w:r>
      <w:r w:rsidR="008C6D52">
        <w:t xml:space="preserve"> and hazards</w:t>
      </w:r>
      <w:r w:rsidR="00E2388B">
        <w:t xml:space="preserve"> of disability in </w:t>
      </w:r>
      <w:r w:rsidR="002F4F6F">
        <w:t>T</w:t>
      </w:r>
      <w:r w:rsidR="00E2388B">
        <w:t>he Roman Empire</w:t>
      </w:r>
      <w:r w:rsidR="00C42B72">
        <w:t>,</w:t>
      </w:r>
      <w:r w:rsidR="00E2388B">
        <w:t xml:space="preserve"> </w:t>
      </w:r>
      <w:r w:rsidR="00E03EBE">
        <w:t>the</w:t>
      </w:r>
      <w:r w:rsidR="00AC7CCF">
        <w:t>ir</w:t>
      </w:r>
      <w:r w:rsidR="00E03EBE">
        <w:t xml:space="preserve"> medical practices,</w:t>
      </w:r>
      <w:r w:rsidR="007812AB">
        <w:t xml:space="preserve"> and</w:t>
      </w:r>
      <w:r w:rsidR="00E03EBE">
        <w:t xml:space="preserve"> </w:t>
      </w:r>
      <w:r w:rsidR="000C31F2">
        <w:t>the difficulties faced by Roman citizens with</w:t>
      </w:r>
      <w:r w:rsidR="00894EA7">
        <w:t xml:space="preserve"> disabilities </w:t>
      </w:r>
      <w:proofErr w:type="gramStart"/>
      <w:r w:rsidR="000C31F2">
        <w:t>whether or not</w:t>
      </w:r>
      <w:proofErr w:type="gramEnd"/>
      <w:r w:rsidR="000C31F2">
        <w:t xml:space="preserve"> they were present from birth</w:t>
      </w:r>
      <w:r w:rsidR="00954794">
        <w:t>.</w:t>
      </w:r>
      <w:r w:rsidR="00E03EBE">
        <w:t xml:space="preserve"> </w:t>
      </w:r>
      <w:r w:rsidR="006B765D">
        <w:t>Finally,</w:t>
      </w:r>
      <w:r w:rsidR="00954794">
        <w:t xml:space="preserve"> the essay gives</w:t>
      </w:r>
      <w:r w:rsidR="008C6D52">
        <w:t xml:space="preserve"> the</w:t>
      </w:r>
      <w:r w:rsidR="00E03EBE">
        <w:t xml:space="preserve"> examples of</w:t>
      </w:r>
      <w:r w:rsidR="008C6D52" w:rsidRPr="008C6D52">
        <w:t xml:space="preserve"> </w:t>
      </w:r>
      <w:r w:rsidR="008C6D52">
        <w:t>Seneca and Caesar, who both lived successful lives with disabilities</w:t>
      </w:r>
      <w:r w:rsidR="00954794">
        <w:t>, in contrast to the common citizen</w:t>
      </w:r>
      <w:r w:rsidR="00EB1FF1">
        <w:t>, to examine what the representations we have from Rome can tell us about the lives of the people affected</w:t>
      </w:r>
      <w:r w:rsidR="008C6D52">
        <w:t>.</w:t>
      </w:r>
    </w:p>
    <w:p w14:paraId="2BF0F7D5" w14:textId="4A6CFD45" w:rsidR="00E96679" w:rsidRDefault="00D17E77">
      <w:r>
        <w:t>There are many different types of physical disability</w:t>
      </w:r>
      <w:r w:rsidR="000C31F2">
        <w:t xml:space="preserve">, and </w:t>
      </w:r>
      <w:r w:rsidR="002F4F6F">
        <w:t>there is no wholly accepted definition of a what a handicap is</w:t>
      </w:r>
      <w:r w:rsidR="000C31F2">
        <w:t>.</w:t>
      </w:r>
      <w:r w:rsidR="000C31F2">
        <w:rPr>
          <w:rStyle w:val="FootnoteReference"/>
        </w:rPr>
        <w:footnoteReference w:id="3"/>
      </w:r>
      <w:r>
        <w:t xml:space="preserve"> Just like today, Romans could suffer from disabilities caused by accidents, war, and congenital conditions.</w:t>
      </w:r>
      <w:r>
        <w:rPr>
          <w:rStyle w:val="FootnoteReference"/>
        </w:rPr>
        <w:footnoteReference w:id="4"/>
      </w:r>
      <w:r w:rsidR="006B349F">
        <w:t xml:space="preserve"> P</w:t>
      </w:r>
      <w:r w:rsidR="003A1569">
        <w:t>oor living standards can also be a large risk of causing disability and illness, and w</w:t>
      </w:r>
      <w:r w:rsidR="004375CE">
        <w:t xml:space="preserve">e find some skeletal evidence of civilians in Roman society being affected by various chronic illnesses like </w:t>
      </w:r>
      <w:r w:rsidR="00EF02EB">
        <w:t>pulmonary tuberculosis.</w:t>
      </w:r>
      <w:r w:rsidR="00EF02EB">
        <w:rPr>
          <w:rStyle w:val="FootnoteReference"/>
        </w:rPr>
        <w:footnoteReference w:id="5"/>
      </w:r>
      <w:r w:rsidR="00FC180F">
        <w:t xml:space="preserve"> Garland suggests, that due to the poverty and lack of medicine, a significant proportion of those in later adulthood would have some kind of amputation, loss of hearing, or sight.</w:t>
      </w:r>
      <w:r w:rsidR="00FC180F">
        <w:rPr>
          <w:rStyle w:val="FootnoteReference"/>
        </w:rPr>
        <w:footnoteReference w:id="6"/>
      </w:r>
      <w:r w:rsidR="00FC180F">
        <w:t xml:space="preserve"> I agree with this notion as </w:t>
      </w:r>
      <w:r w:rsidR="000E275C">
        <w:t>today we see disabilities like blindness are most common in poorer, developing countries.</w:t>
      </w:r>
      <w:r w:rsidR="000E275C">
        <w:rPr>
          <w:rStyle w:val="FootnoteReference"/>
        </w:rPr>
        <w:footnoteReference w:id="7"/>
      </w:r>
      <w:r w:rsidR="00E2388B">
        <w:t>In isolated villages of the empire, where interbreeding was more likely, congenital deformities such as achondroplasia would be more likely than in the modern day.</w:t>
      </w:r>
      <w:r w:rsidR="00E2388B">
        <w:rPr>
          <w:rStyle w:val="FootnoteReference"/>
        </w:rPr>
        <w:footnoteReference w:id="8"/>
      </w:r>
      <w:r w:rsidR="00E2388B">
        <w:t xml:space="preserve"> </w:t>
      </w:r>
      <w:r w:rsidR="00CC4320">
        <w:t xml:space="preserve">In Cambridge </w:t>
      </w:r>
      <w:r w:rsidR="00E2388B">
        <w:t>We have examples showing 6 skeletons out of 12 showed signs of deformity</w:t>
      </w:r>
      <w:r w:rsidR="00CC4320">
        <w:t xml:space="preserve"> </w:t>
      </w:r>
      <w:r w:rsidR="00E2388B">
        <w:t>likely caused by this i</w:t>
      </w:r>
      <w:r w:rsidR="00CC4320">
        <w:t>nterbreeding</w:t>
      </w:r>
      <w:r w:rsidR="00E2388B">
        <w:t>.</w:t>
      </w:r>
      <w:r w:rsidR="00E2388B">
        <w:rPr>
          <w:rStyle w:val="FootnoteReference"/>
        </w:rPr>
        <w:footnoteReference w:id="9"/>
      </w:r>
      <w:r w:rsidR="00894EA7">
        <w:t xml:space="preserve"> </w:t>
      </w:r>
    </w:p>
    <w:p w14:paraId="426AEB4B" w14:textId="2CB62168" w:rsidR="00361298" w:rsidRDefault="00CC4320">
      <w:r>
        <w:t>For the majority of people—especially the physically disabled—who lived in ancient Rome, life was harsh and dangerous.</w:t>
      </w:r>
      <w:r>
        <w:rPr>
          <w:rStyle w:val="FootnoteReference"/>
        </w:rPr>
        <w:footnoteReference w:id="10"/>
      </w:r>
      <w:r>
        <w:t xml:space="preserve"> </w:t>
      </w:r>
      <w:r w:rsidR="00361298">
        <w:t>For many in the ancient world, magic was</w:t>
      </w:r>
      <w:r>
        <w:t xml:space="preserve"> seen as both a cause and a remedy for disability</w:t>
      </w:r>
      <w:r w:rsidR="00361298">
        <w:t>.</w:t>
      </w:r>
      <w:r w:rsidR="00361298">
        <w:rPr>
          <w:rStyle w:val="FootnoteReference"/>
        </w:rPr>
        <w:footnoteReference w:id="11"/>
      </w:r>
      <w:r w:rsidR="00361298">
        <w:t xml:space="preserve"> As a result of this, many believed</w:t>
      </w:r>
      <w:r>
        <w:t xml:space="preserve"> in</w:t>
      </w:r>
      <w:r w:rsidR="00361298">
        <w:t xml:space="preserve"> miraculous healings, and that under these circumstances any ailment can be cured.</w:t>
      </w:r>
      <w:r w:rsidR="00361298">
        <w:rPr>
          <w:rStyle w:val="FootnoteReference"/>
        </w:rPr>
        <w:footnoteReference w:id="12"/>
      </w:r>
      <w:r w:rsidR="00361298">
        <w:t xml:space="preserve"> Despite this magical and rational mix of remedies, the Romans had a fairly advanced grasp of medicine even though a lot of our ancient sources like Pliny the Elder and Celsus were not physicians themselves.</w:t>
      </w:r>
      <w:r w:rsidR="00361298">
        <w:rPr>
          <w:rStyle w:val="FootnoteReference"/>
        </w:rPr>
        <w:footnoteReference w:id="13"/>
      </w:r>
      <w:r w:rsidR="00361298">
        <w:t xml:space="preserve"> </w:t>
      </w:r>
      <w:r w:rsidR="002F4F6F">
        <w:t>For example</w:t>
      </w:r>
      <w:r w:rsidR="00894EA7">
        <w:t xml:space="preserve">, </w:t>
      </w:r>
      <w:r w:rsidR="00361298">
        <w:t>Pliny the Elder seems certain of a cure for epilepsy, describing a precise herbal remedy which he believes will remove any symptoms.</w:t>
      </w:r>
      <w:r w:rsidR="00361298">
        <w:rPr>
          <w:rStyle w:val="FootnoteReference"/>
        </w:rPr>
        <w:footnoteReference w:id="14"/>
      </w:r>
      <w:r w:rsidR="00361298">
        <w:t xml:space="preserve"> </w:t>
      </w:r>
      <w:r>
        <w:t xml:space="preserve">Yet, </w:t>
      </w:r>
      <w:r w:rsidR="00361298">
        <w:t xml:space="preserve">Hesiod describes that afflictions affect cities based on the moral actions of the </w:t>
      </w:r>
      <w:r w:rsidR="00361298">
        <w:lastRenderedPageBreak/>
        <w:t>people, which shows how Romans perceived personal disabilities as punishments.</w:t>
      </w:r>
      <w:r w:rsidR="00361298">
        <w:rPr>
          <w:rStyle w:val="FootnoteReference"/>
        </w:rPr>
        <w:footnoteReference w:id="15"/>
      </w:r>
      <w:r w:rsidR="00DB4B0E">
        <w:t xml:space="preserve"> If a disability is </w:t>
      </w:r>
      <w:r w:rsidR="006B349F">
        <w:t>present at birth, Soranus tells us that the baby is not worth rearing, which shows the</w:t>
      </w:r>
      <w:r>
        <w:t xml:space="preserve"> rejection</w:t>
      </w:r>
      <w:r w:rsidR="006B349F">
        <w:t xml:space="preserve"> of</w:t>
      </w:r>
      <w:r>
        <w:t xml:space="preserve"> the </w:t>
      </w:r>
      <w:r w:rsidR="006B349F">
        <w:t>disab</w:t>
      </w:r>
      <w:r>
        <w:t>led in Rome</w:t>
      </w:r>
      <w:r w:rsidR="006B349F">
        <w:t>, if doctors believed they were not worth nurturing.</w:t>
      </w:r>
      <w:r w:rsidR="006B349F">
        <w:rPr>
          <w:rStyle w:val="FootnoteReference"/>
        </w:rPr>
        <w:footnoteReference w:id="16"/>
      </w:r>
      <w:r w:rsidR="00092C7E">
        <w:t xml:space="preserve"> </w:t>
      </w:r>
      <w:proofErr w:type="spellStart"/>
      <w:r w:rsidR="008C6D52">
        <w:t>Dionysios</w:t>
      </w:r>
      <w:proofErr w:type="spellEnd"/>
      <w:r w:rsidR="008C6D52">
        <w:t xml:space="preserve"> Of </w:t>
      </w:r>
      <w:proofErr w:type="spellStart"/>
      <w:r w:rsidR="008C6D52">
        <w:t>Harlic</w:t>
      </w:r>
      <w:r w:rsidR="00A84DE6">
        <w:t>arnassus</w:t>
      </w:r>
      <w:proofErr w:type="spellEnd"/>
      <w:r w:rsidR="00A84DE6">
        <w:t xml:space="preserve"> also attests to the exposure of infants, and shows us that this practice was acceptable to many Romans, saying it was ok if: ‘First shown them to five neighbours and these had approved’, implying that many citizens would agree to this.</w:t>
      </w:r>
      <w:r w:rsidR="00A84DE6">
        <w:rPr>
          <w:rStyle w:val="FootnoteReference"/>
        </w:rPr>
        <w:footnoteReference w:id="17"/>
      </w:r>
      <w:r w:rsidR="00A84DE6">
        <w:t xml:space="preserve"> </w:t>
      </w:r>
      <w:r w:rsidR="00092C7E">
        <w:t xml:space="preserve">However, we have evidence that may suggest certain assistance was made for people with disabilities, as built-up shoe was found in </w:t>
      </w:r>
      <w:proofErr w:type="spellStart"/>
      <w:r w:rsidR="00092C7E">
        <w:t>Vindonissa</w:t>
      </w:r>
      <w:proofErr w:type="spellEnd"/>
      <w:r w:rsidR="00092C7E">
        <w:t xml:space="preserve"> which could suggest </w:t>
      </w:r>
      <w:r w:rsidR="002F4F6F">
        <w:t>support</w:t>
      </w:r>
      <w:r w:rsidR="00092C7E">
        <w:t xml:space="preserve"> for polio</w:t>
      </w:r>
      <w:r w:rsidR="002F4F6F">
        <w:t xml:space="preserve"> sufferers, so perhaps </w:t>
      </w:r>
      <w:proofErr w:type="spellStart"/>
      <w:r w:rsidR="002F4F6F">
        <w:t>Dionysios</w:t>
      </w:r>
      <w:proofErr w:type="spellEnd"/>
      <w:r w:rsidR="002F4F6F">
        <w:t>’ harsh treatments did not extend to all types of disability</w:t>
      </w:r>
      <w:r w:rsidR="00092C7E">
        <w:t>.</w:t>
      </w:r>
      <w:r w:rsidR="00CC0C62">
        <w:rPr>
          <w:rStyle w:val="FootnoteReference"/>
        </w:rPr>
        <w:footnoteReference w:id="18"/>
      </w:r>
    </w:p>
    <w:p w14:paraId="205D8E58" w14:textId="2338B5B3" w:rsidR="00E326C6" w:rsidRDefault="00E96679">
      <w:r>
        <w:t xml:space="preserve">Concerning the reception of disability, </w:t>
      </w:r>
      <w:r w:rsidR="00EF02EB">
        <w:t xml:space="preserve">Pliny the </w:t>
      </w:r>
      <w:r>
        <w:t>Elde</w:t>
      </w:r>
      <w:r w:rsidR="00EF02EB">
        <w:t>r</w:t>
      </w:r>
      <w:r w:rsidR="003A1569">
        <w:t xml:space="preserve"> goes so far as to claim that the scars caused from lichen were a worse thing to have than the disease itself</w:t>
      </w:r>
      <w:r w:rsidR="00EF02EB">
        <w:t>.</w:t>
      </w:r>
      <w:r>
        <w:rPr>
          <w:rStyle w:val="FootnoteReference"/>
        </w:rPr>
        <w:footnoteReference w:id="19"/>
      </w:r>
      <w:r w:rsidR="003A1569">
        <w:t xml:space="preserve"> This is a very bold and unkind claim, showing that people with non-handicapping disfigurements were handicapped by their society simply for being considered ugly.</w:t>
      </w:r>
      <w:r w:rsidR="00E53B05">
        <w:t xml:space="preserve"> Some disabilities however could </w:t>
      </w:r>
      <w:r w:rsidR="002F4F6F">
        <w:t xml:space="preserve">draw </w:t>
      </w:r>
      <w:r w:rsidR="00E53B05">
        <w:t>the attention of important figures</w:t>
      </w:r>
      <w:r w:rsidR="002F4F6F">
        <w:t>,</w:t>
      </w:r>
      <w:r w:rsidR="00E53B05">
        <w:t xml:space="preserve"> like the case of Quintus </w:t>
      </w:r>
      <w:proofErr w:type="spellStart"/>
      <w:r w:rsidR="00E53B05">
        <w:t>Pedius</w:t>
      </w:r>
      <w:proofErr w:type="spellEnd"/>
      <w:r w:rsidR="00E53B05">
        <w:t>, a mute boy.</w:t>
      </w:r>
      <w:r w:rsidR="00E53B05">
        <w:rPr>
          <w:rStyle w:val="FootnoteReference"/>
        </w:rPr>
        <w:footnoteReference w:id="20"/>
      </w:r>
      <w:r w:rsidR="00E53B05">
        <w:t xml:space="preserve"> This boy was</w:t>
      </w:r>
      <w:r w:rsidR="002F4F6F">
        <w:t xml:space="preserve"> supported and</w:t>
      </w:r>
      <w:r w:rsidR="00E53B05">
        <w:t xml:space="preserve"> taught to paint as even Octavius took interest in the curiosity of his case.</w:t>
      </w:r>
      <w:r w:rsidR="00E53B05">
        <w:rPr>
          <w:rStyle w:val="FootnoteReference"/>
        </w:rPr>
        <w:footnoteReference w:id="21"/>
      </w:r>
    </w:p>
    <w:p w14:paraId="29941DEF" w14:textId="65B45912" w:rsidR="00540C68" w:rsidRDefault="00540C68">
      <w:r>
        <w:t xml:space="preserve">For Those with amputations from </w:t>
      </w:r>
      <w:r w:rsidR="00EB1FF1">
        <w:t xml:space="preserve">either </w:t>
      </w:r>
      <w:r>
        <w:t>war or accidents, crutches</w:t>
      </w:r>
      <w:r w:rsidR="00EB1FF1">
        <w:t>,</w:t>
      </w:r>
      <w:r>
        <w:t xml:space="preserve"> and for those who could afford it</w:t>
      </w:r>
      <w:r w:rsidR="00EB1FF1">
        <w:t>,</w:t>
      </w:r>
      <w:r>
        <w:t xml:space="preserve"> prosthetic limbs were available to them.</w:t>
      </w:r>
      <w:r>
        <w:rPr>
          <w:rStyle w:val="FootnoteReference"/>
        </w:rPr>
        <w:footnoteReference w:id="22"/>
      </w:r>
      <w:r>
        <w:t xml:space="preserve"> We see this in images on vases, where a man is depicted portraying a man with a peg in place of his lower leg.</w:t>
      </w:r>
      <w:r>
        <w:rPr>
          <w:rStyle w:val="FootnoteReference"/>
        </w:rPr>
        <w:footnoteReference w:id="23"/>
      </w:r>
      <w:r>
        <w:t xml:space="preserve"> </w:t>
      </w:r>
      <w:r w:rsidR="008C6D52">
        <w:t>Those unlucky enough to have restricted mobility, and capacity to work, would have been almost outcast from the rest of society, not being capable of contributing to their society or their family.</w:t>
      </w:r>
      <w:r w:rsidR="008C6D52">
        <w:rPr>
          <w:rStyle w:val="FootnoteReference"/>
        </w:rPr>
        <w:footnoteReference w:id="24"/>
      </w:r>
      <w:r w:rsidR="008C6D52">
        <w:t xml:space="preserve"> While wealthy men would have around the clock care, most common people would rely on charity alone, making their struggles even more hazardous.</w:t>
      </w:r>
      <w:r w:rsidR="008C6D52">
        <w:rPr>
          <w:rStyle w:val="FootnoteReference"/>
        </w:rPr>
        <w:footnoteReference w:id="25"/>
      </w:r>
      <w:r w:rsidR="00CC0C62">
        <w:t xml:space="preserve"> </w:t>
      </w:r>
      <w:r w:rsidR="00A93AF8">
        <w:t xml:space="preserve">Misleadingly, </w:t>
      </w:r>
      <w:proofErr w:type="spellStart"/>
      <w:r w:rsidR="00A93AF8">
        <w:t>Gevaert</w:t>
      </w:r>
      <w:proofErr w:type="spellEnd"/>
      <w:r w:rsidR="00A93AF8">
        <w:t xml:space="preserve"> and </w:t>
      </w:r>
      <w:proofErr w:type="spellStart"/>
      <w:r w:rsidR="00A93AF8">
        <w:t>Laes</w:t>
      </w:r>
      <w:proofErr w:type="spellEnd"/>
      <w:r w:rsidR="00A93AF8">
        <w:t xml:space="preserve"> attest people were turned into beggars via mutilation, however the text they reference tells us in fact that the mutilation was to garner sympathy from people, and they were forced by a man to be beggars.</w:t>
      </w:r>
      <w:r w:rsidR="00A93AF8">
        <w:rPr>
          <w:rStyle w:val="FootnoteReference"/>
        </w:rPr>
        <w:footnoteReference w:id="26"/>
      </w:r>
      <w:r w:rsidR="00A93AF8">
        <w:t xml:space="preserve"> Seneca’s account shows that perhaps the Roman people were sympathetic to beggars, as otherwise mutilation would not be necessary.</w:t>
      </w:r>
      <w:r w:rsidR="00A93AF8">
        <w:rPr>
          <w:rStyle w:val="FootnoteReference"/>
        </w:rPr>
        <w:footnoteReference w:id="27"/>
      </w:r>
    </w:p>
    <w:p w14:paraId="1A3E467E" w14:textId="45B3583D" w:rsidR="00EF02EB" w:rsidRDefault="003A1569">
      <w:r>
        <w:t>Pliny recorded that Italy was virtually free of the condition elephantiasis, which was seen to originate from Egypt; in Italy it’s: ‘career was cut short’.</w:t>
      </w:r>
      <w:r>
        <w:rPr>
          <w:rStyle w:val="FootnoteReference"/>
        </w:rPr>
        <w:footnoteReference w:id="28"/>
      </w:r>
      <w:r w:rsidR="00AD711C">
        <w:t xml:space="preserve"> The exotic and unusual element of deformities may have made these people very employable in the world of entertainment; dancing and other forms of entertainment recorded on vases and statues show a high proportion of deformed performers.</w:t>
      </w:r>
      <w:r w:rsidR="00AD711C">
        <w:rPr>
          <w:rStyle w:val="FootnoteReference"/>
        </w:rPr>
        <w:footnoteReference w:id="29"/>
      </w:r>
      <w:r w:rsidR="00AD711C">
        <w:t xml:space="preserve"> </w:t>
      </w:r>
      <w:r w:rsidR="00514111">
        <w:t xml:space="preserve">I </w:t>
      </w:r>
      <w:r w:rsidR="00514111">
        <w:lastRenderedPageBreak/>
        <w:t>agree with Garland, who declares it is uncertain how much a disability would handicap a person in politics, as we see Julius Caesar and Seneca both had some serious chronic conditions.</w:t>
      </w:r>
      <w:r w:rsidR="00514111">
        <w:rPr>
          <w:rStyle w:val="FootnoteReference"/>
        </w:rPr>
        <w:footnoteReference w:id="30"/>
      </w:r>
    </w:p>
    <w:p w14:paraId="25F3C4FA" w14:textId="4C5D3D8E" w:rsidR="001423F4" w:rsidRDefault="000F4E41">
      <w:r>
        <w:t xml:space="preserve">A prominent example of a disability found in antiquity is </w:t>
      </w:r>
      <w:r w:rsidR="00E326C6">
        <w:t>Seneca’s asthma</w:t>
      </w:r>
      <w:r>
        <w:t>.</w:t>
      </w:r>
      <w:r>
        <w:rPr>
          <w:rStyle w:val="FootnoteReference"/>
        </w:rPr>
        <w:footnoteReference w:id="31"/>
      </w:r>
      <w:r>
        <w:t xml:space="preserve"> Seneca describes his asthma on a personal level, </w:t>
      </w:r>
      <w:r w:rsidR="00626A6A">
        <w:t>believing he will die from this</w:t>
      </w:r>
      <w:r>
        <w:t xml:space="preserve"> condition</w:t>
      </w:r>
      <w:r w:rsidR="00626A6A">
        <w:t>;</w:t>
      </w:r>
      <w:r>
        <w:t xml:space="preserve"> </w:t>
      </w:r>
      <w:r w:rsidR="00626A6A">
        <w:t>he says that he does</w:t>
      </w:r>
      <w:r>
        <w:t>: ‘</w:t>
      </w:r>
      <w:r w:rsidR="00626A6A">
        <w:t>not plan a whole day ahead’.</w:t>
      </w:r>
      <w:r w:rsidR="00626A6A">
        <w:rPr>
          <w:rStyle w:val="FootnoteReference"/>
        </w:rPr>
        <w:footnoteReference w:id="32"/>
      </w:r>
      <w:r w:rsidR="00626A6A">
        <w:t xml:space="preserve"> </w:t>
      </w:r>
      <w:r w:rsidR="00AF2E1E">
        <w:t xml:space="preserve"> We can see that the condition causes a lot of </w:t>
      </w:r>
      <w:r w:rsidR="00B11DAA">
        <w:t>stress for</w:t>
      </w:r>
      <w:r w:rsidR="00AF2E1E">
        <w:t xml:space="preserve"> Seneca, as his </w:t>
      </w:r>
      <w:r w:rsidR="00B11DAA">
        <w:t>mindset</w:t>
      </w:r>
      <w:r w:rsidR="00AF2E1E">
        <w:t xml:space="preserve"> seems to be based around this chronic ailment.</w:t>
      </w:r>
      <w:r w:rsidR="00AF2E1E">
        <w:rPr>
          <w:rStyle w:val="FootnoteReference"/>
        </w:rPr>
        <w:footnoteReference w:id="33"/>
      </w:r>
      <w:r w:rsidR="00AF2E1E">
        <w:t xml:space="preserve"> Seneca came from a reasonably wealthy background, so we can infer that his money might have made his asthma easier to bear than the asthma of an average Roman citizen, who may have found the condition more arduous</w:t>
      </w:r>
      <w:r w:rsidR="000D7850">
        <w:t>.</w:t>
      </w:r>
      <w:r w:rsidR="000D7850">
        <w:rPr>
          <w:rStyle w:val="FootnoteReference"/>
        </w:rPr>
        <w:footnoteReference w:id="34"/>
      </w:r>
      <w:r w:rsidR="00B11DAA">
        <w:t xml:space="preserve"> Seneca however does not describe this as</w:t>
      </w:r>
      <w:r w:rsidR="00EB1FF1">
        <w:t xml:space="preserve"> related </w:t>
      </w:r>
      <w:r w:rsidR="00B11DAA">
        <w:t>to his character, it is simply something he cannot help and has not caused.</w:t>
      </w:r>
      <w:r w:rsidR="00B11DAA">
        <w:rPr>
          <w:rStyle w:val="FootnoteReference"/>
        </w:rPr>
        <w:footnoteReference w:id="35"/>
      </w:r>
      <w:r w:rsidR="00B11DAA">
        <w:t xml:space="preserve"> This personal insight shows that perhaps </w:t>
      </w:r>
      <w:r w:rsidR="00EB1FF1">
        <w:t xml:space="preserve">many </w:t>
      </w:r>
      <w:r w:rsidR="00B11DAA">
        <w:t>people with disabilities saw their struggles for survival as a battle beyond their control, and something that caused them great mental strain.</w:t>
      </w:r>
      <w:r w:rsidR="00B11DAA">
        <w:rPr>
          <w:rStyle w:val="FootnoteReference"/>
        </w:rPr>
        <w:footnoteReference w:id="36"/>
      </w:r>
      <w:r w:rsidR="0089727B">
        <w:t>It is important to remember, That despite having this chronic illness, Seneca clearly was a prominent character in the politics of Rome in his time, showing that he was</w:t>
      </w:r>
      <w:r w:rsidR="00CC4320">
        <w:t xml:space="preserve"> no</w:t>
      </w:r>
      <w:r w:rsidR="0089727B">
        <w:t>t constrained by his disability or shunned by others.</w:t>
      </w:r>
      <w:r w:rsidR="0089727B">
        <w:rPr>
          <w:rStyle w:val="FootnoteReference"/>
        </w:rPr>
        <w:footnoteReference w:id="37"/>
      </w:r>
    </w:p>
    <w:p w14:paraId="45985AE3" w14:textId="3A95DB3E" w:rsidR="00C42B72" w:rsidRPr="00F2468F" w:rsidRDefault="00C42B72">
      <w:r>
        <w:t>Another example of disability is the illness that Julius Caesar possesses.</w:t>
      </w:r>
      <w:r w:rsidR="00F2468F">
        <w:t xml:space="preserve"> Often diagnosed by many</w:t>
      </w:r>
      <w:r w:rsidR="00EB1FF1">
        <w:t>—</w:t>
      </w:r>
      <w:r w:rsidR="00F2468F">
        <w:t>including Shakespeare</w:t>
      </w:r>
      <w:r w:rsidR="00EB1FF1">
        <w:t>—</w:t>
      </w:r>
      <w:r w:rsidR="00F2468F">
        <w:t>as epilepsy, I would disagree with this, as Plutarch attests this affliction began after his childhood, and this could indicate a different underlying affliction.</w:t>
      </w:r>
      <w:r w:rsidR="00F2468F">
        <w:rPr>
          <w:rStyle w:val="FootnoteReference"/>
        </w:rPr>
        <w:footnoteReference w:id="38"/>
      </w:r>
      <w:r w:rsidR="00DA3CE7">
        <w:t xml:space="preserve"> Some modern scholars suggests that the symptoms Caesar experienced in later life may be symptoms of a brain tumour, but this is </w:t>
      </w:r>
      <w:r w:rsidR="00CC4320">
        <w:t xml:space="preserve">now </w:t>
      </w:r>
      <w:r w:rsidR="00DA3CE7">
        <w:t>unknowable.</w:t>
      </w:r>
      <w:r w:rsidR="00DA3CE7">
        <w:rPr>
          <w:rStyle w:val="FootnoteReference"/>
        </w:rPr>
        <w:footnoteReference w:id="39"/>
      </w:r>
      <w:r w:rsidR="00323EA6">
        <w:t xml:space="preserve"> Caesar may have at times used his disability as an advantage, using it as an excuse to avoid political events.</w:t>
      </w:r>
      <w:r w:rsidR="00323EA6">
        <w:rPr>
          <w:rStyle w:val="FootnoteReference"/>
        </w:rPr>
        <w:footnoteReference w:id="40"/>
      </w:r>
      <w:r w:rsidR="00323EA6">
        <w:t xml:space="preserve"> This is an example of how an influential and rich person was not necessarily held back by his illness, even when </w:t>
      </w:r>
      <w:r w:rsidR="00A5788B">
        <w:t>at times it could be debilitating</w:t>
      </w:r>
      <w:r w:rsidR="00323EA6">
        <w:t>.</w:t>
      </w:r>
      <w:r w:rsidR="00A5788B">
        <w:rPr>
          <w:rStyle w:val="FootnoteReference"/>
        </w:rPr>
        <w:footnoteReference w:id="41"/>
      </w:r>
      <w:r w:rsidR="00A5788B">
        <w:t xml:space="preserve"> Plutarch </w:t>
      </w:r>
      <w:r w:rsidR="00CC4320">
        <w:t>describes</w:t>
      </w:r>
      <w:r w:rsidR="00A5788B">
        <w:t xml:space="preserve"> this ability to overcome the condition as a testament to Caesar’s willpowe</w:t>
      </w:r>
      <w:r w:rsidR="00CC4320">
        <w:t>r</w:t>
      </w:r>
      <w:r w:rsidR="00A5788B">
        <w:t>.</w:t>
      </w:r>
      <w:r w:rsidR="00A5788B">
        <w:rPr>
          <w:rStyle w:val="FootnoteReference"/>
        </w:rPr>
        <w:footnoteReference w:id="42"/>
      </w:r>
      <w:r w:rsidR="00AF2220">
        <w:t xml:space="preserve"> However, it is possible that Augustus Caesar was ashamed of this illness his uncle had, and therefore may have censored the information, which is why we know so little about the condition, but potentially gain insight into the stigma people had concerning their relatives diseases.</w:t>
      </w:r>
      <w:r w:rsidR="00AF2220">
        <w:rPr>
          <w:rStyle w:val="FootnoteReference"/>
        </w:rPr>
        <w:footnoteReference w:id="43"/>
      </w:r>
      <w:r w:rsidR="002F4F6F">
        <w:t xml:space="preserve"> Generally, throughout history people have been taught to feel shame for being congenitally ill with diseases like epilepsy.</w:t>
      </w:r>
      <w:r w:rsidR="002F4F6F">
        <w:rPr>
          <w:rStyle w:val="FootnoteReference"/>
        </w:rPr>
        <w:footnoteReference w:id="44"/>
      </w:r>
    </w:p>
    <w:p w14:paraId="36546DBD" w14:textId="14D2FFFA" w:rsidR="008D1E30" w:rsidRDefault="001A2DDD">
      <w:r>
        <w:t>In Conclusion, while men like Caesar and Seneca were of great renown, many men and women with disabilities were not so lucky as the</w:t>
      </w:r>
      <w:r w:rsidR="00563677">
        <w:t>m</w:t>
      </w:r>
      <w:r>
        <w:t>.</w:t>
      </w:r>
      <w:r w:rsidR="00563677">
        <w:rPr>
          <w:rStyle w:val="FootnoteReference"/>
        </w:rPr>
        <w:footnoteReference w:id="45"/>
      </w:r>
      <w:r w:rsidR="00DA2858">
        <w:t xml:space="preserve"> Disabilities like Blindness were widespread, and they endangered the people that had them.</w:t>
      </w:r>
      <w:r w:rsidR="00DA2858">
        <w:rPr>
          <w:rStyle w:val="FootnoteReference"/>
        </w:rPr>
        <w:footnoteReference w:id="46"/>
      </w:r>
      <w:r w:rsidR="00DA2858">
        <w:t xml:space="preserve"> Cruelly, these people were often used as a warning to </w:t>
      </w:r>
      <w:r w:rsidR="00DA2858">
        <w:lastRenderedPageBreak/>
        <w:t>others about moral infidelity, and angering the Gods.</w:t>
      </w:r>
      <w:r w:rsidR="00DA2858">
        <w:rPr>
          <w:rStyle w:val="FootnoteReference"/>
        </w:rPr>
        <w:footnoteReference w:id="47"/>
      </w:r>
      <w:r w:rsidR="00930A99">
        <w:t xml:space="preserve"> Disabilities in Ancient Rome were deadly, and due to the taxing nature of many citizen’s and slave’s lives, many suffered greatly from handicaps, while some that were rich enough were spared the suffering.</w:t>
      </w:r>
      <w:r w:rsidR="00930A99">
        <w:rPr>
          <w:rStyle w:val="FootnoteReference"/>
        </w:rPr>
        <w:footnoteReference w:id="48"/>
      </w:r>
    </w:p>
    <w:p w14:paraId="280B42BE" w14:textId="530C2A05" w:rsidR="00AE6B79" w:rsidRDefault="00AE6B79"/>
    <w:p w14:paraId="14B4E819" w14:textId="7B38B83B" w:rsidR="00AE6B79" w:rsidRDefault="00AE6B79"/>
    <w:p w14:paraId="4A00B5A1" w14:textId="1844C79E" w:rsidR="00AE6B79" w:rsidRDefault="00AE6B79"/>
    <w:p w14:paraId="21AAC1FB" w14:textId="2EE07BE6" w:rsidR="00AE6B79" w:rsidRDefault="00AE6B79"/>
    <w:p w14:paraId="1219FA6B" w14:textId="77777777" w:rsidR="00930A99" w:rsidRDefault="00930A99"/>
    <w:p w14:paraId="2515DF3A" w14:textId="77777777" w:rsidR="00930A99" w:rsidRDefault="00930A99"/>
    <w:p w14:paraId="45FB1B99" w14:textId="77777777" w:rsidR="00930A99" w:rsidRDefault="00930A99"/>
    <w:p w14:paraId="3F814D22" w14:textId="77777777" w:rsidR="00930A99" w:rsidRDefault="00930A99"/>
    <w:p w14:paraId="5EC41567" w14:textId="77777777" w:rsidR="00930A99" w:rsidRDefault="00930A99"/>
    <w:p w14:paraId="01DBC749" w14:textId="77777777" w:rsidR="00930A99" w:rsidRDefault="00930A99"/>
    <w:p w14:paraId="24618ABA" w14:textId="77777777" w:rsidR="00930A99" w:rsidRDefault="00930A99"/>
    <w:p w14:paraId="0D42836A" w14:textId="77777777" w:rsidR="00930A99" w:rsidRDefault="00930A99"/>
    <w:p w14:paraId="7651924F" w14:textId="77777777" w:rsidR="00930A99" w:rsidRDefault="00930A99"/>
    <w:p w14:paraId="2BDDDCFC" w14:textId="77777777" w:rsidR="00930A99" w:rsidRDefault="00930A99"/>
    <w:p w14:paraId="5EA720F0" w14:textId="77777777" w:rsidR="00930A99" w:rsidRDefault="00930A99"/>
    <w:p w14:paraId="5392F292" w14:textId="77777777" w:rsidR="00930A99" w:rsidRDefault="00930A99"/>
    <w:p w14:paraId="4716218C" w14:textId="77777777" w:rsidR="00930A99" w:rsidRDefault="00930A99"/>
    <w:p w14:paraId="44193582" w14:textId="77777777" w:rsidR="00930A99" w:rsidRDefault="00930A99"/>
    <w:p w14:paraId="5EDF784C" w14:textId="77777777" w:rsidR="00930A99" w:rsidRDefault="00930A99"/>
    <w:p w14:paraId="10998554" w14:textId="77777777" w:rsidR="00930A99" w:rsidRDefault="00930A99"/>
    <w:p w14:paraId="4DF5DF53" w14:textId="77777777" w:rsidR="00930A99" w:rsidRDefault="00930A99"/>
    <w:p w14:paraId="5376E075" w14:textId="77777777" w:rsidR="00930A99" w:rsidRDefault="00930A99"/>
    <w:p w14:paraId="66455A88" w14:textId="77777777" w:rsidR="00930A99" w:rsidRDefault="00930A99"/>
    <w:p w14:paraId="0D9EFB3B" w14:textId="77777777" w:rsidR="00930A99" w:rsidRDefault="00930A99"/>
    <w:p w14:paraId="7B646885" w14:textId="77777777" w:rsidR="00930A99" w:rsidRDefault="00930A99"/>
    <w:p w14:paraId="6CA11AA8" w14:textId="7BDB20B0" w:rsidR="00930A99" w:rsidRDefault="00930A99"/>
    <w:p w14:paraId="2081EC70" w14:textId="77777777" w:rsidR="00E759B8" w:rsidRDefault="00E759B8"/>
    <w:p w14:paraId="74FDE57E" w14:textId="0B26DAB5" w:rsidR="00AE6B79" w:rsidRPr="00B839AB" w:rsidRDefault="00AE6B79">
      <w:pPr>
        <w:rPr>
          <w:u w:val="single"/>
        </w:rPr>
      </w:pPr>
      <w:r w:rsidRPr="00B839AB">
        <w:rPr>
          <w:u w:val="single"/>
        </w:rPr>
        <w:lastRenderedPageBreak/>
        <w:t>Reference list</w:t>
      </w:r>
    </w:p>
    <w:p w14:paraId="7D55A216" w14:textId="59382D3D" w:rsidR="00AE6B79" w:rsidRDefault="00AE6B79"/>
    <w:p w14:paraId="5B2C51C1" w14:textId="6301A2F0" w:rsidR="00AE6B79" w:rsidRDefault="00AE6B79">
      <w:r>
        <w:t>Ancient sources:</w:t>
      </w:r>
    </w:p>
    <w:p w14:paraId="50D4CE51" w14:textId="42C29CBC" w:rsidR="00A5788B" w:rsidRDefault="00A5788B">
      <w:r>
        <w:t xml:space="preserve">Cassius Dio, </w:t>
      </w:r>
      <w:r>
        <w:rPr>
          <w:i/>
        </w:rPr>
        <w:t>Roman History.</w:t>
      </w:r>
      <w:r>
        <w:t xml:space="preserve"> E. Cary (trans.). 1925. London: William Heinemann.</w:t>
      </w:r>
    </w:p>
    <w:p w14:paraId="3F039F7B" w14:textId="213961A6" w:rsidR="00A84DE6" w:rsidRDefault="00A84DE6">
      <w:r>
        <w:t xml:space="preserve">Dionysius </w:t>
      </w:r>
      <w:proofErr w:type="spellStart"/>
      <w:r>
        <w:t>Harlicarnassensis</w:t>
      </w:r>
      <w:proofErr w:type="spellEnd"/>
      <w:r>
        <w:t xml:space="preserve">, </w:t>
      </w:r>
      <w:proofErr w:type="spellStart"/>
      <w:r w:rsidRPr="00A84DE6">
        <w:rPr>
          <w:i/>
        </w:rPr>
        <w:t>Antiquitates</w:t>
      </w:r>
      <w:proofErr w:type="spellEnd"/>
      <w:r w:rsidRPr="00A84DE6">
        <w:rPr>
          <w:i/>
        </w:rPr>
        <w:t xml:space="preserve"> </w:t>
      </w:r>
      <w:proofErr w:type="spellStart"/>
      <w:r w:rsidRPr="00A84DE6">
        <w:rPr>
          <w:i/>
        </w:rPr>
        <w:t>Romanae</w:t>
      </w:r>
      <w:proofErr w:type="spellEnd"/>
      <w:r>
        <w:t>. E. Cary (trans.). 1879. Cambridge: Harvard University Press.</w:t>
      </w:r>
    </w:p>
    <w:p w14:paraId="525A205D" w14:textId="36C50E00" w:rsidR="00894EA7" w:rsidRPr="00894EA7" w:rsidRDefault="00894EA7">
      <w:r>
        <w:t xml:space="preserve">Hesiod, </w:t>
      </w:r>
      <w:r>
        <w:rPr>
          <w:i/>
        </w:rPr>
        <w:t>Opera et Dies.</w:t>
      </w:r>
      <w:r>
        <w:t xml:space="preserve"> H.G. Evelyn-White (trans.). 1914. London: Heinemann.</w:t>
      </w:r>
    </w:p>
    <w:p w14:paraId="4B146CEA" w14:textId="6F2E8B25" w:rsidR="00E96679" w:rsidRDefault="00E96679">
      <w:r>
        <w:t xml:space="preserve">Pliny The Elder, </w:t>
      </w:r>
      <w:r>
        <w:rPr>
          <w:i/>
        </w:rPr>
        <w:t xml:space="preserve">Naturalis Historia. </w:t>
      </w:r>
      <w:r>
        <w:t>J. Bostock (trans.). 1855. London: Taylor and Francis.</w:t>
      </w:r>
    </w:p>
    <w:p w14:paraId="679CF18B" w14:textId="5FD3928C" w:rsidR="00C42B72" w:rsidRDefault="00C42B72">
      <w:r>
        <w:t xml:space="preserve">Plutarch, </w:t>
      </w:r>
      <w:r>
        <w:rPr>
          <w:i/>
        </w:rPr>
        <w:t>Caesar.</w:t>
      </w:r>
      <w:r>
        <w:t xml:space="preserve"> B. Perrin (trans.). 1919. London: Heinemann.</w:t>
      </w:r>
    </w:p>
    <w:p w14:paraId="52A9DED9" w14:textId="4458686C" w:rsidR="00563677" w:rsidRPr="00563677" w:rsidRDefault="00563677">
      <w:r>
        <w:t xml:space="preserve">Seneca, </w:t>
      </w:r>
      <w:proofErr w:type="spellStart"/>
      <w:r w:rsidRPr="00563677">
        <w:rPr>
          <w:i/>
        </w:rPr>
        <w:t>Controversiae</w:t>
      </w:r>
      <w:proofErr w:type="spellEnd"/>
      <w:r>
        <w:rPr>
          <w:i/>
        </w:rPr>
        <w:t>.</w:t>
      </w:r>
      <w:r>
        <w:t xml:space="preserve"> M. Winterbottom (trans.). 1974. Cambridge: Harvard University Press.</w:t>
      </w:r>
    </w:p>
    <w:p w14:paraId="3A31DCA2" w14:textId="32CF6BC9" w:rsidR="00E03EBE" w:rsidRDefault="00AC7CCF">
      <w:r>
        <w:t>Seneca</w:t>
      </w:r>
      <w:r w:rsidR="000F4E41">
        <w:t xml:space="preserve">, </w:t>
      </w:r>
      <w:proofErr w:type="spellStart"/>
      <w:r w:rsidR="000F4E41" w:rsidRPr="000F4E41">
        <w:rPr>
          <w:i/>
        </w:rPr>
        <w:t>Epistulae</w:t>
      </w:r>
      <w:proofErr w:type="spellEnd"/>
      <w:r w:rsidR="000F4E41" w:rsidRPr="000F4E41">
        <w:rPr>
          <w:i/>
        </w:rPr>
        <w:t xml:space="preserve"> </w:t>
      </w:r>
      <w:proofErr w:type="spellStart"/>
      <w:r w:rsidR="000F4E41" w:rsidRPr="000F4E41">
        <w:rPr>
          <w:i/>
        </w:rPr>
        <w:t>morales</w:t>
      </w:r>
      <w:proofErr w:type="spellEnd"/>
      <w:r w:rsidR="000F4E41" w:rsidRPr="000F4E41">
        <w:rPr>
          <w:i/>
        </w:rPr>
        <w:t xml:space="preserve"> ad </w:t>
      </w:r>
      <w:proofErr w:type="spellStart"/>
      <w:r w:rsidR="000F4E41" w:rsidRPr="000F4E41">
        <w:rPr>
          <w:i/>
        </w:rPr>
        <w:t>Lucilium</w:t>
      </w:r>
      <w:proofErr w:type="spellEnd"/>
      <w:r w:rsidR="000F4E41" w:rsidRPr="000F4E41">
        <w:rPr>
          <w:i/>
        </w:rPr>
        <w:t>.</w:t>
      </w:r>
      <w:r w:rsidR="000F4E41">
        <w:rPr>
          <w:i/>
        </w:rPr>
        <w:t xml:space="preserve">  </w:t>
      </w:r>
      <w:r w:rsidR="000F4E41">
        <w:t xml:space="preserve">R.M. </w:t>
      </w:r>
      <w:proofErr w:type="spellStart"/>
      <w:r w:rsidR="000F4E41">
        <w:t>Gummere</w:t>
      </w:r>
      <w:proofErr w:type="spellEnd"/>
      <w:r w:rsidR="000F4E41">
        <w:t xml:space="preserve"> (trans.). 1917. London: Heinemann.</w:t>
      </w:r>
    </w:p>
    <w:p w14:paraId="5A66DAC8" w14:textId="5911BDAF" w:rsidR="00E2388B" w:rsidRDefault="00E2388B">
      <w:r>
        <w:t xml:space="preserve">Soranus, </w:t>
      </w:r>
      <w:proofErr w:type="spellStart"/>
      <w:r w:rsidRPr="00894EA7">
        <w:rPr>
          <w:i/>
        </w:rPr>
        <w:t>Gyna</w:t>
      </w:r>
      <w:r w:rsidR="00894EA7" w:rsidRPr="00894EA7">
        <w:rPr>
          <w:i/>
        </w:rPr>
        <w:t>eceia</w:t>
      </w:r>
      <w:proofErr w:type="spellEnd"/>
      <w:r>
        <w:t xml:space="preserve">. O. Temkin (trans.). 1991. </w:t>
      </w:r>
      <w:r w:rsidR="00894EA7">
        <w:t>London: The John Hopkins University Press.</w:t>
      </w:r>
    </w:p>
    <w:p w14:paraId="374BF2C5" w14:textId="77777777" w:rsidR="00E96679" w:rsidRPr="000F4E41" w:rsidRDefault="00E96679"/>
    <w:p w14:paraId="3B5F7550" w14:textId="58244E4F" w:rsidR="00AE6B79" w:rsidRDefault="00AE6B79"/>
    <w:p w14:paraId="03DD1B26" w14:textId="2567B5DA" w:rsidR="00AE6B79" w:rsidRDefault="00AE6B79">
      <w:r>
        <w:t>Modern scholarship:</w:t>
      </w:r>
    </w:p>
    <w:p w14:paraId="3967750A" w14:textId="77777777" w:rsidR="000E275C" w:rsidRDefault="000E275C" w:rsidP="00AF2220"/>
    <w:p w14:paraId="50CDB29E" w14:textId="6EACF48F" w:rsidR="000E275C" w:rsidRPr="000E275C" w:rsidRDefault="000E275C" w:rsidP="00AF2220">
      <w:r>
        <w:t xml:space="preserve">Awan, Z.H., Mahar, P.S. &amp; </w:t>
      </w:r>
      <w:proofErr w:type="spellStart"/>
      <w:r>
        <w:t>Memon</w:t>
      </w:r>
      <w:proofErr w:type="spellEnd"/>
      <w:r>
        <w:t xml:space="preserve">, S. 2011. ‘Blindness and Poverty’, </w:t>
      </w:r>
      <w:r>
        <w:rPr>
          <w:i/>
        </w:rPr>
        <w:t xml:space="preserve">Pakistani J </w:t>
      </w:r>
      <w:proofErr w:type="spellStart"/>
      <w:r>
        <w:rPr>
          <w:i/>
        </w:rPr>
        <w:t>Ophthalmol</w:t>
      </w:r>
      <w:proofErr w:type="spellEnd"/>
      <w:r>
        <w:rPr>
          <w:i/>
        </w:rPr>
        <w:t xml:space="preserve">. </w:t>
      </w:r>
      <w:r>
        <w:t>27. 3, 165-170.</w:t>
      </w:r>
    </w:p>
    <w:p w14:paraId="16B8406B" w14:textId="54EDDDE4" w:rsidR="00514111" w:rsidRDefault="00514111" w:rsidP="00AF2220">
      <w:r w:rsidRPr="00AF2220">
        <w:t>Garland, R. The Eye of The Beholder: Deformity and Disability in the Graeco-Roman World. 1995. New York: Cornell University Press.</w:t>
      </w:r>
    </w:p>
    <w:p w14:paraId="44665D1A" w14:textId="764B7630" w:rsidR="00A93AF8" w:rsidRPr="00563677" w:rsidRDefault="00A93AF8" w:rsidP="00AF2220">
      <w:proofErr w:type="spellStart"/>
      <w:r>
        <w:t>Gavaert</w:t>
      </w:r>
      <w:proofErr w:type="spellEnd"/>
      <w:r>
        <w:t xml:space="preserve">, B. &amp; </w:t>
      </w:r>
      <w:proofErr w:type="spellStart"/>
      <w:r>
        <w:t>Laes</w:t>
      </w:r>
      <w:proofErr w:type="spellEnd"/>
      <w:r>
        <w:t xml:space="preserve">, C. </w:t>
      </w:r>
      <w:r w:rsidR="00563677">
        <w:t xml:space="preserve">2013. ‘What’s in a Monster? Pliny the Elder, Teratology and Bodily Disability’, in C. </w:t>
      </w:r>
      <w:proofErr w:type="spellStart"/>
      <w:r w:rsidR="00563677">
        <w:t>Laes</w:t>
      </w:r>
      <w:proofErr w:type="spellEnd"/>
      <w:r w:rsidR="00563677">
        <w:t xml:space="preserve">, C. </w:t>
      </w:r>
      <w:proofErr w:type="spellStart"/>
      <w:r w:rsidR="00563677">
        <w:t>Goodey</w:t>
      </w:r>
      <w:proofErr w:type="spellEnd"/>
      <w:r w:rsidR="00563677">
        <w:t>, &amp; M.L. Rose (eds.)</w:t>
      </w:r>
      <w:r w:rsidR="00A96159">
        <w:t>,</w:t>
      </w:r>
      <w:r w:rsidR="00563677">
        <w:t xml:space="preserve"> </w:t>
      </w:r>
      <w:r w:rsidR="00563677" w:rsidRPr="00563677">
        <w:rPr>
          <w:i/>
        </w:rPr>
        <w:t xml:space="preserve">Disabilities in Roman Antiquity: Disparate Bodies </w:t>
      </w:r>
      <w:proofErr w:type="gramStart"/>
      <w:r w:rsidR="00563677" w:rsidRPr="00563677">
        <w:rPr>
          <w:i/>
        </w:rPr>
        <w:t>A</w:t>
      </w:r>
      <w:proofErr w:type="gramEnd"/>
      <w:r w:rsidR="00563677" w:rsidRPr="00563677">
        <w:rPr>
          <w:i/>
        </w:rPr>
        <w:t xml:space="preserve"> </w:t>
      </w:r>
      <w:proofErr w:type="spellStart"/>
      <w:r w:rsidR="00563677" w:rsidRPr="00563677">
        <w:rPr>
          <w:i/>
        </w:rPr>
        <w:t>Capite</w:t>
      </w:r>
      <w:proofErr w:type="spellEnd"/>
      <w:r w:rsidR="00563677" w:rsidRPr="00563677">
        <w:rPr>
          <w:i/>
        </w:rPr>
        <w:t xml:space="preserve"> </w:t>
      </w:r>
      <w:proofErr w:type="spellStart"/>
      <w:r w:rsidR="00563677" w:rsidRPr="00563677">
        <w:rPr>
          <w:i/>
        </w:rPr>
        <w:t>ad</w:t>
      </w:r>
      <w:proofErr w:type="spellEnd"/>
      <w:r w:rsidR="00563677" w:rsidRPr="00563677">
        <w:rPr>
          <w:i/>
        </w:rPr>
        <w:t xml:space="preserve"> </w:t>
      </w:r>
      <w:proofErr w:type="spellStart"/>
      <w:r w:rsidR="00563677" w:rsidRPr="00563677">
        <w:rPr>
          <w:i/>
        </w:rPr>
        <w:t>Calcem</w:t>
      </w:r>
      <w:proofErr w:type="spellEnd"/>
      <w:r w:rsidR="00563677" w:rsidRPr="00563677">
        <w:rPr>
          <w:i/>
        </w:rPr>
        <w:t>.</w:t>
      </w:r>
      <w:r w:rsidR="00563677">
        <w:rPr>
          <w:i/>
        </w:rPr>
        <w:t xml:space="preserve"> </w:t>
      </w:r>
      <w:r w:rsidR="00563677">
        <w:t>Leiden: Brill.</w:t>
      </w:r>
    </w:p>
    <w:p w14:paraId="36B11302" w14:textId="00CF5F2B" w:rsidR="000D7850" w:rsidRPr="00AF2220" w:rsidRDefault="000D7850" w:rsidP="00AF2220">
      <w:proofErr w:type="spellStart"/>
      <w:r w:rsidRPr="00AF2220">
        <w:t>Habinek</w:t>
      </w:r>
      <w:proofErr w:type="spellEnd"/>
      <w:r w:rsidRPr="00AF2220">
        <w:t>, T.</w:t>
      </w:r>
      <w:r w:rsidR="0089727B" w:rsidRPr="00AF2220">
        <w:t xml:space="preserve"> 2014.</w:t>
      </w:r>
      <w:r w:rsidRPr="00AF2220">
        <w:t xml:space="preserve"> ‘Imago </w:t>
      </w:r>
      <w:proofErr w:type="spellStart"/>
      <w:r w:rsidRPr="00AF2220">
        <w:t>suae</w:t>
      </w:r>
      <w:proofErr w:type="spellEnd"/>
      <w:r w:rsidRPr="00AF2220">
        <w:t xml:space="preserve"> vitae: Seneca’s Life and Career’, in A. Heil &amp; G. </w:t>
      </w:r>
      <w:proofErr w:type="spellStart"/>
      <w:r w:rsidRPr="00AF2220">
        <w:t>Damschen</w:t>
      </w:r>
      <w:proofErr w:type="spellEnd"/>
      <w:r w:rsidRPr="00AF2220">
        <w:t xml:space="preserve"> (eds.)</w:t>
      </w:r>
      <w:r w:rsidR="00A96159">
        <w:t>,</w:t>
      </w:r>
      <w:r w:rsidRPr="00AF2220">
        <w:t xml:space="preserve"> </w:t>
      </w:r>
      <w:r w:rsidRPr="00135ABB">
        <w:rPr>
          <w:i/>
        </w:rPr>
        <w:t>Brill’s Companion to Seneca</w:t>
      </w:r>
      <w:r w:rsidRPr="00AF2220">
        <w:t>. Boston: Leiden. 3-32.</w:t>
      </w:r>
    </w:p>
    <w:p w14:paraId="605AE6C2" w14:textId="14941DEA" w:rsidR="00F2468F" w:rsidRDefault="00F2468F" w:rsidP="00AF2220">
      <w:r w:rsidRPr="00AF2220">
        <w:t xml:space="preserve">Hobgood, A.P. 2009. ‘Caesar Hath the Falling Sickness: The legibility of Early Modern Disability in Shakespearean Drama’, </w:t>
      </w:r>
      <w:r w:rsidRPr="00A96159">
        <w:rPr>
          <w:i/>
        </w:rPr>
        <w:t>Disability Studies Quarterly</w:t>
      </w:r>
      <w:r w:rsidRPr="00AF2220">
        <w:t>. 29. 4, 22-23.</w:t>
      </w:r>
    </w:p>
    <w:p w14:paraId="114C45D8" w14:textId="7EC2349D" w:rsidR="00AF2220" w:rsidRPr="00AF2220" w:rsidRDefault="00AF2220" w:rsidP="00AF2220">
      <w:proofErr w:type="spellStart"/>
      <w:r>
        <w:t>Montemurro</w:t>
      </w:r>
      <w:proofErr w:type="spellEnd"/>
      <w:r>
        <w:t xml:space="preserve">, N., Benet, A. &amp; Lawton, M.T. 2015. ‘Julius Caesar’s Epilepsy: Was It Caused by A Brain Arteriovenous Malformation’, </w:t>
      </w:r>
      <w:r w:rsidR="00092C7E">
        <w:rPr>
          <w:i/>
        </w:rPr>
        <w:t>Historical Vignette</w:t>
      </w:r>
      <w:r>
        <w:rPr>
          <w:i/>
        </w:rPr>
        <w:t>.</w:t>
      </w:r>
      <w:r>
        <w:t xml:space="preserve"> 84. 6, 1985-1987</w:t>
      </w:r>
      <w:r w:rsidR="00135ABB">
        <w:t>.</w:t>
      </w:r>
    </w:p>
    <w:p w14:paraId="236FC0E7" w14:textId="2CC0DFE7" w:rsidR="00E96679" w:rsidRPr="000D7850" w:rsidRDefault="00E96679" w:rsidP="00AF2220">
      <w:r w:rsidRPr="00AF2220">
        <w:t xml:space="preserve">Jackson, R. 1988. </w:t>
      </w:r>
      <w:r w:rsidRPr="00A96159">
        <w:rPr>
          <w:i/>
        </w:rPr>
        <w:t>Doctors and Diseases in The Roman Empire</w:t>
      </w:r>
      <w:r>
        <w:t>. London: British Museum Press.</w:t>
      </w:r>
    </w:p>
    <w:p w14:paraId="30FED971" w14:textId="31EEE885" w:rsidR="00AE6B79" w:rsidRDefault="00AE6B79">
      <w:r>
        <w:t xml:space="preserve">King, H. 2001. </w:t>
      </w:r>
      <w:r>
        <w:rPr>
          <w:i/>
        </w:rPr>
        <w:t xml:space="preserve">Greek and Roman Medicine. </w:t>
      </w:r>
      <w:r>
        <w:t>London: Bristol Classical Press.</w:t>
      </w:r>
    </w:p>
    <w:p w14:paraId="5EF706D7" w14:textId="496CD685" w:rsidR="00C42B72" w:rsidRDefault="00D17E77">
      <w:r>
        <w:t>King, H. 2005. ‘Introduction: What is health?’, in H. King (ed.)</w:t>
      </w:r>
      <w:r w:rsidR="00A96159">
        <w:t>,</w:t>
      </w:r>
      <w:r>
        <w:t xml:space="preserve"> </w:t>
      </w:r>
      <w:r>
        <w:rPr>
          <w:i/>
        </w:rPr>
        <w:t>Health in Antiquity.</w:t>
      </w:r>
      <w:r>
        <w:t xml:space="preserve"> London: Routledge.</w:t>
      </w:r>
      <w:r w:rsidR="00AF2E1E">
        <w:t xml:space="preserve"> 1-11.</w:t>
      </w:r>
    </w:p>
    <w:p w14:paraId="3478AB73" w14:textId="2B78B217" w:rsidR="00323EA6" w:rsidRDefault="00323EA6">
      <w:r>
        <w:lastRenderedPageBreak/>
        <w:t>Paterson, J. 2009. ‘Caesar the Man’, in M. Griffin (ed.)</w:t>
      </w:r>
      <w:r w:rsidR="00A96159">
        <w:t>,</w:t>
      </w:r>
      <w:r>
        <w:t xml:space="preserve"> </w:t>
      </w:r>
      <w:r>
        <w:rPr>
          <w:i/>
        </w:rPr>
        <w:t>A Companion to Julius Caesar.</w:t>
      </w:r>
      <w:r>
        <w:t xml:space="preserve"> Oxford: Wiley-Blackwell. 126-140.</w:t>
      </w:r>
    </w:p>
    <w:p w14:paraId="7787B5D6" w14:textId="338C5A49" w:rsidR="004375CE" w:rsidRDefault="004375CE">
      <w:proofErr w:type="spellStart"/>
      <w:r>
        <w:t>Topliss</w:t>
      </w:r>
      <w:proofErr w:type="spellEnd"/>
      <w:r>
        <w:t xml:space="preserve">, E. 1982. </w:t>
      </w:r>
      <w:r>
        <w:rPr>
          <w:i/>
        </w:rPr>
        <w:t>Social Responses to Handicap.</w:t>
      </w:r>
      <w:r>
        <w:t xml:space="preserve"> Harlow: Longman.</w:t>
      </w:r>
    </w:p>
    <w:p w14:paraId="2A7073D2" w14:textId="22693BCF" w:rsidR="00DA2858" w:rsidRPr="004375CE" w:rsidRDefault="00DA2858">
      <w:proofErr w:type="spellStart"/>
      <w:r>
        <w:t>Trentin</w:t>
      </w:r>
      <w:proofErr w:type="spellEnd"/>
      <w:r>
        <w:t xml:space="preserve">, L. 2013. ‘Exploring Visual Impairment in Ancient Rome’, in C. </w:t>
      </w:r>
      <w:proofErr w:type="spellStart"/>
      <w:r>
        <w:t>Laes</w:t>
      </w:r>
      <w:proofErr w:type="spellEnd"/>
      <w:r>
        <w:t xml:space="preserve">, C. </w:t>
      </w:r>
      <w:proofErr w:type="spellStart"/>
      <w:r>
        <w:t>Goodey</w:t>
      </w:r>
      <w:proofErr w:type="spellEnd"/>
      <w:r>
        <w:t>, &amp; M.L. Rose (eds.)</w:t>
      </w:r>
      <w:r w:rsidR="00A96159">
        <w:t>,</w:t>
      </w:r>
      <w:r>
        <w:t xml:space="preserve"> </w:t>
      </w:r>
      <w:r w:rsidRPr="00563677">
        <w:rPr>
          <w:i/>
        </w:rPr>
        <w:t xml:space="preserve">Disabilities in Roman Antiquity: Disparate Bodies </w:t>
      </w:r>
      <w:proofErr w:type="gramStart"/>
      <w:r w:rsidRPr="00563677">
        <w:rPr>
          <w:i/>
        </w:rPr>
        <w:t>A</w:t>
      </w:r>
      <w:proofErr w:type="gramEnd"/>
      <w:r w:rsidRPr="00563677">
        <w:rPr>
          <w:i/>
        </w:rPr>
        <w:t xml:space="preserve"> </w:t>
      </w:r>
      <w:proofErr w:type="spellStart"/>
      <w:r w:rsidRPr="00563677">
        <w:rPr>
          <w:i/>
        </w:rPr>
        <w:t>Capite</w:t>
      </w:r>
      <w:proofErr w:type="spellEnd"/>
      <w:r w:rsidRPr="00563677">
        <w:rPr>
          <w:i/>
        </w:rPr>
        <w:t xml:space="preserve"> </w:t>
      </w:r>
      <w:proofErr w:type="spellStart"/>
      <w:r w:rsidRPr="00563677">
        <w:rPr>
          <w:i/>
        </w:rPr>
        <w:t>ad</w:t>
      </w:r>
      <w:proofErr w:type="spellEnd"/>
      <w:r w:rsidRPr="00563677">
        <w:rPr>
          <w:i/>
        </w:rPr>
        <w:t xml:space="preserve"> </w:t>
      </w:r>
      <w:proofErr w:type="spellStart"/>
      <w:r w:rsidRPr="00563677">
        <w:rPr>
          <w:i/>
        </w:rPr>
        <w:t>Calcem</w:t>
      </w:r>
      <w:proofErr w:type="spellEnd"/>
      <w:r w:rsidRPr="00563677">
        <w:rPr>
          <w:i/>
        </w:rPr>
        <w:t>.</w:t>
      </w:r>
      <w:r>
        <w:rPr>
          <w:i/>
        </w:rPr>
        <w:t xml:space="preserve"> </w:t>
      </w:r>
      <w:r>
        <w:t>Leiden: Brill.</w:t>
      </w:r>
    </w:p>
    <w:p w14:paraId="1571F6A2" w14:textId="1D8AD78E" w:rsidR="004B43B0" w:rsidRPr="00D17E77" w:rsidRDefault="00AF2E1E" w:rsidP="004B43B0">
      <w:proofErr w:type="spellStart"/>
      <w:r>
        <w:t>Vlahogiannis</w:t>
      </w:r>
      <w:proofErr w:type="spellEnd"/>
      <w:r>
        <w:t xml:space="preserve">, N. </w:t>
      </w:r>
      <w:r w:rsidR="004B43B0">
        <w:t>2005. ‘</w:t>
      </w:r>
      <w:r>
        <w:t>’Curing</w:t>
      </w:r>
      <w:r w:rsidR="00323EA6">
        <w:t>’</w:t>
      </w:r>
      <w:r>
        <w:t xml:space="preserve"> disability</w:t>
      </w:r>
      <w:r w:rsidR="004B43B0">
        <w:t>’, in H. King (ed.)</w:t>
      </w:r>
      <w:r w:rsidR="00A96159">
        <w:t xml:space="preserve">, </w:t>
      </w:r>
      <w:r w:rsidR="004B43B0">
        <w:rPr>
          <w:i/>
        </w:rPr>
        <w:t>Health in Antiquity.</w:t>
      </w:r>
      <w:r w:rsidR="004B43B0">
        <w:t xml:space="preserve"> London: Routledge.</w:t>
      </w:r>
      <w:r>
        <w:t xml:space="preserve"> 180-191.</w:t>
      </w:r>
    </w:p>
    <w:p w14:paraId="775866F0" w14:textId="77777777" w:rsidR="004B43B0" w:rsidRPr="00D17E77" w:rsidRDefault="004B43B0"/>
    <w:p w14:paraId="3D2DF64D" w14:textId="274EAB30" w:rsidR="00D17E77" w:rsidRDefault="00D17E77"/>
    <w:p w14:paraId="100A184C" w14:textId="6E52D680" w:rsidR="00D17E77" w:rsidRDefault="00D17E77"/>
    <w:p w14:paraId="04241064" w14:textId="77777777" w:rsidR="00930A99" w:rsidRDefault="00930A99" w:rsidP="00930A99"/>
    <w:p w14:paraId="61630759" w14:textId="77777777" w:rsidR="00930A99" w:rsidRDefault="00930A99" w:rsidP="00930A99"/>
    <w:p w14:paraId="27C11DAF" w14:textId="77777777" w:rsidR="00930A99" w:rsidRDefault="00930A99" w:rsidP="00930A99"/>
    <w:p w14:paraId="312F1FEC" w14:textId="77777777" w:rsidR="00930A99" w:rsidRDefault="00930A99" w:rsidP="00930A99"/>
    <w:p w14:paraId="2B65BA14" w14:textId="77777777" w:rsidR="00930A99" w:rsidRDefault="00930A99" w:rsidP="00930A99"/>
    <w:p w14:paraId="3A14E0B1" w14:textId="77777777" w:rsidR="00930A99" w:rsidRDefault="00930A99" w:rsidP="00930A99"/>
    <w:p w14:paraId="74CB7217" w14:textId="77777777" w:rsidR="00930A99" w:rsidRDefault="00930A99" w:rsidP="00930A99"/>
    <w:p w14:paraId="56A063AD" w14:textId="77777777" w:rsidR="00930A99" w:rsidRDefault="00930A99" w:rsidP="00930A99"/>
    <w:p w14:paraId="069418DC" w14:textId="77777777" w:rsidR="00930A99" w:rsidRDefault="00930A99" w:rsidP="00930A99"/>
    <w:p w14:paraId="29CC34F6" w14:textId="77777777" w:rsidR="00930A99" w:rsidRDefault="00930A99" w:rsidP="00930A99"/>
    <w:p w14:paraId="3B29E765" w14:textId="77777777" w:rsidR="00930A99" w:rsidRDefault="00930A99" w:rsidP="00930A99"/>
    <w:p w14:paraId="571CA9FA" w14:textId="7B88951D" w:rsidR="00930A99" w:rsidRDefault="00930A99" w:rsidP="00930A99"/>
    <w:p w14:paraId="41CD83EE" w14:textId="044B07D3" w:rsidR="00930A99" w:rsidRDefault="00930A99" w:rsidP="00930A99"/>
    <w:p w14:paraId="4D77CC45" w14:textId="07E449C3" w:rsidR="00930A99" w:rsidRDefault="00930A99" w:rsidP="00930A99"/>
    <w:p w14:paraId="5BEE7762" w14:textId="6666D79F" w:rsidR="00930A99" w:rsidRDefault="00930A99" w:rsidP="00930A99"/>
    <w:p w14:paraId="126AD39E" w14:textId="27451A9C" w:rsidR="00930A99" w:rsidRDefault="00930A99" w:rsidP="00930A99"/>
    <w:p w14:paraId="211A8DB8" w14:textId="12BB846B" w:rsidR="00930A99" w:rsidRDefault="00930A99" w:rsidP="00930A99"/>
    <w:p w14:paraId="7D56D18E" w14:textId="06B221C3" w:rsidR="00930A99" w:rsidRDefault="00930A99" w:rsidP="00930A99"/>
    <w:p w14:paraId="7AC5DBFA" w14:textId="77777777" w:rsidR="00930A99" w:rsidRDefault="00930A99" w:rsidP="00930A99"/>
    <w:p w14:paraId="18D52E9B" w14:textId="77777777" w:rsidR="00930A99" w:rsidRDefault="00930A99" w:rsidP="00930A99"/>
    <w:p w14:paraId="01303987" w14:textId="77777777" w:rsidR="00930A99" w:rsidRDefault="00930A99" w:rsidP="00930A99"/>
    <w:p w14:paraId="663AFB12" w14:textId="77777777" w:rsidR="00930A99" w:rsidRDefault="00930A99" w:rsidP="00930A99"/>
    <w:p w14:paraId="5527FAB8" w14:textId="7FBEC54D" w:rsidR="00930A99" w:rsidRDefault="00D17E77" w:rsidP="00930A99">
      <w:bookmarkStart w:id="0" w:name="_GoBack"/>
      <w:bookmarkEnd w:id="0"/>
      <w:r>
        <w:lastRenderedPageBreak/>
        <w:t>Bibliography:</w:t>
      </w:r>
    </w:p>
    <w:p w14:paraId="19F484EC" w14:textId="77777777" w:rsidR="00930A99" w:rsidRPr="00930A99" w:rsidRDefault="00930A99" w:rsidP="00930A99">
      <w:pPr>
        <w:rPr>
          <w:sz w:val="21"/>
          <w:szCs w:val="21"/>
        </w:rPr>
      </w:pPr>
    </w:p>
    <w:p w14:paraId="79CA4E31" w14:textId="1483B9C3" w:rsidR="00930A99" w:rsidRPr="00930A99" w:rsidRDefault="00930A99" w:rsidP="00930A99">
      <w:pPr>
        <w:rPr>
          <w:sz w:val="21"/>
          <w:szCs w:val="21"/>
        </w:rPr>
      </w:pPr>
      <w:r w:rsidRPr="00930A99">
        <w:rPr>
          <w:sz w:val="21"/>
          <w:szCs w:val="21"/>
        </w:rPr>
        <w:t xml:space="preserve">Awan, Z.H., Mahar, P.S. &amp; </w:t>
      </w:r>
      <w:proofErr w:type="spellStart"/>
      <w:r w:rsidRPr="00930A99">
        <w:rPr>
          <w:sz w:val="21"/>
          <w:szCs w:val="21"/>
        </w:rPr>
        <w:t>Memon</w:t>
      </w:r>
      <w:proofErr w:type="spellEnd"/>
      <w:r w:rsidRPr="00930A99">
        <w:rPr>
          <w:sz w:val="21"/>
          <w:szCs w:val="21"/>
        </w:rPr>
        <w:t xml:space="preserve">, S. 2011. ‘Blindness and Poverty’, </w:t>
      </w:r>
      <w:r w:rsidRPr="00930A99">
        <w:rPr>
          <w:i/>
          <w:sz w:val="21"/>
          <w:szCs w:val="21"/>
        </w:rPr>
        <w:t xml:space="preserve">Pakistani J </w:t>
      </w:r>
      <w:proofErr w:type="spellStart"/>
      <w:r w:rsidRPr="00930A99">
        <w:rPr>
          <w:i/>
          <w:sz w:val="21"/>
          <w:szCs w:val="21"/>
        </w:rPr>
        <w:t>Ophthalmol</w:t>
      </w:r>
      <w:proofErr w:type="spellEnd"/>
      <w:r w:rsidRPr="00930A99">
        <w:rPr>
          <w:i/>
          <w:sz w:val="21"/>
          <w:szCs w:val="21"/>
        </w:rPr>
        <w:t xml:space="preserve">. </w:t>
      </w:r>
      <w:r w:rsidRPr="00930A99">
        <w:rPr>
          <w:sz w:val="21"/>
          <w:szCs w:val="21"/>
        </w:rPr>
        <w:t>27. 3, 165-170.</w:t>
      </w:r>
    </w:p>
    <w:p w14:paraId="15B5E295" w14:textId="5CCB8A46" w:rsidR="00930A99" w:rsidRPr="00930A99" w:rsidRDefault="00930A99" w:rsidP="00930A99">
      <w:pPr>
        <w:rPr>
          <w:sz w:val="21"/>
          <w:szCs w:val="21"/>
        </w:rPr>
      </w:pPr>
      <w:r w:rsidRPr="00930A99">
        <w:rPr>
          <w:sz w:val="21"/>
          <w:szCs w:val="21"/>
        </w:rPr>
        <w:t xml:space="preserve">Cassius Dio, </w:t>
      </w:r>
      <w:r w:rsidRPr="00930A99">
        <w:rPr>
          <w:i/>
          <w:sz w:val="21"/>
          <w:szCs w:val="21"/>
        </w:rPr>
        <w:t>Roman History.</w:t>
      </w:r>
      <w:r w:rsidRPr="00930A99">
        <w:rPr>
          <w:sz w:val="21"/>
          <w:szCs w:val="21"/>
        </w:rPr>
        <w:t xml:space="preserve"> E. Cary (trans.). 1925. London: William Heinemann.</w:t>
      </w:r>
    </w:p>
    <w:p w14:paraId="078490CD" w14:textId="203896B8" w:rsidR="00930A99" w:rsidRPr="00930A99" w:rsidRDefault="00930A99" w:rsidP="00930A99">
      <w:pPr>
        <w:rPr>
          <w:sz w:val="21"/>
          <w:szCs w:val="21"/>
        </w:rPr>
      </w:pPr>
      <w:r w:rsidRPr="00930A99">
        <w:rPr>
          <w:sz w:val="21"/>
          <w:szCs w:val="21"/>
        </w:rPr>
        <w:t xml:space="preserve">Dionysius </w:t>
      </w:r>
      <w:proofErr w:type="spellStart"/>
      <w:r w:rsidRPr="00930A99">
        <w:rPr>
          <w:sz w:val="21"/>
          <w:szCs w:val="21"/>
        </w:rPr>
        <w:t>Harlicarnassensis</w:t>
      </w:r>
      <w:proofErr w:type="spellEnd"/>
      <w:r w:rsidRPr="00930A99">
        <w:rPr>
          <w:sz w:val="21"/>
          <w:szCs w:val="21"/>
        </w:rPr>
        <w:t xml:space="preserve">, </w:t>
      </w:r>
      <w:proofErr w:type="spellStart"/>
      <w:r w:rsidRPr="00930A99">
        <w:rPr>
          <w:i/>
          <w:sz w:val="21"/>
          <w:szCs w:val="21"/>
        </w:rPr>
        <w:t>Antiquitates</w:t>
      </w:r>
      <w:proofErr w:type="spellEnd"/>
      <w:r w:rsidRPr="00930A99">
        <w:rPr>
          <w:i/>
          <w:sz w:val="21"/>
          <w:szCs w:val="21"/>
        </w:rPr>
        <w:t xml:space="preserve"> </w:t>
      </w:r>
      <w:proofErr w:type="spellStart"/>
      <w:r w:rsidRPr="00930A99">
        <w:rPr>
          <w:i/>
          <w:sz w:val="21"/>
          <w:szCs w:val="21"/>
        </w:rPr>
        <w:t>Romanae</w:t>
      </w:r>
      <w:proofErr w:type="spellEnd"/>
      <w:r w:rsidRPr="00930A99">
        <w:rPr>
          <w:sz w:val="21"/>
          <w:szCs w:val="21"/>
        </w:rPr>
        <w:t>. E. Cary (trans.). 1879. Cambridge: Harvard University Press.</w:t>
      </w:r>
    </w:p>
    <w:p w14:paraId="61269679" w14:textId="77777777" w:rsidR="00930A99" w:rsidRPr="00930A99" w:rsidRDefault="00930A99" w:rsidP="00930A99">
      <w:pPr>
        <w:rPr>
          <w:sz w:val="21"/>
          <w:szCs w:val="21"/>
        </w:rPr>
      </w:pPr>
      <w:r w:rsidRPr="00930A99">
        <w:rPr>
          <w:sz w:val="21"/>
          <w:szCs w:val="21"/>
        </w:rPr>
        <w:t xml:space="preserve">Garland, R. </w:t>
      </w:r>
      <w:r w:rsidRPr="00135ABB">
        <w:rPr>
          <w:i/>
          <w:sz w:val="21"/>
          <w:szCs w:val="21"/>
        </w:rPr>
        <w:t>The Eye of The Beholder: Deformity and Disability in the Graeco-Roman World.</w:t>
      </w:r>
      <w:r w:rsidRPr="00930A99">
        <w:rPr>
          <w:sz w:val="21"/>
          <w:szCs w:val="21"/>
        </w:rPr>
        <w:t xml:space="preserve"> 1995. New York: Cornell University Press.</w:t>
      </w:r>
    </w:p>
    <w:p w14:paraId="206796B8" w14:textId="167A7287" w:rsidR="00930A99" w:rsidRPr="00930A99" w:rsidRDefault="00930A99" w:rsidP="00930A99">
      <w:pPr>
        <w:rPr>
          <w:sz w:val="21"/>
          <w:szCs w:val="21"/>
        </w:rPr>
      </w:pPr>
      <w:proofErr w:type="spellStart"/>
      <w:r w:rsidRPr="00930A99">
        <w:rPr>
          <w:sz w:val="21"/>
          <w:szCs w:val="21"/>
        </w:rPr>
        <w:t>Gavaert</w:t>
      </w:r>
      <w:proofErr w:type="spellEnd"/>
      <w:r w:rsidRPr="00930A99">
        <w:rPr>
          <w:sz w:val="21"/>
          <w:szCs w:val="21"/>
        </w:rPr>
        <w:t xml:space="preserve">, B. &amp; </w:t>
      </w:r>
      <w:proofErr w:type="spellStart"/>
      <w:r w:rsidRPr="00930A99">
        <w:rPr>
          <w:sz w:val="21"/>
          <w:szCs w:val="21"/>
        </w:rPr>
        <w:t>Laes</w:t>
      </w:r>
      <w:proofErr w:type="spellEnd"/>
      <w:r w:rsidRPr="00930A99">
        <w:rPr>
          <w:sz w:val="21"/>
          <w:szCs w:val="21"/>
        </w:rPr>
        <w:t xml:space="preserve">, C. 2013. ‘What’s in a Monster? Pliny the Elder, Teratology and Bodily Disability’, in C. </w:t>
      </w:r>
      <w:proofErr w:type="spellStart"/>
      <w:r w:rsidRPr="00930A99">
        <w:rPr>
          <w:sz w:val="21"/>
          <w:szCs w:val="21"/>
        </w:rPr>
        <w:t>Laes</w:t>
      </w:r>
      <w:proofErr w:type="spellEnd"/>
      <w:r w:rsidRPr="00930A99">
        <w:rPr>
          <w:sz w:val="21"/>
          <w:szCs w:val="21"/>
        </w:rPr>
        <w:t xml:space="preserve">, C. </w:t>
      </w:r>
      <w:proofErr w:type="spellStart"/>
      <w:r w:rsidRPr="00930A99">
        <w:rPr>
          <w:sz w:val="21"/>
          <w:szCs w:val="21"/>
        </w:rPr>
        <w:t>Goodey</w:t>
      </w:r>
      <w:proofErr w:type="spellEnd"/>
      <w:r w:rsidRPr="00930A99">
        <w:rPr>
          <w:sz w:val="21"/>
          <w:szCs w:val="21"/>
        </w:rPr>
        <w:t>, &amp; M.L. Rose (eds.)</w:t>
      </w:r>
      <w:r w:rsidR="00135ABB">
        <w:rPr>
          <w:sz w:val="21"/>
          <w:szCs w:val="21"/>
        </w:rPr>
        <w:t>,</w:t>
      </w:r>
      <w:r w:rsidRPr="00930A99">
        <w:rPr>
          <w:sz w:val="21"/>
          <w:szCs w:val="21"/>
        </w:rPr>
        <w:t xml:space="preserve"> </w:t>
      </w:r>
      <w:r w:rsidRPr="00930A99">
        <w:rPr>
          <w:i/>
          <w:sz w:val="21"/>
          <w:szCs w:val="21"/>
        </w:rPr>
        <w:t xml:space="preserve">Disabilities in Roman Antiquity: Disparate Bodies </w:t>
      </w:r>
      <w:proofErr w:type="gramStart"/>
      <w:r w:rsidRPr="00930A99">
        <w:rPr>
          <w:i/>
          <w:sz w:val="21"/>
          <w:szCs w:val="21"/>
        </w:rPr>
        <w:t>A</w:t>
      </w:r>
      <w:proofErr w:type="gramEnd"/>
      <w:r w:rsidRPr="00930A99">
        <w:rPr>
          <w:i/>
          <w:sz w:val="21"/>
          <w:szCs w:val="21"/>
        </w:rPr>
        <w:t xml:space="preserve"> </w:t>
      </w:r>
      <w:proofErr w:type="spellStart"/>
      <w:r w:rsidRPr="00930A99">
        <w:rPr>
          <w:i/>
          <w:sz w:val="21"/>
          <w:szCs w:val="21"/>
        </w:rPr>
        <w:t>Capite</w:t>
      </w:r>
      <w:proofErr w:type="spellEnd"/>
      <w:r w:rsidRPr="00930A99">
        <w:rPr>
          <w:i/>
          <w:sz w:val="21"/>
          <w:szCs w:val="21"/>
        </w:rPr>
        <w:t xml:space="preserve"> </w:t>
      </w:r>
      <w:proofErr w:type="spellStart"/>
      <w:r w:rsidRPr="00930A99">
        <w:rPr>
          <w:i/>
          <w:sz w:val="21"/>
          <w:szCs w:val="21"/>
        </w:rPr>
        <w:t>ad</w:t>
      </w:r>
      <w:proofErr w:type="spellEnd"/>
      <w:r w:rsidRPr="00930A99">
        <w:rPr>
          <w:i/>
          <w:sz w:val="21"/>
          <w:szCs w:val="21"/>
        </w:rPr>
        <w:t xml:space="preserve"> </w:t>
      </w:r>
      <w:proofErr w:type="spellStart"/>
      <w:r w:rsidRPr="00930A99">
        <w:rPr>
          <w:i/>
          <w:sz w:val="21"/>
          <w:szCs w:val="21"/>
        </w:rPr>
        <w:t>Calcem</w:t>
      </w:r>
      <w:proofErr w:type="spellEnd"/>
      <w:r w:rsidRPr="00930A99">
        <w:rPr>
          <w:i/>
          <w:sz w:val="21"/>
          <w:szCs w:val="21"/>
        </w:rPr>
        <w:t xml:space="preserve">. </w:t>
      </w:r>
      <w:r w:rsidRPr="00930A99">
        <w:rPr>
          <w:sz w:val="21"/>
          <w:szCs w:val="21"/>
        </w:rPr>
        <w:t>Leiden: Brill.</w:t>
      </w:r>
    </w:p>
    <w:p w14:paraId="410DE6DD" w14:textId="66763C65" w:rsidR="00930A99" w:rsidRPr="00930A99" w:rsidRDefault="00930A99" w:rsidP="00930A99">
      <w:pPr>
        <w:rPr>
          <w:sz w:val="21"/>
          <w:szCs w:val="21"/>
        </w:rPr>
      </w:pPr>
      <w:proofErr w:type="spellStart"/>
      <w:r w:rsidRPr="00930A99">
        <w:rPr>
          <w:sz w:val="21"/>
          <w:szCs w:val="21"/>
        </w:rPr>
        <w:t>Habinek</w:t>
      </w:r>
      <w:proofErr w:type="spellEnd"/>
      <w:r w:rsidRPr="00930A99">
        <w:rPr>
          <w:sz w:val="21"/>
          <w:szCs w:val="21"/>
        </w:rPr>
        <w:t xml:space="preserve">, T. 2014. ‘Imago </w:t>
      </w:r>
      <w:proofErr w:type="spellStart"/>
      <w:r w:rsidRPr="00930A99">
        <w:rPr>
          <w:sz w:val="21"/>
          <w:szCs w:val="21"/>
        </w:rPr>
        <w:t>suae</w:t>
      </w:r>
      <w:proofErr w:type="spellEnd"/>
      <w:r w:rsidRPr="00930A99">
        <w:rPr>
          <w:sz w:val="21"/>
          <w:szCs w:val="21"/>
        </w:rPr>
        <w:t xml:space="preserve"> vitae: Seneca’s Life and Career’, in A. Heil &amp; G. </w:t>
      </w:r>
      <w:proofErr w:type="spellStart"/>
      <w:r w:rsidRPr="00930A99">
        <w:rPr>
          <w:sz w:val="21"/>
          <w:szCs w:val="21"/>
        </w:rPr>
        <w:t>Damschen</w:t>
      </w:r>
      <w:proofErr w:type="spellEnd"/>
      <w:r w:rsidRPr="00930A99">
        <w:rPr>
          <w:sz w:val="21"/>
          <w:szCs w:val="21"/>
        </w:rPr>
        <w:t xml:space="preserve"> (eds.</w:t>
      </w:r>
      <w:r w:rsidR="00135ABB">
        <w:rPr>
          <w:sz w:val="21"/>
          <w:szCs w:val="21"/>
        </w:rPr>
        <w:t>),</w:t>
      </w:r>
      <w:r w:rsidRPr="00930A99">
        <w:rPr>
          <w:sz w:val="21"/>
          <w:szCs w:val="21"/>
        </w:rPr>
        <w:t xml:space="preserve"> </w:t>
      </w:r>
      <w:r w:rsidRPr="00135ABB">
        <w:rPr>
          <w:i/>
          <w:sz w:val="21"/>
          <w:szCs w:val="21"/>
        </w:rPr>
        <w:t xml:space="preserve">Brill’s Companion to Seneca. </w:t>
      </w:r>
      <w:r w:rsidRPr="00930A99">
        <w:rPr>
          <w:sz w:val="21"/>
          <w:szCs w:val="21"/>
        </w:rPr>
        <w:t>Boston: Leiden. 3-32.</w:t>
      </w:r>
    </w:p>
    <w:p w14:paraId="09760D1C" w14:textId="3BA12BB1" w:rsidR="00930A99" w:rsidRPr="00930A99" w:rsidRDefault="00930A99" w:rsidP="00930A99">
      <w:pPr>
        <w:rPr>
          <w:sz w:val="21"/>
          <w:szCs w:val="21"/>
        </w:rPr>
      </w:pPr>
      <w:r w:rsidRPr="00930A99">
        <w:rPr>
          <w:sz w:val="21"/>
          <w:szCs w:val="21"/>
        </w:rPr>
        <w:t xml:space="preserve">Hesiod, </w:t>
      </w:r>
      <w:r w:rsidRPr="00930A99">
        <w:rPr>
          <w:i/>
          <w:sz w:val="21"/>
          <w:szCs w:val="21"/>
        </w:rPr>
        <w:t>Opera et Dies.</w:t>
      </w:r>
      <w:r w:rsidRPr="00930A99">
        <w:rPr>
          <w:sz w:val="21"/>
          <w:szCs w:val="21"/>
        </w:rPr>
        <w:t xml:space="preserve"> H.G. Evelyn-White (trans.). 1914. London: Heinemann.</w:t>
      </w:r>
    </w:p>
    <w:p w14:paraId="4D5E73D7" w14:textId="77777777" w:rsidR="00930A99" w:rsidRPr="00930A99" w:rsidRDefault="00930A99" w:rsidP="00930A99">
      <w:pPr>
        <w:rPr>
          <w:sz w:val="21"/>
          <w:szCs w:val="21"/>
        </w:rPr>
      </w:pPr>
      <w:r w:rsidRPr="00930A99">
        <w:rPr>
          <w:sz w:val="21"/>
          <w:szCs w:val="21"/>
        </w:rPr>
        <w:t xml:space="preserve">Hobgood, A.P. 2009. ‘Caesar Hath the Falling Sickness: The legibility of Early Modern Disability in Shakespearean Drama’, </w:t>
      </w:r>
      <w:r w:rsidRPr="00135ABB">
        <w:rPr>
          <w:i/>
          <w:sz w:val="21"/>
          <w:szCs w:val="21"/>
        </w:rPr>
        <w:t>Disability Studies Quarterly</w:t>
      </w:r>
      <w:r w:rsidRPr="00930A99">
        <w:rPr>
          <w:sz w:val="21"/>
          <w:szCs w:val="21"/>
        </w:rPr>
        <w:t>. 29. 4, 22-23.</w:t>
      </w:r>
    </w:p>
    <w:p w14:paraId="3B8EEADA" w14:textId="60F7E24E" w:rsidR="00930A99" w:rsidRPr="00930A99" w:rsidRDefault="00930A99" w:rsidP="00930A99">
      <w:pPr>
        <w:rPr>
          <w:sz w:val="21"/>
          <w:szCs w:val="21"/>
        </w:rPr>
      </w:pPr>
      <w:proofErr w:type="spellStart"/>
      <w:r w:rsidRPr="00930A99">
        <w:rPr>
          <w:sz w:val="21"/>
          <w:szCs w:val="21"/>
        </w:rPr>
        <w:t>Montemurro</w:t>
      </w:r>
      <w:proofErr w:type="spellEnd"/>
      <w:r w:rsidRPr="00930A99">
        <w:rPr>
          <w:sz w:val="21"/>
          <w:szCs w:val="21"/>
        </w:rPr>
        <w:t xml:space="preserve">, N., Benet, A. &amp; Lawton, M.T. 2015. ‘Julius Caesar’s Epilepsy: Was It Caused by A Brain Arteriovenous Malformation’, </w:t>
      </w:r>
      <w:r w:rsidRPr="00930A99">
        <w:rPr>
          <w:i/>
          <w:sz w:val="21"/>
          <w:szCs w:val="21"/>
        </w:rPr>
        <w:t>Historical Vignette.</w:t>
      </w:r>
      <w:r w:rsidRPr="00930A99">
        <w:rPr>
          <w:sz w:val="21"/>
          <w:szCs w:val="21"/>
        </w:rPr>
        <w:t xml:space="preserve"> 84. 6, 1985-1987</w:t>
      </w:r>
      <w:r w:rsidR="00135ABB">
        <w:rPr>
          <w:sz w:val="21"/>
          <w:szCs w:val="21"/>
        </w:rPr>
        <w:t>.</w:t>
      </w:r>
    </w:p>
    <w:p w14:paraId="74D48EAD" w14:textId="77777777" w:rsidR="00930A99" w:rsidRPr="00930A99" w:rsidRDefault="00930A99" w:rsidP="00930A99">
      <w:pPr>
        <w:rPr>
          <w:sz w:val="21"/>
          <w:szCs w:val="21"/>
        </w:rPr>
      </w:pPr>
      <w:r w:rsidRPr="00930A99">
        <w:rPr>
          <w:sz w:val="21"/>
          <w:szCs w:val="21"/>
        </w:rPr>
        <w:t xml:space="preserve">Jackson, R. 1988. </w:t>
      </w:r>
      <w:r w:rsidRPr="00135ABB">
        <w:rPr>
          <w:i/>
          <w:sz w:val="21"/>
          <w:szCs w:val="21"/>
        </w:rPr>
        <w:t>Doctors and Diseases in The Roman Empire.</w:t>
      </w:r>
      <w:r w:rsidRPr="00930A99">
        <w:rPr>
          <w:sz w:val="21"/>
          <w:szCs w:val="21"/>
        </w:rPr>
        <w:t xml:space="preserve"> London: British Museum Press.</w:t>
      </w:r>
    </w:p>
    <w:p w14:paraId="197268C1" w14:textId="77777777" w:rsidR="00930A99" w:rsidRPr="00930A99" w:rsidRDefault="00930A99" w:rsidP="00930A99">
      <w:pPr>
        <w:rPr>
          <w:sz w:val="21"/>
          <w:szCs w:val="21"/>
        </w:rPr>
      </w:pPr>
      <w:r w:rsidRPr="00930A99">
        <w:rPr>
          <w:sz w:val="21"/>
          <w:szCs w:val="21"/>
        </w:rPr>
        <w:t xml:space="preserve">King, H. 2001. </w:t>
      </w:r>
      <w:r w:rsidRPr="00930A99">
        <w:rPr>
          <w:i/>
          <w:sz w:val="21"/>
          <w:szCs w:val="21"/>
        </w:rPr>
        <w:t xml:space="preserve">Greek and Roman Medicine. </w:t>
      </w:r>
      <w:r w:rsidRPr="00930A99">
        <w:rPr>
          <w:sz w:val="21"/>
          <w:szCs w:val="21"/>
        </w:rPr>
        <w:t>London: Bristol Classical Press.</w:t>
      </w:r>
    </w:p>
    <w:p w14:paraId="552968C9" w14:textId="5B83B20B" w:rsidR="00930A99" w:rsidRPr="00930A99" w:rsidRDefault="00930A99" w:rsidP="00930A99">
      <w:pPr>
        <w:rPr>
          <w:sz w:val="21"/>
          <w:szCs w:val="21"/>
        </w:rPr>
      </w:pPr>
      <w:r w:rsidRPr="00930A99">
        <w:rPr>
          <w:sz w:val="21"/>
          <w:szCs w:val="21"/>
        </w:rPr>
        <w:t>King, H. 2005. ‘Introduction: What is health?’, in H. King (ed.)</w:t>
      </w:r>
      <w:r w:rsidR="00135ABB">
        <w:rPr>
          <w:sz w:val="21"/>
          <w:szCs w:val="21"/>
        </w:rPr>
        <w:t>,</w:t>
      </w:r>
      <w:r w:rsidRPr="00930A99">
        <w:rPr>
          <w:sz w:val="21"/>
          <w:szCs w:val="21"/>
        </w:rPr>
        <w:t xml:space="preserve"> </w:t>
      </w:r>
      <w:r w:rsidRPr="00930A99">
        <w:rPr>
          <w:i/>
          <w:sz w:val="21"/>
          <w:szCs w:val="21"/>
        </w:rPr>
        <w:t>Health in Antiquity.</w:t>
      </w:r>
      <w:r w:rsidRPr="00930A99">
        <w:rPr>
          <w:sz w:val="21"/>
          <w:szCs w:val="21"/>
        </w:rPr>
        <w:t xml:space="preserve"> London: Routledge. 1-11.</w:t>
      </w:r>
    </w:p>
    <w:p w14:paraId="30A5DB76" w14:textId="796F24A9" w:rsidR="00930A99" w:rsidRPr="00930A99" w:rsidRDefault="00930A99" w:rsidP="00930A99">
      <w:pPr>
        <w:rPr>
          <w:sz w:val="21"/>
          <w:szCs w:val="21"/>
        </w:rPr>
      </w:pPr>
      <w:r w:rsidRPr="00930A99">
        <w:rPr>
          <w:sz w:val="21"/>
          <w:szCs w:val="21"/>
        </w:rPr>
        <w:t>Paterson, J. 2009. ‘Caesar the Man’, in M. Griffin (ed.)</w:t>
      </w:r>
      <w:r w:rsidR="00135ABB">
        <w:rPr>
          <w:sz w:val="21"/>
          <w:szCs w:val="21"/>
        </w:rPr>
        <w:t>,</w:t>
      </w:r>
      <w:r w:rsidRPr="00930A99">
        <w:rPr>
          <w:sz w:val="21"/>
          <w:szCs w:val="21"/>
        </w:rPr>
        <w:t xml:space="preserve"> </w:t>
      </w:r>
      <w:r w:rsidRPr="00930A99">
        <w:rPr>
          <w:i/>
          <w:sz w:val="21"/>
          <w:szCs w:val="21"/>
        </w:rPr>
        <w:t>A Companion to Julius Caesar.</w:t>
      </w:r>
      <w:r w:rsidRPr="00930A99">
        <w:rPr>
          <w:sz w:val="21"/>
          <w:szCs w:val="21"/>
        </w:rPr>
        <w:t xml:space="preserve"> Oxford: Wiley-Blackwell. 126-140.</w:t>
      </w:r>
    </w:p>
    <w:p w14:paraId="7D3AABA9" w14:textId="0A9AF959" w:rsidR="00930A99" w:rsidRPr="00930A99" w:rsidRDefault="00930A99" w:rsidP="00930A99">
      <w:pPr>
        <w:rPr>
          <w:sz w:val="21"/>
          <w:szCs w:val="21"/>
        </w:rPr>
      </w:pPr>
      <w:r w:rsidRPr="00930A99">
        <w:rPr>
          <w:sz w:val="21"/>
          <w:szCs w:val="21"/>
        </w:rPr>
        <w:t xml:space="preserve">Phillip, E.D. 1973. </w:t>
      </w:r>
      <w:r w:rsidRPr="00930A99">
        <w:rPr>
          <w:i/>
          <w:sz w:val="21"/>
          <w:szCs w:val="21"/>
        </w:rPr>
        <w:t>Greek Medicine</w:t>
      </w:r>
      <w:r w:rsidRPr="00930A99">
        <w:rPr>
          <w:sz w:val="21"/>
          <w:szCs w:val="21"/>
        </w:rPr>
        <w:t>. London: The Camelot Press Ltd.</w:t>
      </w:r>
    </w:p>
    <w:p w14:paraId="533AB6BC" w14:textId="77777777" w:rsidR="00930A99" w:rsidRPr="00930A99" w:rsidRDefault="00930A99" w:rsidP="00930A99">
      <w:pPr>
        <w:rPr>
          <w:sz w:val="21"/>
          <w:szCs w:val="21"/>
        </w:rPr>
      </w:pPr>
      <w:r w:rsidRPr="00930A99">
        <w:rPr>
          <w:sz w:val="21"/>
          <w:szCs w:val="21"/>
        </w:rPr>
        <w:t xml:space="preserve">Pliny The Elder, </w:t>
      </w:r>
      <w:r w:rsidRPr="00930A99">
        <w:rPr>
          <w:i/>
          <w:sz w:val="21"/>
          <w:szCs w:val="21"/>
        </w:rPr>
        <w:t xml:space="preserve">Naturalis Historia. </w:t>
      </w:r>
      <w:r w:rsidRPr="00930A99">
        <w:rPr>
          <w:sz w:val="21"/>
          <w:szCs w:val="21"/>
        </w:rPr>
        <w:t>J. Bostock (trans.). 1855. London: Taylor and Francis.</w:t>
      </w:r>
    </w:p>
    <w:p w14:paraId="765C6FD2" w14:textId="0E1184D6" w:rsidR="00930A99" w:rsidRPr="00930A99" w:rsidRDefault="00930A99" w:rsidP="00930A99">
      <w:pPr>
        <w:rPr>
          <w:sz w:val="21"/>
          <w:szCs w:val="21"/>
        </w:rPr>
      </w:pPr>
      <w:r w:rsidRPr="00930A99">
        <w:rPr>
          <w:sz w:val="21"/>
          <w:szCs w:val="21"/>
        </w:rPr>
        <w:t xml:space="preserve">Plutarch, </w:t>
      </w:r>
      <w:r w:rsidRPr="00930A99">
        <w:rPr>
          <w:i/>
          <w:sz w:val="21"/>
          <w:szCs w:val="21"/>
        </w:rPr>
        <w:t>Caesar.</w:t>
      </w:r>
      <w:r w:rsidRPr="00930A99">
        <w:rPr>
          <w:sz w:val="21"/>
          <w:szCs w:val="21"/>
        </w:rPr>
        <w:t xml:space="preserve"> B. Perrin (trans.). 1919. London: Heinemann.</w:t>
      </w:r>
    </w:p>
    <w:p w14:paraId="0459F209" w14:textId="77777777" w:rsidR="00930A99" w:rsidRPr="00930A99" w:rsidRDefault="00930A99" w:rsidP="00930A99">
      <w:pPr>
        <w:rPr>
          <w:sz w:val="21"/>
          <w:szCs w:val="21"/>
        </w:rPr>
      </w:pPr>
      <w:r w:rsidRPr="00930A99">
        <w:rPr>
          <w:sz w:val="21"/>
          <w:szCs w:val="21"/>
        </w:rPr>
        <w:t xml:space="preserve">Seneca, </w:t>
      </w:r>
      <w:proofErr w:type="spellStart"/>
      <w:r w:rsidRPr="00930A99">
        <w:rPr>
          <w:i/>
          <w:sz w:val="21"/>
          <w:szCs w:val="21"/>
        </w:rPr>
        <w:t>Controversiae</w:t>
      </w:r>
      <w:proofErr w:type="spellEnd"/>
      <w:r w:rsidRPr="00930A99">
        <w:rPr>
          <w:i/>
          <w:sz w:val="21"/>
          <w:szCs w:val="21"/>
        </w:rPr>
        <w:t>.</w:t>
      </w:r>
      <w:r w:rsidRPr="00930A99">
        <w:rPr>
          <w:sz w:val="21"/>
          <w:szCs w:val="21"/>
        </w:rPr>
        <w:t xml:space="preserve"> M. Winterbottom (trans.). 1974. Cambridge: Harvard University Press.</w:t>
      </w:r>
    </w:p>
    <w:p w14:paraId="09A6F16E" w14:textId="77777777" w:rsidR="00930A99" w:rsidRPr="00930A99" w:rsidRDefault="00930A99" w:rsidP="00930A99">
      <w:pPr>
        <w:rPr>
          <w:sz w:val="21"/>
          <w:szCs w:val="21"/>
        </w:rPr>
      </w:pPr>
      <w:r w:rsidRPr="00930A99">
        <w:rPr>
          <w:sz w:val="21"/>
          <w:szCs w:val="21"/>
        </w:rPr>
        <w:t xml:space="preserve">Seneca, </w:t>
      </w:r>
      <w:proofErr w:type="spellStart"/>
      <w:r w:rsidRPr="00930A99">
        <w:rPr>
          <w:i/>
          <w:sz w:val="21"/>
          <w:szCs w:val="21"/>
        </w:rPr>
        <w:t>Epistulae</w:t>
      </w:r>
      <w:proofErr w:type="spellEnd"/>
      <w:r w:rsidRPr="00930A99">
        <w:rPr>
          <w:i/>
          <w:sz w:val="21"/>
          <w:szCs w:val="21"/>
        </w:rPr>
        <w:t xml:space="preserve"> </w:t>
      </w:r>
      <w:proofErr w:type="spellStart"/>
      <w:r w:rsidRPr="00930A99">
        <w:rPr>
          <w:i/>
          <w:sz w:val="21"/>
          <w:szCs w:val="21"/>
        </w:rPr>
        <w:t>morales</w:t>
      </w:r>
      <w:proofErr w:type="spellEnd"/>
      <w:r w:rsidRPr="00930A99">
        <w:rPr>
          <w:i/>
          <w:sz w:val="21"/>
          <w:szCs w:val="21"/>
        </w:rPr>
        <w:t xml:space="preserve"> ad </w:t>
      </w:r>
      <w:proofErr w:type="spellStart"/>
      <w:r w:rsidRPr="00930A99">
        <w:rPr>
          <w:i/>
          <w:sz w:val="21"/>
          <w:szCs w:val="21"/>
        </w:rPr>
        <w:t>Lucilium</w:t>
      </w:r>
      <w:proofErr w:type="spellEnd"/>
      <w:r w:rsidRPr="00930A99">
        <w:rPr>
          <w:i/>
          <w:sz w:val="21"/>
          <w:szCs w:val="21"/>
        </w:rPr>
        <w:t xml:space="preserve">.  </w:t>
      </w:r>
      <w:r w:rsidRPr="00930A99">
        <w:rPr>
          <w:sz w:val="21"/>
          <w:szCs w:val="21"/>
        </w:rPr>
        <w:t xml:space="preserve">R.M. </w:t>
      </w:r>
      <w:proofErr w:type="spellStart"/>
      <w:r w:rsidRPr="00930A99">
        <w:rPr>
          <w:sz w:val="21"/>
          <w:szCs w:val="21"/>
        </w:rPr>
        <w:t>Gummere</w:t>
      </w:r>
      <w:proofErr w:type="spellEnd"/>
      <w:r w:rsidRPr="00930A99">
        <w:rPr>
          <w:sz w:val="21"/>
          <w:szCs w:val="21"/>
        </w:rPr>
        <w:t xml:space="preserve"> (trans.). 1917. London: Heinemann.</w:t>
      </w:r>
    </w:p>
    <w:p w14:paraId="32F5375E" w14:textId="6C10ED99" w:rsidR="00930A99" w:rsidRPr="00930A99" w:rsidRDefault="00930A99" w:rsidP="00930A99">
      <w:pPr>
        <w:rPr>
          <w:sz w:val="21"/>
          <w:szCs w:val="21"/>
        </w:rPr>
      </w:pPr>
      <w:r w:rsidRPr="00930A99">
        <w:rPr>
          <w:sz w:val="21"/>
          <w:szCs w:val="21"/>
        </w:rPr>
        <w:t xml:space="preserve">Soranus, </w:t>
      </w:r>
      <w:proofErr w:type="spellStart"/>
      <w:r w:rsidRPr="00930A99">
        <w:rPr>
          <w:i/>
          <w:sz w:val="21"/>
          <w:szCs w:val="21"/>
        </w:rPr>
        <w:t>Gynaeceia</w:t>
      </w:r>
      <w:proofErr w:type="spellEnd"/>
      <w:r w:rsidRPr="00930A99">
        <w:rPr>
          <w:sz w:val="21"/>
          <w:szCs w:val="21"/>
        </w:rPr>
        <w:t>. O. Temkin (trans.). 1991. London: The John Hopkins University Press.</w:t>
      </w:r>
    </w:p>
    <w:p w14:paraId="65E0FBAE" w14:textId="77777777" w:rsidR="00930A99" w:rsidRPr="00930A99" w:rsidRDefault="00930A99" w:rsidP="00930A99">
      <w:pPr>
        <w:rPr>
          <w:sz w:val="21"/>
          <w:szCs w:val="21"/>
        </w:rPr>
      </w:pPr>
      <w:proofErr w:type="spellStart"/>
      <w:r w:rsidRPr="00930A99">
        <w:rPr>
          <w:sz w:val="21"/>
          <w:szCs w:val="21"/>
        </w:rPr>
        <w:t>Topliss</w:t>
      </w:r>
      <w:proofErr w:type="spellEnd"/>
      <w:r w:rsidRPr="00930A99">
        <w:rPr>
          <w:sz w:val="21"/>
          <w:szCs w:val="21"/>
        </w:rPr>
        <w:t xml:space="preserve">, E. 1982. </w:t>
      </w:r>
      <w:r w:rsidRPr="00930A99">
        <w:rPr>
          <w:i/>
          <w:sz w:val="21"/>
          <w:szCs w:val="21"/>
        </w:rPr>
        <w:t>Social Responses to Handicap.</w:t>
      </w:r>
      <w:r w:rsidRPr="00930A99">
        <w:rPr>
          <w:sz w:val="21"/>
          <w:szCs w:val="21"/>
        </w:rPr>
        <w:t xml:space="preserve"> Harlow: Longman.</w:t>
      </w:r>
    </w:p>
    <w:p w14:paraId="03243CCC" w14:textId="43BC4031" w:rsidR="00930A99" w:rsidRPr="00930A99" w:rsidRDefault="00930A99" w:rsidP="00930A99">
      <w:pPr>
        <w:rPr>
          <w:sz w:val="21"/>
          <w:szCs w:val="21"/>
        </w:rPr>
      </w:pPr>
      <w:proofErr w:type="spellStart"/>
      <w:r w:rsidRPr="00930A99">
        <w:rPr>
          <w:sz w:val="21"/>
          <w:szCs w:val="21"/>
        </w:rPr>
        <w:t>Trentin</w:t>
      </w:r>
      <w:proofErr w:type="spellEnd"/>
      <w:r w:rsidRPr="00930A99">
        <w:rPr>
          <w:sz w:val="21"/>
          <w:szCs w:val="21"/>
        </w:rPr>
        <w:t xml:space="preserve">, L. 2013. ‘Exploring Visual Impairment in Ancient Rome’, in C. </w:t>
      </w:r>
      <w:proofErr w:type="spellStart"/>
      <w:r w:rsidRPr="00930A99">
        <w:rPr>
          <w:sz w:val="21"/>
          <w:szCs w:val="21"/>
        </w:rPr>
        <w:t>Laes</w:t>
      </w:r>
      <w:proofErr w:type="spellEnd"/>
      <w:r w:rsidRPr="00930A99">
        <w:rPr>
          <w:sz w:val="21"/>
          <w:szCs w:val="21"/>
        </w:rPr>
        <w:t xml:space="preserve">, C. </w:t>
      </w:r>
      <w:proofErr w:type="spellStart"/>
      <w:r w:rsidRPr="00930A99">
        <w:rPr>
          <w:sz w:val="21"/>
          <w:szCs w:val="21"/>
        </w:rPr>
        <w:t>Goodey</w:t>
      </w:r>
      <w:proofErr w:type="spellEnd"/>
      <w:r w:rsidRPr="00930A99">
        <w:rPr>
          <w:sz w:val="21"/>
          <w:szCs w:val="21"/>
        </w:rPr>
        <w:t>, &amp; M.L. Rose (eds.)</w:t>
      </w:r>
      <w:r w:rsidR="00135ABB">
        <w:rPr>
          <w:sz w:val="21"/>
          <w:szCs w:val="21"/>
        </w:rPr>
        <w:t>,</w:t>
      </w:r>
      <w:r w:rsidRPr="00930A99">
        <w:rPr>
          <w:sz w:val="21"/>
          <w:szCs w:val="21"/>
        </w:rPr>
        <w:t xml:space="preserve"> </w:t>
      </w:r>
      <w:r w:rsidRPr="00930A99">
        <w:rPr>
          <w:i/>
          <w:sz w:val="21"/>
          <w:szCs w:val="21"/>
        </w:rPr>
        <w:t xml:space="preserve">Disabilities in Roman Antiquity: Disparate Bodies </w:t>
      </w:r>
      <w:proofErr w:type="gramStart"/>
      <w:r w:rsidRPr="00930A99">
        <w:rPr>
          <w:i/>
          <w:sz w:val="21"/>
          <w:szCs w:val="21"/>
        </w:rPr>
        <w:t>A</w:t>
      </w:r>
      <w:proofErr w:type="gramEnd"/>
      <w:r w:rsidRPr="00930A99">
        <w:rPr>
          <w:i/>
          <w:sz w:val="21"/>
          <w:szCs w:val="21"/>
        </w:rPr>
        <w:t xml:space="preserve"> </w:t>
      </w:r>
      <w:proofErr w:type="spellStart"/>
      <w:r w:rsidRPr="00930A99">
        <w:rPr>
          <w:i/>
          <w:sz w:val="21"/>
          <w:szCs w:val="21"/>
        </w:rPr>
        <w:t>Capite</w:t>
      </w:r>
      <w:proofErr w:type="spellEnd"/>
      <w:r w:rsidRPr="00930A99">
        <w:rPr>
          <w:i/>
          <w:sz w:val="21"/>
          <w:szCs w:val="21"/>
        </w:rPr>
        <w:t xml:space="preserve"> </w:t>
      </w:r>
      <w:proofErr w:type="spellStart"/>
      <w:r w:rsidRPr="00930A99">
        <w:rPr>
          <w:i/>
          <w:sz w:val="21"/>
          <w:szCs w:val="21"/>
        </w:rPr>
        <w:t>ad</w:t>
      </w:r>
      <w:proofErr w:type="spellEnd"/>
      <w:r w:rsidRPr="00930A99">
        <w:rPr>
          <w:i/>
          <w:sz w:val="21"/>
          <w:szCs w:val="21"/>
        </w:rPr>
        <w:t xml:space="preserve"> </w:t>
      </w:r>
      <w:proofErr w:type="spellStart"/>
      <w:r w:rsidRPr="00930A99">
        <w:rPr>
          <w:i/>
          <w:sz w:val="21"/>
          <w:szCs w:val="21"/>
        </w:rPr>
        <w:t>Calcem</w:t>
      </w:r>
      <w:proofErr w:type="spellEnd"/>
      <w:r w:rsidRPr="00930A99">
        <w:rPr>
          <w:i/>
          <w:sz w:val="21"/>
          <w:szCs w:val="21"/>
        </w:rPr>
        <w:t xml:space="preserve">. </w:t>
      </w:r>
      <w:r w:rsidRPr="00930A99">
        <w:rPr>
          <w:sz w:val="21"/>
          <w:szCs w:val="21"/>
        </w:rPr>
        <w:t>Leiden: Brill.</w:t>
      </w:r>
    </w:p>
    <w:p w14:paraId="526FECE3" w14:textId="589EEB78" w:rsidR="00930A99" w:rsidRPr="00AE6B79" w:rsidRDefault="00930A99">
      <w:proofErr w:type="spellStart"/>
      <w:r w:rsidRPr="00930A99">
        <w:rPr>
          <w:sz w:val="21"/>
          <w:szCs w:val="21"/>
        </w:rPr>
        <w:t>Vlahogiannis</w:t>
      </w:r>
      <w:proofErr w:type="spellEnd"/>
      <w:r w:rsidRPr="00930A99">
        <w:rPr>
          <w:sz w:val="21"/>
          <w:szCs w:val="21"/>
        </w:rPr>
        <w:t>, N. 2005. ‘’Curing’ disability’, in H. King (ed.)</w:t>
      </w:r>
      <w:r w:rsidR="00135ABB">
        <w:rPr>
          <w:sz w:val="21"/>
          <w:szCs w:val="21"/>
        </w:rPr>
        <w:t>,</w:t>
      </w:r>
      <w:r w:rsidRPr="00930A99">
        <w:rPr>
          <w:sz w:val="21"/>
          <w:szCs w:val="21"/>
        </w:rPr>
        <w:t xml:space="preserve"> </w:t>
      </w:r>
      <w:r w:rsidRPr="00930A99">
        <w:rPr>
          <w:i/>
          <w:sz w:val="21"/>
          <w:szCs w:val="21"/>
        </w:rPr>
        <w:t>Health in Antiquity.</w:t>
      </w:r>
      <w:r w:rsidRPr="00930A99">
        <w:rPr>
          <w:sz w:val="21"/>
          <w:szCs w:val="21"/>
        </w:rPr>
        <w:t xml:space="preserve"> London: Routledge. 180-191.</w:t>
      </w:r>
    </w:p>
    <w:sectPr w:rsidR="00930A99" w:rsidRPr="00AE6B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FD9FC" w14:textId="77777777" w:rsidR="00394904" w:rsidRDefault="00394904" w:rsidP="00AE6B79">
      <w:pPr>
        <w:spacing w:after="0" w:line="240" w:lineRule="auto"/>
      </w:pPr>
      <w:r>
        <w:separator/>
      </w:r>
    </w:p>
  </w:endnote>
  <w:endnote w:type="continuationSeparator" w:id="0">
    <w:p w14:paraId="4AE56ABA" w14:textId="77777777" w:rsidR="00394904" w:rsidRDefault="00394904" w:rsidP="00AE6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AA595" w14:textId="77777777" w:rsidR="00394904" w:rsidRDefault="00394904" w:rsidP="00AE6B79">
      <w:pPr>
        <w:spacing w:after="0" w:line="240" w:lineRule="auto"/>
      </w:pPr>
      <w:r>
        <w:separator/>
      </w:r>
    </w:p>
  </w:footnote>
  <w:footnote w:type="continuationSeparator" w:id="0">
    <w:p w14:paraId="076AB53A" w14:textId="77777777" w:rsidR="00394904" w:rsidRDefault="00394904" w:rsidP="00AE6B79">
      <w:pPr>
        <w:spacing w:after="0" w:line="240" w:lineRule="auto"/>
      </w:pPr>
      <w:r>
        <w:continuationSeparator/>
      </w:r>
    </w:p>
  </w:footnote>
  <w:footnote w:id="1">
    <w:p w14:paraId="0449AF8D" w14:textId="328A752D" w:rsidR="00563677" w:rsidRDefault="00563677">
      <w:pPr>
        <w:pStyle w:val="FootnoteText"/>
      </w:pPr>
      <w:r>
        <w:rPr>
          <w:rStyle w:val="FootnoteReference"/>
        </w:rPr>
        <w:footnoteRef/>
      </w:r>
      <w:r>
        <w:t xml:space="preserve"> Garland: 1995: 11</w:t>
      </w:r>
      <w:r w:rsidR="002E6E23">
        <w:t>.</w:t>
      </w:r>
    </w:p>
  </w:footnote>
  <w:footnote w:id="2">
    <w:p w14:paraId="675DE322" w14:textId="1950243A" w:rsidR="00563677" w:rsidRDefault="00563677">
      <w:pPr>
        <w:pStyle w:val="FootnoteText"/>
      </w:pPr>
      <w:r>
        <w:rPr>
          <w:rStyle w:val="FootnoteReference"/>
        </w:rPr>
        <w:footnoteRef/>
      </w:r>
      <w:r>
        <w:t xml:space="preserve"> Seneca </w:t>
      </w:r>
      <w:r>
        <w:rPr>
          <w:i/>
        </w:rPr>
        <w:t>E</w:t>
      </w:r>
      <w:r w:rsidRPr="00AC7CCF">
        <w:rPr>
          <w:i/>
        </w:rPr>
        <w:t>p</w:t>
      </w:r>
      <w:r>
        <w:t>. 54</w:t>
      </w:r>
      <w:r w:rsidR="002E6E23">
        <w:t>.</w:t>
      </w:r>
    </w:p>
  </w:footnote>
  <w:footnote w:id="3">
    <w:p w14:paraId="79A81DDC" w14:textId="5E3B0588" w:rsidR="00563677" w:rsidRDefault="00563677">
      <w:pPr>
        <w:pStyle w:val="FootnoteText"/>
      </w:pPr>
      <w:r>
        <w:rPr>
          <w:rStyle w:val="FootnoteReference"/>
        </w:rPr>
        <w:footnoteRef/>
      </w:r>
      <w:r>
        <w:t xml:space="preserve"> </w:t>
      </w:r>
      <w:proofErr w:type="spellStart"/>
      <w:r>
        <w:t>Topliss</w:t>
      </w:r>
      <w:proofErr w:type="spellEnd"/>
      <w:r>
        <w:t xml:space="preserve"> 1982: 2-3</w:t>
      </w:r>
      <w:r w:rsidR="002E6E23">
        <w:t>.</w:t>
      </w:r>
    </w:p>
  </w:footnote>
  <w:footnote w:id="4">
    <w:p w14:paraId="24DA99A2" w14:textId="5DC15DDE" w:rsidR="00563677" w:rsidRDefault="00563677">
      <w:pPr>
        <w:pStyle w:val="FootnoteText"/>
      </w:pPr>
      <w:r>
        <w:rPr>
          <w:rStyle w:val="FootnoteReference"/>
        </w:rPr>
        <w:footnoteRef/>
      </w:r>
      <w:r>
        <w:t xml:space="preserve"> King 2005: 9</w:t>
      </w:r>
      <w:r w:rsidR="002E6E23">
        <w:t>.</w:t>
      </w:r>
    </w:p>
  </w:footnote>
  <w:footnote w:id="5">
    <w:p w14:paraId="67FB8EF4" w14:textId="097161CB" w:rsidR="00563677" w:rsidRDefault="00563677">
      <w:pPr>
        <w:pStyle w:val="FootnoteText"/>
      </w:pPr>
      <w:r>
        <w:rPr>
          <w:rStyle w:val="FootnoteReference"/>
        </w:rPr>
        <w:footnoteRef/>
      </w:r>
      <w:r>
        <w:t xml:space="preserve"> Jackson 1988 :180</w:t>
      </w:r>
      <w:r w:rsidR="002E6E23">
        <w:t>.</w:t>
      </w:r>
    </w:p>
  </w:footnote>
  <w:footnote w:id="6">
    <w:p w14:paraId="7A3B67E4" w14:textId="339C2CD9" w:rsidR="00563677" w:rsidRDefault="00563677">
      <w:pPr>
        <w:pStyle w:val="FootnoteText"/>
      </w:pPr>
      <w:r>
        <w:rPr>
          <w:rStyle w:val="FootnoteReference"/>
        </w:rPr>
        <w:footnoteRef/>
      </w:r>
      <w:r>
        <w:t xml:space="preserve"> Garland 1995: 26-27</w:t>
      </w:r>
      <w:r w:rsidR="002E6E23">
        <w:t>.</w:t>
      </w:r>
    </w:p>
  </w:footnote>
  <w:footnote w:id="7">
    <w:p w14:paraId="79933556" w14:textId="5C012959" w:rsidR="00563677" w:rsidRDefault="00563677">
      <w:pPr>
        <w:pStyle w:val="FootnoteText"/>
      </w:pPr>
      <w:r>
        <w:rPr>
          <w:rStyle w:val="FootnoteReference"/>
        </w:rPr>
        <w:footnoteRef/>
      </w:r>
      <w:r>
        <w:t xml:space="preserve"> Awan, Mahar &amp; </w:t>
      </w:r>
      <w:proofErr w:type="spellStart"/>
      <w:r>
        <w:t>Memon</w:t>
      </w:r>
      <w:proofErr w:type="spellEnd"/>
      <w:r>
        <w:t xml:space="preserve"> 2011: 165-167</w:t>
      </w:r>
      <w:r w:rsidR="002E6E23">
        <w:t>.</w:t>
      </w:r>
    </w:p>
  </w:footnote>
  <w:footnote w:id="8">
    <w:p w14:paraId="5D9D4413" w14:textId="7A564E27" w:rsidR="00563677" w:rsidRDefault="00563677">
      <w:pPr>
        <w:pStyle w:val="FootnoteText"/>
      </w:pPr>
      <w:r>
        <w:rPr>
          <w:rStyle w:val="FootnoteReference"/>
        </w:rPr>
        <w:footnoteRef/>
      </w:r>
      <w:r>
        <w:t xml:space="preserve"> Garland 1995: 12</w:t>
      </w:r>
      <w:r w:rsidR="002E6E23">
        <w:t>.</w:t>
      </w:r>
    </w:p>
  </w:footnote>
  <w:footnote w:id="9">
    <w:p w14:paraId="39F80455" w14:textId="5DC8C5BA" w:rsidR="00563677" w:rsidRDefault="00563677">
      <w:pPr>
        <w:pStyle w:val="FootnoteText"/>
      </w:pPr>
      <w:r>
        <w:rPr>
          <w:rStyle w:val="FootnoteReference"/>
        </w:rPr>
        <w:footnoteRef/>
      </w:r>
      <w:r>
        <w:t xml:space="preserve"> Garland 1995: 12</w:t>
      </w:r>
      <w:r w:rsidR="002E6E23">
        <w:t>.</w:t>
      </w:r>
    </w:p>
  </w:footnote>
  <w:footnote w:id="10">
    <w:p w14:paraId="4AAA4FF4" w14:textId="5B0B5BAC" w:rsidR="00CC4320" w:rsidRDefault="00CC4320" w:rsidP="00CC4320">
      <w:pPr>
        <w:pStyle w:val="FootnoteText"/>
      </w:pPr>
      <w:r>
        <w:rPr>
          <w:rStyle w:val="FootnoteReference"/>
        </w:rPr>
        <w:footnoteRef/>
      </w:r>
      <w:r>
        <w:t xml:space="preserve"> Garland 1995: 11</w:t>
      </w:r>
      <w:r w:rsidR="002E6E23">
        <w:t>.</w:t>
      </w:r>
    </w:p>
  </w:footnote>
  <w:footnote w:id="11">
    <w:p w14:paraId="6F980814" w14:textId="3C491730" w:rsidR="00563677" w:rsidRDefault="00563677" w:rsidP="00361298">
      <w:pPr>
        <w:pStyle w:val="FootnoteText"/>
      </w:pPr>
      <w:r>
        <w:rPr>
          <w:rStyle w:val="FootnoteReference"/>
        </w:rPr>
        <w:footnoteRef/>
      </w:r>
      <w:r>
        <w:t xml:space="preserve"> </w:t>
      </w:r>
      <w:proofErr w:type="spellStart"/>
      <w:r>
        <w:t>Vlahogiannis</w:t>
      </w:r>
      <w:proofErr w:type="spellEnd"/>
      <w:r>
        <w:t xml:space="preserve"> 2005: 185</w:t>
      </w:r>
      <w:r w:rsidR="002E6E23">
        <w:t>.</w:t>
      </w:r>
    </w:p>
  </w:footnote>
  <w:footnote w:id="12">
    <w:p w14:paraId="367ACCA5" w14:textId="1F0274D7" w:rsidR="00563677" w:rsidRDefault="00563677" w:rsidP="00361298">
      <w:pPr>
        <w:pStyle w:val="FootnoteText"/>
      </w:pPr>
      <w:r>
        <w:rPr>
          <w:rStyle w:val="FootnoteReference"/>
        </w:rPr>
        <w:footnoteRef/>
      </w:r>
      <w:r>
        <w:t xml:space="preserve"> </w:t>
      </w:r>
      <w:proofErr w:type="spellStart"/>
      <w:r>
        <w:t>Vlahogiannis</w:t>
      </w:r>
      <w:proofErr w:type="spellEnd"/>
      <w:r>
        <w:t xml:space="preserve"> 2005: 186</w:t>
      </w:r>
      <w:r w:rsidR="002E6E23">
        <w:t>.</w:t>
      </w:r>
    </w:p>
  </w:footnote>
  <w:footnote w:id="13">
    <w:p w14:paraId="2009A6A4" w14:textId="0C511E42" w:rsidR="00563677" w:rsidRDefault="00563677" w:rsidP="00361298">
      <w:pPr>
        <w:pStyle w:val="FootnoteText"/>
      </w:pPr>
      <w:r>
        <w:rPr>
          <w:rStyle w:val="FootnoteReference"/>
        </w:rPr>
        <w:footnoteRef/>
      </w:r>
      <w:r>
        <w:t xml:space="preserve"> Jackson 1988: 9-10</w:t>
      </w:r>
      <w:r w:rsidR="002E6E23">
        <w:t>.</w:t>
      </w:r>
    </w:p>
  </w:footnote>
  <w:footnote w:id="14">
    <w:p w14:paraId="2D4AAD1B" w14:textId="019355D9" w:rsidR="00563677" w:rsidRDefault="00563677" w:rsidP="00361298">
      <w:pPr>
        <w:pStyle w:val="FootnoteText"/>
      </w:pPr>
      <w:r>
        <w:rPr>
          <w:rStyle w:val="FootnoteReference"/>
        </w:rPr>
        <w:footnoteRef/>
      </w:r>
      <w:r>
        <w:t xml:space="preserve"> </w:t>
      </w:r>
      <w:proofErr w:type="spellStart"/>
      <w:r>
        <w:t>Plin</w:t>
      </w:r>
      <w:proofErr w:type="spellEnd"/>
      <w:r>
        <w:t xml:space="preserve"> </w:t>
      </w:r>
      <w:r w:rsidRPr="003A1569">
        <w:rPr>
          <w:i/>
        </w:rPr>
        <w:t>HN</w:t>
      </w:r>
      <w:r>
        <w:t>. 26.70</w:t>
      </w:r>
      <w:r w:rsidR="002E6E23">
        <w:t>.</w:t>
      </w:r>
    </w:p>
  </w:footnote>
  <w:footnote w:id="15">
    <w:p w14:paraId="091D53EE" w14:textId="2D2D0C1B" w:rsidR="00563677" w:rsidRDefault="00563677">
      <w:pPr>
        <w:pStyle w:val="FootnoteText"/>
      </w:pPr>
      <w:r>
        <w:rPr>
          <w:rStyle w:val="FootnoteReference"/>
        </w:rPr>
        <w:footnoteRef/>
      </w:r>
      <w:r>
        <w:t xml:space="preserve"> </w:t>
      </w:r>
      <w:proofErr w:type="spellStart"/>
      <w:r>
        <w:t>Hes</w:t>
      </w:r>
      <w:proofErr w:type="spellEnd"/>
      <w:r>
        <w:t xml:space="preserve">. </w:t>
      </w:r>
      <w:r w:rsidRPr="00361298">
        <w:rPr>
          <w:i/>
        </w:rPr>
        <w:t>OP</w:t>
      </w:r>
      <w:r>
        <w:t>. 225-244</w:t>
      </w:r>
      <w:r w:rsidR="00604571">
        <w:t>.</w:t>
      </w:r>
    </w:p>
  </w:footnote>
  <w:footnote w:id="16">
    <w:p w14:paraId="6AAF726D" w14:textId="69459333" w:rsidR="00563677" w:rsidRDefault="00563677">
      <w:pPr>
        <w:pStyle w:val="FootnoteText"/>
      </w:pPr>
      <w:r>
        <w:rPr>
          <w:rStyle w:val="FootnoteReference"/>
        </w:rPr>
        <w:footnoteRef/>
      </w:r>
      <w:r>
        <w:t xml:space="preserve"> </w:t>
      </w:r>
      <w:proofErr w:type="spellStart"/>
      <w:r>
        <w:t>Sor</w:t>
      </w:r>
      <w:proofErr w:type="spellEnd"/>
      <w:r>
        <w:t xml:space="preserve">. </w:t>
      </w:r>
      <w:r w:rsidRPr="006B349F">
        <w:rPr>
          <w:i/>
        </w:rPr>
        <w:t>Gyn.</w:t>
      </w:r>
      <w:r>
        <w:t xml:space="preserve"> 2.10</w:t>
      </w:r>
      <w:r w:rsidR="00604571">
        <w:t>.</w:t>
      </w:r>
    </w:p>
  </w:footnote>
  <w:footnote w:id="17">
    <w:p w14:paraId="56ADB97C" w14:textId="0EB8F96D" w:rsidR="00563677" w:rsidRDefault="00563677">
      <w:pPr>
        <w:pStyle w:val="FootnoteText"/>
      </w:pPr>
      <w:r>
        <w:rPr>
          <w:rStyle w:val="FootnoteReference"/>
        </w:rPr>
        <w:footnoteRef/>
      </w:r>
      <w:r>
        <w:t xml:space="preserve"> Dion. Hal. </w:t>
      </w:r>
      <w:r w:rsidRPr="00A84DE6">
        <w:rPr>
          <w:i/>
        </w:rPr>
        <w:t>Ant. Rom</w:t>
      </w:r>
      <w:r>
        <w:t>. 2.1.1-2</w:t>
      </w:r>
      <w:r w:rsidR="00604571">
        <w:t>.</w:t>
      </w:r>
    </w:p>
  </w:footnote>
  <w:footnote w:id="18">
    <w:p w14:paraId="419C0FC2" w14:textId="6DD7E6AA" w:rsidR="00563677" w:rsidRDefault="00563677">
      <w:pPr>
        <w:pStyle w:val="FootnoteText"/>
      </w:pPr>
      <w:r>
        <w:rPr>
          <w:rStyle w:val="FootnoteReference"/>
        </w:rPr>
        <w:footnoteRef/>
      </w:r>
      <w:r>
        <w:t xml:space="preserve"> Jackson 1988: 180</w:t>
      </w:r>
      <w:r w:rsidR="00604571">
        <w:t>.</w:t>
      </w:r>
    </w:p>
  </w:footnote>
  <w:footnote w:id="19">
    <w:p w14:paraId="29A4F609" w14:textId="5BCD4B8A" w:rsidR="00563677" w:rsidRDefault="00563677">
      <w:pPr>
        <w:pStyle w:val="FootnoteText"/>
      </w:pPr>
      <w:r>
        <w:rPr>
          <w:rStyle w:val="FootnoteReference"/>
        </w:rPr>
        <w:footnoteRef/>
      </w:r>
      <w:r>
        <w:t xml:space="preserve"> </w:t>
      </w:r>
      <w:proofErr w:type="spellStart"/>
      <w:r>
        <w:t>Plin</w:t>
      </w:r>
      <w:proofErr w:type="spellEnd"/>
      <w:r>
        <w:t xml:space="preserve">. </w:t>
      </w:r>
      <w:r w:rsidRPr="00E96679">
        <w:rPr>
          <w:i/>
        </w:rPr>
        <w:t>HN</w:t>
      </w:r>
      <w:r>
        <w:t>. 26.5</w:t>
      </w:r>
      <w:r w:rsidR="00604571">
        <w:t>.</w:t>
      </w:r>
    </w:p>
  </w:footnote>
  <w:footnote w:id="20">
    <w:p w14:paraId="76BB2491" w14:textId="24D007F0" w:rsidR="00563677" w:rsidRDefault="00563677">
      <w:pPr>
        <w:pStyle w:val="FootnoteText"/>
      </w:pPr>
      <w:r>
        <w:rPr>
          <w:rStyle w:val="FootnoteReference"/>
        </w:rPr>
        <w:footnoteRef/>
      </w:r>
      <w:r>
        <w:t xml:space="preserve"> Garland 1995: 17</w:t>
      </w:r>
      <w:r w:rsidR="00604571">
        <w:t>.</w:t>
      </w:r>
    </w:p>
  </w:footnote>
  <w:footnote w:id="21">
    <w:p w14:paraId="7D8997C4" w14:textId="700C5970" w:rsidR="00563677" w:rsidRDefault="00563677">
      <w:pPr>
        <w:pStyle w:val="FootnoteText"/>
      </w:pPr>
      <w:r>
        <w:rPr>
          <w:rStyle w:val="FootnoteReference"/>
        </w:rPr>
        <w:footnoteRef/>
      </w:r>
      <w:r>
        <w:t xml:space="preserve"> Garland 1995: 17</w:t>
      </w:r>
      <w:r w:rsidR="00604571">
        <w:t>.</w:t>
      </w:r>
    </w:p>
  </w:footnote>
  <w:footnote w:id="22">
    <w:p w14:paraId="78E28E94" w14:textId="37E1E49E" w:rsidR="00563677" w:rsidRDefault="00563677">
      <w:pPr>
        <w:pStyle w:val="FootnoteText"/>
      </w:pPr>
      <w:r>
        <w:rPr>
          <w:rStyle w:val="FootnoteReference"/>
        </w:rPr>
        <w:footnoteRef/>
      </w:r>
      <w:r>
        <w:t xml:space="preserve"> Jackson 1988: 68</w:t>
      </w:r>
      <w:r w:rsidR="00604571">
        <w:t>.</w:t>
      </w:r>
    </w:p>
  </w:footnote>
  <w:footnote w:id="23">
    <w:p w14:paraId="3AC673E8" w14:textId="2D051ACD" w:rsidR="00563677" w:rsidRDefault="00563677">
      <w:pPr>
        <w:pStyle w:val="FootnoteText"/>
      </w:pPr>
      <w:r>
        <w:rPr>
          <w:rStyle w:val="FootnoteReference"/>
        </w:rPr>
        <w:footnoteRef/>
      </w:r>
      <w:r>
        <w:t xml:space="preserve"> Jackson 1988: 68</w:t>
      </w:r>
      <w:r w:rsidR="00604571">
        <w:t>.</w:t>
      </w:r>
    </w:p>
  </w:footnote>
  <w:footnote w:id="24">
    <w:p w14:paraId="1C7EF7A0" w14:textId="381B9803" w:rsidR="00563677" w:rsidRDefault="00563677">
      <w:pPr>
        <w:pStyle w:val="FootnoteText"/>
      </w:pPr>
      <w:r>
        <w:rPr>
          <w:rStyle w:val="FootnoteReference"/>
        </w:rPr>
        <w:footnoteRef/>
      </w:r>
      <w:r>
        <w:t xml:space="preserve"> Garland 1995: 28</w:t>
      </w:r>
      <w:r w:rsidR="00604571">
        <w:t>.</w:t>
      </w:r>
    </w:p>
  </w:footnote>
  <w:footnote w:id="25">
    <w:p w14:paraId="5FD20A68" w14:textId="7D40C03B" w:rsidR="00563677" w:rsidRDefault="00563677">
      <w:pPr>
        <w:pStyle w:val="FootnoteText"/>
      </w:pPr>
      <w:r>
        <w:rPr>
          <w:rStyle w:val="FootnoteReference"/>
        </w:rPr>
        <w:footnoteRef/>
      </w:r>
      <w:r>
        <w:t xml:space="preserve"> Garland 1995: 30</w:t>
      </w:r>
      <w:r w:rsidR="00604571">
        <w:t>.</w:t>
      </w:r>
    </w:p>
  </w:footnote>
  <w:footnote w:id="26">
    <w:p w14:paraId="6D467530" w14:textId="5B0D8061" w:rsidR="00563677" w:rsidRPr="00563677" w:rsidRDefault="00563677">
      <w:pPr>
        <w:pStyle w:val="FootnoteText"/>
      </w:pPr>
      <w:r>
        <w:rPr>
          <w:rStyle w:val="FootnoteReference"/>
        </w:rPr>
        <w:footnoteRef/>
      </w:r>
      <w:r>
        <w:t xml:space="preserve"> </w:t>
      </w:r>
      <w:proofErr w:type="spellStart"/>
      <w:r>
        <w:t>Gavaert</w:t>
      </w:r>
      <w:proofErr w:type="spellEnd"/>
      <w:r>
        <w:t xml:space="preserve"> &amp; </w:t>
      </w:r>
      <w:proofErr w:type="spellStart"/>
      <w:r>
        <w:t>Laes</w:t>
      </w:r>
      <w:proofErr w:type="spellEnd"/>
      <w:r>
        <w:t xml:space="preserve"> 2013: 213; Sen. </w:t>
      </w:r>
      <w:proofErr w:type="spellStart"/>
      <w:r w:rsidRPr="00563677">
        <w:rPr>
          <w:i/>
        </w:rPr>
        <w:t>Controv</w:t>
      </w:r>
      <w:proofErr w:type="spellEnd"/>
      <w:r w:rsidRPr="00563677">
        <w:rPr>
          <w:i/>
        </w:rPr>
        <w:t>.</w:t>
      </w:r>
      <w:r>
        <w:rPr>
          <w:i/>
        </w:rPr>
        <w:t xml:space="preserve"> </w:t>
      </w:r>
      <w:r>
        <w:t>10.4.3</w:t>
      </w:r>
      <w:r w:rsidR="00604571">
        <w:t>.</w:t>
      </w:r>
    </w:p>
  </w:footnote>
  <w:footnote w:id="27">
    <w:p w14:paraId="479B6D5E" w14:textId="11D6086A" w:rsidR="00563677" w:rsidRPr="00563677" w:rsidRDefault="00563677">
      <w:pPr>
        <w:pStyle w:val="FootnoteText"/>
      </w:pPr>
      <w:r>
        <w:rPr>
          <w:rStyle w:val="FootnoteReference"/>
        </w:rPr>
        <w:footnoteRef/>
      </w:r>
      <w:r>
        <w:t xml:space="preserve"> Sen. </w:t>
      </w:r>
      <w:proofErr w:type="spellStart"/>
      <w:r w:rsidRPr="00563677">
        <w:rPr>
          <w:i/>
        </w:rPr>
        <w:t>Controv</w:t>
      </w:r>
      <w:proofErr w:type="spellEnd"/>
      <w:r w:rsidRPr="00563677">
        <w:rPr>
          <w:i/>
        </w:rPr>
        <w:t>.</w:t>
      </w:r>
      <w:r>
        <w:rPr>
          <w:i/>
        </w:rPr>
        <w:t xml:space="preserve"> </w:t>
      </w:r>
      <w:r>
        <w:t>10.4</w:t>
      </w:r>
      <w:r w:rsidR="00604571">
        <w:t>.</w:t>
      </w:r>
    </w:p>
  </w:footnote>
  <w:footnote w:id="28">
    <w:p w14:paraId="2E299E08" w14:textId="7E294F59" w:rsidR="00563677" w:rsidRDefault="00563677" w:rsidP="003A1569">
      <w:pPr>
        <w:pStyle w:val="FootnoteText"/>
      </w:pPr>
      <w:r>
        <w:rPr>
          <w:rStyle w:val="FootnoteReference"/>
        </w:rPr>
        <w:footnoteRef/>
      </w:r>
      <w:r>
        <w:t xml:space="preserve"> </w:t>
      </w:r>
      <w:proofErr w:type="spellStart"/>
      <w:r>
        <w:t>Plin</w:t>
      </w:r>
      <w:proofErr w:type="spellEnd"/>
      <w:r>
        <w:t xml:space="preserve">. </w:t>
      </w:r>
      <w:r w:rsidRPr="00E96679">
        <w:rPr>
          <w:i/>
        </w:rPr>
        <w:t>HN</w:t>
      </w:r>
      <w:r>
        <w:t>. 26.5</w:t>
      </w:r>
      <w:r w:rsidR="00604571">
        <w:t>.</w:t>
      </w:r>
    </w:p>
  </w:footnote>
  <w:footnote w:id="29">
    <w:p w14:paraId="0BC90DEC" w14:textId="3002FA15" w:rsidR="00563677" w:rsidRDefault="00563677">
      <w:pPr>
        <w:pStyle w:val="FootnoteText"/>
      </w:pPr>
      <w:r>
        <w:rPr>
          <w:rStyle w:val="FootnoteReference"/>
        </w:rPr>
        <w:footnoteRef/>
      </w:r>
      <w:r>
        <w:t xml:space="preserve"> Garland 1995: 32-33</w:t>
      </w:r>
      <w:r w:rsidR="00604571">
        <w:t>.</w:t>
      </w:r>
    </w:p>
  </w:footnote>
  <w:footnote w:id="30">
    <w:p w14:paraId="0C4CEEBC" w14:textId="6E1B1FFC" w:rsidR="00563677" w:rsidRPr="00C42B72" w:rsidRDefault="00563677">
      <w:pPr>
        <w:pStyle w:val="FootnoteText"/>
      </w:pPr>
      <w:r>
        <w:rPr>
          <w:rStyle w:val="FootnoteReference"/>
        </w:rPr>
        <w:footnoteRef/>
      </w:r>
      <w:r>
        <w:t xml:space="preserve"> Garland 1995: 31; Sen. </w:t>
      </w:r>
      <w:r w:rsidRPr="00C42B72">
        <w:rPr>
          <w:i/>
        </w:rPr>
        <w:t>Ep.</w:t>
      </w:r>
      <w:r>
        <w:t xml:space="preserve"> 54; </w:t>
      </w:r>
      <w:proofErr w:type="spellStart"/>
      <w:r>
        <w:t>Plut</w:t>
      </w:r>
      <w:proofErr w:type="spellEnd"/>
      <w:r>
        <w:t xml:space="preserve">. </w:t>
      </w:r>
      <w:proofErr w:type="spellStart"/>
      <w:r>
        <w:t>Vit</w:t>
      </w:r>
      <w:proofErr w:type="spellEnd"/>
      <w:r>
        <w:t xml:space="preserve">. </w:t>
      </w:r>
      <w:proofErr w:type="spellStart"/>
      <w:r>
        <w:t>Caes</w:t>
      </w:r>
      <w:proofErr w:type="spellEnd"/>
      <w:r>
        <w:t>. 17</w:t>
      </w:r>
      <w:r w:rsidR="00604571">
        <w:t>.</w:t>
      </w:r>
    </w:p>
  </w:footnote>
  <w:footnote w:id="31">
    <w:p w14:paraId="1FF1F58C" w14:textId="40072B76" w:rsidR="00563677" w:rsidRDefault="00563677">
      <w:pPr>
        <w:pStyle w:val="FootnoteText"/>
      </w:pPr>
      <w:r>
        <w:rPr>
          <w:rStyle w:val="FootnoteReference"/>
        </w:rPr>
        <w:footnoteRef/>
      </w:r>
      <w:r>
        <w:t xml:space="preserve"> Sen. </w:t>
      </w:r>
      <w:r w:rsidRPr="000F4E41">
        <w:rPr>
          <w:i/>
        </w:rPr>
        <w:t>Ep</w:t>
      </w:r>
      <w:r>
        <w:t>. 54</w:t>
      </w:r>
      <w:r w:rsidR="00604571">
        <w:t>.</w:t>
      </w:r>
    </w:p>
  </w:footnote>
  <w:footnote w:id="32">
    <w:p w14:paraId="4F4EAE8E" w14:textId="18C105C6" w:rsidR="00563677" w:rsidRDefault="00563677">
      <w:pPr>
        <w:pStyle w:val="FootnoteText"/>
      </w:pPr>
      <w:r>
        <w:rPr>
          <w:rStyle w:val="FootnoteReference"/>
        </w:rPr>
        <w:footnoteRef/>
      </w:r>
      <w:r>
        <w:t xml:space="preserve"> Sen. </w:t>
      </w:r>
      <w:r>
        <w:rPr>
          <w:i/>
        </w:rPr>
        <w:t>E</w:t>
      </w:r>
      <w:r w:rsidRPr="00AC7CCF">
        <w:rPr>
          <w:i/>
        </w:rPr>
        <w:t>p</w:t>
      </w:r>
      <w:r>
        <w:t>. 54.7</w:t>
      </w:r>
      <w:r w:rsidR="00604571">
        <w:t>.</w:t>
      </w:r>
    </w:p>
  </w:footnote>
  <w:footnote w:id="33">
    <w:p w14:paraId="08A44B27" w14:textId="0593F8EB" w:rsidR="00563677" w:rsidRDefault="00563677">
      <w:pPr>
        <w:pStyle w:val="FootnoteText"/>
      </w:pPr>
      <w:r>
        <w:rPr>
          <w:rStyle w:val="FootnoteReference"/>
        </w:rPr>
        <w:footnoteRef/>
      </w:r>
      <w:r>
        <w:t xml:space="preserve"> Sen. </w:t>
      </w:r>
      <w:r w:rsidRPr="00AF2E1E">
        <w:rPr>
          <w:i/>
        </w:rPr>
        <w:t>Ep</w:t>
      </w:r>
      <w:r>
        <w:t>. 54. 2-7</w:t>
      </w:r>
      <w:r w:rsidR="00604571">
        <w:t>.</w:t>
      </w:r>
    </w:p>
  </w:footnote>
  <w:footnote w:id="34">
    <w:p w14:paraId="57505F7D" w14:textId="66166E57" w:rsidR="00563677" w:rsidRDefault="00563677">
      <w:pPr>
        <w:pStyle w:val="FootnoteText"/>
      </w:pPr>
      <w:r>
        <w:rPr>
          <w:rStyle w:val="FootnoteReference"/>
        </w:rPr>
        <w:footnoteRef/>
      </w:r>
      <w:r>
        <w:t xml:space="preserve"> </w:t>
      </w:r>
      <w:proofErr w:type="spellStart"/>
      <w:r>
        <w:t>Habinek</w:t>
      </w:r>
      <w:proofErr w:type="spellEnd"/>
      <w:r>
        <w:t xml:space="preserve"> 2014: 6-7</w:t>
      </w:r>
      <w:r w:rsidR="00604571">
        <w:t>.</w:t>
      </w:r>
    </w:p>
  </w:footnote>
  <w:footnote w:id="35">
    <w:p w14:paraId="306B7C9C" w14:textId="43887C54" w:rsidR="00563677" w:rsidRDefault="00563677">
      <w:pPr>
        <w:pStyle w:val="FootnoteText"/>
      </w:pPr>
      <w:r>
        <w:rPr>
          <w:rStyle w:val="FootnoteReference"/>
        </w:rPr>
        <w:footnoteRef/>
      </w:r>
      <w:r>
        <w:t xml:space="preserve"> Sen.</w:t>
      </w:r>
      <w:r w:rsidRPr="00B11DAA">
        <w:rPr>
          <w:i/>
        </w:rPr>
        <w:t xml:space="preserve"> </w:t>
      </w:r>
      <w:r>
        <w:rPr>
          <w:i/>
        </w:rPr>
        <w:t>E</w:t>
      </w:r>
      <w:r w:rsidRPr="00AC7CCF">
        <w:rPr>
          <w:i/>
        </w:rPr>
        <w:t>p</w:t>
      </w:r>
      <w:r>
        <w:t>. 54</w:t>
      </w:r>
      <w:r w:rsidR="00604571">
        <w:t>.</w:t>
      </w:r>
    </w:p>
  </w:footnote>
  <w:footnote w:id="36">
    <w:p w14:paraId="2F485A00" w14:textId="19AE01D1" w:rsidR="00563677" w:rsidRDefault="00563677">
      <w:pPr>
        <w:pStyle w:val="FootnoteText"/>
      </w:pPr>
      <w:r>
        <w:rPr>
          <w:rStyle w:val="FootnoteReference"/>
        </w:rPr>
        <w:footnoteRef/>
      </w:r>
      <w:r>
        <w:t xml:space="preserve"> Sen.</w:t>
      </w:r>
      <w:r w:rsidRPr="00B11DAA">
        <w:rPr>
          <w:i/>
        </w:rPr>
        <w:t xml:space="preserve"> </w:t>
      </w:r>
      <w:r>
        <w:rPr>
          <w:i/>
        </w:rPr>
        <w:t>E</w:t>
      </w:r>
      <w:r w:rsidRPr="00AC7CCF">
        <w:rPr>
          <w:i/>
        </w:rPr>
        <w:t>p</w:t>
      </w:r>
      <w:r>
        <w:t>. 54</w:t>
      </w:r>
      <w:r w:rsidR="00604571">
        <w:t>.</w:t>
      </w:r>
    </w:p>
  </w:footnote>
  <w:footnote w:id="37">
    <w:p w14:paraId="566436AF" w14:textId="4909AA2E" w:rsidR="00563677" w:rsidRDefault="00563677">
      <w:pPr>
        <w:pStyle w:val="FootnoteText"/>
      </w:pPr>
      <w:r>
        <w:rPr>
          <w:rStyle w:val="FootnoteReference"/>
        </w:rPr>
        <w:footnoteRef/>
      </w:r>
      <w:r>
        <w:t xml:space="preserve"> </w:t>
      </w:r>
      <w:proofErr w:type="spellStart"/>
      <w:r>
        <w:t>Habinek</w:t>
      </w:r>
      <w:proofErr w:type="spellEnd"/>
      <w:r>
        <w:t xml:space="preserve"> 2014: 11</w:t>
      </w:r>
      <w:r w:rsidR="00604571">
        <w:t>.</w:t>
      </w:r>
    </w:p>
  </w:footnote>
  <w:footnote w:id="38">
    <w:p w14:paraId="3BE829D4" w14:textId="017A782A" w:rsidR="00563677" w:rsidRDefault="00563677">
      <w:pPr>
        <w:pStyle w:val="FootnoteText"/>
      </w:pPr>
      <w:r>
        <w:rPr>
          <w:rStyle w:val="FootnoteReference"/>
        </w:rPr>
        <w:footnoteRef/>
      </w:r>
      <w:r>
        <w:t xml:space="preserve"> Hobgood 2009: 22; </w:t>
      </w:r>
      <w:proofErr w:type="spellStart"/>
      <w:r>
        <w:t>Plut</w:t>
      </w:r>
      <w:proofErr w:type="spellEnd"/>
      <w:r>
        <w:t xml:space="preserve">. </w:t>
      </w:r>
      <w:proofErr w:type="spellStart"/>
      <w:r>
        <w:t>Vit</w:t>
      </w:r>
      <w:proofErr w:type="spellEnd"/>
      <w:r>
        <w:t xml:space="preserve">. </w:t>
      </w:r>
      <w:proofErr w:type="spellStart"/>
      <w:r>
        <w:t>Caes</w:t>
      </w:r>
      <w:proofErr w:type="spellEnd"/>
      <w:r>
        <w:t>. 17.</w:t>
      </w:r>
    </w:p>
  </w:footnote>
  <w:footnote w:id="39">
    <w:p w14:paraId="6490ADDF" w14:textId="12D27C95" w:rsidR="00563677" w:rsidRDefault="00563677">
      <w:pPr>
        <w:pStyle w:val="FootnoteText"/>
      </w:pPr>
      <w:r>
        <w:rPr>
          <w:rStyle w:val="FootnoteReference"/>
        </w:rPr>
        <w:footnoteRef/>
      </w:r>
      <w:r>
        <w:t xml:space="preserve"> Paterson 2009: 131</w:t>
      </w:r>
      <w:r w:rsidR="00604571">
        <w:t>.</w:t>
      </w:r>
    </w:p>
  </w:footnote>
  <w:footnote w:id="40">
    <w:p w14:paraId="20E5A636" w14:textId="300219C0" w:rsidR="00563677" w:rsidRDefault="00563677">
      <w:pPr>
        <w:pStyle w:val="FootnoteText"/>
      </w:pPr>
      <w:r>
        <w:rPr>
          <w:rStyle w:val="FootnoteReference"/>
        </w:rPr>
        <w:footnoteRef/>
      </w:r>
      <w:r>
        <w:t xml:space="preserve"> Paterson 2009: 131</w:t>
      </w:r>
      <w:r w:rsidR="00604571">
        <w:t>.</w:t>
      </w:r>
    </w:p>
  </w:footnote>
  <w:footnote w:id="41">
    <w:p w14:paraId="1CD25761" w14:textId="5BA2A860" w:rsidR="00563677" w:rsidRDefault="00563677">
      <w:pPr>
        <w:pStyle w:val="FootnoteText"/>
      </w:pPr>
      <w:r>
        <w:rPr>
          <w:rStyle w:val="FootnoteReference"/>
        </w:rPr>
        <w:footnoteRef/>
      </w:r>
      <w:r>
        <w:t xml:space="preserve"> Cass. Dio 43.32.6-7</w:t>
      </w:r>
      <w:r w:rsidR="00604571">
        <w:t>.</w:t>
      </w:r>
    </w:p>
  </w:footnote>
  <w:footnote w:id="42">
    <w:p w14:paraId="40FB1844" w14:textId="0A224B9C" w:rsidR="00563677" w:rsidRDefault="00563677">
      <w:pPr>
        <w:pStyle w:val="FootnoteText"/>
      </w:pPr>
      <w:r>
        <w:rPr>
          <w:rStyle w:val="FootnoteReference"/>
        </w:rPr>
        <w:footnoteRef/>
      </w:r>
      <w:r>
        <w:t xml:space="preserve"> </w:t>
      </w:r>
      <w:proofErr w:type="spellStart"/>
      <w:r>
        <w:t>Plut</w:t>
      </w:r>
      <w:proofErr w:type="spellEnd"/>
      <w:r>
        <w:t xml:space="preserve">. </w:t>
      </w:r>
      <w:proofErr w:type="spellStart"/>
      <w:r>
        <w:t>Caes</w:t>
      </w:r>
      <w:proofErr w:type="spellEnd"/>
      <w:r>
        <w:t>. 17.2-4</w:t>
      </w:r>
      <w:r w:rsidR="00604571">
        <w:t>.</w:t>
      </w:r>
    </w:p>
  </w:footnote>
  <w:footnote w:id="43">
    <w:p w14:paraId="68302B4B" w14:textId="60BB6641" w:rsidR="00563677" w:rsidRDefault="00563677">
      <w:pPr>
        <w:pStyle w:val="FootnoteText"/>
      </w:pPr>
      <w:r>
        <w:rPr>
          <w:rStyle w:val="FootnoteReference"/>
        </w:rPr>
        <w:footnoteRef/>
      </w:r>
      <w:r>
        <w:t xml:space="preserve"> </w:t>
      </w:r>
      <w:proofErr w:type="spellStart"/>
      <w:r>
        <w:t>Montemurro</w:t>
      </w:r>
      <w:proofErr w:type="spellEnd"/>
      <w:r>
        <w:t>, Benet &amp; Lawton 2015: 1985</w:t>
      </w:r>
      <w:r w:rsidR="00604571">
        <w:t>.</w:t>
      </w:r>
    </w:p>
  </w:footnote>
  <w:footnote w:id="44">
    <w:p w14:paraId="041C5F98" w14:textId="104EA980" w:rsidR="002F4F6F" w:rsidRDefault="002F4F6F" w:rsidP="002F4F6F">
      <w:pPr>
        <w:pStyle w:val="FootnoteText"/>
      </w:pPr>
      <w:r>
        <w:rPr>
          <w:rStyle w:val="FootnoteReference"/>
        </w:rPr>
        <w:footnoteRef/>
      </w:r>
      <w:r>
        <w:t xml:space="preserve"> Garland 1995: 30</w:t>
      </w:r>
      <w:r w:rsidR="00604571">
        <w:t>.</w:t>
      </w:r>
    </w:p>
  </w:footnote>
  <w:footnote w:id="45">
    <w:p w14:paraId="29255FBA" w14:textId="34C95DD4" w:rsidR="00563677" w:rsidRDefault="00563677">
      <w:pPr>
        <w:pStyle w:val="FootnoteText"/>
      </w:pPr>
      <w:r>
        <w:rPr>
          <w:rStyle w:val="FootnoteReference"/>
        </w:rPr>
        <w:footnoteRef/>
      </w:r>
      <w:r>
        <w:t xml:space="preserve"> Garland 19</w:t>
      </w:r>
      <w:r w:rsidR="00DA2858">
        <w:t>95: 11</w:t>
      </w:r>
      <w:r w:rsidR="00604571">
        <w:t>.</w:t>
      </w:r>
    </w:p>
  </w:footnote>
  <w:footnote w:id="46">
    <w:p w14:paraId="4ADBE2E0" w14:textId="2C216F0D" w:rsidR="00DA2858" w:rsidRDefault="00DA2858">
      <w:pPr>
        <w:pStyle w:val="FootnoteText"/>
      </w:pPr>
      <w:r>
        <w:rPr>
          <w:rStyle w:val="FootnoteReference"/>
        </w:rPr>
        <w:footnoteRef/>
      </w:r>
      <w:r>
        <w:t xml:space="preserve"> </w:t>
      </w:r>
      <w:proofErr w:type="spellStart"/>
      <w:r>
        <w:t>Trentin</w:t>
      </w:r>
      <w:proofErr w:type="spellEnd"/>
      <w:r>
        <w:t xml:space="preserve"> 2013: 89</w:t>
      </w:r>
      <w:r w:rsidR="00930A99">
        <w:t>; Garland 1995: 11-12</w:t>
      </w:r>
      <w:r w:rsidR="00604571">
        <w:t>.</w:t>
      </w:r>
    </w:p>
  </w:footnote>
  <w:footnote w:id="47">
    <w:p w14:paraId="493DA888" w14:textId="202DC053" w:rsidR="00DA2858" w:rsidRDefault="00DA2858">
      <w:pPr>
        <w:pStyle w:val="FootnoteText"/>
      </w:pPr>
      <w:r>
        <w:rPr>
          <w:rStyle w:val="FootnoteReference"/>
        </w:rPr>
        <w:footnoteRef/>
      </w:r>
      <w:r>
        <w:t xml:space="preserve"> Garland 1995: 178-179</w:t>
      </w:r>
      <w:r w:rsidR="00604571">
        <w:t>.</w:t>
      </w:r>
    </w:p>
  </w:footnote>
  <w:footnote w:id="48">
    <w:p w14:paraId="7DB2D250" w14:textId="21A709C0" w:rsidR="00930A99" w:rsidRDefault="00930A99">
      <w:pPr>
        <w:pStyle w:val="FootnoteText"/>
      </w:pPr>
      <w:r>
        <w:rPr>
          <w:rStyle w:val="FootnoteReference"/>
        </w:rPr>
        <w:footnoteRef/>
      </w:r>
      <w:r>
        <w:t xml:space="preserve"> Jackson 1988: 176-177</w:t>
      </w:r>
      <w:r w:rsidR="00604571">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30"/>
    <w:rsid w:val="00021FC8"/>
    <w:rsid w:val="00031333"/>
    <w:rsid w:val="00035B30"/>
    <w:rsid w:val="00073F4D"/>
    <w:rsid w:val="00092C7E"/>
    <w:rsid w:val="000C31F2"/>
    <w:rsid w:val="000D7850"/>
    <w:rsid w:val="000E275C"/>
    <w:rsid w:val="000E3CB0"/>
    <w:rsid w:val="000F4E41"/>
    <w:rsid w:val="00135ABB"/>
    <w:rsid w:val="001423F4"/>
    <w:rsid w:val="001729DD"/>
    <w:rsid w:val="0019491B"/>
    <w:rsid w:val="001A2DDD"/>
    <w:rsid w:val="001C5E17"/>
    <w:rsid w:val="00214CCF"/>
    <w:rsid w:val="00233E23"/>
    <w:rsid w:val="002369F4"/>
    <w:rsid w:val="002E6E23"/>
    <w:rsid w:val="002F4F6F"/>
    <w:rsid w:val="00323EA6"/>
    <w:rsid w:val="00361298"/>
    <w:rsid w:val="00394904"/>
    <w:rsid w:val="003A1569"/>
    <w:rsid w:val="003F6692"/>
    <w:rsid w:val="00413FAC"/>
    <w:rsid w:val="004229CB"/>
    <w:rsid w:val="00422B60"/>
    <w:rsid w:val="004368D2"/>
    <w:rsid w:val="004375CE"/>
    <w:rsid w:val="004B43B0"/>
    <w:rsid w:val="00506DB2"/>
    <w:rsid w:val="00514111"/>
    <w:rsid w:val="00540C68"/>
    <w:rsid w:val="00563677"/>
    <w:rsid w:val="00604571"/>
    <w:rsid w:val="00613F17"/>
    <w:rsid w:val="00626A6A"/>
    <w:rsid w:val="006B349F"/>
    <w:rsid w:val="006B765D"/>
    <w:rsid w:val="007442AD"/>
    <w:rsid w:val="007812AB"/>
    <w:rsid w:val="007B2E60"/>
    <w:rsid w:val="007D2EA6"/>
    <w:rsid w:val="007F5ABB"/>
    <w:rsid w:val="0081478A"/>
    <w:rsid w:val="00894EA7"/>
    <w:rsid w:val="00896029"/>
    <w:rsid w:val="0089727B"/>
    <w:rsid w:val="008B6380"/>
    <w:rsid w:val="008C6D52"/>
    <w:rsid w:val="008D1E30"/>
    <w:rsid w:val="008D7214"/>
    <w:rsid w:val="00930A99"/>
    <w:rsid w:val="009538A8"/>
    <w:rsid w:val="00954794"/>
    <w:rsid w:val="00976510"/>
    <w:rsid w:val="00A02E8F"/>
    <w:rsid w:val="00A26DB6"/>
    <w:rsid w:val="00A364B0"/>
    <w:rsid w:val="00A4422D"/>
    <w:rsid w:val="00A5788B"/>
    <w:rsid w:val="00A84DE6"/>
    <w:rsid w:val="00A93AF8"/>
    <w:rsid w:val="00A96159"/>
    <w:rsid w:val="00AC7CCF"/>
    <w:rsid w:val="00AD711C"/>
    <w:rsid w:val="00AE6B79"/>
    <w:rsid w:val="00AF2220"/>
    <w:rsid w:val="00AF2E1E"/>
    <w:rsid w:val="00B11DAA"/>
    <w:rsid w:val="00B2526B"/>
    <w:rsid w:val="00B321E5"/>
    <w:rsid w:val="00B47DAF"/>
    <w:rsid w:val="00B54163"/>
    <w:rsid w:val="00B663DD"/>
    <w:rsid w:val="00B7665C"/>
    <w:rsid w:val="00B839AB"/>
    <w:rsid w:val="00C14BD7"/>
    <w:rsid w:val="00C42B72"/>
    <w:rsid w:val="00CC0C62"/>
    <w:rsid w:val="00CC4320"/>
    <w:rsid w:val="00D17E77"/>
    <w:rsid w:val="00D849AD"/>
    <w:rsid w:val="00DA2858"/>
    <w:rsid w:val="00DA3CE7"/>
    <w:rsid w:val="00DB4B0E"/>
    <w:rsid w:val="00DD7EDE"/>
    <w:rsid w:val="00E03EBE"/>
    <w:rsid w:val="00E2388B"/>
    <w:rsid w:val="00E326C6"/>
    <w:rsid w:val="00E53B05"/>
    <w:rsid w:val="00E759B8"/>
    <w:rsid w:val="00E96679"/>
    <w:rsid w:val="00E9683A"/>
    <w:rsid w:val="00EB1FF1"/>
    <w:rsid w:val="00EE00B0"/>
    <w:rsid w:val="00EF02EB"/>
    <w:rsid w:val="00F2468F"/>
    <w:rsid w:val="00F544E8"/>
    <w:rsid w:val="00FA49FD"/>
    <w:rsid w:val="00FC1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4D08"/>
  <w15:chartTrackingRefBased/>
  <w15:docId w15:val="{8529F644-B590-4F58-B3F3-377BE5017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6B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6B79"/>
    <w:rPr>
      <w:sz w:val="20"/>
      <w:szCs w:val="20"/>
    </w:rPr>
  </w:style>
  <w:style w:type="character" w:styleId="FootnoteReference">
    <w:name w:val="footnote reference"/>
    <w:basedOn w:val="DefaultParagraphFont"/>
    <w:uiPriority w:val="99"/>
    <w:semiHidden/>
    <w:unhideWhenUsed/>
    <w:rsid w:val="00AE6B79"/>
    <w:rPr>
      <w:vertAlign w:val="superscript"/>
    </w:rPr>
  </w:style>
  <w:style w:type="character" w:styleId="Hyperlink">
    <w:name w:val="Hyperlink"/>
    <w:basedOn w:val="DefaultParagraphFont"/>
    <w:uiPriority w:val="99"/>
    <w:semiHidden/>
    <w:unhideWhenUsed/>
    <w:rsid w:val="00AF22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3459-1F89-486E-9BD0-2444CCE7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7</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20</cp:revision>
  <dcterms:created xsi:type="dcterms:W3CDTF">2017-11-28T17:07:00Z</dcterms:created>
  <dcterms:modified xsi:type="dcterms:W3CDTF">2017-12-04T22:59:00Z</dcterms:modified>
</cp:coreProperties>
</file>