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7FB8" w:rsidRDefault="00D77FB8">
      <w:pPr>
        <w:pStyle w:val="normal0"/>
        <w:spacing w:before="0" w:after="0"/>
        <w:jc w:val="center"/>
        <w:rPr>
          <w:b/>
        </w:rPr>
      </w:pPr>
    </w:p>
    <w:p w:rsidR="00D77FB8" w:rsidRDefault="00D77FB8">
      <w:pPr>
        <w:pStyle w:val="normal0"/>
        <w:spacing w:before="0" w:after="0"/>
        <w:jc w:val="center"/>
        <w:rPr>
          <w:b/>
        </w:rPr>
      </w:pPr>
    </w:p>
    <w:p w:rsidR="00D77FB8" w:rsidRDefault="00D77FB8">
      <w:pPr>
        <w:pStyle w:val="normal0"/>
        <w:spacing w:before="0" w:after="0"/>
        <w:jc w:val="center"/>
        <w:rPr>
          <w:b/>
        </w:rPr>
      </w:pPr>
    </w:p>
    <w:p w:rsidR="00BB071C" w:rsidRDefault="00BB071C" w:rsidP="00BB071C">
      <w:pPr>
        <w:pStyle w:val="normal0"/>
        <w:rPr>
          <w:b/>
        </w:rPr>
      </w:pPr>
      <w:r>
        <w:rPr>
          <w:b/>
        </w:rPr>
        <w:t xml:space="preserve">                        Assignment Title: Report Case Study - The City Hotel</w:t>
      </w:r>
    </w:p>
    <w:p w:rsidR="00BB071C" w:rsidRDefault="00BB071C" w:rsidP="00BB071C">
      <w:pPr>
        <w:pStyle w:val="normal0"/>
        <w:jc w:val="center"/>
        <w:rPr>
          <w:b/>
        </w:rPr>
      </w:pPr>
      <w:r>
        <w:rPr>
          <w:b/>
        </w:rPr>
        <w:t xml:space="preserve">Student Name: </w:t>
      </w:r>
      <w:proofErr w:type="spellStart"/>
      <w:r>
        <w:rPr>
          <w:b/>
        </w:rPr>
        <w:t>Iulian</w:t>
      </w:r>
      <w:proofErr w:type="spellEnd"/>
      <w:r>
        <w:rPr>
          <w:b/>
        </w:rPr>
        <w:t xml:space="preserve"> </w:t>
      </w:r>
      <w:proofErr w:type="spellStart"/>
      <w:r>
        <w:rPr>
          <w:b/>
        </w:rPr>
        <w:t>Vasile</w:t>
      </w:r>
      <w:proofErr w:type="spellEnd"/>
      <w:r>
        <w:rPr>
          <w:b/>
        </w:rPr>
        <w:t xml:space="preserve"> </w:t>
      </w:r>
      <w:proofErr w:type="spellStart"/>
      <w:r>
        <w:rPr>
          <w:b/>
        </w:rPr>
        <w:t>Girtu</w:t>
      </w:r>
      <w:proofErr w:type="spellEnd"/>
    </w:p>
    <w:p w:rsidR="00BB071C" w:rsidRDefault="00BB071C" w:rsidP="00BB071C">
      <w:pPr>
        <w:pStyle w:val="normal0"/>
        <w:jc w:val="center"/>
        <w:rPr>
          <w:b/>
        </w:rPr>
      </w:pPr>
      <w:r>
        <w:rPr>
          <w:b/>
        </w:rPr>
        <w:t>Student ID: 2133038</w:t>
      </w:r>
    </w:p>
    <w:p w:rsidR="00BB071C" w:rsidRDefault="00BB071C" w:rsidP="00BB071C">
      <w:pPr>
        <w:pStyle w:val="normal0"/>
        <w:jc w:val="center"/>
        <w:rPr>
          <w:b/>
        </w:rPr>
      </w:pPr>
      <w:r>
        <w:rPr>
          <w:b/>
        </w:rPr>
        <w:t xml:space="preserve">Module code: BMIH5007 </w:t>
      </w:r>
    </w:p>
    <w:p w:rsidR="00BB071C" w:rsidRDefault="00BB071C" w:rsidP="00BB071C">
      <w:pPr>
        <w:pStyle w:val="normal0"/>
        <w:jc w:val="center"/>
        <w:rPr>
          <w:b/>
        </w:rPr>
      </w:pPr>
      <w:r>
        <w:rPr>
          <w:b/>
        </w:rPr>
        <w:t>Module Name: Financial Management for the Hotel Industry</w:t>
      </w:r>
    </w:p>
    <w:p w:rsidR="00D77FB8" w:rsidRDefault="00BB071C" w:rsidP="00BB071C">
      <w:pPr>
        <w:pStyle w:val="normal0"/>
        <w:spacing w:before="0" w:after="0"/>
        <w:jc w:val="center"/>
        <w:rPr>
          <w:b/>
        </w:rPr>
      </w:pPr>
      <w:r>
        <w:rPr>
          <w:b/>
        </w:rPr>
        <w:t>Lecturer Name: Tristan Hawkins</w:t>
      </w:r>
    </w:p>
    <w:p w:rsidR="00D77FB8" w:rsidRDefault="00D77FB8">
      <w:pPr>
        <w:pStyle w:val="normal0"/>
        <w:spacing w:before="0" w:after="0"/>
        <w:rPr>
          <w:b/>
        </w:rPr>
      </w:pPr>
    </w:p>
    <w:p w:rsidR="00224AC2" w:rsidRDefault="00224AC2" w:rsidP="00224AC2">
      <w:pPr>
        <w:pStyle w:val="normal0"/>
        <w:jc w:val="center"/>
        <w:rPr>
          <w:b/>
        </w:rPr>
      </w:pPr>
    </w:p>
    <w:p w:rsidR="00224AC2" w:rsidRDefault="00224AC2" w:rsidP="00224AC2">
      <w:pPr>
        <w:pStyle w:val="normal0"/>
        <w:jc w:val="center"/>
        <w:rPr>
          <w:b/>
        </w:rPr>
      </w:pPr>
      <w:r>
        <w:rPr>
          <w:b/>
        </w:rPr>
        <w:t>AI Acknowledgement</w:t>
      </w:r>
    </w:p>
    <w:p w:rsidR="00D77FB8" w:rsidRDefault="00CD5A00">
      <w:pPr>
        <w:pStyle w:val="normal0"/>
        <w:spacing w:before="0" w:after="0"/>
      </w:pPr>
      <w:r>
        <w:t xml:space="preserve">I acknowledge the use of </w:t>
      </w:r>
      <w:proofErr w:type="spellStart"/>
      <w:r>
        <w:t>Grammarly</w:t>
      </w:r>
      <w:proofErr w:type="spellEnd"/>
      <w:r>
        <w:t xml:space="preserve"> (https://www.grammarly.com/) on 23</w:t>
      </w:r>
      <w:r>
        <w:rPr>
          <w:vertAlign w:val="superscript"/>
        </w:rPr>
        <w:t>rd</w:t>
      </w:r>
      <w:r>
        <w:t xml:space="preserve"> October 2024 to check spelling errors in my work. </w:t>
      </w:r>
      <w:proofErr w:type="spellStart"/>
      <w:r>
        <w:t>Grammarly</w:t>
      </w:r>
      <w:proofErr w:type="spellEnd"/>
      <w:r>
        <w:t xml:space="preserve"> did not require me to key in any prompt but only provided the document for spelling and grammar checks, and I chose what I wanted to change and what I wanted to dismiss from change among the issues it highlighted. "I confirm that I have not used any AI tools in the research and creation of this assignment. I confirm that I have not presented any AI generated materials as my own work. I confirm I have copies </w:t>
      </w:r>
      <w:proofErr w:type="gramStart"/>
      <w:r>
        <w:t>of</w:t>
      </w:r>
      <w:proofErr w:type="gramEnd"/>
      <w:r>
        <w:t xml:space="preserve"> my drafts, notes, and other resources I used, which I may be asked to provide in evidence."</w:t>
      </w:r>
    </w:p>
    <w:p w:rsidR="00D77FB8" w:rsidRDefault="00CD5A00">
      <w:pPr>
        <w:pStyle w:val="normal0"/>
        <w:spacing w:before="0" w:after="0"/>
        <w:jc w:val="left"/>
        <w:rPr>
          <w:b/>
        </w:rPr>
      </w:pPr>
      <w:r>
        <w:br w:type="page"/>
      </w:r>
    </w:p>
    <w:p w:rsidR="00D77FB8" w:rsidRDefault="00CD5A00">
      <w:pPr>
        <w:pStyle w:val="normal0"/>
        <w:keepNext/>
        <w:keepLines/>
        <w:pBdr>
          <w:top w:val="nil"/>
          <w:left w:val="nil"/>
          <w:bottom w:val="nil"/>
          <w:right w:val="nil"/>
          <w:between w:val="nil"/>
        </w:pBdr>
        <w:spacing w:before="0" w:after="0"/>
        <w:ind w:left="432" w:hanging="432"/>
        <w:jc w:val="center"/>
        <w:rPr>
          <w:b/>
          <w:color w:val="000000"/>
        </w:rPr>
      </w:pPr>
      <w:r>
        <w:rPr>
          <w:b/>
          <w:color w:val="000000"/>
        </w:rPr>
        <w:lastRenderedPageBreak/>
        <w:t>Table of Contents</w:t>
      </w:r>
    </w:p>
    <w:sdt>
      <w:sdtPr>
        <w:id w:val="209344922"/>
        <w:docPartObj>
          <w:docPartGallery w:val="Table of Contents"/>
          <w:docPartUnique/>
        </w:docPartObj>
      </w:sdtPr>
      <w:sdtContent>
        <w:p w:rsidR="00D77FB8" w:rsidRDefault="00F53242">
          <w:pPr>
            <w:pStyle w:val="normal0"/>
            <w:pBdr>
              <w:top w:val="nil"/>
              <w:left w:val="nil"/>
              <w:bottom w:val="nil"/>
              <w:right w:val="nil"/>
              <w:between w:val="nil"/>
            </w:pBdr>
            <w:tabs>
              <w:tab w:val="left" w:pos="480"/>
              <w:tab w:val="right" w:leader="dot" w:pos="9016"/>
            </w:tabs>
            <w:spacing w:after="100"/>
            <w:rPr>
              <w:rFonts w:ascii="Calibri" w:eastAsia="Calibri" w:hAnsi="Calibri" w:cs="Calibri"/>
              <w:color w:val="000000"/>
              <w:sz w:val="22"/>
              <w:szCs w:val="22"/>
            </w:rPr>
          </w:pPr>
          <w:r>
            <w:fldChar w:fldCharType="begin"/>
          </w:r>
          <w:r w:rsidR="00CD5A00">
            <w:instrText xml:space="preserve"> TOC \h \u \z \t "Heading 1,1,Heading 2,2,Heading 3,3,"</w:instrText>
          </w:r>
          <w:r>
            <w:fldChar w:fldCharType="separate"/>
          </w:r>
          <w:hyperlink w:anchor="_gjdgxs">
            <w:r w:rsidR="00CD5A00">
              <w:rPr>
                <w:color w:val="000000"/>
              </w:rPr>
              <w:t>1</w:t>
            </w:r>
          </w:hyperlink>
          <w:hyperlink w:anchor="_gjdgxs">
            <w:r w:rsidR="00CD5A00">
              <w:rPr>
                <w:rFonts w:ascii="Calibri" w:eastAsia="Calibri" w:hAnsi="Calibri" w:cs="Calibri"/>
                <w:color w:val="000000"/>
                <w:sz w:val="22"/>
                <w:szCs w:val="22"/>
              </w:rPr>
              <w:tab/>
            </w:r>
          </w:hyperlink>
          <w:r>
            <w:fldChar w:fldCharType="begin"/>
          </w:r>
          <w:r w:rsidR="00CD5A00">
            <w:instrText xml:space="preserve"> PAGEREF _gjdgxs \h </w:instrText>
          </w:r>
          <w:r>
            <w:fldChar w:fldCharType="separate"/>
          </w:r>
          <w:r w:rsidR="00CD5A00">
            <w:rPr>
              <w:color w:val="000000"/>
            </w:rPr>
            <w:t>Introduction</w:t>
          </w:r>
          <w:r w:rsidR="00CD5A00">
            <w:rPr>
              <w:color w:val="000000"/>
            </w:rPr>
            <w:tab/>
            <w:t>3</w:t>
          </w:r>
          <w:r>
            <w:fldChar w:fldCharType="end"/>
          </w:r>
        </w:p>
        <w:p w:rsidR="00D77FB8" w:rsidRDefault="00F53242">
          <w:pPr>
            <w:pStyle w:val="normal0"/>
            <w:pBdr>
              <w:top w:val="nil"/>
              <w:left w:val="nil"/>
              <w:bottom w:val="nil"/>
              <w:right w:val="nil"/>
              <w:between w:val="nil"/>
            </w:pBdr>
            <w:tabs>
              <w:tab w:val="left" w:pos="480"/>
              <w:tab w:val="right" w:leader="dot" w:pos="9016"/>
            </w:tabs>
            <w:spacing w:after="100"/>
            <w:rPr>
              <w:rFonts w:ascii="Calibri" w:eastAsia="Calibri" w:hAnsi="Calibri" w:cs="Calibri"/>
              <w:color w:val="000000"/>
              <w:sz w:val="22"/>
              <w:szCs w:val="22"/>
            </w:rPr>
          </w:pPr>
          <w:hyperlink w:anchor="_30j0zll">
            <w:r w:rsidR="00CD5A00">
              <w:rPr>
                <w:color w:val="000000"/>
              </w:rPr>
              <w:t>2</w:t>
            </w:r>
          </w:hyperlink>
          <w:hyperlink w:anchor="_30j0zll">
            <w:r w:rsidR="00CD5A00">
              <w:rPr>
                <w:rFonts w:ascii="Calibri" w:eastAsia="Calibri" w:hAnsi="Calibri" w:cs="Calibri"/>
                <w:color w:val="000000"/>
                <w:sz w:val="22"/>
                <w:szCs w:val="22"/>
              </w:rPr>
              <w:tab/>
            </w:r>
          </w:hyperlink>
          <w:r>
            <w:fldChar w:fldCharType="begin"/>
          </w:r>
          <w:r w:rsidR="00CD5A00">
            <w:instrText xml:space="preserve"> PAGEREF _30j0zll \h </w:instrText>
          </w:r>
          <w:r>
            <w:fldChar w:fldCharType="separate"/>
          </w:r>
          <w:r w:rsidR="00CD5A00">
            <w:rPr>
              <w:color w:val="000000"/>
            </w:rPr>
            <w:t>Trends and Patterns in Financial Performance</w:t>
          </w:r>
          <w:r w:rsidR="00CD5A00">
            <w:rPr>
              <w:color w:val="000000"/>
            </w:rPr>
            <w:tab/>
            <w:t>3</w:t>
          </w:r>
          <w:r>
            <w:fldChar w:fldCharType="end"/>
          </w:r>
        </w:p>
        <w:p w:rsidR="00D77FB8" w:rsidRDefault="00F53242">
          <w:pPr>
            <w:pStyle w:val="normal0"/>
            <w:pBdr>
              <w:top w:val="nil"/>
              <w:left w:val="nil"/>
              <w:bottom w:val="nil"/>
              <w:right w:val="nil"/>
              <w:between w:val="nil"/>
            </w:pBdr>
            <w:tabs>
              <w:tab w:val="left" w:pos="480"/>
              <w:tab w:val="right" w:leader="dot" w:pos="9016"/>
            </w:tabs>
            <w:spacing w:after="100"/>
            <w:rPr>
              <w:rFonts w:ascii="Calibri" w:eastAsia="Calibri" w:hAnsi="Calibri" w:cs="Calibri"/>
              <w:color w:val="000000"/>
              <w:sz w:val="22"/>
              <w:szCs w:val="22"/>
            </w:rPr>
          </w:pPr>
          <w:hyperlink w:anchor="_1fob9te">
            <w:r w:rsidR="00CD5A00">
              <w:rPr>
                <w:color w:val="000000"/>
              </w:rPr>
              <w:t>3</w:t>
            </w:r>
          </w:hyperlink>
          <w:hyperlink w:anchor="_1fob9te">
            <w:r w:rsidR="00CD5A00">
              <w:rPr>
                <w:rFonts w:ascii="Calibri" w:eastAsia="Calibri" w:hAnsi="Calibri" w:cs="Calibri"/>
                <w:color w:val="000000"/>
                <w:sz w:val="22"/>
                <w:szCs w:val="22"/>
              </w:rPr>
              <w:tab/>
            </w:r>
          </w:hyperlink>
          <w:r>
            <w:fldChar w:fldCharType="begin"/>
          </w:r>
          <w:r w:rsidR="00CD5A00">
            <w:instrText xml:space="preserve"> PAGEREF _1fob9te \h </w:instrText>
          </w:r>
          <w:r>
            <w:fldChar w:fldCharType="separate"/>
          </w:r>
          <w:r w:rsidR="00CD5A00">
            <w:rPr>
              <w:color w:val="000000"/>
            </w:rPr>
            <w:t>Key Reasons behind the Decline in Profitability</w:t>
          </w:r>
          <w:r w:rsidR="00CD5A00">
            <w:rPr>
              <w:color w:val="000000"/>
            </w:rPr>
            <w:tab/>
            <w:t>5</w:t>
          </w:r>
          <w:r>
            <w:fldChar w:fldCharType="end"/>
          </w:r>
        </w:p>
        <w:p w:rsidR="00D77FB8" w:rsidRDefault="00F53242">
          <w:pPr>
            <w:pStyle w:val="normal0"/>
            <w:pBdr>
              <w:top w:val="nil"/>
              <w:left w:val="nil"/>
              <w:bottom w:val="nil"/>
              <w:right w:val="nil"/>
              <w:between w:val="nil"/>
            </w:pBdr>
            <w:tabs>
              <w:tab w:val="left" w:pos="480"/>
              <w:tab w:val="right" w:leader="dot" w:pos="9016"/>
            </w:tabs>
            <w:spacing w:after="100"/>
            <w:rPr>
              <w:rFonts w:ascii="Calibri" w:eastAsia="Calibri" w:hAnsi="Calibri" w:cs="Calibri"/>
              <w:color w:val="000000"/>
              <w:sz w:val="22"/>
              <w:szCs w:val="22"/>
            </w:rPr>
          </w:pPr>
          <w:hyperlink w:anchor="_3znysh7">
            <w:r w:rsidR="00CD5A00">
              <w:rPr>
                <w:color w:val="000000"/>
              </w:rPr>
              <w:t>4</w:t>
            </w:r>
          </w:hyperlink>
          <w:hyperlink w:anchor="_3znysh7">
            <w:r w:rsidR="00CD5A00">
              <w:rPr>
                <w:rFonts w:ascii="Calibri" w:eastAsia="Calibri" w:hAnsi="Calibri" w:cs="Calibri"/>
                <w:color w:val="000000"/>
                <w:sz w:val="22"/>
                <w:szCs w:val="22"/>
              </w:rPr>
              <w:tab/>
            </w:r>
          </w:hyperlink>
          <w:r>
            <w:fldChar w:fldCharType="begin"/>
          </w:r>
          <w:r w:rsidR="00CD5A00">
            <w:instrText xml:space="preserve"> PAGEREF _3znysh7 \h </w:instrText>
          </w:r>
          <w:r>
            <w:fldChar w:fldCharType="separate"/>
          </w:r>
          <w:r w:rsidR="00CD5A00">
            <w:rPr>
              <w:color w:val="000000"/>
            </w:rPr>
            <w:t>Turnaround Strategy</w:t>
          </w:r>
          <w:r w:rsidR="00CD5A00">
            <w:rPr>
              <w:color w:val="000000"/>
            </w:rPr>
            <w:tab/>
            <w:t>6</w:t>
          </w:r>
          <w:r>
            <w:fldChar w:fldCharType="end"/>
          </w:r>
        </w:p>
        <w:p w:rsidR="00D77FB8" w:rsidRDefault="00F53242">
          <w:pPr>
            <w:pStyle w:val="normal0"/>
            <w:pBdr>
              <w:top w:val="nil"/>
              <w:left w:val="nil"/>
              <w:bottom w:val="nil"/>
              <w:right w:val="nil"/>
              <w:between w:val="nil"/>
            </w:pBdr>
            <w:tabs>
              <w:tab w:val="left" w:pos="480"/>
              <w:tab w:val="right" w:leader="dot" w:pos="9016"/>
            </w:tabs>
            <w:spacing w:after="100"/>
            <w:rPr>
              <w:rFonts w:ascii="Calibri" w:eastAsia="Calibri" w:hAnsi="Calibri" w:cs="Calibri"/>
              <w:color w:val="000000"/>
              <w:sz w:val="22"/>
              <w:szCs w:val="22"/>
            </w:rPr>
          </w:pPr>
          <w:hyperlink w:anchor="_2et92p0">
            <w:r w:rsidR="00CD5A00">
              <w:rPr>
                <w:color w:val="000000"/>
              </w:rPr>
              <w:t>5</w:t>
            </w:r>
          </w:hyperlink>
          <w:hyperlink w:anchor="_2et92p0">
            <w:r w:rsidR="00CD5A00">
              <w:rPr>
                <w:rFonts w:ascii="Calibri" w:eastAsia="Calibri" w:hAnsi="Calibri" w:cs="Calibri"/>
                <w:color w:val="000000"/>
                <w:sz w:val="22"/>
                <w:szCs w:val="22"/>
              </w:rPr>
              <w:tab/>
            </w:r>
          </w:hyperlink>
          <w:r>
            <w:fldChar w:fldCharType="begin"/>
          </w:r>
          <w:r w:rsidR="00CD5A00">
            <w:instrText xml:space="preserve"> PAGEREF _2et92p0 \h </w:instrText>
          </w:r>
          <w:r>
            <w:fldChar w:fldCharType="separate"/>
          </w:r>
          <w:r w:rsidR="00CD5A00">
            <w:rPr>
              <w:color w:val="000000"/>
            </w:rPr>
            <w:t>Financial Projections</w:t>
          </w:r>
          <w:r w:rsidR="00CD5A00">
            <w:rPr>
              <w:color w:val="000000"/>
            </w:rPr>
            <w:tab/>
            <w:t>7</w:t>
          </w:r>
          <w:r>
            <w:fldChar w:fldCharType="end"/>
          </w:r>
        </w:p>
        <w:p w:rsidR="00D77FB8" w:rsidRDefault="00F53242">
          <w:pPr>
            <w:pStyle w:val="normal0"/>
            <w:pBdr>
              <w:top w:val="nil"/>
              <w:left w:val="nil"/>
              <w:bottom w:val="nil"/>
              <w:right w:val="nil"/>
              <w:between w:val="nil"/>
            </w:pBdr>
            <w:tabs>
              <w:tab w:val="left" w:pos="880"/>
              <w:tab w:val="right" w:leader="dot" w:pos="9016"/>
            </w:tabs>
            <w:spacing w:after="100"/>
            <w:ind w:left="240"/>
            <w:rPr>
              <w:rFonts w:ascii="Calibri" w:eastAsia="Calibri" w:hAnsi="Calibri" w:cs="Calibri"/>
              <w:color w:val="000000"/>
              <w:sz w:val="22"/>
              <w:szCs w:val="22"/>
            </w:rPr>
          </w:pPr>
          <w:hyperlink w:anchor="_tyjcwt">
            <w:r w:rsidR="00CD5A00">
              <w:rPr>
                <w:color w:val="000000"/>
              </w:rPr>
              <w:t>5.1</w:t>
            </w:r>
          </w:hyperlink>
          <w:hyperlink w:anchor="_tyjcwt">
            <w:r w:rsidR="00CD5A00">
              <w:rPr>
                <w:rFonts w:ascii="Calibri" w:eastAsia="Calibri" w:hAnsi="Calibri" w:cs="Calibri"/>
                <w:color w:val="000000"/>
                <w:sz w:val="22"/>
                <w:szCs w:val="22"/>
              </w:rPr>
              <w:tab/>
            </w:r>
          </w:hyperlink>
          <w:r>
            <w:fldChar w:fldCharType="begin"/>
          </w:r>
          <w:r w:rsidR="00CD5A00">
            <w:instrText xml:space="preserve"> PAGEREF _tyjcwt \h </w:instrText>
          </w:r>
          <w:r>
            <w:fldChar w:fldCharType="separate"/>
          </w:r>
          <w:r w:rsidR="00CD5A00">
            <w:rPr>
              <w:color w:val="000000"/>
            </w:rPr>
            <w:t>Income Statement</w:t>
          </w:r>
          <w:r w:rsidR="00CD5A00">
            <w:rPr>
              <w:color w:val="000000"/>
            </w:rPr>
            <w:tab/>
            <w:t>7</w:t>
          </w:r>
          <w:r>
            <w:fldChar w:fldCharType="end"/>
          </w:r>
        </w:p>
        <w:p w:rsidR="00D77FB8" w:rsidRDefault="00F53242">
          <w:pPr>
            <w:pStyle w:val="normal0"/>
            <w:pBdr>
              <w:top w:val="nil"/>
              <w:left w:val="nil"/>
              <w:bottom w:val="nil"/>
              <w:right w:val="nil"/>
              <w:between w:val="nil"/>
            </w:pBdr>
            <w:tabs>
              <w:tab w:val="left" w:pos="880"/>
              <w:tab w:val="right" w:leader="dot" w:pos="9016"/>
            </w:tabs>
            <w:spacing w:after="100"/>
            <w:ind w:left="240"/>
            <w:rPr>
              <w:rFonts w:ascii="Calibri" w:eastAsia="Calibri" w:hAnsi="Calibri" w:cs="Calibri"/>
              <w:color w:val="000000"/>
              <w:sz w:val="22"/>
              <w:szCs w:val="22"/>
            </w:rPr>
          </w:pPr>
          <w:hyperlink w:anchor="_3dy6vkm">
            <w:r w:rsidR="00CD5A00">
              <w:rPr>
                <w:color w:val="000000"/>
              </w:rPr>
              <w:t>5.2</w:t>
            </w:r>
          </w:hyperlink>
          <w:hyperlink w:anchor="_3dy6vkm">
            <w:r w:rsidR="00CD5A00">
              <w:rPr>
                <w:rFonts w:ascii="Calibri" w:eastAsia="Calibri" w:hAnsi="Calibri" w:cs="Calibri"/>
                <w:color w:val="000000"/>
                <w:sz w:val="22"/>
                <w:szCs w:val="22"/>
              </w:rPr>
              <w:tab/>
            </w:r>
          </w:hyperlink>
          <w:r>
            <w:fldChar w:fldCharType="begin"/>
          </w:r>
          <w:r w:rsidR="00CD5A00">
            <w:instrText xml:space="preserve"> PAGEREF _3dy6vkm \h </w:instrText>
          </w:r>
          <w:r>
            <w:fldChar w:fldCharType="separate"/>
          </w:r>
          <w:r w:rsidR="00CD5A00">
            <w:rPr>
              <w:color w:val="000000"/>
            </w:rPr>
            <w:t>Balance Sheet</w:t>
          </w:r>
          <w:r w:rsidR="00CD5A00">
            <w:rPr>
              <w:color w:val="000000"/>
            </w:rPr>
            <w:tab/>
            <w:t>7</w:t>
          </w:r>
          <w:r>
            <w:fldChar w:fldCharType="end"/>
          </w:r>
        </w:p>
        <w:p w:rsidR="00D77FB8" w:rsidRDefault="00F53242">
          <w:pPr>
            <w:pStyle w:val="normal0"/>
            <w:pBdr>
              <w:top w:val="nil"/>
              <w:left w:val="nil"/>
              <w:bottom w:val="nil"/>
              <w:right w:val="nil"/>
              <w:between w:val="nil"/>
            </w:pBdr>
            <w:tabs>
              <w:tab w:val="left" w:pos="480"/>
              <w:tab w:val="right" w:leader="dot" w:pos="9016"/>
            </w:tabs>
            <w:spacing w:after="100"/>
            <w:rPr>
              <w:rFonts w:ascii="Calibri" w:eastAsia="Calibri" w:hAnsi="Calibri" w:cs="Calibri"/>
              <w:color w:val="000000"/>
              <w:sz w:val="22"/>
              <w:szCs w:val="22"/>
            </w:rPr>
          </w:pPr>
          <w:hyperlink w:anchor="_1t3h5sf">
            <w:r w:rsidR="00CD5A00">
              <w:rPr>
                <w:color w:val="000000"/>
              </w:rPr>
              <w:t>6</w:t>
            </w:r>
          </w:hyperlink>
          <w:hyperlink w:anchor="_1t3h5sf">
            <w:r w:rsidR="00CD5A00">
              <w:rPr>
                <w:rFonts w:ascii="Calibri" w:eastAsia="Calibri" w:hAnsi="Calibri" w:cs="Calibri"/>
                <w:color w:val="000000"/>
                <w:sz w:val="22"/>
                <w:szCs w:val="22"/>
              </w:rPr>
              <w:tab/>
            </w:r>
          </w:hyperlink>
          <w:r>
            <w:fldChar w:fldCharType="begin"/>
          </w:r>
          <w:r w:rsidR="00CD5A00">
            <w:instrText xml:space="preserve"> PAGEREF _1t3h5sf \h </w:instrText>
          </w:r>
          <w:r>
            <w:fldChar w:fldCharType="separate"/>
          </w:r>
          <w:r w:rsidR="00CD5A00">
            <w:rPr>
              <w:color w:val="000000"/>
            </w:rPr>
            <w:t>Conclusion</w:t>
          </w:r>
          <w:r w:rsidR="00CD5A00">
            <w:rPr>
              <w:color w:val="000000"/>
            </w:rPr>
            <w:tab/>
            <w:t>9</w:t>
          </w:r>
          <w:r>
            <w:fldChar w:fldCharType="end"/>
          </w:r>
        </w:p>
        <w:p w:rsidR="00D77FB8" w:rsidRDefault="00F53242">
          <w:pPr>
            <w:pStyle w:val="normal0"/>
            <w:pBdr>
              <w:top w:val="nil"/>
              <w:left w:val="nil"/>
              <w:bottom w:val="nil"/>
              <w:right w:val="nil"/>
              <w:between w:val="nil"/>
            </w:pBdr>
            <w:tabs>
              <w:tab w:val="left" w:pos="480"/>
              <w:tab w:val="right" w:leader="dot" w:pos="9016"/>
            </w:tabs>
            <w:spacing w:after="100"/>
            <w:rPr>
              <w:rFonts w:ascii="Calibri" w:eastAsia="Calibri" w:hAnsi="Calibri" w:cs="Calibri"/>
              <w:color w:val="000000"/>
              <w:sz w:val="22"/>
              <w:szCs w:val="22"/>
            </w:rPr>
          </w:pPr>
          <w:hyperlink w:anchor="_4d34og8">
            <w:r w:rsidR="00CD5A00">
              <w:rPr>
                <w:color w:val="000000"/>
              </w:rPr>
              <w:t>7</w:t>
            </w:r>
          </w:hyperlink>
          <w:hyperlink w:anchor="_4d34og8">
            <w:r w:rsidR="00CD5A00">
              <w:rPr>
                <w:rFonts w:ascii="Calibri" w:eastAsia="Calibri" w:hAnsi="Calibri" w:cs="Calibri"/>
                <w:color w:val="000000"/>
                <w:sz w:val="22"/>
                <w:szCs w:val="22"/>
              </w:rPr>
              <w:tab/>
            </w:r>
          </w:hyperlink>
          <w:r>
            <w:fldChar w:fldCharType="begin"/>
          </w:r>
          <w:r w:rsidR="00CD5A00">
            <w:instrText xml:space="preserve"> PAGEREF _4d34og8 \h </w:instrText>
          </w:r>
          <w:r>
            <w:fldChar w:fldCharType="separate"/>
          </w:r>
          <w:r w:rsidR="00CD5A00">
            <w:rPr>
              <w:color w:val="000000"/>
            </w:rPr>
            <w:t>Recommendations</w:t>
          </w:r>
          <w:r w:rsidR="00CD5A00">
            <w:rPr>
              <w:color w:val="000000"/>
            </w:rPr>
            <w:tab/>
            <w:t>9</w:t>
          </w:r>
          <w:r>
            <w:fldChar w:fldCharType="end"/>
          </w:r>
        </w:p>
        <w:p w:rsidR="00D77FB8" w:rsidRDefault="00F53242">
          <w:pPr>
            <w:pStyle w:val="normal0"/>
            <w:pBdr>
              <w:top w:val="nil"/>
              <w:left w:val="nil"/>
              <w:bottom w:val="nil"/>
              <w:right w:val="nil"/>
              <w:between w:val="nil"/>
            </w:pBdr>
            <w:tabs>
              <w:tab w:val="left" w:pos="480"/>
              <w:tab w:val="right" w:leader="dot" w:pos="9016"/>
            </w:tabs>
            <w:spacing w:after="100"/>
            <w:rPr>
              <w:rFonts w:ascii="Calibri" w:eastAsia="Calibri" w:hAnsi="Calibri" w:cs="Calibri"/>
              <w:color w:val="000000"/>
              <w:sz w:val="22"/>
              <w:szCs w:val="22"/>
            </w:rPr>
          </w:pPr>
          <w:hyperlink w:anchor="_2s8eyo1">
            <w:r w:rsidR="00CD5A00">
              <w:rPr>
                <w:color w:val="000000"/>
              </w:rPr>
              <w:t>8</w:t>
            </w:r>
          </w:hyperlink>
          <w:hyperlink w:anchor="_2s8eyo1">
            <w:r w:rsidR="00CD5A00">
              <w:rPr>
                <w:rFonts w:ascii="Calibri" w:eastAsia="Calibri" w:hAnsi="Calibri" w:cs="Calibri"/>
                <w:color w:val="000000"/>
                <w:sz w:val="22"/>
                <w:szCs w:val="22"/>
              </w:rPr>
              <w:tab/>
            </w:r>
          </w:hyperlink>
          <w:r>
            <w:fldChar w:fldCharType="begin"/>
          </w:r>
          <w:r w:rsidR="00CD5A00">
            <w:instrText xml:space="preserve"> PAGEREF _2s8eyo1 \h </w:instrText>
          </w:r>
          <w:r>
            <w:fldChar w:fldCharType="separate"/>
          </w:r>
          <w:r w:rsidR="00CD5A00">
            <w:rPr>
              <w:color w:val="000000"/>
            </w:rPr>
            <w:t>References</w:t>
          </w:r>
          <w:r w:rsidR="00CD5A00">
            <w:rPr>
              <w:color w:val="000000"/>
            </w:rPr>
            <w:tab/>
            <w:t>11</w:t>
          </w:r>
          <w:r>
            <w:fldChar w:fldCharType="end"/>
          </w:r>
        </w:p>
        <w:p w:rsidR="00D77FB8" w:rsidRDefault="00F53242">
          <w:pPr>
            <w:pStyle w:val="normal0"/>
            <w:spacing w:before="0" w:after="0"/>
          </w:pPr>
          <w:r>
            <w:fldChar w:fldCharType="end"/>
          </w:r>
        </w:p>
      </w:sdtContent>
    </w:sdt>
    <w:p w:rsidR="00D77FB8" w:rsidRDefault="00CD5A00">
      <w:pPr>
        <w:pStyle w:val="normal0"/>
        <w:spacing w:before="0" w:after="0"/>
        <w:jc w:val="left"/>
        <w:rPr>
          <w:b/>
        </w:rPr>
      </w:pPr>
      <w:r>
        <w:br w:type="page"/>
      </w:r>
    </w:p>
    <w:p w:rsidR="00D77FB8" w:rsidRDefault="00CD5A00">
      <w:pPr>
        <w:pStyle w:val="Heading1"/>
        <w:numPr>
          <w:ilvl w:val="0"/>
          <w:numId w:val="1"/>
        </w:numPr>
        <w:spacing w:before="0" w:after="0"/>
      </w:pPr>
      <w:bookmarkStart w:id="0" w:name="_gjdgxs" w:colFirst="0" w:colLast="0"/>
      <w:bookmarkEnd w:id="0"/>
      <w:r>
        <w:t>Introduction</w:t>
      </w:r>
    </w:p>
    <w:p w:rsidR="00D77FB8" w:rsidRDefault="00CD5A00">
      <w:pPr>
        <w:pStyle w:val="normal0"/>
        <w:spacing w:before="0" w:after="0"/>
      </w:pPr>
      <w:r>
        <w:t xml:space="preserve">The report is about The City Hotel that is located in an urban landscape. The hotel experienced decline in its financial health and the owner is concerned about the future practicality of </w:t>
      </w:r>
      <w:proofErr w:type="gramStart"/>
      <w:r>
        <w:t>the busies</w:t>
      </w:r>
      <w:proofErr w:type="gramEnd"/>
      <w:r>
        <w:t xml:space="preserve">. For the purpose, the report evaluates the financial position of </w:t>
      </w:r>
      <w:r>
        <w:rPr>
          <w:i/>
        </w:rPr>
        <w:t>The City Hotel</w:t>
      </w:r>
      <w:r>
        <w:t xml:space="preserve"> using revenue, expense, profit, liquidity, and solvency analysis. The report also recommends an appropriate turnaround strategy for the hotel that will help in revitalization of the financial health as well as enhance the reputation. </w:t>
      </w:r>
    </w:p>
    <w:p w:rsidR="00D77FB8" w:rsidRDefault="00CD5A00">
      <w:pPr>
        <w:pStyle w:val="Heading1"/>
        <w:numPr>
          <w:ilvl w:val="0"/>
          <w:numId w:val="1"/>
        </w:numPr>
        <w:spacing w:before="0" w:after="0"/>
      </w:pPr>
      <w:bookmarkStart w:id="1" w:name="_30j0zll" w:colFirst="0" w:colLast="0"/>
      <w:bookmarkEnd w:id="1"/>
      <w:r>
        <w:t xml:space="preserve">Trends and Patterns in Financial Performance </w:t>
      </w:r>
    </w:p>
    <w:p w:rsidR="00D77FB8" w:rsidRDefault="00CD5A00">
      <w:pPr>
        <w:pStyle w:val="normal0"/>
        <w:spacing w:before="0" w:after="0"/>
      </w:pPr>
      <w:r>
        <w:t xml:space="preserve">The total revenue in 2022 is £5,307,480 that is almost half of that in 2023, £2,325,440. This sharp reduction is consistent with the current downward trends observed within the hospitality industry, which most brands have not been able to transform to break-even and post Covid-19 number of customers. Some of the reasons for this decline are competition from other forms of accommodation, mainly </w:t>
      </w:r>
      <w:proofErr w:type="spellStart"/>
      <w:r>
        <w:t>Airbnb</w:t>
      </w:r>
      <w:proofErr w:type="spellEnd"/>
      <w:r>
        <w:t xml:space="preserve">, change in customer preferences; shifts from homogenized mass market products and services to bespoke and experiential tourism hit by the COVID-19 impacts on travel and hospitality industry (Li and </w:t>
      </w:r>
      <w:proofErr w:type="spellStart"/>
      <w:r>
        <w:t>Srinivasan</w:t>
      </w:r>
      <w:proofErr w:type="spellEnd"/>
      <w:r>
        <w:t>, 2019). This decline of revenue poses great questions in the market standing and effectiveness of the hotel in gaining or holding consumers.</w:t>
      </w:r>
    </w:p>
    <w:p w:rsidR="00D77FB8" w:rsidRDefault="00CD5A00">
      <w:pPr>
        <w:pStyle w:val="normal0"/>
        <w:spacing w:before="0" w:after="0"/>
        <w:jc w:val="center"/>
      </w:pPr>
      <w:r>
        <w:rPr>
          <w:noProof/>
        </w:rPr>
        <w:drawing>
          <wp:inline distT="0" distB="0" distL="0" distR="0">
            <wp:extent cx="5731510" cy="2882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731510" cy="2882900"/>
                    </a:xfrm>
                    <a:prstGeom prst="rect">
                      <a:avLst/>
                    </a:prstGeom>
                    <a:ln/>
                  </pic:spPr>
                </pic:pic>
              </a:graphicData>
            </a:graphic>
          </wp:inline>
        </w:drawing>
      </w:r>
    </w:p>
    <w:p w:rsidR="00D77FB8" w:rsidRDefault="00CD5A00">
      <w:pPr>
        <w:pStyle w:val="normal0"/>
        <w:spacing w:before="0" w:after="0"/>
      </w:pPr>
      <w:r>
        <w:t>In addition, the cost of goods sold reduced from £411,600 in 2021 to £176,250 in 2023 and employee cost reduced from £1,770,700 in 2022 to £1,233,160 in 2023. While this can well appear to be good cost control, it can have a reducing effect on service standards and employee satisfaction- key components influencing revenue in the hospitality industry (</w:t>
      </w:r>
      <w:proofErr w:type="spellStart"/>
      <w:r>
        <w:t>Zuo</w:t>
      </w:r>
      <w:proofErr w:type="spellEnd"/>
      <w:r>
        <w:t xml:space="preserve"> </w:t>
      </w:r>
      <w:r>
        <w:rPr>
          <w:i/>
        </w:rPr>
        <w:t>et al.,</w:t>
      </w:r>
      <w:r>
        <w:t xml:space="preserve"> 2022). External expenses were also lower; £1,675,410 in 2022 to £1,071,030 in 2023, which show cost cutting but sacrifice of service delivery. Also, the substantial increase in depreciation and amortization consists of £634,030 in 2022 and £661,590 in 2023 can be due to the required steady investment in the assets such as property and equipment that can exert pressure to the resources when revenues are challenging to come.</w:t>
      </w:r>
    </w:p>
    <w:p w:rsidR="00D77FB8" w:rsidRDefault="00CD5A00">
      <w:pPr>
        <w:pStyle w:val="normal0"/>
        <w:spacing w:before="0" w:after="0"/>
      </w:pPr>
      <w:r>
        <w:t xml:space="preserve">The operating income is £1,218,850 in 2023 compare to £664,160 in 2021 and £674,730 in 2022. This gives a picture of cost inflation where revenue cannot adequately provide for fixed costs. The problems with the profitability of the hotel make the necessity of the development of the turn-around strategy based on such approaches as reduction of costs, increase of the quality of services, aimed at the appearance of new customers and increasing the loyalty of </w:t>
      </w:r>
      <w:proofErr w:type="spellStart"/>
      <w:r>
        <w:t>ordinant</w:t>
      </w:r>
      <w:proofErr w:type="spellEnd"/>
      <w:r>
        <w:t xml:space="preserve"> customers. The liquidity situation of The City Hotel becomes more and more unfavorable. The availability of cash and cash equivalents also went down from £740,590 in 2021 to £295,510 in 2023 underlining the problem of cash flow constraints. This reduction in the working capital will reduce the hotel’s capacity, short-term liabilities and other operational needs which raise insolvency risk (</w:t>
      </w:r>
      <w:proofErr w:type="spellStart"/>
      <w:r>
        <w:t>Sota</w:t>
      </w:r>
      <w:proofErr w:type="spellEnd"/>
      <w:r>
        <w:t xml:space="preserve"> </w:t>
      </w:r>
      <w:r>
        <w:rPr>
          <w:i/>
        </w:rPr>
        <w:t>et al.,</w:t>
      </w:r>
      <w:r>
        <w:t xml:space="preserve"> 2020). </w:t>
      </w:r>
    </w:p>
    <w:p w:rsidR="00D77FB8" w:rsidRDefault="00CD5A00">
      <w:pPr>
        <w:pStyle w:val="normal0"/>
        <w:spacing w:before="0" w:after="0"/>
        <w:jc w:val="center"/>
      </w:pPr>
      <w:r>
        <w:rPr>
          <w:noProof/>
        </w:rPr>
        <w:drawing>
          <wp:inline distT="0" distB="0" distL="0" distR="0">
            <wp:extent cx="5731510" cy="371729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731510" cy="3717290"/>
                    </a:xfrm>
                    <a:prstGeom prst="rect">
                      <a:avLst/>
                    </a:prstGeom>
                    <a:ln/>
                  </pic:spPr>
                </pic:pic>
              </a:graphicData>
            </a:graphic>
          </wp:inline>
        </w:drawing>
      </w:r>
    </w:p>
    <w:p w:rsidR="00D77FB8" w:rsidRDefault="00CD5A00">
      <w:pPr>
        <w:pStyle w:val="normal0"/>
        <w:spacing w:before="0" w:after="0"/>
        <w:jc w:val="center"/>
      </w:pPr>
      <w:r>
        <w:rPr>
          <w:noProof/>
        </w:rPr>
        <w:drawing>
          <wp:inline distT="0" distB="0" distL="0" distR="0">
            <wp:extent cx="5731510" cy="455422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1510" cy="4554220"/>
                    </a:xfrm>
                    <a:prstGeom prst="rect">
                      <a:avLst/>
                    </a:prstGeom>
                    <a:ln/>
                  </pic:spPr>
                </pic:pic>
              </a:graphicData>
            </a:graphic>
          </wp:inline>
        </w:drawing>
      </w:r>
    </w:p>
    <w:p w:rsidR="00D77FB8" w:rsidRDefault="00D77FB8">
      <w:pPr>
        <w:pStyle w:val="normal0"/>
        <w:spacing w:before="0" w:after="0"/>
      </w:pPr>
    </w:p>
    <w:p w:rsidR="00D77FB8" w:rsidRDefault="00CD5A00">
      <w:pPr>
        <w:pStyle w:val="normal0"/>
        <w:spacing w:before="0" w:after="0"/>
      </w:pPr>
      <w:r>
        <w:t xml:space="preserve">Furthermore, total liabilities continue to be a major problem as total liabilities increased from £10,684,940 in 2021 to £14,243,390 in 2023 while total equity reduced from £2,256,180 to £1,410,580 in the same period. This kind of trend has an implication that higher reliance on debt to fund the projects will damage the future solvency of the hotel (Fatima and </w:t>
      </w:r>
      <w:proofErr w:type="spellStart"/>
      <w:r>
        <w:t>Elbanna</w:t>
      </w:r>
      <w:proofErr w:type="spellEnd"/>
      <w:r>
        <w:t>, 2020). Failure to fund the growth initiatives financing and expensive operational liabilities means that the equity base has continued to decline to an extent that the hotel will have a lot to struggle with when it comes to financing these initiatives in the future.</w:t>
      </w:r>
    </w:p>
    <w:p w:rsidR="00D77FB8" w:rsidRDefault="00CD5A00">
      <w:pPr>
        <w:pStyle w:val="Heading1"/>
        <w:numPr>
          <w:ilvl w:val="0"/>
          <w:numId w:val="1"/>
        </w:numPr>
        <w:spacing w:before="0" w:after="0"/>
      </w:pPr>
      <w:bookmarkStart w:id="2" w:name="_1fob9te" w:colFirst="0" w:colLast="0"/>
      <w:bookmarkEnd w:id="2"/>
      <w:r>
        <w:t>Key Reasons behind the Decline in Profitability</w:t>
      </w:r>
    </w:p>
    <w:p w:rsidR="00D77FB8" w:rsidRDefault="00CD5A00">
      <w:pPr>
        <w:pStyle w:val="normal0"/>
        <w:spacing w:before="0" w:after="0"/>
      </w:pPr>
      <w:r>
        <w:t xml:space="preserve">There are several considerations and challenges that have impacted the hotel industry for a long time because of the pandemic. Travel ban, measures towards health concerns, change in consumer habits with regards to accommodation availability such as </w:t>
      </w:r>
      <w:proofErr w:type="spellStart"/>
      <w:r>
        <w:t>Airbnb</w:t>
      </w:r>
      <w:proofErr w:type="spellEnd"/>
      <w:r>
        <w:t xml:space="preserve"> among others have reduced the uptake of old hotel accommodation (</w:t>
      </w:r>
      <w:proofErr w:type="spellStart"/>
      <w:r>
        <w:t>Gössling</w:t>
      </w:r>
      <w:proofErr w:type="spellEnd"/>
      <w:r>
        <w:t xml:space="preserve"> </w:t>
      </w:r>
      <w:r>
        <w:rPr>
          <w:i/>
        </w:rPr>
        <w:t>et al.,</w:t>
      </w:r>
      <w:r>
        <w:t xml:space="preserve"> 2020). The issue further worsens the occupancy and </w:t>
      </w:r>
      <w:proofErr w:type="gramStart"/>
      <w:r>
        <w:t>bookings since the hotel’s revenue has</w:t>
      </w:r>
      <w:proofErr w:type="gramEnd"/>
      <w:r>
        <w:t xml:space="preserve"> dramatically reducing from £5.3 million in 2022 to £2.3 million in 2023. Also, a highly relevant profit aspect is the events and conference segment of the business which can be considerably damaged due to constant discussions of large gatherings especially because of the COVID-19 virus. </w:t>
      </w:r>
    </w:p>
    <w:p w:rsidR="00D77FB8" w:rsidRDefault="00CD5A00">
      <w:pPr>
        <w:pStyle w:val="normal0"/>
        <w:spacing w:before="0" w:after="0"/>
      </w:pPr>
      <w:r>
        <w:t>Another key reason for the decline in profitability is the increase in operating costs which has been occasioned by the cost of inflation in the UK (</w:t>
      </w:r>
      <w:proofErr w:type="spellStart"/>
      <w:r>
        <w:t>Toubes</w:t>
      </w:r>
      <w:proofErr w:type="spellEnd"/>
      <w:r>
        <w:t xml:space="preserve"> </w:t>
      </w:r>
      <w:r>
        <w:rPr>
          <w:i/>
        </w:rPr>
        <w:t>et al.,</w:t>
      </w:r>
      <w:r>
        <w:t xml:space="preserve"> 2021). In two years, inflation has increased and as a result incurred more expenses in the utility bills for electricity, water, food supplies and almost everything. Despite trying to control the providing cost from outside and the cost of human resource, the cost factor is still on higher side compared to gross sales. Total amount of employee costs has gone down to £1.23 million in 2023 from £1.77million in 2022 which can have been a required shrinkage, but these expenses can have not been reduced up to the level required to compensate the lost revenues. Additionally, two expenses that are crucial to the assessment of operating performance; depreciation and amortization expenses increased continuously and amounted to £661,590 in 2023 and will help to increase pressure on the financial result. </w:t>
      </w:r>
    </w:p>
    <w:p w:rsidR="00D77FB8" w:rsidRDefault="00CD5A00">
      <w:pPr>
        <w:pStyle w:val="normal0"/>
        <w:spacing w:before="0" w:after="0"/>
      </w:pPr>
      <w:r>
        <w:t xml:space="preserve">The macro environment has also been responsible for the hotel’s poor financial performance. Consequently, personal expenditures such as travelling and hotel accommodation </w:t>
      </w:r>
      <w:proofErr w:type="gramStart"/>
      <w:r>
        <w:t>has</w:t>
      </w:r>
      <w:proofErr w:type="gramEnd"/>
      <w:r>
        <w:t xml:space="preserve"> been reduced (</w:t>
      </w:r>
      <w:proofErr w:type="spellStart"/>
      <w:r>
        <w:t>Gerwe</w:t>
      </w:r>
      <w:proofErr w:type="spellEnd"/>
      <w:r>
        <w:t>, 2021). Tour operator revenues, which include middle-income luxury consumers, the key market for a large number of urban hotels such as The City Hotel, have been adjusted for non-essential products and services, thus limiting the hotel’s revenue streams and otherwise negatively affecting profitability.</w:t>
      </w:r>
    </w:p>
    <w:p w:rsidR="00D77FB8" w:rsidRDefault="00CD5A00">
      <w:pPr>
        <w:pStyle w:val="Heading1"/>
        <w:numPr>
          <w:ilvl w:val="0"/>
          <w:numId w:val="1"/>
        </w:numPr>
        <w:spacing w:before="0" w:after="0"/>
      </w:pPr>
      <w:bookmarkStart w:id="3" w:name="_3znysh7" w:colFirst="0" w:colLast="0"/>
      <w:bookmarkEnd w:id="3"/>
      <w:r>
        <w:t>Turnaround Strategy</w:t>
      </w:r>
    </w:p>
    <w:p w:rsidR="00D77FB8" w:rsidRDefault="00CD5A00">
      <w:pPr>
        <w:pStyle w:val="normal0"/>
        <w:spacing w:before="0" w:after="0"/>
      </w:pPr>
      <w:r>
        <w:t xml:space="preserve">The turnaround strategy to revitalize The City Hotel from its current challenging state is revenue diversification with the introduction of new offerings, like; co-working spaces and hybrid event packages. This strategy will focus on new market opportunities that have arisen due to the pandemic changing the hospitality industry. When the service offering of a hotel is matched with the needs of the modern customer, then the </w:t>
      </w:r>
      <w:proofErr w:type="gramStart"/>
      <w:r>
        <w:t>hotel is capable of producing constant and sustainable revenues and ultimately, recreate</w:t>
      </w:r>
      <w:proofErr w:type="gramEnd"/>
      <w:r>
        <w:t xml:space="preserve"> its profitability. </w:t>
      </w:r>
    </w:p>
    <w:p w:rsidR="00D77FB8" w:rsidRDefault="00CD5A00">
      <w:pPr>
        <w:pStyle w:val="normal0"/>
        <w:spacing w:before="0" w:after="0"/>
      </w:pPr>
      <w:r>
        <w:t xml:space="preserve">The key aim of the strategy is the reorganization of unused venues for events into chill and co-working hubs. </w:t>
      </w:r>
      <w:proofErr w:type="spellStart"/>
      <w:r>
        <w:t>Covid</w:t>
      </w:r>
      <w:proofErr w:type="spellEnd"/>
      <w:r>
        <w:t xml:space="preserve"> 19 has brought changes and people are currently embracing flexibility since the world has shifted to remote and hybrid work models (</w:t>
      </w:r>
      <w:proofErr w:type="spellStart"/>
      <w:r>
        <w:t>Dube</w:t>
      </w:r>
      <w:proofErr w:type="spellEnd"/>
      <w:r>
        <w:t xml:space="preserve"> </w:t>
      </w:r>
      <w:r>
        <w:rPr>
          <w:i/>
        </w:rPr>
        <w:t>et al.,</w:t>
      </w:r>
      <w:r>
        <w:t xml:space="preserve"> 2021). Since more and more companies and freelancers can work from anywhere in the world during the work-from-home movement, urban hotels like The City Hotel are in a unique position to gain business. With provisions such a contemporary co-working arena with features like internet connection, enclosed office sections and serving of teas and coffees, the hotel will have the capacity to reach an extended market of people who work from home, freelance and small-scale business persons. This co-working space will create a predictable, daily income, not from hotel guests or conference-goers, both of which have been less predictable since </w:t>
      </w:r>
      <w:proofErr w:type="spellStart"/>
      <w:r>
        <w:t>Covid</w:t>
      </w:r>
      <w:proofErr w:type="spellEnd"/>
      <w:r>
        <w:t xml:space="preserve">. In addition, the location in an urban locale makes it convenient for working people who require a flexible space near their residence or business areas in cities. </w:t>
      </w:r>
    </w:p>
    <w:p w:rsidR="00D77FB8" w:rsidRDefault="00CD5A00">
      <w:pPr>
        <w:pStyle w:val="normal0"/>
        <w:spacing w:before="0" w:after="0"/>
      </w:pPr>
      <w:r>
        <w:t>Another part of this strategy is the introduction of hybrid event packages as a way to target the new corporate customer base that is now operating in a world of in-person and virtual events. These hybrid event packages will help the hotel recollect itself as one of the top event venues for business events, providing a comfortable service most of the competing venues can lack by providing only physical venue services (</w:t>
      </w:r>
      <w:proofErr w:type="spellStart"/>
      <w:r>
        <w:t>Gursoy</w:t>
      </w:r>
      <w:proofErr w:type="spellEnd"/>
      <w:r>
        <w:t xml:space="preserve"> </w:t>
      </w:r>
      <w:r>
        <w:rPr>
          <w:i/>
        </w:rPr>
        <w:t>et al.,</w:t>
      </w:r>
      <w:r>
        <w:t xml:space="preserve"> 2022). Moreover, corporate customers will like flexibility and an opportunity to expand the audience through online participation that increases the possibility of their repeat consumption. The diversification into hybrid events will not only increase room night utilization but also generate revenues on services such as food and beverages offered within hotel.</w:t>
      </w:r>
    </w:p>
    <w:p w:rsidR="00D77FB8" w:rsidRDefault="00CD5A00">
      <w:pPr>
        <w:pStyle w:val="Heading1"/>
        <w:numPr>
          <w:ilvl w:val="0"/>
          <w:numId w:val="1"/>
        </w:numPr>
        <w:spacing w:before="0" w:after="0"/>
      </w:pPr>
      <w:bookmarkStart w:id="4" w:name="_2et92p0" w:colFirst="0" w:colLast="0"/>
      <w:bookmarkEnd w:id="4"/>
      <w:r>
        <w:t>Financial Projections</w:t>
      </w:r>
    </w:p>
    <w:p w:rsidR="00D77FB8" w:rsidRDefault="00CD5A00">
      <w:pPr>
        <w:pStyle w:val="Heading2"/>
        <w:numPr>
          <w:ilvl w:val="1"/>
          <w:numId w:val="1"/>
        </w:numPr>
        <w:spacing w:before="0" w:after="0"/>
      </w:pPr>
      <w:bookmarkStart w:id="5" w:name="_tyjcwt" w:colFirst="0" w:colLast="0"/>
      <w:bookmarkEnd w:id="5"/>
      <w:r>
        <w:t>Income Statement</w:t>
      </w:r>
    </w:p>
    <w:tbl>
      <w:tblPr>
        <w:tblStyle w:val="a"/>
        <w:tblW w:w="8270" w:type="dxa"/>
        <w:jc w:val="center"/>
        <w:tblLayout w:type="fixed"/>
        <w:tblLook w:val="0400"/>
      </w:tblPr>
      <w:tblGrid>
        <w:gridCol w:w="3151"/>
        <w:gridCol w:w="1789"/>
        <w:gridCol w:w="1620"/>
        <w:gridCol w:w="1710"/>
      </w:tblGrid>
      <w:tr w:rsidR="00D77FB8">
        <w:trPr>
          <w:cantSplit/>
          <w:trHeight w:val="330"/>
          <w:tblHeader/>
          <w:jc w:val="center"/>
        </w:trPr>
        <w:tc>
          <w:tcPr>
            <w:tcW w:w="8270" w:type="dxa"/>
            <w:gridSpan w:val="4"/>
            <w:tcBorders>
              <w:top w:val="single" w:sz="8" w:space="0" w:color="000000"/>
              <w:left w:val="single" w:sz="8" w:space="0" w:color="000000"/>
              <w:bottom w:val="single" w:sz="8" w:space="0" w:color="000000"/>
              <w:right w:val="single" w:sz="8" w:space="0" w:color="000000"/>
            </w:tcBorders>
            <w:shd w:val="clear" w:color="auto" w:fill="5B9BD5"/>
            <w:vAlign w:val="bottom"/>
          </w:tcPr>
          <w:p w:rsidR="00D77FB8" w:rsidRDefault="00CD5A00">
            <w:pPr>
              <w:pStyle w:val="normal0"/>
              <w:spacing w:before="0" w:after="0"/>
              <w:jc w:val="center"/>
              <w:rPr>
                <w:b/>
              </w:rPr>
            </w:pPr>
            <w:r>
              <w:rPr>
                <w:b/>
              </w:rPr>
              <w:t>Income Statement (In GBP)</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Years</w:t>
            </w:r>
          </w:p>
        </w:tc>
        <w:tc>
          <w:tcPr>
            <w:tcW w:w="1789" w:type="dxa"/>
            <w:tcBorders>
              <w:top w:val="nil"/>
              <w:left w:val="nil"/>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2024</w:t>
            </w:r>
          </w:p>
        </w:tc>
        <w:tc>
          <w:tcPr>
            <w:tcW w:w="1620" w:type="dxa"/>
            <w:tcBorders>
              <w:top w:val="nil"/>
              <w:left w:val="nil"/>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2025</w:t>
            </w:r>
          </w:p>
        </w:tc>
        <w:tc>
          <w:tcPr>
            <w:tcW w:w="1710" w:type="dxa"/>
            <w:tcBorders>
              <w:top w:val="nil"/>
              <w:left w:val="nil"/>
              <w:bottom w:val="single" w:sz="4" w:space="0" w:color="000000"/>
              <w:right w:val="single" w:sz="8" w:space="0" w:color="000000"/>
            </w:tcBorders>
            <w:shd w:val="clear" w:color="auto" w:fill="DDEBF7"/>
            <w:vAlign w:val="bottom"/>
          </w:tcPr>
          <w:p w:rsidR="00D77FB8" w:rsidRDefault="00CD5A00">
            <w:pPr>
              <w:pStyle w:val="normal0"/>
              <w:spacing w:before="0" w:after="0"/>
              <w:jc w:val="center"/>
              <w:rPr>
                <w:b/>
              </w:rPr>
            </w:pPr>
            <w:r>
              <w:rPr>
                <w:b/>
              </w:rPr>
              <w:t>2026</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Revenue</w:t>
            </w:r>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2,683,220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3,005,056</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3,315,263</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Room Sales</w:t>
            </w:r>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1,456,780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1,603,248</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1,743,813</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 xml:space="preserve">Food &amp; </w:t>
            </w:r>
            <w:proofErr w:type="spellStart"/>
            <w:r>
              <w:rPr>
                <w:b/>
              </w:rPr>
              <w:t>Beverge</w:t>
            </w:r>
            <w:proofErr w:type="spellEnd"/>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824,440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902,328</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983,413</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Co-working spaces</w:t>
            </w:r>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202,000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242,400</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283,200</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Event Packages</w:t>
            </w:r>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200,000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257,080</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314,837</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Cost of goods sold</w:t>
            </w:r>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233,100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253,344</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         274,589</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Employee cost</w:t>
            </w:r>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1,344,920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1,463,912</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      1,583,904</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External expenses</w:t>
            </w:r>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1,152,890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1,257,568</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      1,362,247</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Taxes and duties</w:t>
            </w:r>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97,590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107,784</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         118,079</w:t>
            </w:r>
          </w:p>
        </w:tc>
      </w:tr>
      <w:tr w:rsidR="00D77FB8">
        <w:trPr>
          <w:cantSplit/>
          <w:trHeight w:val="315"/>
          <w:tblHeader/>
          <w:jc w:val="center"/>
        </w:trPr>
        <w:tc>
          <w:tcPr>
            <w:tcW w:w="3151"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 xml:space="preserve">Depreciation &amp; </w:t>
            </w:r>
            <w:proofErr w:type="spellStart"/>
            <w:r>
              <w:rPr>
                <w:b/>
              </w:rPr>
              <w:t>amortisation</w:t>
            </w:r>
            <w:proofErr w:type="spellEnd"/>
          </w:p>
        </w:tc>
        <w:tc>
          <w:tcPr>
            <w:tcW w:w="1789"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711,590</w:t>
            </w:r>
          </w:p>
        </w:tc>
        <w:tc>
          <w:tcPr>
            <w:tcW w:w="162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761,912</w:t>
            </w:r>
          </w:p>
        </w:tc>
        <w:tc>
          <w:tcPr>
            <w:tcW w:w="1710"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         812,247</w:t>
            </w:r>
          </w:p>
        </w:tc>
      </w:tr>
      <w:tr w:rsidR="00D77FB8">
        <w:trPr>
          <w:cantSplit/>
          <w:trHeight w:val="330"/>
          <w:tblHeader/>
          <w:jc w:val="center"/>
        </w:trPr>
        <w:tc>
          <w:tcPr>
            <w:tcW w:w="3151"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Operation Income</w:t>
            </w:r>
          </w:p>
        </w:tc>
        <w:tc>
          <w:tcPr>
            <w:tcW w:w="1789"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             65,970</w:t>
            </w:r>
          </w:p>
        </w:tc>
        <w:tc>
          <w:tcPr>
            <w:tcW w:w="162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         143,912</w:t>
            </w:r>
          </w:p>
        </w:tc>
        <w:tc>
          <w:tcPr>
            <w:tcW w:w="1710"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pPr>
            <w:r>
              <w:t>45,197</w:t>
            </w:r>
          </w:p>
        </w:tc>
      </w:tr>
    </w:tbl>
    <w:p w:rsidR="00D77FB8" w:rsidRDefault="00D77FB8">
      <w:pPr>
        <w:pStyle w:val="normal0"/>
        <w:spacing w:before="0" w:after="0"/>
      </w:pPr>
    </w:p>
    <w:p w:rsidR="00D77FB8" w:rsidRDefault="00CD5A00">
      <w:pPr>
        <w:pStyle w:val="Heading2"/>
        <w:numPr>
          <w:ilvl w:val="1"/>
          <w:numId w:val="1"/>
        </w:numPr>
        <w:spacing w:before="0" w:after="0"/>
      </w:pPr>
      <w:bookmarkStart w:id="6" w:name="_3dy6vkm" w:colFirst="0" w:colLast="0"/>
      <w:bookmarkEnd w:id="6"/>
      <w:r>
        <w:t>Balance Sheet</w:t>
      </w:r>
    </w:p>
    <w:tbl>
      <w:tblPr>
        <w:tblStyle w:val="a0"/>
        <w:tblW w:w="8160" w:type="dxa"/>
        <w:jc w:val="center"/>
        <w:tblLayout w:type="fixed"/>
        <w:tblLook w:val="0400"/>
      </w:tblPr>
      <w:tblGrid>
        <w:gridCol w:w="3832"/>
        <w:gridCol w:w="1450"/>
        <w:gridCol w:w="1450"/>
        <w:gridCol w:w="1428"/>
      </w:tblGrid>
      <w:tr w:rsidR="00D77FB8">
        <w:trPr>
          <w:cantSplit/>
          <w:trHeight w:val="330"/>
          <w:tblHeader/>
          <w:jc w:val="center"/>
        </w:trPr>
        <w:tc>
          <w:tcPr>
            <w:tcW w:w="8160" w:type="dxa"/>
            <w:gridSpan w:val="4"/>
            <w:tcBorders>
              <w:top w:val="single" w:sz="8" w:space="0" w:color="000000"/>
              <w:left w:val="single" w:sz="8" w:space="0" w:color="000000"/>
              <w:bottom w:val="single" w:sz="8" w:space="0" w:color="000000"/>
              <w:right w:val="single" w:sz="8" w:space="0" w:color="000000"/>
            </w:tcBorders>
            <w:shd w:val="clear" w:color="auto" w:fill="5B9BD5"/>
            <w:vAlign w:val="bottom"/>
          </w:tcPr>
          <w:p w:rsidR="00D77FB8" w:rsidRDefault="00CD5A00">
            <w:pPr>
              <w:pStyle w:val="normal0"/>
              <w:spacing w:before="0" w:after="0"/>
              <w:jc w:val="center"/>
              <w:rPr>
                <w:b/>
              </w:rPr>
            </w:pPr>
            <w:r>
              <w:rPr>
                <w:b/>
              </w:rPr>
              <w:t>Balance Sheet (In GBP)</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Years</w:t>
            </w:r>
          </w:p>
        </w:tc>
        <w:tc>
          <w:tcPr>
            <w:tcW w:w="1450" w:type="dxa"/>
            <w:tcBorders>
              <w:top w:val="nil"/>
              <w:left w:val="nil"/>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2,024</w:t>
            </w:r>
          </w:p>
        </w:tc>
        <w:tc>
          <w:tcPr>
            <w:tcW w:w="1450" w:type="dxa"/>
            <w:tcBorders>
              <w:top w:val="nil"/>
              <w:left w:val="nil"/>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2,025</w:t>
            </w:r>
          </w:p>
        </w:tc>
        <w:tc>
          <w:tcPr>
            <w:tcW w:w="1428" w:type="dxa"/>
            <w:tcBorders>
              <w:top w:val="nil"/>
              <w:left w:val="nil"/>
              <w:bottom w:val="single" w:sz="8" w:space="0" w:color="000000"/>
              <w:right w:val="single" w:sz="8" w:space="0" w:color="000000"/>
            </w:tcBorders>
            <w:shd w:val="clear" w:color="auto" w:fill="DDEBF7"/>
            <w:vAlign w:val="bottom"/>
          </w:tcPr>
          <w:p w:rsidR="00D77FB8" w:rsidRDefault="00CD5A00">
            <w:pPr>
              <w:pStyle w:val="normal0"/>
              <w:spacing w:before="0" w:after="0"/>
              <w:jc w:val="center"/>
              <w:rPr>
                <w:b/>
              </w:rPr>
            </w:pPr>
            <w:r>
              <w:rPr>
                <w:b/>
              </w:rPr>
              <w:t>2,026</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Goodwill</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4,558,200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4,558,200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4,558,200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Other intangible assets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1,894,250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1,914,250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1,934,250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Property, plant and equipment</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3,574,710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3,574,710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3,574,710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Right of use</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3,621,810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3,621,810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3,621,810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Investments in associates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59,850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59,850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59,850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Non-current financial assets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77,190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77,190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77,190</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pPr>
            <w:r>
              <w:t>Deferred tax assets</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602,040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652,040</w:t>
            </w:r>
          </w:p>
        </w:tc>
        <w:tc>
          <w:tcPr>
            <w:tcW w:w="1428"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pPr>
            <w:r>
              <w:t>702,040</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Total Non-current Assets</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14,388,050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14,458,050</w:t>
            </w:r>
          </w:p>
        </w:tc>
        <w:tc>
          <w:tcPr>
            <w:tcW w:w="1428"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rPr>
                <w:b/>
              </w:rPr>
            </w:pPr>
            <w:r>
              <w:rPr>
                <w:b/>
              </w:rPr>
              <w:t>14,528,050</w:t>
            </w:r>
          </w:p>
        </w:tc>
      </w:tr>
      <w:tr w:rsidR="00D77FB8">
        <w:trPr>
          <w:cantSplit/>
          <w:trHeight w:val="330"/>
          <w:tblHeader/>
          <w:jc w:val="center"/>
        </w:trPr>
        <w:tc>
          <w:tcPr>
            <w:tcW w:w="3832" w:type="dxa"/>
            <w:tcBorders>
              <w:top w:val="nil"/>
              <w:left w:val="nil"/>
              <w:bottom w:val="nil"/>
              <w:right w:val="nil"/>
            </w:tcBorders>
            <w:shd w:val="clear" w:color="auto" w:fill="auto"/>
            <w:vAlign w:val="bottom"/>
          </w:tcPr>
          <w:p w:rsidR="00D77FB8" w:rsidRDefault="00D77FB8">
            <w:pPr>
              <w:pStyle w:val="normal0"/>
              <w:spacing w:before="0" w:after="0"/>
              <w:jc w:val="center"/>
              <w:rPr>
                <w:b/>
              </w:rP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28" w:type="dxa"/>
            <w:tcBorders>
              <w:top w:val="nil"/>
              <w:left w:val="nil"/>
              <w:bottom w:val="nil"/>
              <w:right w:val="nil"/>
            </w:tcBorders>
            <w:shd w:val="clear" w:color="auto" w:fill="auto"/>
            <w:vAlign w:val="bottom"/>
          </w:tcPr>
          <w:p w:rsidR="00D77FB8" w:rsidRDefault="00D77FB8">
            <w:pPr>
              <w:pStyle w:val="normal0"/>
              <w:spacing w:before="0" w:after="0"/>
              <w:jc w:val="center"/>
            </w:pPr>
          </w:p>
        </w:tc>
      </w:tr>
      <w:tr w:rsidR="00D77FB8">
        <w:trPr>
          <w:cantSplit/>
          <w:trHeight w:val="315"/>
          <w:tblHeader/>
          <w:jc w:val="center"/>
        </w:trPr>
        <w:tc>
          <w:tcPr>
            <w:tcW w:w="3832" w:type="dxa"/>
            <w:tcBorders>
              <w:top w:val="single" w:sz="8" w:space="0" w:color="000000"/>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Inventories</w:t>
            </w:r>
          </w:p>
        </w:tc>
        <w:tc>
          <w:tcPr>
            <w:tcW w:w="1450" w:type="dxa"/>
            <w:tcBorders>
              <w:top w:val="single" w:sz="8" w:space="0" w:color="000000"/>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32,470</w:t>
            </w:r>
          </w:p>
        </w:tc>
        <w:tc>
          <w:tcPr>
            <w:tcW w:w="1450" w:type="dxa"/>
            <w:tcBorders>
              <w:top w:val="single" w:sz="8" w:space="0" w:color="000000"/>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35,230</w:t>
            </w:r>
          </w:p>
        </w:tc>
        <w:tc>
          <w:tcPr>
            <w:tcW w:w="1428" w:type="dxa"/>
            <w:tcBorders>
              <w:top w:val="single" w:sz="8" w:space="0" w:color="000000"/>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37,230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Trade receivables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479,180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522,180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573,180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Current tax assets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73,490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83,490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93,490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Other receivables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291,270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321,270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351,270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Current financial assets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116,950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127,050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137,050</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pPr>
            <w:r>
              <w:t>Cash and cash equivalents</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295,510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341,620</w:t>
            </w:r>
          </w:p>
        </w:tc>
        <w:tc>
          <w:tcPr>
            <w:tcW w:w="1428"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pPr>
            <w:r>
              <w:t>391,620</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Total Current Assets</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1,288,870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1,430,840</w:t>
            </w:r>
          </w:p>
        </w:tc>
        <w:tc>
          <w:tcPr>
            <w:tcW w:w="1428"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rPr>
                <w:b/>
              </w:rPr>
            </w:pPr>
            <w:r>
              <w:rPr>
                <w:b/>
              </w:rPr>
              <w:t>1,583,840</w:t>
            </w:r>
          </w:p>
        </w:tc>
      </w:tr>
      <w:tr w:rsidR="00D77FB8">
        <w:trPr>
          <w:cantSplit/>
          <w:trHeight w:val="330"/>
          <w:tblHeader/>
          <w:jc w:val="center"/>
        </w:trPr>
        <w:tc>
          <w:tcPr>
            <w:tcW w:w="3832" w:type="dxa"/>
            <w:tcBorders>
              <w:top w:val="nil"/>
              <w:left w:val="nil"/>
              <w:bottom w:val="nil"/>
              <w:right w:val="nil"/>
            </w:tcBorders>
            <w:shd w:val="clear" w:color="auto" w:fill="auto"/>
            <w:vAlign w:val="bottom"/>
          </w:tcPr>
          <w:p w:rsidR="00D77FB8" w:rsidRDefault="00D77FB8">
            <w:pPr>
              <w:pStyle w:val="normal0"/>
              <w:spacing w:before="0" w:after="0"/>
              <w:jc w:val="center"/>
              <w:rPr>
                <w:b/>
              </w:rP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28" w:type="dxa"/>
            <w:tcBorders>
              <w:top w:val="nil"/>
              <w:left w:val="nil"/>
              <w:bottom w:val="nil"/>
              <w:right w:val="nil"/>
            </w:tcBorders>
            <w:shd w:val="clear" w:color="auto" w:fill="auto"/>
            <w:vAlign w:val="bottom"/>
          </w:tcPr>
          <w:p w:rsidR="00D77FB8" w:rsidRDefault="00D77FB8">
            <w:pPr>
              <w:pStyle w:val="normal0"/>
              <w:spacing w:before="0" w:after="0"/>
              <w:jc w:val="center"/>
            </w:pPr>
          </w:p>
        </w:tc>
      </w:tr>
      <w:tr w:rsidR="00D77FB8">
        <w:trPr>
          <w:cantSplit/>
          <w:trHeight w:val="330"/>
          <w:tblHeader/>
          <w:jc w:val="center"/>
        </w:trPr>
        <w:tc>
          <w:tcPr>
            <w:tcW w:w="3832" w:type="dxa"/>
            <w:tcBorders>
              <w:top w:val="single" w:sz="8" w:space="0" w:color="000000"/>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Total Assets</w:t>
            </w:r>
          </w:p>
        </w:tc>
        <w:tc>
          <w:tcPr>
            <w:tcW w:w="1450" w:type="dxa"/>
            <w:tcBorders>
              <w:top w:val="single" w:sz="8" w:space="0" w:color="000000"/>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15,676,920</w:t>
            </w:r>
          </w:p>
        </w:tc>
        <w:tc>
          <w:tcPr>
            <w:tcW w:w="1450" w:type="dxa"/>
            <w:tcBorders>
              <w:top w:val="single" w:sz="8" w:space="0" w:color="000000"/>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15,888,890</w:t>
            </w:r>
          </w:p>
        </w:tc>
        <w:tc>
          <w:tcPr>
            <w:tcW w:w="1428" w:type="dxa"/>
            <w:tcBorders>
              <w:top w:val="single" w:sz="8" w:space="0" w:color="000000"/>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rPr>
                <w:b/>
              </w:rPr>
            </w:pPr>
            <w:r>
              <w:rPr>
                <w:b/>
              </w:rPr>
              <w:t>16,111,890</w:t>
            </w:r>
          </w:p>
        </w:tc>
      </w:tr>
      <w:tr w:rsidR="00D77FB8">
        <w:trPr>
          <w:cantSplit/>
          <w:trHeight w:val="330"/>
          <w:tblHeader/>
          <w:jc w:val="center"/>
        </w:trPr>
        <w:tc>
          <w:tcPr>
            <w:tcW w:w="3832" w:type="dxa"/>
            <w:tcBorders>
              <w:top w:val="nil"/>
              <w:left w:val="nil"/>
              <w:bottom w:val="nil"/>
              <w:right w:val="nil"/>
            </w:tcBorders>
            <w:shd w:val="clear" w:color="auto" w:fill="auto"/>
            <w:vAlign w:val="bottom"/>
          </w:tcPr>
          <w:p w:rsidR="00D77FB8" w:rsidRDefault="00D77FB8">
            <w:pPr>
              <w:pStyle w:val="normal0"/>
              <w:spacing w:before="0" w:after="0"/>
              <w:jc w:val="center"/>
              <w:rPr>
                <w:b/>
              </w:rP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28" w:type="dxa"/>
            <w:tcBorders>
              <w:top w:val="nil"/>
              <w:left w:val="nil"/>
              <w:bottom w:val="nil"/>
              <w:right w:val="nil"/>
            </w:tcBorders>
            <w:shd w:val="clear" w:color="auto" w:fill="auto"/>
            <w:vAlign w:val="bottom"/>
          </w:tcPr>
          <w:p w:rsidR="00D77FB8" w:rsidRDefault="00D77FB8">
            <w:pPr>
              <w:pStyle w:val="normal0"/>
              <w:spacing w:before="0" w:after="0"/>
              <w:jc w:val="center"/>
            </w:pPr>
          </w:p>
        </w:tc>
      </w:tr>
      <w:tr w:rsidR="00D77FB8">
        <w:trPr>
          <w:cantSplit/>
          <w:trHeight w:val="315"/>
          <w:tblHeader/>
          <w:jc w:val="center"/>
        </w:trPr>
        <w:tc>
          <w:tcPr>
            <w:tcW w:w="3832" w:type="dxa"/>
            <w:tcBorders>
              <w:top w:val="single" w:sz="8" w:space="0" w:color="000000"/>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Share capital</w:t>
            </w:r>
          </w:p>
        </w:tc>
        <w:tc>
          <w:tcPr>
            <w:tcW w:w="1450" w:type="dxa"/>
            <w:tcBorders>
              <w:top w:val="single" w:sz="8" w:space="0" w:color="000000"/>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2,620,370</w:t>
            </w:r>
          </w:p>
        </w:tc>
        <w:tc>
          <w:tcPr>
            <w:tcW w:w="1450" w:type="dxa"/>
            <w:tcBorders>
              <w:top w:val="single" w:sz="8" w:space="0" w:color="000000"/>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2,620,370</w:t>
            </w:r>
          </w:p>
        </w:tc>
        <w:tc>
          <w:tcPr>
            <w:tcW w:w="1428" w:type="dxa"/>
            <w:tcBorders>
              <w:top w:val="single" w:sz="8" w:space="0" w:color="000000"/>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2,620,370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Retained earnings and other reserves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151,050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        143,912</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257,080</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pPr>
            <w:r>
              <w:t>Net Income for the year</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        651,970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257,080</w:t>
            </w:r>
          </w:p>
        </w:tc>
        <w:tc>
          <w:tcPr>
            <w:tcW w:w="1428"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pPr>
            <w:r>
              <w:t>45,197</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Total Equity</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1,817,350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2,733,538</w:t>
            </w:r>
          </w:p>
        </w:tc>
        <w:tc>
          <w:tcPr>
            <w:tcW w:w="1428" w:type="dxa"/>
            <w:tcBorders>
              <w:top w:val="nil"/>
              <w:left w:val="single" w:sz="8" w:space="0" w:color="000000"/>
              <w:bottom w:val="single" w:sz="8" w:space="0" w:color="000000"/>
              <w:right w:val="single" w:sz="8" w:space="0" w:color="000000"/>
            </w:tcBorders>
            <w:shd w:val="clear" w:color="auto" w:fill="auto"/>
            <w:vAlign w:val="bottom"/>
          </w:tcPr>
          <w:p w:rsidR="00D77FB8" w:rsidRDefault="00CD5A00">
            <w:pPr>
              <w:pStyle w:val="normal0"/>
              <w:spacing w:before="0" w:after="0"/>
              <w:jc w:val="center"/>
              <w:rPr>
                <w:b/>
              </w:rPr>
            </w:pPr>
            <w:r>
              <w:rPr>
                <w:b/>
              </w:rPr>
              <w:t>2,922,647</w:t>
            </w:r>
          </w:p>
        </w:tc>
      </w:tr>
      <w:tr w:rsidR="00D77FB8">
        <w:trPr>
          <w:cantSplit/>
          <w:trHeight w:val="330"/>
          <w:tblHeader/>
          <w:jc w:val="center"/>
        </w:trPr>
        <w:tc>
          <w:tcPr>
            <w:tcW w:w="3832" w:type="dxa"/>
            <w:tcBorders>
              <w:top w:val="nil"/>
              <w:left w:val="nil"/>
              <w:bottom w:val="nil"/>
              <w:right w:val="nil"/>
            </w:tcBorders>
            <w:shd w:val="clear" w:color="auto" w:fill="auto"/>
            <w:vAlign w:val="bottom"/>
          </w:tcPr>
          <w:p w:rsidR="00D77FB8" w:rsidRDefault="00D77FB8">
            <w:pPr>
              <w:pStyle w:val="normal0"/>
              <w:spacing w:before="0" w:after="0"/>
              <w:jc w:val="center"/>
              <w:rPr>
                <w:b/>
              </w:rP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28" w:type="dxa"/>
            <w:tcBorders>
              <w:top w:val="nil"/>
              <w:left w:val="nil"/>
              <w:bottom w:val="nil"/>
              <w:right w:val="nil"/>
            </w:tcBorders>
            <w:shd w:val="clear" w:color="auto" w:fill="auto"/>
            <w:vAlign w:val="bottom"/>
          </w:tcPr>
          <w:p w:rsidR="00D77FB8" w:rsidRDefault="00D77FB8">
            <w:pPr>
              <w:pStyle w:val="normal0"/>
              <w:spacing w:before="0" w:after="0"/>
              <w:jc w:val="center"/>
            </w:pPr>
          </w:p>
        </w:tc>
      </w:tr>
      <w:tr w:rsidR="00D77FB8">
        <w:trPr>
          <w:cantSplit/>
          <w:trHeight w:val="315"/>
          <w:tblHeader/>
          <w:jc w:val="center"/>
        </w:trPr>
        <w:tc>
          <w:tcPr>
            <w:tcW w:w="3832" w:type="dxa"/>
            <w:tcBorders>
              <w:top w:val="single" w:sz="8" w:space="0" w:color="000000"/>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Long-term borrowing</w:t>
            </w:r>
          </w:p>
        </w:tc>
        <w:tc>
          <w:tcPr>
            <w:tcW w:w="1450" w:type="dxa"/>
            <w:tcBorders>
              <w:top w:val="single" w:sz="8" w:space="0" w:color="000000"/>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8,290,570</w:t>
            </w:r>
          </w:p>
        </w:tc>
        <w:tc>
          <w:tcPr>
            <w:tcW w:w="1450" w:type="dxa"/>
            <w:tcBorders>
              <w:top w:val="single" w:sz="8" w:space="0" w:color="000000"/>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8,313,590</w:t>
            </w:r>
          </w:p>
        </w:tc>
        <w:tc>
          <w:tcPr>
            <w:tcW w:w="1428" w:type="dxa"/>
            <w:tcBorders>
              <w:top w:val="single" w:sz="8" w:space="0" w:color="000000"/>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8,378,590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Long-term lease dept</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3,353,260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3,453,260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3,553,260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Retirement benefit provisions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124,160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134,160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144,160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Other non-current provisions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35,930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40,930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45,930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Deferred tax liabilities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345,760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365,760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385,760</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pPr>
            <w:r>
              <w:t>Other non-current liabilities</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79,110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89,110</w:t>
            </w:r>
          </w:p>
        </w:tc>
        <w:tc>
          <w:tcPr>
            <w:tcW w:w="1428"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pPr>
            <w:r>
              <w:t>99,110</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Total Non-current Liabilities</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12,228,790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12,396,810</w:t>
            </w:r>
          </w:p>
        </w:tc>
        <w:tc>
          <w:tcPr>
            <w:tcW w:w="1428"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rPr>
                <w:b/>
              </w:rPr>
            </w:pPr>
            <w:r>
              <w:rPr>
                <w:b/>
              </w:rPr>
              <w:t>12,606,810</w:t>
            </w:r>
          </w:p>
        </w:tc>
      </w:tr>
      <w:tr w:rsidR="00D77FB8">
        <w:trPr>
          <w:cantSplit/>
          <w:trHeight w:val="330"/>
          <w:tblHeader/>
          <w:jc w:val="center"/>
        </w:trPr>
        <w:tc>
          <w:tcPr>
            <w:tcW w:w="3832" w:type="dxa"/>
            <w:tcBorders>
              <w:top w:val="nil"/>
              <w:left w:val="nil"/>
              <w:bottom w:val="nil"/>
              <w:right w:val="nil"/>
            </w:tcBorders>
            <w:shd w:val="clear" w:color="auto" w:fill="auto"/>
            <w:vAlign w:val="bottom"/>
          </w:tcPr>
          <w:p w:rsidR="00D77FB8" w:rsidRDefault="00D77FB8">
            <w:pPr>
              <w:pStyle w:val="normal0"/>
              <w:spacing w:before="0" w:after="0"/>
              <w:jc w:val="center"/>
              <w:rPr>
                <w:b/>
              </w:rP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28" w:type="dxa"/>
            <w:tcBorders>
              <w:top w:val="nil"/>
              <w:left w:val="nil"/>
              <w:bottom w:val="nil"/>
              <w:right w:val="nil"/>
            </w:tcBorders>
            <w:shd w:val="clear" w:color="auto" w:fill="auto"/>
            <w:vAlign w:val="bottom"/>
          </w:tcPr>
          <w:p w:rsidR="00D77FB8" w:rsidRDefault="00D77FB8">
            <w:pPr>
              <w:pStyle w:val="normal0"/>
              <w:spacing w:before="0" w:after="0"/>
              <w:jc w:val="center"/>
            </w:pPr>
          </w:p>
        </w:tc>
      </w:tr>
      <w:tr w:rsidR="00D77FB8">
        <w:trPr>
          <w:cantSplit/>
          <w:trHeight w:val="315"/>
          <w:tblHeader/>
          <w:jc w:val="center"/>
        </w:trPr>
        <w:tc>
          <w:tcPr>
            <w:tcW w:w="3832" w:type="dxa"/>
            <w:tcBorders>
              <w:top w:val="single" w:sz="8" w:space="0" w:color="000000"/>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Short-term borrowings</w:t>
            </w:r>
          </w:p>
        </w:tc>
        <w:tc>
          <w:tcPr>
            <w:tcW w:w="1450" w:type="dxa"/>
            <w:tcBorders>
              <w:top w:val="single" w:sz="8" w:space="0" w:color="000000"/>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475,050</w:t>
            </w:r>
          </w:p>
        </w:tc>
        <w:tc>
          <w:tcPr>
            <w:tcW w:w="1450" w:type="dxa"/>
            <w:tcBorders>
              <w:top w:val="single" w:sz="8" w:space="0" w:color="000000"/>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425,050</w:t>
            </w:r>
          </w:p>
        </w:tc>
        <w:tc>
          <w:tcPr>
            <w:tcW w:w="1428" w:type="dxa"/>
            <w:tcBorders>
              <w:top w:val="single" w:sz="8" w:space="0" w:color="000000"/>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375,050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Short-term lease debt</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301,220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321,220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341,220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Other current provisions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12,280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17,280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22,280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Trade payables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401,350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441,350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481,350</w:t>
            </w:r>
          </w:p>
        </w:tc>
      </w:tr>
      <w:tr w:rsidR="00D77FB8">
        <w:trPr>
          <w:cantSplit/>
          <w:trHeight w:val="315"/>
          <w:tblHeader/>
          <w:jc w:val="center"/>
        </w:trPr>
        <w:tc>
          <w:tcPr>
            <w:tcW w:w="3832" w:type="dxa"/>
            <w:tcBorders>
              <w:top w:val="nil"/>
              <w:left w:val="single" w:sz="8" w:space="0" w:color="000000"/>
              <w:bottom w:val="single" w:sz="4" w:space="0" w:color="000000"/>
              <w:right w:val="single" w:sz="4" w:space="0" w:color="000000"/>
            </w:tcBorders>
            <w:shd w:val="clear" w:color="auto" w:fill="DDEBF7"/>
            <w:vAlign w:val="bottom"/>
          </w:tcPr>
          <w:p w:rsidR="00D77FB8" w:rsidRDefault="00CD5A00">
            <w:pPr>
              <w:pStyle w:val="normal0"/>
              <w:spacing w:before="0" w:after="0"/>
              <w:jc w:val="center"/>
            </w:pPr>
            <w:r>
              <w:t>Current tax liabilities</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27,170</w:t>
            </w:r>
          </w:p>
        </w:tc>
        <w:tc>
          <w:tcPr>
            <w:tcW w:w="1450" w:type="dxa"/>
            <w:tcBorders>
              <w:top w:val="nil"/>
              <w:left w:val="nil"/>
              <w:bottom w:val="single" w:sz="4" w:space="0" w:color="000000"/>
              <w:right w:val="single" w:sz="4" w:space="0" w:color="000000"/>
            </w:tcBorders>
            <w:shd w:val="clear" w:color="auto" w:fill="auto"/>
            <w:vAlign w:val="bottom"/>
          </w:tcPr>
          <w:p w:rsidR="00D77FB8" w:rsidRDefault="00CD5A00">
            <w:pPr>
              <w:pStyle w:val="normal0"/>
              <w:spacing w:before="0" w:after="0"/>
              <w:jc w:val="center"/>
            </w:pPr>
            <w:r>
              <w:t>37,170</w:t>
            </w:r>
          </w:p>
        </w:tc>
        <w:tc>
          <w:tcPr>
            <w:tcW w:w="1428" w:type="dxa"/>
            <w:tcBorders>
              <w:top w:val="nil"/>
              <w:left w:val="nil"/>
              <w:bottom w:val="single" w:sz="4" w:space="0" w:color="000000"/>
              <w:right w:val="single" w:sz="8" w:space="0" w:color="000000"/>
            </w:tcBorders>
            <w:shd w:val="clear" w:color="auto" w:fill="auto"/>
            <w:vAlign w:val="bottom"/>
          </w:tcPr>
          <w:p w:rsidR="00D77FB8" w:rsidRDefault="00CD5A00">
            <w:pPr>
              <w:pStyle w:val="normal0"/>
              <w:spacing w:before="0" w:after="0"/>
              <w:jc w:val="center"/>
            </w:pPr>
            <w:r>
              <w:t>47,170</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pPr>
            <w:r>
              <w:t>Other liabilities</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797,640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pPr>
            <w:r>
              <w:t>817,640</w:t>
            </w:r>
          </w:p>
        </w:tc>
        <w:tc>
          <w:tcPr>
            <w:tcW w:w="1428"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pPr>
            <w:r>
              <w:t>837,640</w:t>
            </w:r>
          </w:p>
        </w:tc>
      </w:tr>
      <w:tr w:rsidR="00D77FB8">
        <w:trPr>
          <w:cantSplit/>
          <w:trHeight w:val="330"/>
          <w:tblHeader/>
          <w:jc w:val="center"/>
        </w:trPr>
        <w:tc>
          <w:tcPr>
            <w:tcW w:w="3832" w:type="dxa"/>
            <w:tcBorders>
              <w:top w:val="nil"/>
              <w:left w:val="single" w:sz="8" w:space="0" w:color="000000"/>
              <w:bottom w:val="single" w:sz="8" w:space="0" w:color="000000"/>
              <w:right w:val="single" w:sz="4" w:space="0" w:color="000000"/>
            </w:tcBorders>
            <w:shd w:val="clear" w:color="auto" w:fill="DDEBF7"/>
            <w:vAlign w:val="bottom"/>
          </w:tcPr>
          <w:p w:rsidR="00D77FB8" w:rsidRDefault="00CD5A00">
            <w:pPr>
              <w:pStyle w:val="normal0"/>
              <w:spacing w:before="0" w:after="0"/>
              <w:jc w:val="center"/>
              <w:rPr>
                <w:b/>
              </w:rPr>
            </w:pPr>
            <w:r>
              <w:rPr>
                <w:b/>
              </w:rPr>
              <w:t>Total Current Liabilities</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2,014,710</w:t>
            </w:r>
          </w:p>
        </w:tc>
        <w:tc>
          <w:tcPr>
            <w:tcW w:w="1450" w:type="dxa"/>
            <w:tcBorders>
              <w:top w:val="nil"/>
              <w:left w:val="nil"/>
              <w:bottom w:val="single" w:sz="8" w:space="0" w:color="000000"/>
              <w:right w:val="single" w:sz="4" w:space="0" w:color="000000"/>
            </w:tcBorders>
            <w:shd w:val="clear" w:color="auto" w:fill="auto"/>
            <w:vAlign w:val="bottom"/>
          </w:tcPr>
          <w:p w:rsidR="00D77FB8" w:rsidRDefault="00CD5A00">
            <w:pPr>
              <w:pStyle w:val="normal0"/>
              <w:spacing w:before="0" w:after="0"/>
              <w:jc w:val="center"/>
              <w:rPr>
                <w:b/>
              </w:rPr>
            </w:pPr>
            <w:r>
              <w:rPr>
                <w:b/>
              </w:rPr>
              <w:t>2,059,710</w:t>
            </w:r>
          </w:p>
        </w:tc>
        <w:tc>
          <w:tcPr>
            <w:tcW w:w="1428" w:type="dxa"/>
            <w:tcBorders>
              <w:top w:val="nil"/>
              <w:left w:val="nil"/>
              <w:bottom w:val="single" w:sz="8" w:space="0" w:color="000000"/>
              <w:right w:val="single" w:sz="8" w:space="0" w:color="000000"/>
            </w:tcBorders>
            <w:shd w:val="clear" w:color="auto" w:fill="auto"/>
            <w:vAlign w:val="bottom"/>
          </w:tcPr>
          <w:p w:rsidR="00D77FB8" w:rsidRDefault="00CD5A00">
            <w:pPr>
              <w:pStyle w:val="normal0"/>
              <w:spacing w:before="0" w:after="0"/>
              <w:jc w:val="center"/>
              <w:rPr>
                <w:b/>
              </w:rPr>
            </w:pPr>
            <w:r>
              <w:rPr>
                <w:b/>
              </w:rPr>
              <w:t>2,104,710</w:t>
            </w:r>
          </w:p>
        </w:tc>
      </w:tr>
      <w:tr w:rsidR="00D77FB8">
        <w:trPr>
          <w:cantSplit/>
          <w:trHeight w:val="330"/>
          <w:tblHeader/>
          <w:jc w:val="center"/>
        </w:trPr>
        <w:tc>
          <w:tcPr>
            <w:tcW w:w="3832" w:type="dxa"/>
            <w:tcBorders>
              <w:top w:val="nil"/>
              <w:left w:val="nil"/>
              <w:bottom w:val="nil"/>
              <w:right w:val="nil"/>
            </w:tcBorders>
            <w:shd w:val="clear" w:color="auto" w:fill="auto"/>
            <w:vAlign w:val="bottom"/>
          </w:tcPr>
          <w:p w:rsidR="00D77FB8" w:rsidRDefault="00D77FB8">
            <w:pPr>
              <w:pStyle w:val="normal0"/>
              <w:spacing w:before="0" w:after="0"/>
              <w:jc w:val="center"/>
              <w:rPr>
                <w:b/>
              </w:rP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50" w:type="dxa"/>
            <w:tcBorders>
              <w:top w:val="nil"/>
              <w:left w:val="nil"/>
              <w:bottom w:val="nil"/>
              <w:right w:val="nil"/>
            </w:tcBorders>
            <w:shd w:val="clear" w:color="auto" w:fill="auto"/>
            <w:vAlign w:val="bottom"/>
          </w:tcPr>
          <w:p w:rsidR="00D77FB8" w:rsidRDefault="00D77FB8">
            <w:pPr>
              <w:pStyle w:val="normal0"/>
              <w:spacing w:before="0" w:after="0"/>
              <w:jc w:val="center"/>
            </w:pPr>
          </w:p>
        </w:tc>
        <w:tc>
          <w:tcPr>
            <w:tcW w:w="1428" w:type="dxa"/>
            <w:tcBorders>
              <w:top w:val="nil"/>
              <w:left w:val="nil"/>
              <w:bottom w:val="nil"/>
              <w:right w:val="nil"/>
            </w:tcBorders>
            <w:shd w:val="clear" w:color="auto" w:fill="auto"/>
            <w:vAlign w:val="bottom"/>
          </w:tcPr>
          <w:p w:rsidR="00D77FB8" w:rsidRDefault="00D77FB8">
            <w:pPr>
              <w:pStyle w:val="normal0"/>
              <w:spacing w:before="0" w:after="0"/>
              <w:jc w:val="center"/>
            </w:pPr>
          </w:p>
        </w:tc>
      </w:tr>
      <w:tr w:rsidR="00D77FB8">
        <w:trPr>
          <w:cantSplit/>
          <w:trHeight w:val="330"/>
          <w:tblHeader/>
          <w:jc w:val="center"/>
        </w:trPr>
        <w:tc>
          <w:tcPr>
            <w:tcW w:w="3832" w:type="dxa"/>
            <w:tcBorders>
              <w:top w:val="single" w:sz="8" w:space="0" w:color="000000"/>
              <w:left w:val="single" w:sz="8" w:space="0" w:color="000000"/>
              <w:bottom w:val="single" w:sz="8" w:space="0" w:color="000000"/>
              <w:right w:val="single" w:sz="4" w:space="0" w:color="000000"/>
            </w:tcBorders>
            <w:shd w:val="clear" w:color="auto" w:fill="5B9BD5"/>
            <w:vAlign w:val="bottom"/>
          </w:tcPr>
          <w:p w:rsidR="00D77FB8" w:rsidRDefault="00CD5A00">
            <w:pPr>
              <w:pStyle w:val="normal0"/>
              <w:spacing w:before="0" w:after="0"/>
              <w:jc w:val="center"/>
              <w:rPr>
                <w:b/>
              </w:rPr>
            </w:pPr>
            <w:r>
              <w:rPr>
                <w:b/>
              </w:rPr>
              <w:t>Total Equity and Liabilities</w:t>
            </w:r>
          </w:p>
        </w:tc>
        <w:tc>
          <w:tcPr>
            <w:tcW w:w="1450" w:type="dxa"/>
            <w:tcBorders>
              <w:top w:val="single" w:sz="8" w:space="0" w:color="000000"/>
              <w:left w:val="nil"/>
              <w:bottom w:val="single" w:sz="8" w:space="0" w:color="000000"/>
              <w:right w:val="single" w:sz="4" w:space="0" w:color="000000"/>
            </w:tcBorders>
            <w:shd w:val="clear" w:color="auto" w:fill="5B9BD5"/>
            <w:vAlign w:val="bottom"/>
          </w:tcPr>
          <w:p w:rsidR="00D77FB8" w:rsidRDefault="00CD5A00">
            <w:pPr>
              <w:pStyle w:val="normal0"/>
              <w:spacing w:before="0" w:after="0"/>
              <w:jc w:val="center"/>
              <w:rPr>
                <w:b/>
              </w:rPr>
            </w:pPr>
            <w:r>
              <w:rPr>
                <w:b/>
              </w:rPr>
              <w:t>16,060,850</w:t>
            </w:r>
          </w:p>
        </w:tc>
        <w:tc>
          <w:tcPr>
            <w:tcW w:w="1450" w:type="dxa"/>
            <w:tcBorders>
              <w:top w:val="single" w:sz="8" w:space="0" w:color="000000"/>
              <w:left w:val="nil"/>
              <w:bottom w:val="single" w:sz="8" w:space="0" w:color="000000"/>
              <w:right w:val="single" w:sz="4" w:space="0" w:color="000000"/>
            </w:tcBorders>
            <w:shd w:val="clear" w:color="auto" w:fill="5B9BD5"/>
            <w:vAlign w:val="bottom"/>
          </w:tcPr>
          <w:p w:rsidR="00D77FB8" w:rsidRDefault="00CD5A00">
            <w:pPr>
              <w:pStyle w:val="normal0"/>
              <w:spacing w:before="0" w:after="0"/>
              <w:jc w:val="center"/>
              <w:rPr>
                <w:b/>
              </w:rPr>
            </w:pPr>
            <w:r>
              <w:rPr>
                <w:b/>
              </w:rPr>
              <w:t>17,190,058</w:t>
            </w:r>
          </w:p>
        </w:tc>
        <w:tc>
          <w:tcPr>
            <w:tcW w:w="1428" w:type="dxa"/>
            <w:tcBorders>
              <w:top w:val="single" w:sz="8" w:space="0" w:color="000000"/>
              <w:left w:val="nil"/>
              <w:bottom w:val="single" w:sz="8" w:space="0" w:color="000000"/>
              <w:right w:val="single" w:sz="8" w:space="0" w:color="000000"/>
            </w:tcBorders>
            <w:shd w:val="clear" w:color="auto" w:fill="5B9BD5"/>
            <w:vAlign w:val="bottom"/>
          </w:tcPr>
          <w:p w:rsidR="00D77FB8" w:rsidRDefault="00CD5A00">
            <w:pPr>
              <w:pStyle w:val="normal0"/>
              <w:spacing w:before="0" w:after="0"/>
              <w:jc w:val="center"/>
              <w:rPr>
                <w:b/>
              </w:rPr>
            </w:pPr>
            <w:r>
              <w:rPr>
                <w:b/>
              </w:rPr>
              <w:t>17,634,167</w:t>
            </w:r>
          </w:p>
        </w:tc>
      </w:tr>
    </w:tbl>
    <w:p w:rsidR="00D77FB8" w:rsidRDefault="00D77FB8">
      <w:pPr>
        <w:pStyle w:val="normal0"/>
        <w:spacing w:before="0" w:after="0"/>
      </w:pPr>
    </w:p>
    <w:p w:rsidR="00D77FB8" w:rsidRDefault="00CD5A00">
      <w:pPr>
        <w:pStyle w:val="Heading1"/>
        <w:numPr>
          <w:ilvl w:val="0"/>
          <w:numId w:val="1"/>
        </w:numPr>
        <w:spacing w:before="0" w:after="0"/>
      </w:pPr>
      <w:bookmarkStart w:id="7" w:name="_1t3h5sf" w:colFirst="0" w:colLast="0"/>
      <w:bookmarkEnd w:id="7"/>
      <w:r>
        <w:t>Conclusion</w:t>
      </w:r>
    </w:p>
    <w:p w:rsidR="00D77FB8" w:rsidRDefault="00CD5A00">
      <w:pPr>
        <w:pStyle w:val="normal0"/>
        <w:spacing w:before="0" w:after="0"/>
      </w:pPr>
      <w:r>
        <w:t>Conclusively, the major problem of The City Hotel in the present period is a critical financial situation, manifested in top-line decline, cost growth, and indebtedness. The loss-making situation can be attributed to issues both internal and external including; inflation and fluctuating customer buying behavior, poor management and inability to regulate fixed expense attributes such as depreciation costs. Stakeholders should therefore devise a powerful turnaround plan that is being proffered by the recognition of new sources of revenue to tackle these issues which include incorporation of co-working areas and innovative packages that accommodate a mix of events. If The City Hotel decides to use its advantage as a place that is located in an urban area and tailors its services to modern customers’ and businessmen’s needs, the hotel can provide a stable income with little dependence on regular hotel customers. Concerted promotional activities and infrastructural upgrades in technology will be crucial in implementing these new product lines, and bringing back steady financial health in the hotel.</w:t>
      </w:r>
    </w:p>
    <w:p w:rsidR="00D77FB8" w:rsidRDefault="00CD5A00">
      <w:pPr>
        <w:pStyle w:val="Heading1"/>
        <w:numPr>
          <w:ilvl w:val="0"/>
          <w:numId w:val="1"/>
        </w:numPr>
        <w:spacing w:before="0" w:after="0"/>
      </w:pPr>
      <w:bookmarkStart w:id="8" w:name="_4d34og8" w:colFirst="0" w:colLast="0"/>
      <w:bookmarkEnd w:id="8"/>
      <w:r>
        <w:t>Recommendations</w:t>
      </w:r>
    </w:p>
    <w:p w:rsidR="00D77FB8" w:rsidRDefault="00CD5A00">
      <w:pPr>
        <w:pStyle w:val="normal0"/>
        <w:spacing w:before="0" w:after="0"/>
      </w:pPr>
      <w:r>
        <w:t xml:space="preserve">To effectively implement the turnaround strategy of revenue diversification through co-working spaces and hybrid event packages, there is a need to launch targeted marketing campaigns to introduce the newly created co-working spaces and hybrid events services. Since The City Hotel’s services will be offered online, it will be easy to market it using various media and social media platforms to customers, freelance workers, and businesses. Engagement with the local business community and utilization of existing social media platforms can contribute to the company’s awareness among freelancers and renters of flexible working environments or those organizers of both virtual and hybrid events (Jones and Comfort, 2020). Adding more incentives such as slashed prices during what can be limited </w:t>
      </w:r>
      <w:proofErr w:type="gramStart"/>
      <w:r>
        <w:t>seasons,</w:t>
      </w:r>
      <w:proofErr w:type="gramEnd"/>
      <w:r>
        <w:t xml:space="preserve"> free trial periods can also help push the co-working space memberships even further. Marketing strategies will therefore play a crucial role in implementing these products to the market as a marketing strategy.</w:t>
      </w:r>
    </w:p>
    <w:p w:rsidR="00D77FB8" w:rsidRDefault="00CD5A00">
      <w:pPr>
        <w:pStyle w:val="normal0"/>
        <w:spacing w:before="0" w:after="0"/>
        <w:rPr>
          <w:b/>
        </w:rPr>
      </w:pPr>
      <w:r>
        <w:t xml:space="preserve">Also, The City Hotel should emphasis acquisition of adequate technology infrastructure for the support of the suggested hybrid events packages. AV facilities, fast and stable interconnection, sophisticated software for video-conferencing are crucial to deliver high quality of hybrid event. Further, the technological transformation of the co-working space into digital conveniences which include video conferencing, secure networks, and more comfortable workstation will increase appeal to isolated workers. High-quality technology is the first pillar for attracting the customers and further making the hotel well-known as a venue for effective hybrid work and events (Rosenthal </w:t>
      </w:r>
      <w:r>
        <w:rPr>
          <w:i/>
        </w:rPr>
        <w:t>et al.,</w:t>
      </w:r>
      <w:r>
        <w:t xml:space="preserve"> 2024).</w:t>
      </w:r>
      <w:r>
        <w:br w:type="page"/>
      </w:r>
    </w:p>
    <w:p w:rsidR="00D77FB8" w:rsidRDefault="00CD5A00">
      <w:pPr>
        <w:pStyle w:val="Heading1"/>
        <w:numPr>
          <w:ilvl w:val="0"/>
          <w:numId w:val="1"/>
        </w:numPr>
        <w:spacing w:before="0" w:after="0"/>
      </w:pPr>
      <w:bookmarkStart w:id="9" w:name="_2s8eyo1" w:colFirst="0" w:colLast="0"/>
      <w:bookmarkEnd w:id="9"/>
      <w:r>
        <w:t xml:space="preserve">References </w:t>
      </w:r>
    </w:p>
    <w:p w:rsidR="00D77FB8" w:rsidRDefault="00CD5A00">
      <w:pPr>
        <w:pStyle w:val="normal0"/>
        <w:spacing w:before="0" w:after="0"/>
        <w:ind w:left="720" w:hanging="720"/>
      </w:pPr>
      <w:proofErr w:type="spellStart"/>
      <w:r>
        <w:t>Dube</w:t>
      </w:r>
      <w:proofErr w:type="spellEnd"/>
      <w:r>
        <w:t xml:space="preserve">, K., </w:t>
      </w:r>
      <w:proofErr w:type="spellStart"/>
      <w:r>
        <w:t>Nhamo</w:t>
      </w:r>
      <w:proofErr w:type="spellEnd"/>
      <w:r>
        <w:t xml:space="preserve">, G. and </w:t>
      </w:r>
      <w:proofErr w:type="spellStart"/>
      <w:r>
        <w:t>Chikodzi</w:t>
      </w:r>
      <w:proofErr w:type="spellEnd"/>
      <w:r>
        <w:t>, D., 2021. COVID-19 cripples global restaurant and hospitality industry. </w:t>
      </w:r>
      <w:proofErr w:type="gramStart"/>
      <w:r>
        <w:rPr>
          <w:i/>
        </w:rPr>
        <w:t>Current Issues in Tourism</w:t>
      </w:r>
      <w:r>
        <w:t>, </w:t>
      </w:r>
      <w:r>
        <w:rPr>
          <w:i/>
        </w:rPr>
        <w:t>24</w:t>
      </w:r>
      <w:r>
        <w:t>(11), pp.1487-1490.</w:t>
      </w:r>
      <w:proofErr w:type="gramEnd"/>
    </w:p>
    <w:p w:rsidR="00D77FB8" w:rsidRDefault="00CD5A00">
      <w:pPr>
        <w:pStyle w:val="normal0"/>
        <w:spacing w:before="0" w:after="0"/>
        <w:ind w:left="720" w:hanging="720"/>
      </w:pPr>
      <w:proofErr w:type="gramStart"/>
      <w:r>
        <w:t xml:space="preserve">Fatima, T. and </w:t>
      </w:r>
      <w:proofErr w:type="spellStart"/>
      <w:r>
        <w:t>Elbanna</w:t>
      </w:r>
      <w:proofErr w:type="spellEnd"/>
      <w:r>
        <w:t>, S., 2020.</w:t>
      </w:r>
      <w:proofErr w:type="gramEnd"/>
      <w:r>
        <w:t xml:space="preserve"> Balanced scorecard in the hospitality and tourism industry: Past, present and future. </w:t>
      </w:r>
      <w:r>
        <w:rPr>
          <w:i/>
        </w:rPr>
        <w:t>International Journal of hospitality management</w:t>
      </w:r>
      <w:r>
        <w:t>, </w:t>
      </w:r>
      <w:r>
        <w:rPr>
          <w:i/>
        </w:rPr>
        <w:t>91</w:t>
      </w:r>
      <w:r>
        <w:t>, p.102656.</w:t>
      </w:r>
    </w:p>
    <w:p w:rsidR="00D77FB8" w:rsidRDefault="00CD5A00">
      <w:pPr>
        <w:pStyle w:val="normal0"/>
        <w:spacing w:before="0" w:after="0"/>
        <w:ind w:left="720" w:hanging="720"/>
      </w:pPr>
      <w:proofErr w:type="spellStart"/>
      <w:r>
        <w:t>Gerwe</w:t>
      </w:r>
      <w:proofErr w:type="spellEnd"/>
      <w:r>
        <w:t>, O., 2021. The Covid-19 pandemic and the accommodation sharing sector: Effects and prospects for recovery. </w:t>
      </w:r>
      <w:r>
        <w:rPr>
          <w:i/>
        </w:rPr>
        <w:t>Technological Forecasting and Social Change</w:t>
      </w:r>
      <w:r>
        <w:t>, </w:t>
      </w:r>
      <w:r>
        <w:rPr>
          <w:i/>
        </w:rPr>
        <w:t>167</w:t>
      </w:r>
      <w:r>
        <w:t>, p.120733.</w:t>
      </w:r>
    </w:p>
    <w:p w:rsidR="00D77FB8" w:rsidRDefault="00CD5A00">
      <w:pPr>
        <w:pStyle w:val="normal0"/>
        <w:spacing w:before="0" w:after="0"/>
        <w:ind w:left="720" w:hanging="720"/>
      </w:pPr>
      <w:proofErr w:type="spellStart"/>
      <w:proofErr w:type="gramStart"/>
      <w:r>
        <w:t>Gössling</w:t>
      </w:r>
      <w:proofErr w:type="spellEnd"/>
      <w:r>
        <w:t>, S., Scott, D. and Hall, C.M., 2020.</w:t>
      </w:r>
      <w:proofErr w:type="gramEnd"/>
      <w:r>
        <w:t xml:space="preserve"> Pandemics, tourism and global change: a rapid assessment of COVID-19. </w:t>
      </w:r>
      <w:proofErr w:type="gramStart"/>
      <w:r>
        <w:rPr>
          <w:i/>
        </w:rPr>
        <w:t>Journal of sustainable tourism</w:t>
      </w:r>
      <w:r>
        <w:t>, </w:t>
      </w:r>
      <w:r>
        <w:rPr>
          <w:i/>
        </w:rPr>
        <w:t>29</w:t>
      </w:r>
      <w:r>
        <w:t>(1), pp.1-20.</w:t>
      </w:r>
      <w:proofErr w:type="gramEnd"/>
    </w:p>
    <w:p w:rsidR="00D77FB8" w:rsidRDefault="00CD5A00">
      <w:pPr>
        <w:pStyle w:val="normal0"/>
        <w:spacing w:before="0" w:after="0"/>
        <w:ind w:left="720" w:hanging="720"/>
      </w:pPr>
      <w:proofErr w:type="spellStart"/>
      <w:proofErr w:type="gramStart"/>
      <w:r>
        <w:t>Gursoy</w:t>
      </w:r>
      <w:proofErr w:type="spellEnd"/>
      <w:r>
        <w:t xml:space="preserve">, D., </w:t>
      </w:r>
      <w:proofErr w:type="spellStart"/>
      <w:r>
        <w:t>Malodia</w:t>
      </w:r>
      <w:proofErr w:type="spellEnd"/>
      <w:r>
        <w:t xml:space="preserve">, S. and </w:t>
      </w:r>
      <w:proofErr w:type="spellStart"/>
      <w:r>
        <w:t>Dhir</w:t>
      </w:r>
      <w:proofErr w:type="spellEnd"/>
      <w:r>
        <w:t>, A., 2022.</w:t>
      </w:r>
      <w:proofErr w:type="gramEnd"/>
      <w:r>
        <w:t xml:space="preserve"> The </w:t>
      </w:r>
      <w:proofErr w:type="spellStart"/>
      <w:r>
        <w:t>metaverse</w:t>
      </w:r>
      <w:proofErr w:type="spellEnd"/>
      <w:r>
        <w:t xml:space="preserve"> in the hospitality and tourism industry: An overview of current trends and future research directions. </w:t>
      </w:r>
      <w:proofErr w:type="gramStart"/>
      <w:r>
        <w:rPr>
          <w:i/>
        </w:rPr>
        <w:t>Journal of Hospitality Marketing &amp; Management</w:t>
      </w:r>
      <w:r>
        <w:t>, </w:t>
      </w:r>
      <w:r>
        <w:rPr>
          <w:i/>
        </w:rPr>
        <w:t>31</w:t>
      </w:r>
      <w:r>
        <w:t>(5), pp.527-534.</w:t>
      </w:r>
      <w:proofErr w:type="gramEnd"/>
    </w:p>
    <w:p w:rsidR="00D77FB8" w:rsidRDefault="00CD5A00">
      <w:pPr>
        <w:pStyle w:val="normal0"/>
        <w:spacing w:before="0" w:after="0"/>
        <w:ind w:left="720" w:hanging="720"/>
      </w:pPr>
      <w:r>
        <w:t xml:space="preserve">Jones, P. and Comfort, D., 2020. </w:t>
      </w:r>
      <w:proofErr w:type="gramStart"/>
      <w:r>
        <w:t>The COVID-19 crisis and sustainability in the hospitality industry.</w:t>
      </w:r>
      <w:proofErr w:type="gramEnd"/>
      <w:r>
        <w:t> </w:t>
      </w:r>
      <w:proofErr w:type="gramStart"/>
      <w:r>
        <w:rPr>
          <w:i/>
        </w:rPr>
        <w:t>International journal of contemporary hospitality management</w:t>
      </w:r>
      <w:r>
        <w:t>, </w:t>
      </w:r>
      <w:r>
        <w:rPr>
          <w:i/>
        </w:rPr>
        <w:t>32</w:t>
      </w:r>
      <w:r>
        <w:t>(10), pp.3037-3050.</w:t>
      </w:r>
      <w:proofErr w:type="gramEnd"/>
    </w:p>
    <w:p w:rsidR="00D77FB8" w:rsidRDefault="00CD5A00">
      <w:pPr>
        <w:pStyle w:val="normal0"/>
        <w:spacing w:before="0" w:after="0"/>
        <w:ind w:left="720" w:hanging="720"/>
      </w:pPr>
      <w:r>
        <w:t xml:space="preserve">Li, H. and </w:t>
      </w:r>
      <w:proofErr w:type="spellStart"/>
      <w:r>
        <w:t>Srinivasan</w:t>
      </w:r>
      <w:proofErr w:type="spellEnd"/>
      <w:r>
        <w:t xml:space="preserve">, K., 2019. Competitive dynamics in the sharing economy: An analysis in the context of </w:t>
      </w:r>
      <w:proofErr w:type="spellStart"/>
      <w:r>
        <w:t>Airbnb</w:t>
      </w:r>
      <w:proofErr w:type="spellEnd"/>
      <w:r>
        <w:t xml:space="preserve"> and hotels. Marketing Science, 38(3), pp.365-391.</w:t>
      </w:r>
    </w:p>
    <w:p w:rsidR="00D77FB8" w:rsidRDefault="00CD5A00">
      <w:pPr>
        <w:pStyle w:val="normal0"/>
        <w:spacing w:before="0" w:after="0"/>
        <w:ind w:left="720" w:hanging="720"/>
      </w:pPr>
      <w:r>
        <w:t xml:space="preserve">Rosenthal, A., Cripps, K. and </w:t>
      </w:r>
      <w:proofErr w:type="spellStart"/>
      <w:r>
        <w:t>Lvovich</w:t>
      </w:r>
      <w:proofErr w:type="spellEnd"/>
      <w:r>
        <w:t xml:space="preserve">, S., 2024. The Attitudes and Approaches to the Food Waste Management of Hospitality Businesses in Oxford, UK. </w:t>
      </w:r>
      <w:proofErr w:type="gramStart"/>
      <w:r>
        <w:t>In </w:t>
      </w:r>
      <w:r>
        <w:rPr>
          <w:i/>
        </w:rPr>
        <w:t>Sustainable Disposal Methods of Food Wastes in Hospitality Operations</w:t>
      </w:r>
      <w:r>
        <w:t> (pp. 241-257).</w:t>
      </w:r>
      <w:proofErr w:type="gramEnd"/>
      <w:r>
        <w:t xml:space="preserve"> </w:t>
      </w:r>
    </w:p>
    <w:p w:rsidR="00D77FB8" w:rsidRDefault="00CD5A00">
      <w:pPr>
        <w:pStyle w:val="normal0"/>
        <w:spacing w:before="0" w:after="0"/>
        <w:ind w:left="720" w:hanging="720"/>
      </w:pPr>
      <w:proofErr w:type="spellStart"/>
      <w:proofErr w:type="gramStart"/>
      <w:r>
        <w:t>Sota</w:t>
      </w:r>
      <w:proofErr w:type="spellEnd"/>
      <w:r>
        <w:t xml:space="preserve">, S., </w:t>
      </w:r>
      <w:proofErr w:type="spellStart"/>
      <w:r>
        <w:t>Chaudhry</w:t>
      </w:r>
      <w:proofErr w:type="spellEnd"/>
      <w:r>
        <w:t xml:space="preserve">, H. and </w:t>
      </w:r>
      <w:proofErr w:type="spellStart"/>
      <w:r>
        <w:t>Srivastava</w:t>
      </w:r>
      <w:proofErr w:type="spellEnd"/>
      <w:r>
        <w:t>, M.K., 2020.</w:t>
      </w:r>
      <w:proofErr w:type="gramEnd"/>
      <w:r>
        <w:t xml:space="preserve"> Customer relationship management research in hospitality industry: a review and classification. </w:t>
      </w:r>
      <w:proofErr w:type="gramStart"/>
      <w:r>
        <w:rPr>
          <w:i/>
        </w:rPr>
        <w:t>Journal of Hospitality Marketing &amp; Management</w:t>
      </w:r>
      <w:r>
        <w:t>, </w:t>
      </w:r>
      <w:r>
        <w:rPr>
          <w:i/>
        </w:rPr>
        <w:t>29</w:t>
      </w:r>
      <w:r>
        <w:t>(1), pp.39-64.</w:t>
      </w:r>
      <w:proofErr w:type="gramEnd"/>
    </w:p>
    <w:p w:rsidR="00D77FB8" w:rsidRDefault="00CD5A00">
      <w:pPr>
        <w:pStyle w:val="normal0"/>
        <w:spacing w:before="0" w:after="0"/>
        <w:ind w:left="720" w:hanging="720"/>
      </w:pPr>
      <w:proofErr w:type="spellStart"/>
      <w:r>
        <w:t>Toubes</w:t>
      </w:r>
      <w:proofErr w:type="spellEnd"/>
      <w:r>
        <w:t xml:space="preserve">, D.R., </w:t>
      </w:r>
      <w:proofErr w:type="spellStart"/>
      <w:r>
        <w:t>Araújo</w:t>
      </w:r>
      <w:proofErr w:type="spellEnd"/>
      <w:r>
        <w:t xml:space="preserve"> Vila, N. and </w:t>
      </w:r>
      <w:proofErr w:type="spellStart"/>
      <w:r>
        <w:t>Fraiz</w:t>
      </w:r>
      <w:proofErr w:type="spellEnd"/>
      <w:r>
        <w:t xml:space="preserve"> Brea, J.A., 2021. </w:t>
      </w:r>
      <w:proofErr w:type="gramStart"/>
      <w:r>
        <w:t>Changes in consumption patterns and tourist promotion after the COVID-19 pandemic.</w:t>
      </w:r>
      <w:proofErr w:type="gramEnd"/>
      <w:r>
        <w:t> </w:t>
      </w:r>
      <w:proofErr w:type="gramStart"/>
      <w:r>
        <w:rPr>
          <w:i/>
        </w:rPr>
        <w:t>Journal of Theoretical and Applied Electronic Commerce Research</w:t>
      </w:r>
      <w:r>
        <w:t>, </w:t>
      </w:r>
      <w:r>
        <w:rPr>
          <w:i/>
        </w:rPr>
        <w:t>16</w:t>
      </w:r>
      <w:r>
        <w:t>(5), pp.1332-1352.</w:t>
      </w:r>
      <w:proofErr w:type="gramEnd"/>
    </w:p>
    <w:p w:rsidR="00D77FB8" w:rsidRDefault="00CD5A00">
      <w:pPr>
        <w:pStyle w:val="normal0"/>
        <w:spacing w:before="0" w:after="0"/>
        <w:ind w:left="720" w:hanging="720"/>
      </w:pPr>
      <w:proofErr w:type="spellStart"/>
      <w:proofErr w:type="gramStart"/>
      <w:r>
        <w:t>Zuo</w:t>
      </w:r>
      <w:proofErr w:type="spellEnd"/>
      <w:r>
        <w:t xml:space="preserve">, W., </w:t>
      </w:r>
      <w:proofErr w:type="spellStart"/>
      <w:r>
        <w:t>Bai</w:t>
      </w:r>
      <w:proofErr w:type="spellEnd"/>
      <w:r>
        <w:t xml:space="preserve">, W., Zhu, W., He, X. and </w:t>
      </w:r>
      <w:proofErr w:type="spellStart"/>
      <w:r>
        <w:t>Qiu</w:t>
      </w:r>
      <w:proofErr w:type="spellEnd"/>
      <w:r>
        <w:t>, X., 2022.</w:t>
      </w:r>
      <w:proofErr w:type="gramEnd"/>
      <w:r>
        <w:t xml:space="preserve"> Changes in service quality of sharing accommodation: Evidence from </w:t>
      </w:r>
      <w:proofErr w:type="spellStart"/>
      <w:r>
        <w:t>airbnb</w:t>
      </w:r>
      <w:proofErr w:type="spellEnd"/>
      <w:r>
        <w:t>. </w:t>
      </w:r>
      <w:r>
        <w:rPr>
          <w:i/>
        </w:rPr>
        <w:t>Technology in Society</w:t>
      </w:r>
      <w:r>
        <w:t>, </w:t>
      </w:r>
      <w:r>
        <w:rPr>
          <w:i/>
        </w:rPr>
        <w:t>71</w:t>
      </w:r>
      <w:r>
        <w:t>, p.102092.</w:t>
      </w:r>
    </w:p>
    <w:sectPr w:rsidR="00D77FB8" w:rsidSect="00D77FB8">
      <w:pgSz w:w="11906" w:h="16838"/>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EE31F6"/>
    <w:multiLevelType w:val="multilevel"/>
    <w:tmpl w:val="331E6A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D77FB8"/>
    <w:rsid w:val="00224AC2"/>
    <w:rsid w:val="00BB071C"/>
    <w:rsid w:val="00C52ADF"/>
    <w:rsid w:val="00CD5A00"/>
    <w:rsid w:val="00D77FB8"/>
    <w:rsid w:val="00F5324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242"/>
  </w:style>
  <w:style w:type="paragraph" w:styleId="Heading1">
    <w:name w:val="heading 1"/>
    <w:basedOn w:val="normal0"/>
    <w:next w:val="normal0"/>
    <w:rsid w:val="00D77FB8"/>
    <w:pPr>
      <w:ind w:left="432" w:hanging="432"/>
      <w:outlineLvl w:val="0"/>
    </w:pPr>
    <w:rPr>
      <w:b/>
    </w:rPr>
  </w:style>
  <w:style w:type="paragraph" w:styleId="Heading2">
    <w:name w:val="heading 2"/>
    <w:basedOn w:val="normal0"/>
    <w:next w:val="normal0"/>
    <w:rsid w:val="00D77FB8"/>
    <w:pPr>
      <w:ind w:left="576" w:hanging="576"/>
      <w:outlineLvl w:val="1"/>
    </w:pPr>
    <w:rPr>
      <w:b/>
    </w:rPr>
  </w:style>
  <w:style w:type="paragraph" w:styleId="Heading3">
    <w:name w:val="heading 3"/>
    <w:basedOn w:val="normal0"/>
    <w:next w:val="normal0"/>
    <w:rsid w:val="00D77FB8"/>
    <w:pPr>
      <w:ind w:left="720" w:hanging="720"/>
      <w:outlineLvl w:val="2"/>
    </w:pPr>
    <w:rPr>
      <w:b/>
    </w:rPr>
  </w:style>
  <w:style w:type="paragraph" w:styleId="Heading4">
    <w:name w:val="heading 4"/>
    <w:basedOn w:val="normal0"/>
    <w:next w:val="normal0"/>
    <w:rsid w:val="00D77FB8"/>
    <w:pPr>
      <w:keepNext/>
      <w:keepLines/>
      <w:spacing w:before="40" w:after="0"/>
      <w:ind w:left="864" w:hanging="864"/>
      <w:outlineLvl w:val="3"/>
    </w:pPr>
    <w:rPr>
      <w:rFonts w:ascii="Calibri" w:eastAsia="Calibri" w:hAnsi="Calibri" w:cs="Calibri"/>
      <w:i/>
      <w:color w:val="2E75B5"/>
    </w:rPr>
  </w:style>
  <w:style w:type="paragraph" w:styleId="Heading5">
    <w:name w:val="heading 5"/>
    <w:basedOn w:val="normal0"/>
    <w:next w:val="normal0"/>
    <w:rsid w:val="00D77FB8"/>
    <w:pPr>
      <w:keepNext/>
      <w:keepLines/>
      <w:spacing w:before="40" w:after="0"/>
      <w:ind w:left="1008" w:hanging="1008"/>
      <w:outlineLvl w:val="4"/>
    </w:pPr>
    <w:rPr>
      <w:rFonts w:ascii="Calibri" w:eastAsia="Calibri" w:hAnsi="Calibri" w:cs="Calibri"/>
      <w:color w:val="2E75B5"/>
    </w:rPr>
  </w:style>
  <w:style w:type="paragraph" w:styleId="Heading6">
    <w:name w:val="heading 6"/>
    <w:basedOn w:val="normal0"/>
    <w:next w:val="normal0"/>
    <w:rsid w:val="00D77FB8"/>
    <w:pPr>
      <w:keepNext/>
      <w:keepLines/>
      <w:spacing w:before="40" w:after="0"/>
      <w:ind w:left="1152" w:hanging="1152"/>
      <w:outlineLvl w:val="5"/>
    </w:pPr>
    <w:rPr>
      <w:rFonts w:ascii="Calibri" w:eastAsia="Calibri" w:hAnsi="Calibri" w:cs="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77FB8"/>
  </w:style>
  <w:style w:type="paragraph" w:styleId="Title">
    <w:name w:val="Title"/>
    <w:basedOn w:val="normal0"/>
    <w:next w:val="normal0"/>
    <w:rsid w:val="00D77FB8"/>
    <w:pPr>
      <w:keepNext/>
      <w:keepLines/>
      <w:spacing w:before="480"/>
    </w:pPr>
    <w:rPr>
      <w:b/>
      <w:sz w:val="72"/>
      <w:szCs w:val="72"/>
    </w:rPr>
  </w:style>
  <w:style w:type="paragraph" w:styleId="Subtitle">
    <w:name w:val="Subtitle"/>
    <w:basedOn w:val="normal0"/>
    <w:next w:val="normal0"/>
    <w:rsid w:val="00D77FB8"/>
    <w:pPr>
      <w:keepNext/>
      <w:keepLines/>
      <w:spacing w:before="360" w:after="80"/>
    </w:pPr>
    <w:rPr>
      <w:rFonts w:ascii="Georgia" w:eastAsia="Georgia" w:hAnsi="Georgia" w:cs="Georgia"/>
      <w:i/>
      <w:color w:val="666666"/>
      <w:sz w:val="48"/>
      <w:szCs w:val="48"/>
    </w:rPr>
  </w:style>
  <w:style w:type="table" w:customStyle="1" w:styleId="a">
    <w:basedOn w:val="TableNormal"/>
    <w:rsid w:val="00D77FB8"/>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D77FB8"/>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224AC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4AC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611000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2674</Words>
  <Characters>15248</Characters>
  <Application>Microsoft Office Word</Application>
  <DocSecurity>0</DocSecurity>
  <Lines>127</Lines>
  <Paragraphs>35</Paragraphs>
  <ScaleCrop>false</ScaleCrop>
  <Company>Grizli777</Company>
  <LinksUpToDate>false</LinksUpToDate>
  <CharactersWithSpaces>17887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4</cp:revision>
  <dcterms:created xsi:type="dcterms:W3CDTF">2024-11-14T18:36:00Z</dcterms:created>
  <dcterms:modified xsi:type="dcterms:W3CDTF">2024-11-14T18:43:00Z</dcterms:modified>
</cp:coreProperties>
</file>