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2A21E6" w14:textId="77777777" w:rsidR="00E01DC7" w:rsidRDefault="00000000">
      <w:pPr>
        <w:pStyle w:val="Body"/>
        <w:jc w:val="center"/>
        <w:rPr>
          <w:rFonts w:ascii="Arial" w:eastAsia="Arial" w:hAnsi="Arial" w:cs="Arial"/>
          <w:sz w:val="24"/>
          <w:szCs w:val="24"/>
          <w:u w:val="single"/>
        </w:rPr>
      </w:pPr>
      <w:r>
        <w:rPr>
          <w:rFonts w:ascii="Arial" w:hAnsi="Arial"/>
          <w:sz w:val="24"/>
          <w:szCs w:val="24"/>
          <w:u w:val="single"/>
        </w:rPr>
        <w:t>Resit Assignment 1 – Terrorism and Public Service Responses</w:t>
      </w:r>
    </w:p>
    <w:p w14:paraId="6A633B96" w14:textId="77777777" w:rsidR="00E01DC7" w:rsidRDefault="00000000">
      <w:pPr>
        <w:pStyle w:val="Body"/>
        <w:jc w:val="center"/>
        <w:rPr>
          <w:rFonts w:ascii="Arial" w:hAnsi="Arial"/>
          <w:sz w:val="24"/>
          <w:szCs w:val="24"/>
          <w:u w:val="single"/>
          <w:lang w:val="pt-PT"/>
        </w:rPr>
      </w:pPr>
      <w:r>
        <w:rPr>
          <w:rFonts w:ascii="Arial" w:hAnsi="Arial"/>
          <w:sz w:val="24"/>
          <w:szCs w:val="24"/>
          <w:u w:val="single"/>
          <w:lang w:val="pt-PT"/>
        </w:rPr>
        <w:t>BMPS5013</w:t>
      </w:r>
    </w:p>
    <w:p w14:paraId="43128763" w14:textId="2302FD47" w:rsidR="003B416F" w:rsidRDefault="003B416F">
      <w:pPr>
        <w:pStyle w:val="Body"/>
        <w:jc w:val="center"/>
        <w:rPr>
          <w:rFonts w:ascii="Arial" w:eastAsia="Arial" w:hAnsi="Arial" w:cs="Arial"/>
          <w:sz w:val="24"/>
          <w:szCs w:val="24"/>
          <w:u w:val="single"/>
        </w:rPr>
      </w:pPr>
      <w:r>
        <w:rPr>
          <w:rFonts w:ascii="Arial" w:hAnsi="Arial"/>
          <w:sz w:val="24"/>
          <w:szCs w:val="24"/>
          <w:u w:val="single"/>
          <w:lang w:val="pt-PT"/>
        </w:rPr>
        <w:t>2115653</w:t>
      </w:r>
    </w:p>
    <w:p w14:paraId="7BF1CAD2" w14:textId="77777777" w:rsidR="00E01DC7" w:rsidRDefault="00000000">
      <w:pPr>
        <w:pStyle w:val="Body"/>
        <w:jc w:val="center"/>
        <w:rPr>
          <w:rFonts w:ascii="Arial" w:eastAsia="Arial" w:hAnsi="Arial" w:cs="Arial"/>
          <w:sz w:val="24"/>
          <w:szCs w:val="24"/>
          <w:u w:val="single"/>
        </w:rPr>
      </w:pPr>
      <w:r>
        <w:rPr>
          <w:rFonts w:ascii="Arial" w:hAnsi="Arial"/>
          <w:sz w:val="24"/>
          <w:szCs w:val="24"/>
          <w:u w:val="single"/>
        </w:rPr>
        <w:t>Rachel Smith</w:t>
      </w:r>
    </w:p>
    <w:p w14:paraId="05FED89F" w14:textId="77777777" w:rsidR="00E01DC7" w:rsidRDefault="00E01DC7">
      <w:pPr>
        <w:pStyle w:val="Body"/>
        <w:jc w:val="center"/>
        <w:rPr>
          <w:rFonts w:ascii="Arial" w:eastAsia="Arial" w:hAnsi="Arial" w:cs="Arial"/>
          <w:sz w:val="24"/>
          <w:szCs w:val="24"/>
          <w:u w:val="single"/>
        </w:rPr>
      </w:pPr>
    </w:p>
    <w:p w14:paraId="1CC908D5" w14:textId="77777777" w:rsidR="00E01DC7" w:rsidRDefault="00E01DC7">
      <w:pPr>
        <w:pStyle w:val="Body"/>
        <w:jc w:val="center"/>
        <w:rPr>
          <w:rFonts w:ascii="Arial" w:eastAsia="Arial" w:hAnsi="Arial" w:cs="Arial"/>
          <w:sz w:val="24"/>
          <w:szCs w:val="24"/>
          <w:u w:val="single"/>
        </w:rPr>
      </w:pPr>
    </w:p>
    <w:p w14:paraId="67648847" w14:textId="77777777" w:rsidR="00E01DC7" w:rsidRDefault="00000000">
      <w:pPr>
        <w:pStyle w:val="Body"/>
        <w:jc w:val="center"/>
        <w:rPr>
          <w:rFonts w:ascii="Arial" w:hAnsi="Arial"/>
          <w:sz w:val="24"/>
          <w:szCs w:val="24"/>
          <w:u w:val="single"/>
        </w:rPr>
      </w:pPr>
      <w:r>
        <w:rPr>
          <w:rFonts w:ascii="Arial" w:hAnsi="Arial"/>
          <w:sz w:val="24"/>
          <w:szCs w:val="24"/>
          <w:u w:val="single"/>
        </w:rPr>
        <w:t>Analyse the complex variation associated with defining concepts such as terror, terrorists and terrorism.</w:t>
      </w:r>
    </w:p>
    <w:p w14:paraId="5FFC4830" w14:textId="77777777" w:rsidR="003B416F" w:rsidRDefault="003B416F">
      <w:pPr>
        <w:pStyle w:val="Body"/>
        <w:jc w:val="center"/>
        <w:rPr>
          <w:rFonts w:ascii="Arial" w:eastAsia="Arial" w:hAnsi="Arial" w:cs="Arial"/>
          <w:sz w:val="24"/>
          <w:szCs w:val="24"/>
          <w:u w:val="single"/>
        </w:rPr>
      </w:pPr>
    </w:p>
    <w:p w14:paraId="16CCEEC7" w14:textId="77777777" w:rsidR="00E01DC7" w:rsidRDefault="00000000">
      <w:pPr>
        <w:pStyle w:val="Body"/>
        <w:jc w:val="center"/>
        <w:rPr>
          <w:rFonts w:ascii="Arial" w:eastAsia="Arial" w:hAnsi="Arial" w:cs="Arial"/>
          <w:sz w:val="24"/>
          <w:szCs w:val="24"/>
          <w:u w:val="single"/>
        </w:rPr>
      </w:pPr>
      <w:r>
        <w:rPr>
          <w:rFonts w:ascii="Arial" w:hAnsi="Arial"/>
          <w:sz w:val="24"/>
          <w:szCs w:val="24"/>
          <w:u w:val="single"/>
        </w:rPr>
        <w:t>By Harrison Bright</w:t>
      </w:r>
    </w:p>
    <w:p w14:paraId="4EF0F9BF" w14:textId="77777777" w:rsidR="00E01DC7" w:rsidRDefault="00E01DC7">
      <w:pPr>
        <w:pStyle w:val="Body"/>
        <w:jc w:val="center"/>
        <w:rPr>
          <w:rFonts w:ascii="Arial" w:eastAsia="Arial" w:hAnsi="Arial" w:cs="Arial"/>
          <w:sz w:val="24"/>
          <w:szCs w:val="24"/>
        </w:rPr>
      </w:pPr>
    </w:p>
    <w:p w14:paraId="0DA9E9BC" w14:textId="77777777" w:rsidR="00E01DC7" w:rsidRDefault="00E01DC7">
      <w:pPr>
        <w:pStyle w:val="Body"/>
        <w:jc w:val="center"/>
        <w:rPr>
          <w:rFonts w:ascii="Arial" w:eastAsia="Arial" w:hAnsi="Arial" w:cs="Arial"/>
          <w:sz w:val="24"/>
          <w:szCs w:val="24"/>
        </w:rPr>
      </w:pPr>
    </w:p>
    <w:p w14:paraId="4A788080" w14:textId="77777777" w:rsidR="00E01DC7" w:rsidRDefault="00E01DC7">
      <w:pPr>
        <w:pStyle w:val="Body"/>
        <w:jc w:val="center"/>
        <w:rPr>
          <w:rFonts w:ascii="Arial" w:eastAsia="Arial" w:hAnsi="Arial" w:cs="Arial"/>
          <w:sz w:val="24"/>
          <w:szCs w:val="24"/>
        </w:rPr>
      </w:pPr>
    </w:p>
    <w:p w14:paraId="0BE698FA" w14:textId="77777777" w:rsidR="00E01DC7" w:rsidRDefault="00E01DC7">
      <w:pPr>
        <w:pStyle w:val="Body"/>
        <w:jc w:val="center"/>
        <w:rPr>
          <w:rFonts w:ascii="Arial" w:eastAsia="Arial" w:hAnsi="Arial" w:cs="Arial"/>
          <w:sz w:val="24"/>
          <w:szCs w:val="24"/>
        </w:rPr>
      </w:pPr>
    </w:p>
    <w:p w14:paraId="28876692" w14:textId="77777777" w:rsidR="00E01DC7" w:rsidRDefault="00E01DC7">
      <w:pPr>
        <w:pStyle w:val="Body"/>
        <w:jc w:val="center"/>
        <w:rPr>
          <w:rFonts w:ascii="Arial" w:eastAsia="Arial" w:hAnsi="Arial" w:cs="Arial"/>
          <w:sz w:val="24"/>
          <w:szCs w:val="24"/>
        </w:rPr>
      </w:pPr>
    </w:p>
    <w:p w14:paraId="6D76A7E8" w14:textId="77777777" w:rsidR="00E01DC7" w:rsidRDefault="00E01DC7">
      <w:pPr>
        <w:pStyle w:val="Body"/>
        <w:jc w:val="center"/>
        <w:rPr>
          <w:rFonts w:ascii="Arial" w:eastAsia="Arial" w:hAnsi="Arial" w:cs="Arial"/>
          <w:sz w:val="24"/>
          <w:szCs w:val="24"/>
        </w:rPr>
      </w:pPr>
    </w:p>
    <w:p w14:paraId="7C146A4F" w14:textId="77777777" w:rsidR="00E01DC7" w:rsidRDefault="00E01DC7">
      <w:pPr>
        <w:pStyle w:val="Body"/>
        <w:jc w:val="center"/>
        <w:rPr>
          <w:rFonts w:ascii="Arial" w:eastAsia="Arial" w:hAnsi="Arial" w:cs="Arial"/>
          <w:sz w:val="24"/>
          <w:szCs w:val="24"/>
        </w:rPr>
      </w:pPr>
    </w:p>
    <w:p w14:paraId="363F62CB" w14:textId="77777777" w:rsidR="00E01DC7" w:rsidRDefault="00E01DC7">
      <w:pPr>
        <w:pStyle w:val="Body"/>
        <w:jc w:val="center"/>
        <w:rPr>
          <w:rFonts w:ascii="Arial" w:eastAsia="Arial" w:hAnsi="Arial" w:cs="Arial"/>
          <w:sz w:val="24"/>
          <w:szCs w:val="24"/>
        </w:rPr>
      </w:pPr>
    </w:p>
    <w:p w14:paraId="38BDD698" w14:textId="77777777" w:rsidR="00E01DC7" w:rsidRDefault="00E01DC7">
      <w:pPr>
        <w:pStyle w:val="Body"/>
        <w:jc w:val="center"/>
        <w:rPr>
          <w:rFonts w:ascii="Arial" w:eastAsia="Arial" w:hAnsi="Arial" w:cs="Arial"/>
          <w:sz w:val="24"/>
          <w:szCs w:val="24"/>
        </w:rPr>
      </w:pPr>
    </w:p>
    <w:p w14:paraId="769504F4" w14:textId="77777777" w:rsidR="003B416F" w:rsidRDefault="003B416F" w:rsidP="003B416F">
      <w:pPr>
        <w:pStyle w:val="Body"/>
        <w:rPr>
          <w:rFonts w:ascii="Arial" w:eastAsia="Arial" w:hAnsi="Arial" w:cs="Arial"/>
          <w:sz w:val="24"/>
          <w:szCs w:val="24"/>
        </w:rPr>
      </w:pPr>
    </w:p>
    <w:p w14:paraId="0AA83DE2" w14:textId="00D21809"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lastRenderedPageBreak/>
        <w:t xml:space="preserve">In this assignment it will be analysing the intricate variety regarding defining ideas like terror, terrorists and terrorism. Beginning with looking at a variety of definitions of what would fall under terrorism, then going on to discuss the issues that can arise from not having a consistent definition regarding terrorism in terms of it being understood and enforced. Then analysing a terrorist organisation and discussing their ideology, set-up and tactics. Going on to review how this organisation does and does not fall under the definitions of terrorism previously discussed. </w:t>
      </w:r>
    </w:p>
    <w:p w14:paraId="735ABE19" w14:textId="77777777" w:rsidR="00E01DC7" w:rsidRPr="00581D44" w:rsidRDefault="00E01DC7">
      <w:pPr>
        <w:pStyle w:val="Body"/>
        <w:rPr>
          <w:rFonts w:ascii="Arial" w:eastAsia="Arial" w:hAnsi="Arial" w:cs="Arial"/>
          <w:color w:val="auto"/>
          <w:sz w:val="24"/>
          <w:szCs w:val="24"/>
        </w:rPr>
      </w:pPr>
    </w:p>
    <w:p w14:paraId="7B3BAB5B" w14:textId="77777777"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Firstly, what needs to be established when discussing terrorism is the </w:t>
      </w:r>
      <w:r w:rsidRPr="00581D44">
        <w:rPr>
          <w:rFonts w:ascii="Arial" w:hAnsi="Arial"/>
          <w:color w:val="auto"/>
          <w:sz w:val="24"/>
          <w:szCs w:val="24"/>
          <w:lang w:val="fr-FR"/>
        </w:rPr>
        <w:t>definition</w:t>
      </w:r>
      <w:r w:rsidRPr="00581D44">
        <w:rPr>
          <w:rFonts w:ascii="Arial" w:hAnsi="Arial"/>
          <w:color w:val="auto"/>
          <w:sz w:val="24"/>
          <w:szCs w:val="24"/>
        </w:rPr>
        <w:t>s that are currently enforced by the UK to understand their stance regarding terrorism and give a better understanding of how it is policed. As per the Terrorism Act 2000, terrorism is defined as “the use or threat of action where</w:t>
      </w:r>
      <w:r w:rsidRPr="00581D44">
        <w:rPr>
          <w:color w:val="auto"/>
        </w:rPr>
        <w:t xml:space="preserve"> t</w:t>
      </w:r>
      <w:r w:rsidRPr="00581D44">
        <w:rPr>
          <w:rFonts w:ascii="Arial" w:hAnsi="Arial"/>
          <w:color w:val="auto"/>
          <w:sz w:val="24"/>
          <w:szCs w:val="24"/>
        </w:rPr>
        <w:t xml:space="preserve">he use or threat is designed to influence the government or to intimidate the public or a section of the public, and the use or threat is made for the purpose of advancing a political, religious or ideological cause”. This includes if it involves “serious violence against a person, serious damage to property, endangers a person’s life, other than that of the person committing the action, creates a serious risk to the health or safety of the public or a section of the public, or is designed seriously to interfere with or seriously to disrupt an electronic system.” From this it can be seen that the UK has a strict interpretation of the term terrorism with a variety of categories that terrorism can fall under. </w:t>
      </w:r>
    </w:p>
    <w:p w14:paraId="3B29C004" w14:textId="77777777" w:rsidR="00E01DC7" w:rsidRPr="00581D44" w:rsidRDefault="00E01DC7">
      <w:pPr>
        <w:pStyle w:val="Body"/>
        <w:rPr>
          <w:rFonts w:ascii="Arial" w:eastAsia="Arial" w:hAnsi="Arial" w:cs="Arial"/>
          <w:color w:val="auto"/>
          <w:sz w:val="24"/>
          <w:szCs w:val="24"/>
        </w:rPr>
      </w:pPr>
    </w:p>
    <w:p w14:paraId="4BB819F7" w14:textId="47F0E419"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Another way terrorism has been defined </w:t>
      </w:r>
      <w:r w:rsidR="00703BBB" w:rsidRPr="00581D44">
        <w:rPr>
          <w:rFonts w:ascii="Arial" w:hAnsi="Arial"/>
          <w:color w:val="auto"/>
          <w:sz w:val="24"/>
          <w:szCs w:val="24"/>
        </w:rPr>
        <w:t>as</w:t>
      </w:r>
      <w:r w:rsidR="000C4B13">
        <w:rPr>
          <w:rFonts w:ascii="Arial" w:hAnsi="Arial"/>
          <w:color w:val="auto"/>
          <w:sz w:val="24"/>
          <w:szCs w:val="24"/>
        </w:rPr>
        <w:t xml:space="preserve"> in</w:t>
      </w:r>
      <w:r w:rsidR="00703BBB" w:rsidRPr="00581D44">
        <w:rPr>
          <w:rFonts w:ascii="Arial" w:hAnsi="Arial"/>
          <w:color w:val="auto"/>
          <w:sz w:val="24"/>
          <w:szCs w:val="24"/>
        </w:rPr>
        <w:t xml:space="preserve"> </w:t>
      </w:r>
      <w:r w:rsidRPr="00581D44">
        <w:rPr>
          <w:rFonts w:ascii="Arial" w:hAnsi="Arial"/>
          <w:color w:val="auto"/>
          <w:sz w:val="24"/>
          <w:szCs w:val="24"/>
        </w:rPr>
        <w:t xml:space="preserve">“if an attack deliberately targets civilians, then that attack will be considered a terrorist attack, whereas, if it targets </w:t>
      </w:r>
      <w:r w:rsidRPr="00581D44">
        <w:rPr>
          <w:rFonts w:ascii="Arial" w:hAnsi="Arial"/>
          <w:color w:val="auto"/>
          <w:sz w:val="24"/>
          <w:szCs w:val="24"/>
        </w:rPr>
        <w:lastRenderedPageBreak/>
        <w:t>military or security personnel then it will be considered a guerrilla attack”</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 (Ganor, 2002)&lt;/DisplayText&gt;&lt;record&gt;&lt;contributors&gt;&lt;authors/&gt;&lt;/contributors&gt;&lt;titles/&gt;&lt;periodical/&gt;&lt;dates&gt;&lt;year&gt;&lt;/year&gt;&lt;pub-dates/&gt;&lt;/dates&gt;&lt;/record&gt;&lt;/Cite&gt;&lt;/EndNote&gt;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 xml:space="preserve"> (Ganor, 2002)</w:t>
      </w:r>
      <w:r w:rsidRPr="00581D44">
        <w:rPr>
          <w:rFonts w:ascii="Arial" w:eastAsia="Arial" w:hAnsi="Arial" w:cs="Arial"/>
          <w:color w:val="auto"/>
          <w:sz w:val="24"/>
          <w:szCs w:val="24"/>
        </w:rPr>
        <w:fldChar w:fldCharType="end"/>
      </w:r>
      <w:r w:rsidRPr="00581D44">
        <w:rPr>
          <w:rFonts w:ascii="Arial" w:hAnsi="Arial"/>
          <w:color w:val="auto"/>
          <w:sz w:val="24"/>
          <w:szCs w:val="24"/>
        </w:rPr>
        <w:t xml:space="preserve">. In this definition it is essentially stating that civilians are the vulnerable target group regarding terrorism should they be attacked by a terrorist </w:t>
      </w:r>
      <w:r w:rsidRPr="00581D44">
        <w:rPr>
          <w:rFonts w:ascii="Arial" w:hAnsi="Arial"/>
          <w:color w:val="auto"/>
          <w:sz w:val="24"/>
          <w:szCs w:val="24"/>
          <w:lang w:val="fr-FR"/>
        </w:rPr>
        <w:t>organisation</w:t>
      </w:r>
      <w:r w:rsidRPr="00581D44">
        <w:rPr>
          <w:rFonts w:ascii="Arial" w:hAnsi="Arial"/>
          <w:color w:val="auto"/>
          <w:sz w:val="24"/>
          <w:szCs w:val="24"/>
        </w:rPr>
        <w:t>. However, should the military be attacked, under this definition this would not be considered an act of terrorism. Thus, demonstrating that the heart of counter-terrorism is the protection of the public.</w:t>
      </w:r>
    </w:p>
    <w:p w14:paraId="70C901A1" w14:textId="77777777" w:rsidR="00E01DC7" w:rsidRPr="00581D44" w:rsidRDefault="00E01DC7">
      <w:pPr>
        <w:pStyle w:val="Body"/>
        <w:rPr>
          <w:rFonts w:ascii="Arial" w:eastAsia="Arial" w:hAnsi="Arial" w:cs="Arial"/>
          <w:color w:val="auto"/>
          <w:sz w:val="24"/>
          <w:szCs w:val="24"/>
        </w:rPr>
      </w:pPr>
    </w:p>
    <w:p w14:paraId="6A5062B7" w14:textId="46E131A1"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When comparing Dr. </w:t>
      </w:r>
      <w:r w:rsidRPr="00581D44">
        <w:rPr>
          <w:rFonts w:ascii="Arial" w:hAnsi="Arial"/>
          <w:color w:val="auto"/>
          <w:sz w:val="24"/>
          <w:szCs w:val="24"/>
          <w:lang w:val="it-IT"/>
        </w:rPr>
        <w:t>Ganor</w:t>
      </w:r>
      <w:r w:rsidRPr="00581D44">
        <w:rPr>
          <w:rFonts w:ascii="Arial" w:hAnsi="Arial"/>
          <w:color w:val="auto"/>
          <w:sz w:val="24"/>
          <w:szCs w:val="24"/>
        </w:rPr>
        <w:t xml:space="preserve">’s definition and the UK’s legislation it is clear to see both agree that if serious harm is caused through the use of </w:t>
      </w:r>
      <w:r w:rsidRPr="00581D44">
        <w:rPr>
          <w:rFonts w:ascii="Arial" w:hAnsi="Arial"/>
          <w:color w:val="auto"/>
          <w:sz w:val="24"/>
          <w:szCs w:val="24"/>
          <w:lang w:val="fr-FR"/>
        </w:rPr>
        <w:t xml:space="preserve">brute force </w:t>
      </w:r>
      <w:r w:rsidRPr="00581D44">
        <w:rPr>
          <w:rFonts w:ascii="Arial" w:hAnsi="Arial"/>
          <w:color w:val="auto"/>
          <w:sz w:val="24"/>
          <w:szCs w:val="24"/>
        </w:rPr>
        <w:t xml:space="preserve">and intimidation, then it could be considered a terrorist attack. However, there is a vast gap in terms of what could fall under being a terrorist when considering the Terrorism Act 2000. The Act states “serious violence against a person” which could be misinterpreted due to the wide applications. There is the possibility that lower offences of violence such as Grievous Bodily Harm (Offences </w:t>
      </w:r>
      <w:r w:rsidR="00484454">
        <w:rPr>
          <w:rFonts w:ascii="Arial" w:hAnsi="Arial"/>
          <w:color w:val="auto"/>
          <w:sz w:val="24"/>
          <w:szCs w:val="24"/>
        </w:rPr>
        <w:t>A</w:t>
      </w:r>
      <w:r w:rsidRPr="00581D44">
        <w:rPr>
          <w:rFonts w:ascii="Arial" w:hAnsi="Arial"/>
          <w:color w:val="auto"/>
          <w:sz w:val="24"/>
          <w:szCs w:val="24"/>
        </w:rPr>
        <w:t xml:space="preserve">gainst the Person Act 1861) could then fit into the wide definition, perhaps falsely. Terrorist is a serious and damaging word, therefore if people who have committed a lower offence can be categorised under this </w:t>
      </w:r>
      <w:r w:rsidR="00703BBB" w:rsidRPr="00581D44">
        <w:rPr>
          <w:rFonts w:ascii="Arial" w:hAnsi="Arial"/>
          <w:color w:val="auto"/>
          <w:sz w:val="24"/>
          <w:szCs w:val="24"/>
        </w:rPr>
        <w:t>definition,</w:t>
      </w:r>
      <w:r w:rsidRPr="00581D44">
        <w:rPr>
          <w:rFonts w:ascii="Arial" w:hAnsi="Arial"/>
          <w:color w:val="auto"/>
          <w:sz w:val="24"/>
          <w:szCs w:val="24"/>
        </w:rPr>
        <w:t xml:space="preserve"> then it could be very damaging on those </w:t>
      </w:r>
      <w:r w:rsidR="00703BBB" w:rsidRPr="00581D44">
        <w:rPr>
          <w:rFonts w:ascii="Arial" w:hAnsi="Arial"/>
          <w:color w:val="auto"/>
          <w:sz w:val="24"/>
          <w:szCs w:val="24"/>
        </w:rPr>
        <w:t>people’s</w:t>
      </w:r>
      <w:r w:rsidRPr="00581D44">
        <w:rPr>
          <w:rFonts w:ascii="Arial" w:hAnsi="Arial"/>
          <w:color w:val="auto"/>
          <w:sz w:val="24"/>
          <w:szCs w:val="24"/>
        </w:rPr>
        <w:t xml:space="preserve"> lives. Additionally, this has the negative impact of reducing the impact of the word if it is applied less stringently because people would know that it is not reserved for serious offences of terrorism only. The word violence stands for “actions or words that are intended to hurt people”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ExcludeYear="1"&gt;&lt;DisplayText&gt;(Cambridge Dictionary, 2024)&lt;/DisplayText&gt;&lt;record&gt;&lt;contributors&gt;&lt;authors/&gt;&lt;/contributors&gt;&lt;titles/&gt;&lt;periodical/&gt;&lt;dates&gt;&lt;year&gt;&lt;/year&gt;&lt;pub-dates/&gt;&lt;/dates&gt;&lt;/record&gt;&lt;/Cite&gt;&lt;/EndNote&gt;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(Cambridge Dictionary, 2024)</w:t>
      </w:r>
      <w:r w:rsidRPr="00581D44">
        <w:rPr>
          <w:rFonts w:ascii="Arial" w:eastAsia="Arial" w:hAnsi="Arial" w:cs="Arial"/>
          <w:color w:val="auto"/>
          <w:sz w:val="24"/>
          <w:szCs w:val="24"/>
        </w:rPr>
        <w:fldChar w:fldCharType="end"/>
      </w:r>
      <w:r w:rsidRPr="00581D44">
        <w:rPr>
          <w:rFonts w:ascii="Arial" w:hAnsi="Arial"/>
          <w:color w:val="auto"/>
          <w:sz w:val="24"/>
          <w:szCs w:val="24"/>
        </w:rPr>
        <w:t>, in this instance actions and words could be both classed as violent, as can be seen by the offence of assault (</w:t>
      </w:r>
      <w:r w:rsidRPr="00581D44">
        <w:rPr>
          <w:rFonts w:ascii="Arial" w:hAnsi="Arial"/>
          <w:color w:val="auto"/>
          <w:sz w:val="24"/>
          <w:szCs w:val="24"/>
          <w:lang w:val="fr-FR"/>
        </w:rPr>
        <w:t>Criminal Justice Act 1988</w:t>
      </w:r>
      <w:r w:rsidRPr="00581D44">
        <w:rPr>
          <w:rFonts w:ascii="Arial" w:hAnsi="Arial"/>
          <w:color w:val="auto"/>
          <w:sz w:val="24"/>
          <w:szCs w:val="24"/>
        </w:rPr>
        <w:t>, section 39). Even though words can be harmful and threatening</w:t>
      </w:r>
      <w:r w:rsidRPr="00581D44">
        <w:rPr>
          <w:rFonts w:ascii="Arial" w:hAnsi="Arial"/>
          <w:strike/>
          <w:color w:val="auto"/>
          <w:sz w:val="24"/>
          <w:szCs w:val="24"/>
        </w:rPr>
        <w:t xml:space="preserve"> </w:t>
      </w:r>
      <w:r w:rsidRPr="00581D44">
        <w:rPr>
          <w:rFonts w:ascii="Arial" w:hAnsi="Arial"/>
          <w:color w:val="auto"/>
          <w:sz w:val="24"/>
          <w:szCs w:val="24"/>
        </w:rPr>
        <w:t xml:space="preserve">committing the serious act of physically violent terrorism is a far worse </w:t>
      </w:r>
      <w:r w:rsidR="00484454">
        <w:rPr>
          <w:rFonts w:ascii="Arial" w:hAnsi="Arial"/>
          <w:color w:val="auto"/>
          <w:sz w:val="24"/>
          <w:szCs w:val="24"/>
        </w:rPr>
        <w:t xml:space="preserve">and </w:t>
      </w:r>
      <w:r w:rsidRPr="00581D44">
        <w:rPr>
          <w:rFonts w:ascii="Arial" w:hAnsi="Arial"/>
          <w:color w:val="auto"/>
          <w:sz w:val="24"/>
          <w:szCs w:val="24"/>
        </w:rPr>
        <w:t>should be treated accordingly in a more serious manner.</w:t>
      </w:r>
    </w:p>
    <w:p w14:paraId="28E7EF9B" w14:textId="77777777" w:rsidR="00E01DC7" w:rsidRPr="00581D44" w:rsidRDefault="00E01DC7">
      <w:pPr>
        <w:pStyle w:val="Body"/>
        <w:rPr>
          <w:rFonts w:ascii="Arial" w:eastAsia="Arial" w:hAnsi="Arial" w:cs="Arial"/>
          <w:color w:val="auto"/>
          <w:sz w:val="24"/>
          <w:szCs w:val="24"/>
        </w:rPr>
      </w:pPr>
    </w:p>
    <w:p w14:paraId="64DFE114" w14:textId="2EA3B532"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The longest sentence for performing acts of terror in the UK is governed by the Counter-Terrorism and Sentencing Act 2021. This states that there is  “a 14-year minimum jail term and up to 25 years spent on licence” for dangerous offenders. So, when considering defining terrorism it must be recognised the sheer importance of accurately pin pointing exactly what terrorism is. As previously mentioned, the most severe sentences are long and as such there needs to be a clarity on what would fall under the different levels of sentencing to make sure they are fair, just and reasonable for each case.</w:t>
      </w:r>
    </w:p>
    <w:p w14:paraId="7BCA98F3" w14:textId="77777777" w:rsidR="00E01DC7" w:rsidRPr="00581D44" w:rsidRDefault="00E01DC7">
      <w:pPr>
        <w:pStyle w:val="Body"/>
        <w:rPr>
          <w:rFonts w:ascii="Arial" w:eastAsia="Arial" w:hAnsi="Arial" w:cs="Arial"/>
          <w:color w:val="auto"/>
          <w:sz w:val="24"/>
          <w:szCs w:val="24"/>
        </w:rPr>
      </w:pPr>
    </w:p>
    <w:p w14:paraId="265A9691" w14:textId="6A5C03AC"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When considering the definition of terrorism, it is also significantly important to consider if all countries have the same definitions, as according to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ExcludeYear="1"&gt;&lt;Year&gt;&lt;/Year&gt;&lt;DisplayText&gt;(Richards, 2018)&lt;/DisplayText&gt;&lt;record&gt;&lt;contributors&gt;&lt;authors&gt;&lt;/authors&gt;&lt;/contributors&gt;&lt;titles&gt;&lt;/titles&gt;&lt;periodical&gt;&lt;/periodical&gt;&lt;dates&gt;&lt;year&gt;&lt;/year&gt;&lt;pub-dates&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(Richards, 2018)</w:t>
      </w:r>
      <w:r w:rsidRPr="00581D44">
        <w:rPr>
          <w:rFonts w:ascii="Arial" w:eastAsia="Arial" w:hAnsi="Arial" w:cs="Arial"/>
          <w:color w:val="auto"/>
          <w:sz w:val="24"/>
          <w:szCs w:val="24"/>
        </w:rPr>
        <w:fldChar w:fldCharType="end"/>
      </w:r>
      <w:r w:rsidRPr="00581D44">
        <w:rPr>
          <w:rFonts w:ascii="Arial" w:hAnsi="Arial"/>
          <w:color w:val="auto"/>
          <w:sz w:val="24"/>
          <w:szCs w:val="24"/>
        </w:rPr>
        <w:t xml:space="preserve">  terrorism is continuing to be more global than before. Therefore, all governments will need to work together to combat this to allow them to be the most efficient in reacting to a threat. Should a government be fearful of what they perceive as a terror threat </w:t>
      </w:r>
      <w:r w:rsidR="00484454" w:rsidRPr="00581D44">
        <w:rPr>
          <w:rFonts w:ascii="Arial" w:hAnsi="Arial"/>
          <w:color w:val="auto"/>
          <w:sz w:val="24"/>
          <w:szCs w:val="24"/>
        </w:rPr>
        <w:t>and other</w:t>
      </w:r>
      <w:r w:rsidRPr="00581D44">
        <w:rPr>
          <w:rFonts w:ascii="Arial" w:hAnsi="Arial"/>
          <w:color w:val="auto"/>
          <w:sz w:val="24"/>
          <w:szCs w:val="24"/>
        </w:rPr>
        <w:t xml:space="preserve"> governments do not recognise this under their own definition of terrorism, then required assistance may not be available. Then the country that is at risk may suffer far worse consequences by having to handle the issue themselves.</w:t>
      </w:r>
    </w:p>
    <w:p w14:paraId="7C4F0EEA" w14:textId="77777777" w:rsidR="00E01DC7" w:rsidRPr="00581D44" w:rsidRDefault="00E01DC7">
      <w:pPr>
        <w:pStyle w:val="Body"/>
        <w:rPr>
          <w:rFonts w:ascii="Arial" w:eastAsia="Arial" w:hAnsi="Arial" w:cs="Arial"/>
          <w:color w:val="auto"/>
          <w:sz w:val="24"/>
          <w:szCs w:val="24"/>
        </w:rPr>
      </w:pPr>
    </w:p>
    <w:p w14:paraId="7FFC29D4" w14:textId="7974831B"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The Irish Republican Army (IRA) is a predominant terrorist group. In Ireland there were mainly Irish Catholics who have nationalist concepts, who wanted to make Northern Ireland part of Ireland, reuniting the country as a whole without British governance. The group was formed in 1916 eventually leading to warfare in 1919, </w:t>
      </w:r>
      <w:r w:rsidRPr="00581D44">
        <w:rPr>
          <w:rFonts w:ascii="Arial" w:hAnsi="Arial"/>
          <w:color w:val="auto"/>
          <w:sz w:val="24"/>
          <w:szCs w:val="24"/>
        </w:rPr>
        <w:lastRenderedPageBreak/>
        <w:t xml:space="preserve">continuing for two years until 1921 where the IRA signed the Anglo-Irish Treaty 1921 as per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ExcludeYear="1"&gt;&lt;DisplayText&gt;(Imperial War Museums, 2024)&lt;/DisplayText&gt;&lt;record&gt;&lt;contributors&gt;&lt;authors/&gt;&lt;/contributors&gt;&lt;titles/&gt;&lt;periodical/&gt;&lt;dates&gt;&lt;year&gt;&lt;/year&gt;&lt;pub-dates/&gt;&lt;/dates&gt;&lt;/record&gt;&lt;/Cite&gt;&lt;/EndNote&gt;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(Imperial War Museums, 2024)</w:t>
      </w:r>
      <w:r w:rsidRPr="00581D44">
        <w:rPr>
          <w:rFonts w:ascii="Arial" w:eastAsia="Arial" w:hAnsi="Arial" w:cs="Arial"/>
          <w:color w:val="auto"/>
          <w:sz w:val="24"/>
          <w:szCs w:val="24"/>
        </w:rPr>
        <w:fldChar w:fldCharType="end"/>
      </w:r>
      <w:r w:rsidRPr="00581D44">
        <w:rPr>
          <w:rFonts w:ascii="Arial" w:hAnsi="Arial"/>
          <w:color w:val="auto"/>
          <w:sz w:val="24"/>
          <w:szCs w:val="24"/>
        </w:rPr>
        <w:t>.</w:t>
      </w:r>
    </w:p>
    <w:p w14:paraId="07DDAFEB" w14:textId="77777777" w:rsidR="00E01DC7" w:rsidRPr="00581D44" w:rsidRDefault="00E01DC7">
      <w:pPr>
        <w:pStyle w:val="Body"/>
        <w:rPr>
          <w:rFonts w:ascii="Arial" w:eastAsia="Arial" w:hAnsi="Arial" w:cs="Arial"/>
          <w:color w:val="auto"/>
          <w:sz w:val="24"/>
          <w:szCs w:val="24"/>
        </w:rPr>
      </w:pPr>
    </w:p>
    <w:p w14:paraId="5EB26E43" w14:textId="77777777"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In 1969-1970 the IRA split into the OIRA (IRA) and Provisional IRA, this was due to there being a divide in both groups’ members having quarrels over their strategy and philosophy. The IRA wanted to become more legitimate and act more peaceful in order to pursue their goals, only using force if it were as a last resort. Whereas the Provisional IRA wanted to be more aggressive in its tactics and also became an aid for Northern Ireland’s Catholics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ExcludeYear="1"&gt;&lt;DisplayText&gt;(Cambridge University Press, 2022)&lt;/DisplayText&gt;&lt;record&gt;&lt;contributors&gt;&lt;authors/&gt;&lt;/contributors&gt;&lt;titles/&gt;&lt;periodical/&gt;&lt;dates&gt;&lt;year&gt;&lt;/year&gt;&lt;pub-dates/&gt;&lt;/dates&gt;&lt;/record&gt;&lt;/Cite&gt;&lt;/EndNote&gt;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(Cambridge University Press, 2022)</w:t>
      </w:r>
      <w:r w:rsidRPr="00581D44">
        <w:rPr>
          <w:rFonts w:ascii="Arial" w:eastAsia="Arial" w:hAnsi="Arial" w:cs="Arial"/>
          <w:color w:val="auto"/>
          <w:sz w:val="24"/>
          <w:szCs w:val="24"/>
        </w:rPr>
        <w:fldChar w:fldCharType="end"/>
      </w:r>
      <w:r w:rsidRPr="00581D44">
        <w:rPr>
          <w:rFonts w:ascii="Arial" w:hAnsi="Arial"/>
          <w:color w:val="auto"/>
          <w:sz w:val="24"/>
          <w:szCs w:val="24"/>
        </w:rPr>
        <w:t xml:space="preserve">. </w:t>
      </w:r>
    </w:p>
    <w:p w14:paraId="7E3CDA66" w14:textId="77777777" w:rsidR="00E01DC7" w:rsidRPr="00581D44" w:rsidRDefault="00E01DC7">
      <w:pPr>
        <w:pStyle w:val="Body"/>
        <w:rPr>
          <w:rFonts w:ascii="Arial" w:eastAsia="Arial" w:hAnsi="Arial" w:cs="Arial"/>
          <w:color w:val="auto"/>
          <w:sz w:val="24"/>
          <w:szCs w:val="24"/>
        </w:rPr>
      </w:pPr>
    </w:p>
    <w:p w14:paraId="7F9387FE" w14:textId="5EA7D473"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The Provisional IRA ‘s structure was made up of “General Army Convention, Army Executive, Army Council, General Headquarters (Quartermaster, Security, Operations, Foreign Operations/England Department, Finance, Training, Engineering, Intelligence, Education, Publicity), Northern Command, Southern Command, Active Service Units”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ExcludeYear="1"&gt;&lt;DisplayText&gt;(Jackson, 2005)&lt;/DisplayText&gt;&lt;record&gt;&lt;contributors&gt;&lt;authors/&gt;&lt;/contributors&gt;&lt;titles/&gt;&lt;periodical/&gt;&lt;dates&gt;&lt;year&gt;&lt;/year&gt;&lt;pub-dates/&gt;&lt;/dates&gt;&lt;/record&gt;&lt;/Cite&gt;&lt;/EndNote&gt;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(Jackson, 2005)</w:t>
      </w:r>
      <w:r w:rsidRPr="00581D44">
        <w:rPr>
          <w:rFonts w:ascii="Arial" w:eastAsia="Arial" w:hAnsi="Arial" w:cs="Arial"/>
          <w:color w:val="auto"/>
          <w:sz w:val="24"/>
          <w:szCs w:val="24"/>
        </w:rPr>
        <w:fldChar w:fldCharType="end"/>
      </w:r>
      <w:r w:rsidRPr="00581D44">
        <w:rPr>
          <w:rFonts w:ascii="Arial" w:hAnsi="Arial"/>
          <w:color w:val="auto"/>
          <w:sz w:val="24"/>
          <w:szCs w:val="24"/>
        </w:rPr>
        <w:t xml:space="preserve">. From this it is clear to see the </w:t>
      </w:r>
      <w:r w:rsidRPr="00581D44">
        <w:rPr>
          <w:rFonts w:ascii="Arial" w:hAnsi="Arial"/>
          <w:color w:val="auto"/>
          <w:sz w:val="24"/>
          <w:szCs w:val="24"/>
          <w:lang w:val="es-ES_tradnl"/>
        </w:rPr>
        <w:t xml:space="preserve">Provisional IRA </w:t>
      </w:r>
      <w:r w:rsidRPr="00581D44">
        <w:rPr>
          <w:rFonts w:ascii="Arial" w:hAnsi="Arial"/>
          <w:color w:val="auto"/>
          <w:sz w:val="24"/>
          <w:szCs w:val="24"/>
        </w:rPr>
        <w:t>were indeed intent on carrying out armed operations, as they appeared to have created a structure of which they can act with a military intent. Armed operations of serious violence would certainly fall within the UK’s definition of terrorism.</w:t>
      </w:r>
    </w:p>
    <w:p w14:paraId="59D50EBD" w14:textId="77777777" w:rsidR="00E01DC7" w:rsidRPr="00581D44" w:rsidRDefault="00E01DC7">
      <w:pPr>
        <w:pStyle w:val="Body"/>
        <w:rPr>
          <w:rFonts w:ascii="Arial" w:eastAsia="Arial" w:hAnsi="Arial" w:cs="Arial"/>
          <w:color w:val="auto"/>
          <w:sz w:val="24"/>
          <w:szCs w:val="24"/>
        </w:rPr>
      </w:pPr>
    </w:p>
    <w:p w14:paraId="5DA33F0D" w14:textId="1B118761"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On 30th January 1972 there were 15,000 people who participated in a civil rights </w:t>
      </w:r>
      <w:r w:rsidRPr="00581D44">
        <w:rPr>
          <w:rFonts w:ascii="Arial" w:hAnsi="Arial"/>
          <w:color w:val="auto"/>
          <w:sz w:val="24"/>
          <w:szCs w:val="24"/>
          <w:lang w:val="fr-FR"/>
        </w:rPr>
        <w:t>march</w:t>
      </w:r>
      <w:r w:rsidRPr="00581D44">
        <w:rPr>
          <w:rFonts w:ascii="Arial" w:hAnsi="Arial"/>
          <w:color w:val="auto"/>
          <w:sz w:val="24"/>
          <w:szCs w:val="24"/>
        </w:rPr>
        <w:t xml:space="preserve">. The aim of the protestors was to go the city centre but the army had set up a barricade to stop this. After time and some small fights between soldiers and youths, the army (Parachute Regiment) made the call to start arresting protestors. At nearly </w:t>
      </w:r>
      <w:r w:rsidRPr="00581D44">
        <w:rPr>
          <w:rFonts w:ascii="Arial" w:hAnsi="Arial"/>
          <w:color w:val="auto"/>
          <w:sz w:val="24"/>
          <w:szCs w:val="24"/>
        </w:rPr>
        <w:lastRenderedPageBreak/>
        <w:t xml:space="preserve">4pm protestors threw rocks at soldiers which resulted in soldiers replying with rubber bullets, tear gas and water canons. Only 7 minutes later the soldiers aimed to make as many arrests as they could. At 4:10pm the soldiers started shooting the marchers, killing 13 people. This became to be known as Bloody Sunday.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ExcludeYear="1"&gt;&lt;DisplayText&gt;(BBC NEWS, 2022)&lt;/DisplayText&gt;&lt;record&gt;&lt;contributors&gt;&lt;authors/&gt;&lt;/contributors&gt;&lt;titles/&gt;&lt;periodical/&gt;&lt;dates&gt;&lt;year&gt;&lt;/year&gt;&lt;pub-dates/&gt;&lt;/dates&gt;&lt;/record&gt;&lt;/Cite&gt;&lt;/EndNote&gt;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(BBC NEWS, 2022)</w:t>
      </w:r>
      <w:r w:rsidRPr="00581D44">
        <w:rPr>
          <w:rFonts w:ascii="Arial" w:eastAsia="Arial" w:hAnsi="Arial" w:cs="Arial"/>
          <w:color w:val="auto"/>
          <w:sz w:val="24"/>
          <w:szCs w:val="24"/>
        </w:rPr>
        <w:fldChar w:fldCharType="end"/>
      </w:r>
      <w:r w:rsidRPr="00581D44">
        <w:rPr>
          <w:rFonts w:ascii="Arial" w:hAnsi="Arial"/>
          <w:color w:val="auto"/>
          <w:sz w:val="24"/>
          <w:szCs w:val="24"/>
        </w:rPr>
        <w:t>. It is clear to see that the Army conducted themselves extremely poorly whilst dealing with the protestors, while there were some tactics such as the tear gas and water cannons which are debatably ethical to use as they can injure people. The fact the army opened fire on protestors was not proportionate. While the protestors throwing rocks at the soldiers was of course a danger to the parachute regiment, opening fire on the protestors was a lethal show of force.</w:t>
      </w:r>
    </w:p>
    <w:p w14:paraId="5AB6C01F" w14:textId="77777777" w:rsidR="00E01DC7" w:rsidRPr="00581D44" w:rsidRDefault="00E01DC7">
      <w:pPr>
        <w:pStyle w:val="Body"/>
        <w:rPr>
          <w:rFonts w:ascii="Arial" w:eastAsia="Arial" w:hAnsi="Arial" w:cs="Arial"/>
          <w:color w:val="auto"/>
          <w:sz w:val="24"/>
          <w:szCs w:val="24"/>
        </w:rPr>
      </w:pPr>
    </w:p>
    <w:p w14:paraId="2FF53C68" w14:textId="48BF9600"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Following Bloody Sunday, the violence only escalated between the IRA and the Army, as the IRA set off a bomb in Aldershot at the Parachute Regiment’s Headquarters. Killing civilians but no soldiers. This incident amongst other things in the IRA’s pursuit resulted in a ceasefire not long after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ExcludeYear="1"&gt;&lt;DisplayText&gt;(Imperial War Museums, 2024)&lt;/DisplayText&gt;&lt;record&gt;&lt;contributors&gt;&lt;authors/&gt;&lt;/contributors&gt;&lt;titles/&gt;&lt;periodical/&gt;&lt;dates&gt;&lt;year&gt;&lt;/year&gt;&lt;pub-dates/&gt;&lt;/dates&gt;&lt;/record&gt;&lt;/Cite&gt;&lt;/EndNote&gt;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(Imperial War Museums, 2024)</w:t>
      </w:r>
      <w:r w:rsidRPr="00581D44">
        <w:rPr>
          <w:rFonts w:ascii="Arial" w:eastAsia="Arial" w:hAnsi="Arial" w:cs="Arial"/>
          <w:color w:val="auto"/>
          <w:sz w:val="24"/>
          <w:szCs w:val="24"/>
        </w:rPr>
        <w:fldChar w:fldCharType="end"/>
      </w:r>
      <w:r w:rsidRPr="00581D44">
        <w:rPr>
          <w:rFonts w:ascii="Arial" w:hAnsi="Arial"/>
          <w:color w:val="auto"/>
          <w:sz w:val="24"/>
          <w:szCs w:val="24"/>
        </w:rPr>
        <w:t>. Under the UK’s definition of terrorism this act would be considered an act of terror as it was aimed to be violent, endanger life as well as destroying property. However, u</w:t>
      </w:r>
      <w:r w:rsidRPr="00581D44">
        <w:rPr>
          <w:rFonts w:ascii="Arial" w:hAnsi="Arial"/>
          <w:color w:val="auto"/>
          <w:sz w:val="24"/>
          <w:szCs w:val="24"/>
          <w:lang w:val="de-DE"/>
        </w:rPr>
        <w:t>nder Dr Ganor</w:t>
      </w:r>
      <w:r w:rsidRPr="00581D44">
        <w:rPr>
          <w:rFonts w:ascii="Arial" w:hAnsi="Arial"/>
          <w:color w:val="auto"/>
          <w:sz w:val="24"/>
          <w:szCs w:val="24"/>
        </w:rPr>
        <w:t>’s definition it could be classed as an act of war as the aim was to target a military base with military personnel on the base. Although, the attack did kill civilians in the process. It must be queried whether it is the intent of the actions or what actually occurs that matters when applying acts to the definition.</w:t>
      </w:r>
    </w:p>
    <w:p w14:paraId="6E1B1EC5" w14:textId="77777777" w:rsidR="00E01DC7" w:rsidRPr="00581D44" w:rsidRDefault="00E01DC7">
      <w:pPr>
        <w:pStyle w:val="Body"/>
        <w:rPr>
          <w:rFonts w:ascii="Arial" w:eastAsia="Arial" w:hAnsi="Arial" w:cs="Arial"/>
          <w:color w:val="auto"/>
          <w:sz w:val="24"/>
          <w:szCs w:val="24"/>
        </w:rPr>
      </w:pPr>
    </w:p>
    <w:p w14:paraId="2178663A" w14:textId="33FAFCF4"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On the 4</w:t>
      </w:r>
      <w:r w:rsidRPr="00581D44">
        <w:rPr>
          <w:rFonts w:ascii="Arial" w:hAnsi="Arial"/>
          <w:color w:val="auto"/>
          <w:sz w:val="24"/>
          <w:szCs w:val="24"/>
          <w:vertAlign w:val="superscript"/>
        </w:rPr>
        <w:t>th</w:t>
      </w:r>
      <w:r w:rsidRPr="00581D44">
        <w:rPr>
          <w:rFonts w:ascii="Arial" w:hAnsi="Arial"/>
          <w:color w:val="auto"/>
          <w:sz w:val="24"/>
          <w:szCs w:val="24"/>
        </w:rPr>
        <w:t xml:space="preserve"> February 1974 the IRA, at the time known as the Provisional Irish Republican Army, set off a bomb on a bus travelling on the M62, there were British </w:t>
      </w:r>
      <w:r w:rsidRPr="00581D44">
        <w:rPr>
          <w:rFonts w:ascii="Arial" w:hAnsi="Arial"/>
          <w:color w:val="auto"/>
          <w:sz w:val="24"/>
          <w:szCs w:val="24"/>
        </w:rPr>
        <w:lastRenderedPageBreak/>
        <w:t>soldiers along with their families on the bus. Killing 12 people (3 civilians and 9 solders) in the explosion</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 (Royal British Legion, 2022)&lt;/DisplayText&gt;&lt;record&gt;&lt;contributors&gt;&lt;authors/&gt;&lt;/contributors&gt;&lt;titles/&gt;&lt;periodical/&gt;&lt;dates&gt;&lt;year&gt;&lt;/year&gt;&lt;pub-dates/&gt;&lt;/dates&gt;&lt;/record&gt;&lt;/Cite&gt;&lt;/EndNote&gt;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 xml:space="preserve"> (Royal British Legion, 2022)</w:t>
      </w:r>
      <w:r w:rsidRPr="00581D44">
        <w:rPr>
          <w:rFonts w:ascii="Arial" w:eastAsia="Arial" w:hAnsi="Arial" w:cs="Arial"/>
          <w:color w:val="auto"/>
          <w:sz w:val="24"/>
          <w:szCs w:val="24"/>
        </w:rPr>
        <w:fldChar w:fldCharType="end"/>
      </w:r>
      <w:r w:rsidRPr="00581D44">
        <w:rPr>
          <w:rFonts w:ascii="Arial" w:hAnsi="Arial"/>
          <w:color w:val="auto"/>
          <w:sz w:val="24"/>
          <w:szCs w:val="24"/>
        </w:rPr>
        <w:t>. Under the Terrorism Act 2000 the would be classed as an act of terror as</w:t>
      </w:r>
      <w:r w:rsidR="00D404AD">
        <w:rPr>
          <w:rFonts w:ascii="Arial" w:hAnsi="Arial"/>
          <w:color w:val="auto"/>
          <w:sz w:val="24"/>
          <w:szCs w:val="24"/>
        </w:rPr>
        <w:t xml:space="preserve"> the</w:t>
      </w:r>
      <w:r w:rsidRPr="00581D44">
        <w:rPr>
          <w:rFonts w:ascii="Arial" w:hAnsi="Arial"/>
          <w:color w:val="auto"/>
          <w:sz w:val="24"/>
          <w:szCs w:val="24"/>
        </w:rPr>
        <w:t xml:space="preserve"> IRA did aim to endanger and destroy life with the belief to enforce their political motives. However, under Dr Ganor’s previously mentioned definition of terrorism it must be an attack on civilians in order for this to be considered an act of terror. Although, there were military personnel at the attack it would be hard to pin under this definition if this were an act of terror or an act of warfare against the UK. This is a clear drawback of Dr Ganor’s definition.</w:t>
      </w:r>
    </w:p>
    <w:p w14:paraId="22F67FE3" w14:textId="77777777" w:rsidR="00E01DC7" w:rsidRPr="00581D44" w:rsidRDefault="00E01DC7">
      <w:pPr>
        <w:pStyle w:val="Body"/>
        <w:rPr>
          <w:rFonts w:ascii="Arial" w:eastAsia="Arial" w:hAnsi="Arial" w:cs="Arial"/>
          <w:color w:val="auto"/>
          <w:sz w:val="24"/>
          <w:szCs w:val="24"/>
        </w:rPr>
      </w:pPr>
    </w:p>
    <w:p w14:paraId="6594DF82" w14:textId="6B91859C"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The IRA did use peaceful means to get their political gains. In 1972 political prisoners of the IRA were given a ‘special category’ so they were recognised as that. However, because of the ongoing violence the British government took away these privileges for any crimes that were committed post March 1976. Eventually leading to inmates deciding to not wear prisoners uniform as well as smearing faeces and urine around their cells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ExcludeYear="1"&gt;&lt;DisplayText&gt;(Queen Mary University of London, 2021)&lt;/DisplayText&gt;&lt;record&gt;&lt;contributors&gt;&lt;authors/&gt;&lt;/contributors&gt;&lt;titles/&gt;&lt;periodical/&gt;&lt;dates&gt;&lt;year&gt;&lt;/year&gt;&lt;pub-dates/&gt;&lt;/dates&gt;&lt;/record&gt;&lt;/Cite&gt;&lt;/EndNote&gt;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(Queen Mary University of London, 2021)</w:t>
      </w:r>
      <w:r w:rsidRPr="00581D44">
        <w:rPr>
          <w:rFonts w:ascii="Arial" w:eastAsia="Arial" w:hAnsi="Arial" w:cs="Arial"/>
          <w:color w:val="auto"/>
          <w:sz w:val="24"/>
          <w:szCs w:val="24"/>
        </w:rPr>
        <w:fldChar w:fldCharType="end"/>
      </w:r>
      <w:r w:rsidRPr="00581D44">
        <w:rPr>
          <w:rFonts w:ascii="Arial" w:hAnsi="Arial"/>
          <w:color w:val="auto"/>
          <w:sz w:val="24"/>
          <w:szCs w:val="24"/>
        </w:rPr>
        <w:t>. Although this would not be considered as violent it does however, put pressure the on UK government to act as these are unacceptable conditions for people to be in whether they are a political prisoner or an ordinary one.</w:t>
      </w:r>
    </w:p>
    <w:p w14:paraId="1B4F7956" w14:textId="77777777" w:rsidR="00E01DC7" w:rsidRPr="00581D44" w:rsidRDefault="00E01DC7">
      <w:pPr>
        <w:pStyle w:val="Body"/>
        <w:rPr>
          <w:rFonts w:ascii="Arial" w:eastAsia="Arial" w:hAnsi="Arial" w:cs="Arial"/>
          <w:color w:val="auto"/>
          <w:sz w:val="24"/>
          <w:szCs w:val="24"/>
        </w:rPr>
      </w:pPr>
    </w:p>
    <w:p w14:paraId="52EE9C6D" w14:textId="7C40AFB3"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Following the previous protest, in March 1981 Bobby Sands who is the head of the Irish Republican Party went on a hunger strike aiming for starvation even to the point of death. Then 66 days after Sands died, by August 9 more people die through a hunger strike, by October the loved ones of those still participating in the hunger strike gave medical aid to protestors. The strike finished and an agreement was </w:t>
      </w:r>
      <w:r w:rsidRPr="00581D44">
        <w:rPr>
          <w:rFonts w:ascii="Arial" w:hAnsi="Arial"/>
          <w:color w:val="auto"/>
          <w:sz w:val="24"/>
          <w:szCs w:val="24"/>
        </w:rPr>
        <w:lastRenderedPageBreak/>
        <w:t xml:space="preserve">made including allowing for the prisoners to have their own clothes and eventually giving back the different privileges as well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ExcludeYear="1"&gt;&lt;DisplayText&gt;(Taylor, 2021)&lt;/DisplayText&gt;&lt;record&gt;&lt;contributors&gt;&lt;authors/&gt;&lt;/contributors&gt;&lt;titles/&gt;&lt;periodical/&gt;&lt;dates&gt;&lt;year&gt;&lt;/year&gt;&lt;pub-dates/&gt;&lt;/dates&gt;&lt;/record&gt;&lt;/Cite&gt;&lt;/EndNote&gt;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(Taylor, 2021)</w:t>
      </w:r>
      <w:r w:rsidRPr="00581D44">
        <w:rPr>
          <w:rFonts w:ascii="Arial" w:eastAsia="Arial" w:hAnsi="Arial" w:cs="Arial"/>
          <w:color w:val="auto"/>
          <w:sz w:val="24"/>
          <w:szCs w:val="24"/>
        </w:rPr>
        <w:fldChar w:fldCharType="end"/>
      </w:r>
      <w:r w:rsidRPr="00581D44">
        <w:rPr>
          <w:rFonts w:ascii="Arial" w:hAnsi="Arial"/>
          <w:color w:val="auto"/>
          <w:sz w:val="24"/>
          <w:szCs w:val="24"/>
        </w:rPr>
        <w:t xml:space="preserve"> This would not fall under Dr Ganor’s definition of terrorism as the participants of the strike are not aiming to harm civilians, only looking to harm themselves. An argument could be made that the IRA were looking to emotionally stress those in government, in order for the government to act upon the IRA’s demands as for every moment the government didn’t act it meant a person was closer to dying.</w:t>
      </w:r>
    </w:p>
    <w:p w14:paraId="26F3E6AE" w14:textId="77777777" w:rsidR="00E01DC7" w:rsidRPr="00581D44" w:rsidRDefault="00E01DC7">
      <w:pPr>
        <w:pStyle w:val="Body"/>
        <w:rPr>
          <w:rFonts w:ascii="Arial" w:eastAsia="Arial" w:hAnsi="Arial" w:cs="Arial"/>
          <w:color w:val="auto"/>
          <w:sz w:val="24"/>
          <w:szCs w:val="24"/>
        </w:rPr>
      </w:pPr>
    </w:p>
    <w:p w14:paraId="75E555F5" w14:textId="3D5FC212"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On the 15</w:t>
      </w:r>
      <w:r w:rsidRPr="00581D44">
        <w:rPr>
          <w:rFonts w:ascii="Arial" w:hAnsi="Arial"/>
          <w:color w:val="auto"/>
          <w:sz w:val="24"/>
          <w:szCs w:val="24"/>
          <w:vertAlign w:val="superscript"/>
        </w:rPr>
        <w:t>th</w:t>
      </w:r>
      <w:r w:rsidRPr="00581D44">
        <w:rPr>
          <w:rFonts w:ascii="Arial" w:hAnsi="Arial"/>
          <w:color w:val="auto"/>
          <w:sz w:val="24"/>
          <w:szCs w:val="24"/>
        </w:rPr>
        <w:t xml:space="preserve"> August 1998 there was a big car bomb triggered in the middle of the Omagh County Tyrone. In Omagh’s busiest street with many people out shopping over 200 civilians received injuries. Of the 200 there were 29 who died due to injuries, unfortunately one was a wom</w:t>
      </w:r>
      <w:r w:rsidR="00703BBB" w:rsidRPr="00581D44">
        <w:rPr>
          <w:rFonts w:ascii="Arial" w:hAnsi="Arial"/>
          <w:color w:val="auto"/>
          <w:sz w:val="24"/>
          <w:szCs w:val="24"/>
        </w:rPr>
        <w:t>a</w:t>
      </w:r>
      <w:r w:rsidRPr="00581D44">
        <w:rPr>
          <w:rFonts w:ascii="Arial" w:hAnsi="Arial"/>
          <w:color w:val="auto"/>
          <w:sz w:val="24"/>
          <w:szCs w:val="24"/>
        </w:rPr>
        <w:t xml:space="preserve">n pregnant with twins </w:t>
      </w:r>
      <w:r w:rsidRPr="00581D44">
        <w:rPr>
          <w:rFonts w:ascii="Arial" w:eastAsia="Arial" w:hAnsi="Arial" w:cs="Arial"/>
          <w:color w:val="auto"/>
          <w:sz w:val="24"/>
          <w:szCs w:val="24"/>
        </w:rPr>
        <w:fldChar w:fldCharType="begin"/>
      </w:r>
      <w:r w:rsidRPr="00581D44">
        <w:rPr>
          <w:rFonts w:ascii="Arial" w:eastAsia="Arial" w:hAnsi="Arial" w:cs="Arial"/>
          <w:color w:val="auto"/>
          <w:sz w:val="24"/>
          <w:szCs w:val="24"/>
        </w:rPr>
        <w:instrText xml:space="preserve"> ADDIN EN.CITE &lt;EndNote&gt;&lt;Cite ExcludeAuth="1" ExcludeYear="1"&gt;&lt;DisplayText&gt;(BBC NEWS, 2023)&lt;/DisplayText&gt;&lt;record&gt;&lt;contributors&gt;&lt;authors/&gt;&lt;/contributors&gt;&lt;titles/&gt;&lt;periodical/&gt;&lt;dates&gt;&lt;year&gt;&lt;/year&gt;&lt;pub-dates/&gt;&lt;/dates&gt;&lt;/record&gt;&lt;/Cite&gt;&lt;/EndNote&gt;</w:instrText>
      </w:r>
      <w:r w:rsidRPr="00581D44">
        <w:rPr>
          <w:rFonts w:ascii="Arial" w:eastAsia="Arial" w:hAnsi="Arial" w:cs="Arial"/>
          <w:color w:val="auto"/>
          <w:sz w:val="24"/>
          <w:szCs w:val="24"/>
        </w:rPr>
        <w:fldChar w:fldCharType="separate"/>
      </w:r>
      <w:r w:rsidRPr="00581D44">
        <w:rPr>
          <w:rFonts w:ascii="Arial" w:hAnsi="Arial"/>
          <w:color w:val="auto"/>
          <w:sz w:val="24"/>
          <w:szCs w:val="24"/>
        </w:rPr>
        <w:t>(BBC NEWS, 2023)</w:t>
      </w:r>
      <w:r w:rsidRPr="00581D44">
        <w:rPr>
          <w:rFonts w:ascii="Arial" w:eastAsia="Arial" w:hAnsi="Arial" w:cs="Arial"/>
          <w:color w:val="auto"/>
          <w:sz w:val="24"/>
          <w:szCs w:val="24"/>
        </w:rPr>
        <w:fldChar w:fldCharType="end"/>
      </w:r>
      <w:r w:rsidRPr="00581D44">
        <w:rPr>
          <w:rFonts w:ascii="Arial" w:hAnsi="Arial"/>
          <w:color w:val="auto"/>
          <w:sz w:val="24"/>
          <w:szCs w:val="24"/>
        </w:rPr>
        <w:t>. Under the UK’s definition of terrorism this would be considered an act of terror as it was intended to be violent against people, damage property and endanger life. Regarding Dr Ganor’s definition, this attack would also be considered an act of terror as it solely aimed to harm civilians and no military personnel. Due to the clear significance of this event, it fits under both definitions. It begs the question whether if only an event so serious could fall under all definitions, then perhaps some definitions are not stringent enough.</w:t>
      </w:r>
    </w:p>
    <w:p w14:paraId="7A1F9368" w14:textId="77777777" w:rsidR="00E01DC7" w:rsidRPr="00581D44" w:rsidRDefault="00E01DC7">
      <w:pPr>
        <w:pStyle w:val="Body"/>
        <w:rPr>
          <w:rFonts w:ascii="Arial" w:eastAsia="Arial" w:hAnsi="Arial" w:cs="Arial"/>
          <w:color w:val="auto"/>
          <w:sz w:val="24"/>
          <w:szCs w:val="24"/>
        </w:rPr>
      </w:pPr>
    </w:p>
    <w:p w14:paraId="28670348" w14:textId="1FB0E06E" w:rsidR="00E01DC7" w:rsidRPr="00581D44" w:rsidRDefault="00000000">
      <w:pPr>
        <w:pStyle w:val="Body"/>
        <w:rPr>
          <w:rFonts w:ascii="Arial" w:eastAsia="Arial" w:hAnsi="Arial" w:cs="Arial"/>
          <w:color w:val="auto"/>
          <w:sz w:val="24"/>
          <w:szCs w:val="24"/>
        </w:rPr>
      </w:pPr>
      <w:r w:rsidRPr="00581D44">
        <w:rPr>
          <w:rFonts w:ascii="Arial" w:hAnsi="Arial"/>
          <w:color w:val="auto"/>
          <w:sz w:val="24"/>
          <w:szCs w:val="24"/>
        </w:rPr>
        <w:t xml:space="preserve">Since its inception the IRA believes they are an army participating in prolonged ethically just weaponised resistance against the United Kingdom’s colonisation of Ireland. As such there have been occasions where the IRA has stated that their militarised endeavour falls under the terms of the rules of war (Shanahan, 2009). </w:t>
      </w:r>
      <w:r w:rsidRPr="00581D44">
        <w:rPr>
          <w:rFonts w:ascii="Arial" w:hAnsi="Arial"/>
          <w:color w:val="auto"/>
          <w:sz w:val="24"/>
          <w:szCs w:val="24"/>
        </w:rPr>
        <w:lastRenderedPageBreak/>
        <w:t>While the IRA have made attacks against the UK Government, as previously discussed there have been many occasions where the IRA have attacked both the army and the pub</w:t>
      </w:r>
      <w:r w:rsidR="00703BBB" w:rsidRPr="00581D44">
        <w:rPr>
          <w:rFonts w:ascii="Arial" w:hAnsi="Arial"/>
          <w:color w:val="auto"/>
          <w:sz w:val="24"/>
          <w:szCs w:val="24"/>
        </w:rPr>
        <w:t>l</w:t>
      </w:r>
      <w:r w:rsidRPr="00581D44">
        <w:rPr>
          <w:rFonts w:ascii="Arial" w:hAnsi="Arial"/>
          <w:color w:val="auto"/>
          <w:sz w:val="24"/>
          <w:szCs w:val="24"/>
        </w:rPr>
        <w:t>ic. Therefore, this would come under the UK’s definition of terrorism as the IRA continue to endanger and be violent towards people’s lives as well as, Dr Ganor’s definition as the IRA have attacked civilians.</w:t>
      </w:r>
    </w:p>
    <w:p w14:paraId="12F5966F" w14:textId="77777777" w:rsidR="00E01DC7" w:rsidRPr="00581D44" w:rsidRDefault="00E01DC7">
      <w:pPr>
        <w:pStyle w:val="Body"/>
        <w:rPr>
          <w:rFonts w:ascii="Arial" w:eastAsia="Arial" w:hAnsi="Arial" w:cs="Arial"/>
          <w:color w:val="auto"/>
          <w:sz w:val="24"/>
          <w:szCs w:val="24"/>
        </w:rPr>
      </w:pPr>
    </w:p>
    <w:p w14:paraId="7298D96B" w14:textId="3B8D6B6F" w:rsidR="00E01DC7" w:rsidRPr="00581D44" w:rsidRDefault="00000000" w:rsidP="00581D44">
      <w:pPr>
        <w:pStyle w:val="Body"/>
        <w:rPr>
          <w:rFonts w:ascii="Arial" w:eastAsia="Arial" w:hAnsi="Arial" w:cs="Arial"/>
          <w:color w:val="auto"/>
          <w:sz w:val="24"/>
          <w:szCs w:val="24"/>
        </w:rPr>
      </w:pPr>
      <w:r w:rsidRPr="00581D44">
        <w:rPr>
          <w:rFonts w:ascii="Arial" w:hAnsi="Arial"/>
          <w:color w:val="auto"/>
          <w:sz w:val="24"/>
          <w:szCs w:val="24"/>
        </w:rPr>
        <w:t xml:space="preserve">In conclusion, terrorism is a significant threat to everyday life and must be handled with appropriate action. Therefore, it is essential that there is a clear definition of what falls under terrorism which in turn would allow the judicial system to punish offenders appropriately and the government is able to identify and handle terrorists. Currently, although the UK’s definition is appropriate, there is not enough consistency with other definitions. There must be consistency to ensure that all acts of terrorism can be uniformly recognised. </w:t>
      </w:r>
    </w:p>
    <w:p w14:paraId="3B26C420" w14:textId="77777777" w:rsidR="00E01DC7" w:rsidRPr="00581D44" w:rsidRDefault="00E01DC7">
      <w:pPr>
        <w:pStyle w:val="ListParagraph"/>
        <w:ind w:left="1440"/>
        <w:rPr>
          <w:rFonts w:ascii="Arial" w:eastAsia="Arial" w:hAnsi="Arial" w:cs="Arial"/>
          <w:color w:val="auto"/>
          <w:sz w:val="24"/>
          <w:szCs w:val="24"/>
        </w:rPr>
      </w:pPr>
    </w:p>
    <w:p w14:paraId="07A27DEF" w14:textId="77777777" w:rsidR="00703BBB" w:rsidRDefault="00703BBB">
      <w:pPr>
        <w:pStyle w:val="ListParagraph"/>
        <w:ind w:left="1440"/>
        <w:rPr>
          <w:rFonts w:ascii="Arial" w:eastAsia="Arial" w:hAnsi="Arial" w:cs="Arial"/>
          <w:sz w:val="24"/>
          <w:szCs w:val="24"/>
        </w:rPr>
      </w:pPr>
    </w:p>
    <w:p w14:paraId="1EF30E89" w14:textId="77777777" w:rsidR="00581D44" w:rsidRDefault="00581D44">
      <w:pPr>
        <w:pStyle w:val="ListParagraph"/>
        <w:ind w:left="1440"/>
        <w:rPr>
          <w:rFonts w:ascii="Arial" w:eastAsia="Arial" w:hAnsi="Arial" w:cs="Arial"/>
          <w:sz w:val="24"/>
          <w:szCs w:val="24"/>
        </w:rPr>
      </w:pPr>
    </w:p>
    <w:p w14:paraId="15308E66" w14:textId="77777777" w:rsidR="00581D44" w:rsidRDefault="00581D44">
      <w:pPr>
        <w:pStyle w:val="ListParagraph"/>
        <w:ind w:left="1440"/>
        <w:rPr>
          <w:rFonts w:ascii="Arial" w:eastAsia="Arial" w:hAnsi="Arial" w:cs="Arial"/>
          <w:sz w:val="24"/>
          <w:szCs w:val="24"/>
        </w:rPr>
      </w:pPr>
    </w:p>
    <w:p w14:paraId="5BEF8756" w14:textId="77777777" w:rsidR="007F74D7" w:rsidRDefault="007F74D7">
      <w:pPr>
        <w:pStyle w:val="ListParagraph"/>
        <w:ind w:left="1440"/>
        <w:rPr>
          <w:rFonts w:ascii="Arial" w:eastAsia="Arial" w:hAnsi="Arial" w:cs="Arial"/>
          <w:sz w:val="24"/>
          <w:szCs w:val="24"/>
        </w:rPr>
      </w:pPr>
    </w:p>
    <w:p w14:paraId="09CBBB88" w14:textId="77777777" w:rsidR="00581D44" w:rsidRDefault="00581D44">
      <w:pPr>
        <w:pStyle w:val="ListParagraph"/>
        <w:ind w:left="1440"/>
        <w:rPr>
          <w:rFonts w:ascii="Arial" w:eastAsia="Arial" w:hAnsi="Arial" w:cs="Arial"/>
          <w:sz w:val="24"/>
          <w:szCs w:val="24"/>
        </w:rPr>
      </w:pPr>
    </w:p>
    <w:p w14:paraId="01892058" w14:textId="77777777" w:rsidR="00581D44" w:rsidRDefault="00581D44">
      <w:pPr>
        <w:pStyle w:val="ListParagraph"/>
        <w:ind w:left="1440"/>
        <w:rPr>
          <w:rFonts w:ascii="Arial" w:eastAsia="Arial" w:hAnsi="Arial" w:cs="Arial"/>
          <w:sz w:val="24"/>
          <w:szCs w:val="24"/>
        </w:rPr>
      </w:pPr>
    </w:p>
    <w:p w14:paraId="1B060F29" w14:textId="77777777" w:rsidR="00581D44" w:rsidRDefault="00581D44">
      <w:pPr>
        <w:pStyle w:val="ListParagraph"/>
        <w:ind w:left="1440"/>
        <w:rPr>
          <w:rFonts w:ascii="Arial" w:eastAsia="Arial" w:hAnsi="Arial" w:cs="Arial"/>
          <w:sz w:val="24"/>
          <w:szCs w:val="24"/>
        </w:rPr>
      </w:pPr>
    </w:p>
    <w:p w14:paraId="593EC9F4" w14:textId="77777777" w:rsidR="00E01DC7" w:rsidRDefault="00000000">
      <w:pPr>
        <w:pStyle w:val="Heading"/>
      </w:pPr>
      <w:r>
        <w:lastRenderedPageBreak/>
        <w:t>Bibliography</w:t>
      </w:r>
    </w:p>
    <w:p w14:paraId="58D676AC" w14:textId="77777777" w:rsidR="00E01DC7" w:rsidRDefault="00000000">
      <w:pPr>
        <w:pStyle w:val="Bibliography"/>
        <w:ind w:left="720" w:hanging="720"/>
      </w:pPr>
      <w:r>
        <w:fldChar w:fldCharType="begin"/>
      </w:r>
      <w:r>
        <w:instrText xml:space="preserve"> ADDIN EN.REFLIST </w:instrText>
      </w:r>
      <w:r>
        <w:fldChar w:fldCharType="separate"/>
      </w:r>
    </w:p>
    <w:p w14:paraId="369386F1" w14:textId="77777777" w:rsidR="00E01DC7" w:rsidRDefault="00000000">
      <w:pPr>
        <w:pStyle w:val="Bibliography"/>
        <w:ind w:left="720" w:hanging="720"/>
        <w:rPr>
          <w:kern w:val="0"/>
          <w:sz w:val="24"/>
          <w:szCs w:val="24"/>
        </w:rPr>
      </w:pPr>
      <w:r>
        <w:t xml:space="preserve">BBC NEWS. (2022, January 27). </w:t>
      </w:r>
      <w:r>
        <w:rPr>
          <w:i/>
          <w:iCs/>
        </w:rPr>
        <w:t>Bloody Sunday: What happened on Sunday 30 January 1972?</w:t>
      </w:r>
      <w:r>
        <w:t xml:space="preserve"> Retrieved from BBC NEWS: https://www.bbc.co.uk/news/uk-northern-ireland-foyle-west-47433319</w:t>
      </w:r>
    </w:p>
    <w:p w14:paraId="54AC98F3" w14:textId="77777777" w:rsidR="00E01DC7" w:rsidRDefault="00000000">
      <w:pPr>
        <w:pStyle w:val="Bibliography"/>
        <w:ind w:left="720" w:hanging="720"/>
      </w:pPr>
      <w:r>
        <w:t xml:space="preserve">BBC NEWS. (2023, August 11). </w:t>
      </w:r>
      <w:r>
        <w:rPr>
          <w:i/>
          <w:iCs/>
        </w:rPr>
        <w:t>Timeline of Omagh bomb families' search for justice</w:t>
      </w:r>
      <w:r>
        <w:t>. Retrieved from BBC NEWS: https://www.bbc.co.uk/news/uk-northern-ireland-35698873</w:t>
      </w:r>
    </w:p>
    <w:p w14:paraId="7C749477" w14:textId="77777777" w:rsidR="00E01DC7" w:rsidRDefault="00000000">
      <w:pPr>
        <w:pStyle w:val="Bibliography"/>
        <w:ind w:left="720" w:hanging="720"/>
      </w:pPr>
      <w:r>
        <w:t xml:space="preserve">Cambridge Dictionary. (2024). </w:t>
      </w:r>
      <w:r>
        <w:rPr>
          <w:i/>
          <w:iCs/>
        </w:rPr>
        <w:t>VIOLENCE | English meaning</w:t>
      </w:r>
      <w:r>
        <w:t>. Retrieved from Cambridge Dictionary: https://dictionary.cambridge.org/dictionary/english/violence</w:t>
      </w:r>
    </w:p>
    <w:p w14:paraId="1F70928B" w14:textId="77777777" w:rsidR="00E01DC7" w:rsidRDefault="00000000">
      <w:pPr>
        <w:pStyle w:val="Bibliography"/>
        <w:ind w:left="720" w:hanging="720"/>
      </w:pPr>
      <w:r>
        <w:t xml:space="preserve">Cambridge University Press. (2022). The Moral Parameters of Violence: The Case of the Provisional IRA. </w:t>
      </w:r>
      <w:r>
        <w:rPr>
          <w:i/>
          <w:iCs/>
        </w:rPr>
        <w:t xml:space="preserve">Journal of British Studies </w:t>
      </w:r>
      <w:r>
        <w:t>, 138-161.</w:t>
      </w:r>
    </w:p>
    <w:p w14:paraId="3CB294F8" w14:textId="3E55FA82" w:rsidR="00E01DC7" w:rsidRDefault="00000000">
      <w:pPr>
        <w:pStyle w:val="Body"/>
      </w:pPr>
      <w:r>
        <w:t>Counter-Terrorism and Sentencing Act 2021</w:t>
      </w:r>
      <w:r w:rsidR="007A7378">
        <w:t>.</w:t>
      </w:r>
    </w:p>
    <w:p w14:paraId="4B3D9B70" w14:textId="008D0DC5" w:rsidR="007A7378" w:rsidRDefault="007A7378">
      <w:pPr>
        <w:pStyle w:val="Body"/>
      </w:pPr>
      <w:r>
        <w:t>Criminal Justice Act 1988, section 39.</w:t>
      </w:r>
    </w:p>
    <w:p w14:paraId="2A09C9F5" w14:textId="77777777" w:rsidR="00E01DC7" w:rsidRDefault="00000000">
      <w:pPr>
        <w:pStyle w:val="Bibliography"/>
        <w:ind w:left="720" w:hanging="720"/>
      </w:pPr>
      <w:r>
        <w:t xml:space="preserve">Ganor. (2002). </w:t>
      </w:r>
      <w:r>
        <w:rPr>
          <w:i/>
          <w:iCs/>
        </w:rPr>
        <w:t>DEFINING TERRORISM: IS ONE MAN’S TERRORIST ANOTHER MAN’S.</w:t>
      </w:r>
      <w:r>
        <w:t xml:space="preserve"> Israel: Routledge, Ltd.</w:t>
      </w:r>
    </w:p>
    <w:p w14:paraId="54958A01" w14:textId="77777777" w:rsidR="00E01DC7" w:rsidRDefault="00000000">
      <w:pPr>
        <w:pStyle w:val="Bibliography"/>
        <w:ind w:left="720" w:hanging="720"/>
      </w:pPr>
      <w:r>
        <w:t xml:space="preserve">Imperial War Museums. (2024). </w:t>
      </w:r>
      <w:r>
        <w:rPr>
          <w:i/>
          <w:iCs/>
        </w:rPr>
        <w:t>How the deadliest decade of the Troubles unfolded</w:t>
      </w:r>
      <w:r>
        <w:t>. Retrieved from Imperial War Museums: https://www.iwm.org.uk/history/how-the-deadliest-decade-of-the-troubles-unfolded#:~:text=The%20violence%20continued%20to%20intensify,declare%20a%20ceasefire%20soon%20afterwards.</w:t>
      </w:r>
    </w:p>
    <w:p w14:paraId="07DC2594" w14:textId="77777777" w:rsidR="00E01DC7" w:rsidRDefault="00000000">
      <w:pPr>
        <w:pStyle w:val="Bibliography"/>
        <w:ind w:left="720" w:hanging="720"/>
      </w:pPr>
      <w:r>
        <w:t xml:space="preserve">Imperial War Museums. (2024). </w:t>
      </w:r>
      <w:r>
        <w:rPr>
          <w:i/>
          <w:iCs/>
        </w:rPr>
        <w:t>What You Need to Know About The Troubles</w:t>
      </w:r>
      <w:r>
        <w:t>. Retrieved from Imperial War Museums: https://www.iwm.org.uk/history/what-you-need-to-know-about-the-troubles</w:t>
      </w:r>
    </w:p>
    <w:p w14:paraId="239A50BF" w14:textId="77777777" w:rsidR="00E01DC7" w:rsidRDefault="00000000">
      <w:pPr>
        <w:pStyle w:val="Bibliography"/>
        <w:ind w:left="720" w:hanging="720"/>
      </w:pPr>
      <w:r>
        <w:lastRenderedPageBreak/>
        <w:t>Jackson, S. B. (2005). Aptitude for Destruction, Volume 2: Case Studies of Organizational Learning in Five Terrorist Groups,. In S. B. Jackson. RAND Corporation.</w:t>
      </w:r>
    </w:p>
    <w:p w14:paraId="264F885D" w14:textId="63AED549" w:rsidR="00703BBB" w:rsidRPr="00703BBB" w:rsidRDefault="00703BBB" w:rsidP="00703BBB">
      <w:pPr>
        <w:pStyle w:val="Body"/>
      </w:pPr>
      <w:r w:rsidRPr="00703BBB">
        <w:t xml:space="preserve">Offences </w:t>
      </w:r>
      <w:r w:rsidR="00484454">
        <w:t>A</w:t>
      </w:r>
      <w:r w:rsidRPr="00703BBB">
        <w:t>gainst the Person Act 1861, section 20</w:t>
      </w:r>
    </w:p>
    <w:p w14:paraId="721868C7" w14:textId="77777777" w:rsidR="00E01DC7" w:rsidRDefault="00000000">
      <w:pPr>
        <w:pStyle w:val="Bibliography"/>
        <w:ind w:left="720" w:hanging="720"/>
      </w:pPr>
      <w:r>
        <w:t xml:space="preserve">Queen Mary University of London. (2021, May 6). </w:t>
      </w:r>
      <w:r>
        <w:rPr>
          <w:i/>
          <w:iCs/>
        </w:rPr>
        <w:t>Dirty protests - why Irish republican prisoners smeared their cells with faeces to make a political statement during the Troubles</w:t>
      </w:r>
      <w:r>
        <w:t>. Retrieved from Queen Mary University of London: https://www.qmul.ac.uk/media/news/2021/hss/dirty-protests---why-irish-republican-prisoners-smeared-their-cells-with-faeces-to-make-a-political-statement-during-the-troubles.html</w:t>
      </w:r>
    </w:p>
    <w:p w14:paraId="2D789FBE" w14:textId="77777777" w:rsidR="00E01DC7" w:rsidRDefault="00000000">
      <w:pPr>
        <w:pStyle w:val="Bibliography"/>
        <w:ind w:left="720" w:hanging="720"/>
      </w:pPr>
      <w:r>
        <w:t>Richards. (2018). Routledge Handbook of Terrorism and Counterterrorism. Abingdon: Taylor and Francis.</w:t>
      </w:r>
    </w:p>
    <w:p w14:paraId="079502D6" w14:textId="77777777" w:rsidR="00E01DC7" w:rsidRDefault="00000000">
      <w:pPr>
        <w:pStyle w:val="Bibliography"/>
        <w:ind w:left="720" w:hanging="720"/>
      </w:pPr>
      <w:r>
        <w:t xml:space="preserve">Royal British Legion. (2022). </w:t>
      </w:r>
      <w:r>
        <w:rPr>
          <w:i/>
          <w:iCs/>
        </w:rPr>
        <w:t>M62 coach bombing - Spenborough Branch</w:t>
      </w:r>
      <w:r>
        <w:t>. Retrieved from Royal British Legion: https://branches.britishlegion.org.uk/branches/spenborough/photo-gallery/2020/m62-coach-bombing-2nd-february-2020/</w:t>
      </w:r>
    </w:p>
    <w:p w14:paraId="7A9A71CD" w14:textId="77777777" w:rsidR="00E01DC7" w:rsidRDefault="00000000">
      <w:pPr>
        <w:pStyle w:val="Bibliography"/>
        <w:ind w:left="720" w:hanging="720"/>
      </w:pPr>
      <w:r>
        <w:t>Shanahan. (2009). Permission to Kill: Just War Theory and the IRA's Armed struggle . Edinburgh: Edinburgh University Press.</w:t>
      </w:r>
    </w:p>
    <w:p w14:paraId="120CD02B" w14:textId="77777777" w:rsidR="00E01DC7" w:rsidRDefault="00000000">
      <w:pPr>
        <w:pStyle w:val="Bibliography"/>
        <w:ind w:left="720" w:hanging="720"/>
      </w:pPr>
      <w:r>
        <w:t xml:space="preserve">Taylor. (2021, May 1). </w:t>
      </w:r>
      <w:r>
        <w:rPr>
          <w:i/>
          <w:iCs/>
        </w:rPr>
        <w:t>Bobby Sands: The hunger strike that changed the course of N Ireland's conflict</w:t>
      </w:r>
      <w:r>
        <w:t>. Retrieved from BBC NEWS: https://www.bbc.co.uk/news/stories-56937259</w:t>
      </w:r>
    </w:p>
    <w:p w14:paraId="109ABD7E" w14:textId="77777777" w:rsidR="00E01DC7" w:rsidRDefault="00000000">
      <w:pPr>
        <w:pStyle w:val="Body"/>
      </w:pPr>
      <w:r>
        <w:t>Terrorism Act 2000</w:t>
      </w:r>
      <w:r>
        <w:fldChar w:fldCharType="end"/>
      </w:r>
    </w:p>
    <w:p w14:paraId="1B644346" w14:textId="77777777" w:rsidR="00E01DC7" w:rsidRDefault="00E01DC7">
      <w:pPr>
        <w:pStyle w:val="Body"/>
      </w:pPr>
    </w:p>
    <w:p w14:paraId="70758641" w14:textId="77777777" w:rsidR="00E01DC7" w:rsidRDefault="00E01DC7">
      <w:pPr>
        <w:pStyle w:val="Body"/>
        <w:jc w:val="center"/>
        <w:rPr>
          <w:sz w:val="24"/>
          <w:szCs w:val="24"/>
        </w:rPr>
      </w:pPr>
    </w:p>
    <w:p w14:paraId="67AC63CC" w14:textId="77777777" w:rsidR="00E01DC7" w:rsidRDefault="00E01DC7">
      <w:pPr>
        <w:pStyle w:val="Body"/>
        <w:jc w:val="center"/>
      </w:pPr>
    </w:p>
    <w:sectPr w:rsidR="00E01DC7">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93ED8D" w14:textId="77777777" w:rsidR="00E97F13" w:rsidRDefault="00E97F13">
      <w:r>
        <w:separator/>
      </w:r>
    </w:p>
  </w:endnote>
  <w:endnote w:type="continuationSeparator" w:id="0">
    <w:p w14:paraId="163A7650" w14:textId="77777777" w:rsidR="00E97F13" w:rsidRDefault="00E97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21C6A8" w14:textId="77777777" w:rsidR="00E01DC7" w:rsidRDefault="00E01DC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F056E8" w14:textId="77777777" w:rsidR="00E97F13" w:rsidRDefault="00E97F13">
      <w:r>
        <w:separator/>
      </w:r>
    </w:p>
  </w:footnote>
  <w:footnote w:type="continuationSeparator" w:id="0">
    <w:p w14:paraId="68FAEED4" w14:textId="77777777" w:rsidR="00E97F13" w:rsidRDefault="00E97F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F646D6" w14:textId="77777777" w:rsidR="00E01DC7" w:rsidRDefault="00E01DC7">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D1108D"/>
    <w:multiLevelType w:val="hybridMultilevel"/>
    <w:tmpl w:val="F77C052E"/>
    <w:numStyleLink w:val="ImportedStyle1"/>
  </w:abstractNum>
  <w:abstractNum w:abstractNumId="1" w15:restartNumberingAfterBreak="0">
    <w:nsid w:val="607E16D6"/>
    <w:multiLevelType w:val="hybridMultilevel"/>
    <w:tmpl w:val="78FE1C82"/>
    <w:styleLink w:val="ImportedStyle2"/>
    <w:lvl w:ilvl="0" w:tplc="FA6CB36C">
      <w:start w:val="1"/>
      <w:numFmt w:val="decimal"/>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31ED43C">
      <w:start w:val="1"/>
      <w:numFmt w:val="lowerLetter"/>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82E8DC2">
      <w:start w:val="1"/>
      <w:numFmt w:val="lowerRoman"/>
      <w:lvlText w:val="%3."/>
      <w:lvlJc w:val="left"/>
      <w:pPr>
        <w:ind w:left="288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B7747CCC">
      <w:start w:val="1"/>
      <w:numFmt w:val="decimal"/>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2D0F8CC">
      <w:start w:val="1"/>
      <w:numFmt w:val="lowerLetter"/>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CD42538">
      <w:start w:val="1"/>
      <w:numFmt w:val="lowerRoman"/>
      <w:lvlText w:val="%6."/>
      <w:lvlJc w:val="left"/>
      <w:pPr>
        <w:ind w:left="504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31087C80">
      <w:start w:val="1"/>
      <w:numFmt w:val="decimal"/>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7F21122">
      <w:start w:val="1"/>
      <w:numFmt w:val="lowerLetter"/>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054FB2A">
      <w:start w:val="1"/>
      <w:numFmt w:val="lowerRoman"/>
      <w:lvlText w:val="%9."/>
      <w:lvlJc w:val="left"/>
      <w:pPr>
        <w:ind w:left="720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676F5A17"/>
    <w:multiLevelType w:val="hybridMultilevel"/>
    <w:tmpl w:val="F77C052E"/>
    <w:styleLink w:val="ImportedStyle1"/>
    <w:lvl w:ilvl="0" w:tplc="F7D0AF22">
      <w:start w:val="1"/>
      <w:numFmt w:val="decimal"/>
      <w:lvlText w:val="%1."/>
      <w:lvlJc w:val="left"/>
      <w:pPr>
        <w:ind w:left="1080" w:hanging="720"/>
      </w:pPr>
      <w:rPr>
        <w:rFonts w:hAnsi="Arial Unicode MS"/>
        <w:caps w:val="0"/>
        <w:smallCaps w:val="0"/>
        <w:strike w:val="0"/>
        <w:dstrike w:val="0"/>
        <w:outline w:val="0"/>
        <w:emboss w:val="0"/>
        <w:imprint w:val="0"/>
        <w:spacing w:val="0"/>
        <w:w w:val="100"/>
        <w:kern w:val="0"/>
        <w:position w:val="0"/>
        <w:highlight w:val="none"/>
        <w:vertAlign w:val="baseline"/>
      </w:rPr>
    </w:lvl>
    <w:lvl w:ilvl="1" w:tplc="29806FB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56E5BD2">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1B8872D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5D4361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8C04C3C">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FFD2C3B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2E6164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60E12C0">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6C901F9A"/>
    <w:multiLevelType w:val="hybridMultilevel"/>
    <w:tmpl w:val="78FE1C82"/>
    <w:numStyleLink w:val="ImportedStyle2"/>
  </w:abstractNum>
  <w:num w:numId="1" w16cid:durableId="1912428153">
    <w:abstractNumId w:val="2"/>
  </w:num>
  <w:num w:numId="2" w16cid:durableId="1509633771">
    <w:abstractNumId w:val="0"/>
  </w:num>
  <w:num w:numId="3" w16cid:durableId="1171141082">
    <w:abstractNumId w:val="1"/>
  </w:num>
  <w:num w:numId="4" w16cid:durableId="1140223464">
    <w:abstractNumId w:val="3"/>
  </w:num>
  <w:num w:numId="5" w16cid:durableId="852449939">
    <w:abstractNumId w:val="3"/>
    <w:lvlOverride w:ilvl="0">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1DC7"/>
    <w:rsid w:val="0002022E"/>
    <w:rsid w:val="000C4B13"/>
    <w:rsid w:val="003B416F"/>
    <w:rsid w:val="00484454"/>
    <w:rsid w:val="00581D44"/>
    <w:rsid w:val="00703BBB"/>
    <w:rsid w:val="007A7378"/>
    <w:rsid w:val="007F74D7"/>
    <w:rsid w:val="00CD3986"/>
    <w:rsid w:val="00D404AD"/>
    <w:rsid w:val="00E01DC7"/>
    <w:rsid w:val="00E97F13"/>
    <w:rsid w:val="00F54AF8"/>
    <w:rsid w:val="00FA76B4"/>
    <w:rsid w:val="00FC1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5E6D9"/>
  <w15:docId w15:val="{85A300DF-D576-4C80-B825-1677B6B05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480" w:lineRule="auto"/>
    </w:pPr>
    <w:rPr>
      <w:rFonts w:ascii="Calibri" w:hAnsi="Calibri" w:cs="Arial Unicode MS"/>
      <w:color w:val="000000"/>
      <w:kern w:val="2"/>
      <w:sz w:val="22"/>
      <w:szCs w:val="22"/>
      <w:u w:color="000000"/>
      <w:lang w:val="en-US"/>
      <w14:textOutline w14:w="0" w14:cap="flat" w14:cmpd="sng" w14:algn="ctr">
        <w14:noFill/>
        <w14:prstDash w14:val="solid"/>
        <w14:bevel/>
      </w14:textOutline>
    </w:rPr>
  </w:style>
  <w:style w:type="paragraph" w:styleId="ListParagraph">
    <w:name w:val="List Paragraph"/>
    <w:pPr>
      <w:spacing w:after="160" w:line="480" w:lineRule="auto"/>
      <w:ind w:left="720"/>
    </w:pPr>
    <w:rPr>
      <w:rFonts w:ascii="Calibri" w:hAnsi="Calibri" w:cs="Arial Unicode MS"/>
      <w:color w:val="000000"/>
      <w:kern w:val="2"/>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paragraph" w:customStyle="1" w:styleId="Heading">
    <w:name w:val="Heading"/>
    <w:next w:val="Body"/>
    <w:pPr>
      <w:keepNext/>
      <w:keepLines/>
      <w:spacing w:before="240" w:line="259" w:lineRule="auto"/>
      <w:outlineLvl w:val="0"/>
    </w:pPr>
    <w:rPr>
      <w:rFonts w:ascii="Calibri Light" w:hAnsi="Calibri Light" w:cs="Arial Unicode MS"/>
      <w:color w:val="2F5496"/>
      <w:sz w:val="32"/>
      <w:szCs w:val="32"/>
      <w:u w:color="2F5496"/>
      <w:lang w:val="fr-FR"/>
      <w14:textOutline w14:w="0" w14:cap="flat" w14:cmpd="sng" w14:algn="ctr">
        <w14:noFill/>
        <w14:prstDash w14:val="solid"/>
        <w14:bevel/>
      </w14:textOutline>
    </w:rPr>
  </w:style>
  <w:style w:type="paragraph" w:styleId="Bibliography">
    <w:name w:val="Bibliography"/>
    <w:next w:val="Body"/>
    <w:pPr>
      <w:spacing w:after="160" w:line="480" w:lineRule="auto"/>
    </w:pPr>
    <w:rPr>
      <w:rFonts w:ascii="Calibri" w:eastAsia="Calibri" w:hAnsi="Calibri" w:cs="Calibri"/>
      <w:color w:val="000000"/>
      <w:kern w:val="2"/>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11</Pages>
  <Words>2840</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Harri Bright</cp:lastModifiedBy>
  <cp:revision>54</cp:revision>
  <dcterms:created xsi:type="dcterms:W3CDTF">2024-04-18T18:53:00Z</dcterms:created>
  <dcterms:modified xsi:type="dcterms:W3CDTF">2024-04-18T22:42:00Z</dcterms:modified>
</cp:coreProperties>
</file>