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A44B29" w14:paraId="3F3B70A7" w14:textId="77777777" w:rsidTr="00E12F81">
        <w:tc>
          <w:tcPr>
            <w:tcW w:w="3005" w:type="dxa"/>
          </w:tcPr>
          <w:p w14:paraId="10ECC16D" w14:textId="77777777" w:rsidR="00A44B29" w:rsidRDefault="00A44B29" w:rsidP="00E12F81">
            <w:pPr>
              <w:jc w:val="both"/>
              <w:rPr>
                <w:rFonts w:ascii="Times New Roman" w:hAnsi="Times New Roman" w:cs="Times New Roman"/>
                <w:sz w:val="22"/>
                <w:szCs w:val="22"/>
              </w:rPr>
            </w:pPr>
          </w:p>
        </w:tc>
        <w:tc>
          <w:tcPr>
            <w:tcW w:w="3005" w:type="dxa"/>
          </w:tcPr>
          <w:p w14:paraId="65C524CC"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Targets</w:t>
            </w:r>
          </w:p>
        </w:tc>
        <w:tc>
          <w:tcPr>
            <w:tcW w:w="3006" w:type="dxa"/>
          </w:tcPr>
          <w:p w14:paraId="57219AC6"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What I have done in this assignment…</w:t>
            </w:r>
          </w:p>
        </w:tc>
      </w:tr>
      <w:tr w:rsidR="00A44B29" w14:paraId="2251AE46" w14:textId="77777777" w:rsidTr="00E12F81">
        <w:tc>
          <w:tcPr>
            <w:tcW w:w="3005" w:type="dxa"/>
          </w:tcPr>
          <w:p w14:paraId="665D7E86"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Target 1</w:t>
            </w:r>
          </w:p>
        </w:tc>
        <w:tc>
          <w:tcPr>
            <w:tcW w:w="3005" w:type="dxa"/>
          </w:tcPr>
          <w:p w14:paraId="2BCBBBF0" w14:textId="77777777" w:rsidR="00A44B29" w:rsidRDefault="00A44B29" w:rsidP="00E12F81">
            <w:pPr>
              <w:pStyle w:val="NormalWeb"/>
              <w:spacing w:before="0" w:beforeAutospacing="0" w:after="0" w:afterAutospacing="0"/>
              <w:rPr>
                <w:rFonts w:ascii="Roboto" w:hAnsi="Roboto"/>
                <w:color w:val="283041"/>
                <w:sz w:val="21"/>
                <w:szCs w:val="21"/>
              </w:rPr>
            </w:pPr>
            <w:r>
              <w:rPr>
                <w:rFonts w:ascii="Roboto" w:hAnsi="Roboto"/>
                <w:color w:val="283041"/>
                <w:sz w:val="21"/>
                <w:szCs w:val="21"/>
              </w:rPr>
              <w:t>a) Ensure an even greater engagement with a wider bank of literature to support all main discussion points. </w:t>
            </w:r>
          </w:p>
          <w:p w14:paraId="41F5B72F" w14:textId="77777777" w:rsidR="00A44B29" w:rsidRDefault="00A44B29" w:rsidP="00E12F81">
            <w:pPr>
              <w:pStyle w:val="NormalWeb"/>
              <w:spacing w:before="0" w:beforeAutospacing="0" w:after="0" w:afterAutospacing="0"/>
              <w:rPr>
                <w:sz w:val="22"/>
                <w:szCs w:val="22"/>
              </w:rPr>
            </w:pPr>
          </w:p>
        </w:tc>
        <w:tc>
          <w:tcPr>
            <w:tcW w:w="3006" w:type="dxa"/>
          </w:tcPr>
          <w:p w14:paraId="0A816D7B"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Used more and different literature sources to widen my research</w:t>
            </w:r>
          </w:p>
        </w:tc>
      </w:tr>
      <w:tr w:rsidR="00A44B29" w14:paraId="22A1620E" w14:textId="77777777" w:rsidTr="00E12F81">
        <w:tc>
          <w:tcPr>
            <w:tcW w:w="3005" w:type="dxa"/>
          </w:tcPr>
          <w:p w14:paraId="32977BD0"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Target 2</w:t>
            </w:r>
          </w:p>
        </w:tc>
        <w:tc>
          <w:tcPr>
            <w:tcW w:w="3005" w:type="dxa"/>
          </w:tcPr>
          <w:p w14:paraId="78759FDE" w14:textId="77777777" w:rsidR="00A44B29" w:rsidRDefault="00A44B29" w:rsidP="00E12F81">
            <w:pPr>
              <w:pStyle w:val="NormalWeb"/>
              <w:spacing w:before="0" w:beforeAutospacing="0" w:after="0" w:afterAutospacing="0"/>
              <w:rPr>
                <w:rFonts w:ascii="Roboto" w:hAnsi="Roboto"/>
                <w:color w:val="283041"/>
                <w:sz w:val="21"/>
                <w:szCs w:val="21"/>
              </w:rPr>
            </w:pPr>
            <w:r>
              <w:rPr>
                <w:rFonts w:ascii="Roboto" w:hAnsi="Roboto"/>
                <w:color w:val="283041"/>
                <w:sz w:val="21"/>
                <w:szCs w:val="21"/>
              </w:rPr>
              <w:t>b) Try to support your key messages with research, who agrees? who disagrees?</w:t>
            </w:r>
          </w:p>
          <w:p w14:paraId="53830886" w14:textId="77777777" w:rsidR="00A44B29" w:rsidRDefault="00A44B29" w:rsidP="00E12F81">
            <w:pPr>
              <w:jc w:val="both"/>
              <w:rPr>
                <w:rFonts w:ascii="Times New Roman" w:hAnsi="Times New Roman" w:cs="Times New Roman"/>
                <w:sz w:val="22"/>
                <w:szCs w:val="22"/>
              </w:rPr>
            </w:pPr>
          </w:p>
        </w:tc>
        <w:tc>
          <w:tcPr>
            <w:tcW w:w="3006" w:type="dxa"/>
          </w:tcPr>
          <w:p w14:paraId="64EAE6B4"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Used peer reviewed articles/journals to discuss theories</w:t>
            </w:r>
          </w:p>
        </w:tc>
      </w:tr>
      <w:tr w:rsidR="00A44B29" w14:paraId="1DA92C99" w14:textId="77777777" w:rsidTr="00E12F81">
        <w:tc>
          <w:tcPr>
            <w:tcW w:w="3005" w:type="dxa"/>
          </w:tcPr>
          <w:p w14:paraId="243B84AF"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Target 3</w:t>
            </w:r>
          </w:p>
        </w:tc>
        <w:tc>
          <w:tcPr>
            <w:tcW w:w="3005" w:type="dxa"/>
          </w:tcPr>
          <w:p w14:paraId="1A5DFFFF" w14:textId="77777777" w:rsidR="00A44B29" w:rsidRDefault="00A44B29" w:rsidP="00E12F81">
            <w:pPr>
              <w:pStyle w:val="NormalWeb"/>
              <w:spacing w:before="0" w:beforeAutospacing="0" w:after="0" w:afterAutospacing="0"/>
              <w:rPr>
                <w:rFonts w:ascii="Roboto" w:hAnsi="Roboto"/>
                <w:color w:val="283041"/>
                <w:sz w:val="21"/>
                <w:szCs w:val="21"/>
              </w:rPr>
            </w:pPr>
            <w:r>
              <w:rPr>
                <w:rFonts w:ascii="Roboto" w:hAnsi="Roboto"/>
                <w:color w:val="283041"/>
                <w:sz w:val="21"/>
                <w:szCs w:val="21"/>
              </w:rPr>
              <w:t>c) Provide more counter argument for recommendations made or critically evaluate aspects to be cautious with. </w:t>
            </w:r>
          </w:p>
          <w:p w14:paraId="2332ABFC" w14:textId="77777777" w:rsidR="00A44B29" w:rsidRDefault="00A44B29" w:rsidP="00E12F81">
            <w:pPr>
              <w:jc w:val="both"/>
              <w:rPr>
                <w:rFonts w:ascii="Times New Roman" w:hAnsi="Times New Roman" w:cs="Times New Roman"/>
                <w:sz w:val="22"/>
                <w:szCs w:val="22"/>
              </w:rPr>
            </w:pPr>
          </w:p>
        </w:tc>
        <w:tc>
          <w:tcPr>
            <w:tcW w:w="3006" w:type="dxa"/>
          </w:tcPr>
          <w:p w14:paraId="69FCADEC" w14:textId="77777777" w:rsidR="00A44B29" w:rsidRDefault="00A44B29" w:rsidP="00E12F81">
            <w:pPr>
              <w:jc w:val="both"/>
              <w:rPr>
                <w:rFonts w:ascii="Times New Roman" w:hAnsi="Times New Roman" w:cs="Times New Roman"/>
                <w:sz w:val="22"/>
                <w:szCs w:val="22"/>
              </w:rPr>
            </w:pPr>
            <w:r>
              <w:rPr>
                <w:rFonts w:ascii="Times New Roman" w:hAnsi="Times New Roman" w:cs="Times New Roman"/>
                <w:sz w:val="22"/>
                <w:szCs w:val="22"/>
              </w:rPr>
              <w:t xml:space="preserve">Used phrases ‘One could argue/Some would suggest’ and contrasting sentence starters to demonstrate counter arguments </w:t>
            </w:r>
          </w:p>
        </w:tc>
      </w:tr>
    </w:tbl>
    <w:p w14:paraId="3E34E864" w14:textId="77777777" w:rsidR="00A44B29" w:rsidRDefault="00A44B29" w:rsidP="00A44B29">
      <w:pPr>
        <w:jc w:val="both"/>
        <w:rPr>
          <w:rFonts w:ascii="Times New Roman" w:hAnsi="Times New Roman" w:cs="Times New Roman"/>
          <w:sz w:val="22"/>
          <w:szCs w:val="22"/>
          <w:u w:val="single"/>
        </w:rPr>
      </w:pPr>
    </w:p>
    <w:p w14:paraId="163BD87C" w14:textId="77777777" w:rsidR="00A44B29" w:rsidRDefault="00A44B29" w:rsidP="00A44B29">
      <w:pPr>
        <w:jc w:val="both"/>
        <w:rPr>
          <w:rFonts w:ascii="Times New Roman" w:hAnsi="Times New Roman" w:cs="Times New Roman"/>
          <w:sz w:val="22"/>
          <w:szCs w:val="22"/>
          <w:u w:val="single"/>
        </w:rPr>
      </w:pPr>
    </w:p>
    <w:p w14:paraId="3CD48297" w14:textId="7B9404B3" w:rsidR="00A44B29" w:rsidRPr="00A44B29" w:rsidRDefault="00A44B29" w:rsidP="00A44B29">
      <w:pPr>
        <w:jc w:val="both"/>
        <w:rPr>
          <w:rFonts w:ascii="Times New Roman" w:hAnsi="Times New Roman" w:cs="Times New Roman"/>
          <w:sz w:val="22"/>
          <w:szCs w:val="22"/>
          <w:u w:val="single"/>
        </w:rPr>
      </w:pPr>
      <w:r w:rsidRPr="00A44B29">
        <w:rPr>
          <w:rFonts w:ascii="Times New Roman" w:hAnsi="Times New Roman" w:cs="Times New Roman"/>
          <w:sz w:val="22"/>
          <w:szCs w:val="22"/>
          <w:u w:val="single"/>
        </w:rPr>
        <w:t xml:space="preserve">To what </w:t>
      </w:r>
      <w:r>
        <w:rPr>
          <w:rFonts w:ascii="Times New Roman" w:hAnsi="Times New Roman" w:cs="Times New Roman"/>
          <w:sz w:val="22"/>
          <w:szCs w:val="22"/>
          <w:u w:val="single"/>
        </w:rPr>
        <w:t xml:space="preserve">level </w:t>
      </w:r>
      <w:r w:rsidRPr="00A44B29">
        <w:rPr>
          <w:rFonts w:ascii="Times New Roman" w:hAnsi="Times New Roman" w:cs="Times New Roman"/>
          <w:sz w:val="22"/>
          <w:szCs w:val="22"/>
          <w:u w:val="single"/>
        </w:rPr>
        <w:t>do</w:t>
      </w:r>
      <w:r>
        <w:rPr>
          <w:rFonts w:ascii="Times New Roman" w:hAnsi="Times New Roman" w:cs="Times New Roman"/>
          <w:sz w:val="22"/>
          <w:szCs w:val="22"/>
          <w:u w:val="single"/>
        </w:rPr>
        <w:t xml:space="preserve"> reception children display engagement during mixed ability groups across the curriculum</w:t>
      </w:r>
      <w:r w:rsidRPr="00A44B29">
        <w:rPr>
          <w:rFonts w:ascii="Times New Roman" w:hAnsi="Times New Roman" w:cs="Times New Roman"/>
          <w:sz w:val="22"/>
          <w:szCs w:val="22"/>
          <w:u w:val="single"/>
        </w:rPr>
        <w:t xml:space="preserve">  </w:t>
      </w:r>
    </w:p>
    <w:p w14:paraId="7E81D8B9" w14:textId="77777777" w:rsidR="00A44B29" w:rsidRDefault="00A44B29" w:rsidP="00A44B29">
      <w:pPr>
        <w:jc w:val="both"/>
        <w:rPr>
          <w:rFonts w:ascii="Times New Roman" w:hAnsi="Times New Roman" w:cs="Times New Roman"/>
          <w:sz w:val="22"/>
          <w:szCs w:val="22"/>
          <w:u w:val="single"/>
        </w:rPr>
      </w:pPr>
    </w:p>
    <w:p w14:paraId="401A1997" w14:textId="40C5C776" w:rsidR="00A44B29" w:rsidRPr="00A44B29" w:rsidRDefault="00A44B29" w:rsidP="00A44B29">
      <w:pPr>
        <w:jc w:val="both"/>
        <w:rPr>
          <w:rFonts w:ascii="Times New Roman" w:hAnsi="Times New Roman" w:cs="Times New Roman"/>
          <w:sz w:val="22"/>
          <w:szCs w:val="22"/>
          <w:u w:val="single"/>
        </w:rPr>
      </w:pPr>
      <w:r w:rsidRPr="00A44B29">
        <w:rPr>
          <w:rFonts w:ascii="Times New Roman" w:hAnsi="Times New Roman" w:cs="Times New Roman"/>
          <w:sz w:val="22"/>
          <w:szCs w:val="22"/>
          <w:u w:val="single"/>
        </w:rPr>
        <w:t>Introduction</w:t>
      </w:r>
    </w:p>
    <w:p w14:paraId="2A529F64" w14:textId="712EFD9D" w:rsidR="00451A50" w:rsidRPr="00A44B29" w:rsidRDefault="00451A50" w:rsidP="00A44B29">
      <w:pPr>
        <w:jc w:val="both"/>
        <w:rPr>
          <w:rFonts w:ascii="Times New Roman" w:hAnsi="Times New Roman" w:cs="Times New Roman"/>
          <w:sz w:val="22"/>
          <w:szCs w:val="22"/>
        </w:rPr>
      </w:pPr>
      <w:r w:rsidRPr="00A44B29">
        <w:rPr>
          <w:rFonts w:ascii="Times New Roman" w:hAnsi="Times New Roman" w:cs="Times New Roman"/>
          <w:sz w:val="22"/>
          <w:szCs w:val="22"/>
        </w:rPr>
        <w:t>This research will critically analyse the engagement levels of multiple learners placed within mixed ability groups across the curriculum.</w:t>
      </w:r>
      <w:r w:rsidR="00ED752F" w:rsidRPr="00A44B29">
        <w:rPr>
          <w:rFonts w:ascii="Times New Roman" w:hAnsi="Times New Roman" w:cs="Times New Roman"/>
          <w:sz w:val="22"/>
          <w:szCs w:val="22"/>
        </w:rPr>
        <w:t xml:space="preserve"> </w:t>
      </w:r>
      <w:r w:rsidR="009E5407" w:rsidRPr="00A44B29">
        <w:rPr>
          <w:rFonts w:ascii="Times New Roman" w:hAnsi="Times New Roman" w:cs="Times New Roman"/>
          <w:sz w:val="22"/>
          <w:szCs w:val="22"/>
        </w:rPr>
        <w:t xml:space="preserve">Mixed ability groups can also be referred to as heterogeneous grouping, which is an educational practise used by  teachers to group children by various ages, sex, interests, and skills. </w:t>
      </w:r>
      <w:r w:rsidRPr="00A44B29">
        <w:rPr>
          <w:rFonts w:ascii="Times New Roman" w:hAnsi="Times New Roman" w:cs="Times New Roman"/>
          <w:sz w:val="22"/>
          <w:szCs w:val="22"/>
        </w:rPr>
        <w:t xml:space="preserve">There are three learners involved in the research: Pupil X, Pupil Y, and pupil Z. Pupil </w:t>
      </w:r>
      <w:r w:rsidR="00E21A05" w:rsidRPr="00A44B29">
        <w:rPr>
          <w:rFonts w:ascii="Times New Roman" w:hAnsi="Times New Roman" w:cs="Times New Roman"/>
          <w:sz w:val="22"/>
          <w:szCs w:val="22"/>
        </w:rPr>
        <w:t>X is considered to be of low ability pupil, Pupil</w:t>
      </w:r>
      <w:r w:rsidRPr="00A44B29">
        <w:rPr>
          <w:rFonts w:ascii="Times New Roman" w:hAnsi="Times New Roman" w:cs="Times New Roman"/>
          <w:sz w:val="22"/>
          <w:szCs w:val="22"/>
        </w:rPr>
        <w:t xml:space="preserve"> Y</w:t>
      </w:r>
      <w:r w:rsidR="00E21A05" w:rsidRPr="00A44B29">
        <w:rPr>
          <w:rFonts w:ascii="Times New Roman" w:hAnsi="Times New Roman" w:cs="Times New Roman"/>
          <w:sz w:val="22"/>
          <w:szCs w:val="22"/>
        </w:rPr>
        <w:t xml:space="preserve"> is considered to be of moderate ability, and</w:t>
      </w:r>
      <w:r w:rsidRPr="00A44B29">
        <w:rPr>
          <w:rFonts w:ascii="Times New Roman" w:hAnsi="Times New Roman" w:cs="Times New Roman"/>
          <w:sz w:val="22"/>
          <w:szCs w:val="22"/>
        </w:rPr>
        <w:t xml:space="preserve"> Pupil </w:t>
      </w:r>
      <w:r w:rsidR="00E21A05" w:rsidRPr="00A44B29">
        <w:rPr>
          <w:rFonts w:ascii="Times New Roman" w:hAnsi="Times New Roman" w:cs="Times New Roman"/>
          <w:sz w:val="22"/>
          <w:szCs w:val="22"/>
        </w:rPr>
        <w:t xml:space="preserve">Z is considered to be of high ability, when placed in mixed ability groups. </w:t>
      </w:r>
      <w:r w:rsidRPr="00A44B29">
        <w:rPr>
          <w:rFonts w:ascii="Times New Roman" w:hAnsi="Times New Roman" w:cs="Times New Roman"/>
          <w:sz w:val="22"/>
          <w:szCs w:val="22"/>
        </w:rPr>
        <w:t xml:space="preserve">It is important </w:t>
      </w:r>
      <w:r w:rsidR="00E21A05" w:rsidRPr="00A44B29">
        <w:rPr>
          <w:rFonts w:ascii="Times New Roman" w:hAnsi="Times New Roman" w:cs="Times New Roman"/>
          <w:sz w:val="22"/>
          <w:szCs w:val="22"/>
        </w:rPr>
        <w:t xml:space="preserve">that </w:t>
      </w:r>
      <w:r w:rsidRPr="00A44B29">
        <w:rPr>
          <w:rFonts w:ascii="Times New Roman" w:hAnsi="Times New Roman" w:cs="Times New Roman"/>
          <w:sz w:val="22"/>
          <w:szCs w:val="22"/>
        </w:rPr>
        <w:t xml:space="preserve">the learning environment within </w:t>
      </w:r>
      <w:r w:rsidR="00E21A05" w:rsidRPr="00A44B29">
        <w:rPr>
          <w:rFonts w:ascii="Times New Roman" w:hAnsi="Times New Roman" w:cs="Times New Roman"/>
          <w:sz w:val="22"/>
          <w:szCs w:val="22"/>
        </w:rPr>
        <w:t>a Foundation Learning classroom builds a supportive environment for all children and that the pupils feel safe and comfortable within all areas of achievement. In regard to mixed ability groupings more specifically, the learning environment should welcome to different forms of success through praising and prioritising different rates of academic achievement and attainment.</w:t>
      </w:r>
      <w:r w:rsidR="00772178" w:rsidRPr="00A44B29">
        <w:rPr>
          <w:rFonts w:ascii="Times New Roman" w:hAnsi="Times New Roman" w:cs="Times New Roman"/>
          <w:sz w:val="22"/>
          <w:szCs w:val="22"/>
        </w:rPr>
        <w:t xml:space="preserve"> As identified by Estyn (201</w:t>
      </w:r>
      <w:r w:rsidR="00A44B29">
        <w:rPr>
          <w:rFonts w:ascii="Times New Roman" w:hAnsi="Times New Roman" w:cs="Times New Roman"/>
          <w:sz w:val="22"/>
          <w:szCs w:val="22"/>
        </w:rPr>
        <w:t>8</w:t>
      </w:r>
      <w:r w:rsidR="00772178" w:rsidRPr="00A44B29">
        <w:rPr>
          <w:rFonts w:ascii="Times New Roman" w:hAnsi="Times New Roman" w:cs="Times New Roman"/>
          <w:sz w:val="22"/>
          <w:szCs w:val="22"/>
        </w:rPr>
        <w:t>) it is suggested that there is an ‘inclusive atmosphere where all pupils have equal access to the curriculum’. Furthermore, Saaris (20</w:t>
      </w:r>
      <w:r w:rsidR="00A44B29" w:rsidRPr="00A44B29">
        <w:rPr>
          <w:rFonts w:ascii="Times New Roman" w:hAnsi="Times New Roman" w:cs="Times New Roman"/>
          <w:sz w:val="22"/>
          <w:szCs w:val="22"/>
        </w:rPr>
        <w:t>21</w:t>
      </w:r>
      <w:r w:rsidR="00772178" w:rsidRPr="00A44B29">
        <w:rPr>
          <w:rFonts w:ascii="Times New Roman" w:hAnsi="Times New Roman" w:cs="Times New Roman"/>
          <w:sz w:val="22"/>
          <w:szCs w:val="22"/>
        </w:rPr>
        <w:t xml:space="preserve">) supports this statement </w:t>
      </w:r>
      <w:r w:rsidR="00ED752F" w:rsidRPr="00A44B29">
        <w:rPr>
          <w:rFonts w:ascii="Times New Roman" w:hAnsi="Times New Roman" w:cs="Times New Roman"/>
          <w:sz w:val="22"/>
          <w:szCs w:val="22"/>
        </w:rPr>
        <w:t>by promoting mixed ability groups  through the theory that it allows each pupil to easily access the same resources as their peers which means that there are equal opportunities for all pupils.</w:t>
      </w:r>
      <w:r w:rsidR="00A44B29" w:rsidRPr="00A44B29">
        <w:rPr>
          <w:rFonts w:ascii="Times New Roman" w:hAnsi="Times New Roman" w:cs="Times New Roman"/>
          <w:sz w:val="22"/>
          <w:szCs w:val="22"/>
        </w:rPr>
        <w:t xml:space="preserve"> </w:t>
      </w:r>
    </w:p>
    <w:p w14:paraId="6C33B356" w14:textId="77777777" w:rsidR="00A44B29" w:rsidRPr="00A44B29" w:rsidRDefault="00A44B29" w:rsidP="00A44B29">
      <w:pPr>
        <w:jc w:val="both"/>
        <w:rPr>
          <w:rFonts w:ascii="Times New Roman" w:hAnsi="Times New Roman" w:cs="Times New Roman"/>
          <w:sz w:val="22"/>
          <w:szCs w:val="22"/>
        </w:rPr>
      </w:pPr>
    </w:p>
    <w:p w14:paraId="770A33C3" w14:textId="1B789A14" w:rsidR="00A44B29" w:rsidRPr="00A44B29" w:rsidRDefault="00A44B29" w:rsidP="00A44B29">
      <w:pPr>
        <w:jc w:val="both"/>
        <w:rPr>
          <w:rFonts w:ascii="Times New Roman" w:hAnsi="Times New Roman" w:cs="Times New Roman"/>
          <w:sz w:val="22"/>
          <w:szCs w:val="22"/>
          <w:u w:val="single"/>
        </w:rPr>
      </w:pPr>
      <w:r w:rsidRPr="00A44B29">
        <w:rPr>
          <w:rFonts w:ascii="Times New Roman" w:hAnsi="Times New Roman" w:cs="Times New Roman"/>
          <w:sz w:val="22"/>
          <w:szCs w:val="22"/>
          <w:u w:val="single"/>
        </w:rPr>
        <w:t>Literature review</w:t>
      </w:r>
    </w:p>
    <w:p w14:paraId="6665CA38" w14:textId="00598225" w:rsidR="00A44B29" w:rsidRPr="00A44B29" w:rsidRDefault="00A44B29" w:rsidP="00A44B29">
      <w:pPr>
        <w:jc w:val="both"/>
        <w:rPr>
          <w:rFonts w:ascii="Times New Roman" w:hAnsi="Times New Roman" w:cs="Times New Roman"/>
          <w:sz w:val="22"/>
          <w:szCs w:val="22"/>
        </w:rPr>
      </w:pPr>
      <w:r w:rsidRPr="00A44B29">
        <w:rPr>
          <w:rFonts w:ascii="Times New Roman" w:hAnsi="Times New Roman" w:cs="Times New Roman"/>
          <w:sz w:val="22"/>
          <w:szCs w:val="22"/>
        </w:rPr>
        <w:t xml:space="preserve">There have been many external research projects discussing the use of mixed ability grouping across primary school in Wales, for example, a study conducted by the Welsh Government stated that 94% of primary schools used mixed ability groupings, including when teaching core subjects such as English and Mathematics. (Welsh Government, 2023). Furthermore, one pupil stated that they think mixed ability groups provide pupils with the peer knowledge and understanding to be able to tackle challenges together rather than relying on the teacher for assistance they can use each other’s knowledge and expertise to problem solve. The pupil continues by saying ‘What is the point  of having everyone in a group who doesn’t understand’. (Welsh Government, 2023). Therefore, it is evident that for some pupils they believe mixed ability groupings to be one of the most effective ways to help pupils to learn and develop. In relation to the Curriculum for Wales, a primary school in Wales stated that prior to the new curriculum that the schools core values were not aligning with the curriculum. There are 494 pupils on roll and there are two mixed-ability classes in each year group. After the introduction of the Curriculum for Wales, teachers felt that the schools core values were now ‘in line’ with the curriculum and they could utilise that to the best of their ability to enhance the mixed ability groupings throughout the school as the four purposes now ‘take centre stage’ of everything that they do. </w:t>
      </w:r>
      <w:r w:rsidRPr="00A44B29">
        <w:rPr>
          <w:rFonts w:ascii="Times New Roman" w:hAnsi="Times New Roman" w:cs="Times New Roman"/>
          <w:sz w:val="22"/>
          <w:szCs w:val="22"/>
          <w:highlight w:val="yellow"/>
        </w:rPr>
        <w:t>(</w:t>
      </w:r>
      <w:r w:rsidRPr="00A44B29">
        <w:rPr>
          <w:rFonts w:ascii="Times New Roman" w:hAnsi="Times New Roman" w:cs="Times New Roman"/>
          <w:sz w:val="22"/>
          <w:szCs w:val="22"/>
        </w:rPr>
        <w:t xml:space="preserve">Estyn, 2018).Furthermore, mixed ability grouping implemented alongside the Curriculum for Wales could be an efficient way to </w:t>
      </w:r>
      <w:r w:rsidRPr="00A44B29">
        <w:rPr>
          <w:rFonts w:ascii="Times New Roman" w:hAnsi="Times New Roman" w:cs="Times New Roman"/>
          <w:sz w:val="22"/>
          <w:szCs w:val="22"/>
        </w:rPr>
        <w:lastRenderedPageBreak/>
        <w:t xml:space="preserve">challenge pupils with the use of the peers by creating positive relationships in asking for help and valuing others’ ideas and expertise. As well as this, mixed ability grouping could be said to be one of the clearest ways to observe the level of engagement of a pupil in a small group task as it gives the observer opportunity to measure individual knowledge and social confidence in an academic setting. However, Petrenas et al (2013) concluded a study on mixed ability groupings within the classroom by suggesting that mixed ability groupings can cause complications for the class teacher as quite often they can may struggle to find the time to dedicate equal amounts of time to each pupil during the group task as the pupils of a lower ability may need more teaching time and assistance than the pupils of a higher ability. Therefore, higher ability pupils may not experience appropriate time with the teacher, and they may struggle to push themselves and reach their highest potential. The statement above is supported by Walters (2017) who argues that when teaching learners placed in mixed ability groups that the teachers are mor likely to spend their time explaining the task to the lower ability learners which can lead to the higher ability pupils feeling as though they are being ‘forgotten’ by the teacher and if they complete the task at a higher speed than the other pupils then they will begin to feel bored and potentially begin to disassociate from the learning or become a distraction to themselves and their peers, which could potentially harm their own learning journey or others in the long term. </w:t>
      </w:r>
    </w:p>
    <w:p w14:paraId="389F7B4D" w14:textId="77777777" w:rsidR="00A44B29" w:rsidRPr="00A44B29" w:rsidRDefault="00A44B29" w:rsidP="00A44B29">
      <w:pPr>
        <w:jc w:val="both"/>
        <w:rPr>
          <w:rFonts w:ascii="Times New Roman" w:hAnsi="Times New Roman" w:cs="Times New Roman"/>
          <w:sz w:val="22"/>
          <w:szCs w:val="22"/>
        </w:rPr>
      </w:pPr>
    </w:p>
    <w:p w14:paraId="42E30A7D" w14:textId="758C8159" w:rsidR="00A44B29" w:rsidRPr="00A44B29" w:rsidRDefault="00A44B29" w:rsidP="00A44B29">
      <w:pPr>
        <w:jc w:val="both"/>
        <w:rPr>
          <w:rFonts w:ascii="Times New Roman" w:hAnsi="Times New Roman" w:cs="Times New Roman"/>
          <w:sz w:val="22"/>
          <w:szCs w:val="22"/>
          <w:u w:val="single"/>
        </w:rPr>
      </w:pPr>
      <w:r w:rsidRPr="00A44B29">
        <w:rPr>
          <w:rFonts w:ascii="Times New Roman" w:hAnsi="Times New Roman" w:cs="Times New Roman"/>
          <w:sz w:val="22"/>
          <w:szCs w:val="22"/>
          <w:u w:val="single"/>
        </w:rPr>
        <w:t>Methodology</w:t>
      </w:r>
    </w:p>
    <w:p w14:paraId="5407E4DC" w14:textId="04E27FE4" w:rsidR="00A44B29" w:rsidRPr="00A44B29" w:rsidRDefault="00A44B29" w:rsidP="00A44B29">
      <w:pPr>
        <w:jc w:val="both"/>
        <w:rPr>
          <w:rFonts w:ascii="Times New Roman" w:hAnsi="Times New Roman" w:cs="Times New Roman"/>
          <w:sz w:val="22"/>
          <w:szCs w:val="22"/>
        </w:rPr>
      </w:pPr>
      <w:r w:rsidRPr="00A44B29">
        <w:rPr>
          <w:rFonts w:ascii="Times New Roman" w:hAnsi="Times New Roman" w:cs="Times New Roman"/>
          <w:sz w:val="22"/>
          <w:szCs w:val="22"/>
        </w:rPr>
        <w:t xml:space="preserve">The planning for the research consisted of developing previous knowledge of the Leuven Scale and then creating a research question which compliments the research methods used within the classroom to record observations. The Leuven Scale is to be used as an observational research tool in this particular study. </w:t>
      </w:r>
      <w:r w:rsidRPr="00A44B29">
        <w:rPr>
          <w:rFonts w:ascii="Times New Roman" w:hAnsi="Times New Roman" w:cs="Times New Roman"/>
          <w:sz w:val="22"/>
          <w:szCs w:val="22"/>
        </w:rPr>
        <w:tab/>
        <w:t xml:space="preserve">The Leuven Scale is an educational model developed and used since the 1970s. For example, Laevers (2011) stated that the Leuven Scale is widely renowned and is one of the most influential educational models used across the globe in developing early childhood education. Furthermore, Laevers (2011) discusses the use of the Leuven Scale when assessing the individual levels of a learner by observing their level of involvement and emotional wellbeing. One example of a high-quality level of involvement is  when a learner is clearly focused on the task, interested in the topic, and reaching their limits. Whereas an example of a learner that has high quality well-being is when a learner’s basic needs are being met and how they present themselves in specific environment such as if they feel comfortable leaving their guardians as they first enter school in the morning. (Laevers, 2011). As well as this, another key aspect of the Leuven Scale is the responsibility of the teacher or the assessor. In order for the Leuven Scale to be used to its maximum effectiveness the teacher and/or assessor will need to create challenging environments targeted at stimulating the focus in each learner which would allow the assessor to efficiently measure the level of involvement in the task. (OECD, 2004). However, one of the main criticisms of the Leuven Scale is implied in the discussion surrounding the data obtained during observation. Often the lower involvement ‘traits’ are similar to those that would be used to identify a learner with Additional Learning needs. Therefore, the Leuven Scale often fails to identify the needs of a learner with Additional Learning needs in great depth. </w:t>
      </w:r>
    </w:p>
    <w:p w14:paraId="1D3533B0" w14:textId="77777777" w:rsidR="00A44B29" w:rsidRPr="00A44B29" w:rsidRDefault="00A44B29" w:rsidP="00A44B29">
      <w:pPr>
        <w:jc w:val="both"/>
        <w:rPr>
          <w:rFonts w:ascii="Times New Roman" w:hAnsi="Times New Roman" w:cs="Times New Roman"/>
          <w:sz w:val="22"/>
          <w:szCs w:val="22"/>
        </w:rPr>
      </w:pPr>
    </w:p>
    <w:p w14:paraId="04ED6140" w14:textId="1ABDC036" w:rsidR="00A44B29" w:rsidRPr="00A44B29" w:rsidRDefault="00A44B29" w:rsidP="00A44B29">
      <w:pPr>
        <w:jc w:val="both"/>
        <w:rPr>
          <w:rFonts w:ascii="Times New Roman" w:hAnsi="Times New Roman" w:cs="Times New Roman"/>
          <w:sz w:val="22"/>
          <w:szCs w:val="22"/>
          <w:u w:val="single"/>
        </w:rPr>
      </w:pPr>
      <w:r w:rsidRPr="00A44B29">
        <w:rPr>
          <w:rFonts w:ascii="Times New Roman" w:hAnsi="Times New Roman" w:cs="Times New Roman"/>
          <w:sz w:val="22"/>
          <w:szCs w:val="22"/>
          <w:u w:val="single"/>
        </w:rPr>
        <w:t>Discussion and findings</w:t>
      </w:r>
    </w:p>
    <w:p w14:paraId="1A01022A" w14:textId="10B34006" w:rsidR="00A44B29" w:rsidRPr="00A44B29" w:rsidRDefault="00A44B29" w:rsidP="00A44B29">
      <w:pPr>
        <w:pStyle w:val="NormalWeb"/>
        <w:jc w:val="both"/>
        <w:rPr>
          <w:color w:val="000000"/>
          <w:sz w:val="22"/>
          <w:szCs w:val="22"/>
        </w:rPr>
      </w:pPr>
      <w:r w:rsidRPr="00A44B29">
        <w:rPr>
          <w:color w:val="000000"/>
          <w:sz w:val="22"/>
          <w:szCs w:val="22"/>
        </w:rPr>
        <w:t xml:space="preserve">One of the most important factors when researching children in education is that </w:t>
      </w:r>
      <w:r w:rsidRPr="00A44B29">
        <w:rPr>
          <w:color w:val="000000"/>
          <w:sz w:val="22"/>
          <w:szCs w:val="22"/>
        </w:rPr>
        <w:t>their</w:t>
      </w:r>
      <w:r w:rsidRPr="00A44B29">
        <w:rPr>
          <w:color w:val="000000"/>
          <w:sz w:val="22"/>
          <w:szCs w:val="22"/>
        </w:rPr>
        <w:t xml:space="preserve"> identity remains entirely anonymous as this would mean that the risk to the participating children is </w:t>
      </w:r>
      <w:r w:rsidRPr="00A44B29">
        <w:rPr>
          <w:color w:val="000000"/>
          <w:sz w:val="22"/>
          <w:szCs w:val="22"/>
        </w:rPr>
        <w:t>reduced,</w:t>
      </w:r>
      <w:r w:rsidRPr="00A44B29">
        <w:rPr>
          <w:color w:val="000000"/>
          <w:sz w:val="22"/>
          <w:szCs w:val="22"/>
        </w:rPr>
        <w:t xml:space="preserve"> and an adequate level of protection is maintained for the children. (UK Research and Innovation, 2023). Therefore, during this observation the names of the children and any detailed information will remain disclosed for the protection of the children who participated in the study. Furthermore, when completing research another important factor is whether there is a range of people participating in the study. (NSPCC Learning, 2024). For example, a mixed ability group in school will ensure that a range of demographics are represented. Mixed ability groups can be referred to as heterogeneous grouping which provided that there are different sexes, ages, socioeconomic backgrounds, previous experiences, and level of education. Therefore, this research will consist of three different pupils that represent a cross-section within society. The research took place during a cutting and sticking based task. The pupils are placed into mixed ability groups of six. </w:t>
      </w:r>
      <w:r w:rsidRPr="00A44B29">
        <w:rPr>
          <w:color w:val="000000"/>
          <w:sz w:val="22"/>
          <w:szCs w:val="22"/>
        </w:rPr>
        <w:t>Typically,</w:t>
      </w:r>
      <w:r w:rsidRPr="00A44B29">
        <w:rPr>
          <w:color w:val="000000"/>
          <w:sz w:val="22"/>
          <w:szCs w:val="22"/>
        </w:rPr>
        <w:t xml:space="preserve"> the group consists of two lower ability pupils, two moderate ability pupils, and two higher ability pupils. This particular research there will be a focus on three pupils (Pupil X, Pupil Y, and Pupil Z). As stated earlier, Pupil X is a lower ability pupil, Pupil Y </w:t>
      </w:r>
      <w:r w:rsidRPr="00A44B29">
        <w:rPr>
          <w:color w:val="000000"/>
          <w:sz w:val="22"/>
          <w:szCs w:val="22"/>
        </w:rPr>
        <w:lastRenderedPageBreak/>
        <w:t>is a moderate ability pupil, and Pupil Z is a higher ability pupil. The group task objective was to complete a cutting and sticking sheet within 20 minutes.</w:t>
      </w:r>
      <w:r>
        <w:rPr>
          <w:color w:val="000000"/>
          <w:sz w:val="22"/>
          <w:szCs w:val="22"/>
        </w:rPr>
        <w:t xml:space="preserve"> </w:t>
      </w:r>
      <w:r w:rsidRPr="00A44B29">
        <w:rPr>
          <w:color w:val="000000"/>
          <w:sz w:val="22"/>
          <w:szCs w:val="22"/>
        </w:rPr>
        <w:t xml:space="preserve">During the session, Pupil X displayed an extremely low level of involvement. They had limited interactions with the teacher and their </w:t>
      </w:r>
      <w:r w:rsidRPr="00A44B29">
        <w:rPr>
          <w:color w:val="000000"/>
          <w:sz w:val="22"/>
          <w:szCs w:val="22"/>
        </w:rPr>
        <w:t>peers,</w:t>
      </w:r>
      <w:r w:rsidRPr="00A44B29">
        <w:rPr>
          <w:color w:val="000000"/>
          <w:sz w:val="22"/>
          <w:szCs w:val="22"/>
        </w:rPr>
        <w:t xml:space="preserve"> and it was clear their level of participation was reduced as a result of lower scissor skills than their peers. Moreover, Pupil Y displayed a low level of involvement as they expressed their support for a peer once and used a demonstration to communicate their ideas clearly to the group and the teacher. Whereas Pupil Z displayed </w:t>
      </w:r>
      <w:r w:rsidRPr="00A44B29">
        <w:rPr>
          <w:color w:val="000000"/>
          <w:sz w:val="22"/>
          <w:szCs w:val="22"/>
        </w:rPr>
        <w:t>an</w:t>
      </w:r>
      <w:r w:rsidRPr="00A44B29">
        <w:rPr>
          <w:color w:val="000000"/>
          <w:sz w:val="22"/>
          <w:szCs w:val="22"/>
        </w:rPr>
        <w:t xml:space="preserve"> extremely high level of involvement during the task. When observing their participation and interactions, Pupil Z supported their peers in the group by offering advice on how to complete the task when prompted. As well as this, Pupil Z lead the discussion when talking about the task yet managed to effectively value the opinions of their peers by not discrediting any ideas or answers. Finally, Pupil Z communicated their ideas clearly to the pupils when suggesting how to do something and to the teacher when discussing what they can do next to continue to improve.</w:t>
      </w:r>
      <w:r w:rsidRPr="00A44B29">
        <w:rPr>
          <w:rStyle w:val="apple-converted-space"/>
          <w:color w:val="000000"/>
          <w:sz w:val="22"/>
          <w:szCs w:val="22"/>
        </w:rPr>
        <w:t> </w:t>
      </w:r>
      <w:r w:rsidRPr="00A44B29">
        <w:rPr>
          <w:rStyle w:val="apple-converted-space"/>
          <w:color w:val="000000"/>
          <w:sz w:val="22"/>
          <w:szCs w:val="22"/>
        </w:rPr>
        <w:t>There are many reasons as to why each learner reacted as they did, for example, Vygotsky (19</w:t>
      </w:r>
      <w:r>
        <w:rPr>
          <w:rStyle w:val="apple-converted-space"/>
          <w:color w:val="000000"/>
          <w:sz w:val="22"/>
          <w:szCs w:val="22"/>
        </w:rPr>
        <w:t>78</w:t>
      </w:r>
      <w:r w:rsidRPr="00A44B29">
        <w:rPr>
          <w:rStyle w:val="apple-converted-space"/>
          <w:color w:val="000000"/>
          <w:sz w:val="22"/>
          <w:szCs w:val="22"/>
        </w:rPr>
        <w:t>)suggests that lower ability students will learn both academically and socially through moderate and high ability students as they can experience more in-depth level thinking and more efficient problem solving which they may not have witnessed in a same ability group. As well as this, Vygotsky (19</w:t>
      </w:r>
      <w:r>
        <w:rPr>
          <w:rStyle w:val="apple-converted-space"/>
          <w:color w:val="000000"/>
          <w:sz w:val="22"/>
          <w:szCs w:val="22"/>
        </w:rPr>
        <w:t>78</w:t>
      </w:r>
      <w:r w:rsidRPr="00A44B29">
        <w:rPr>
          <w:rStyle w:val="apple-converted-space"/>
          <w:color w:val="000000"/>
          <w:sz w:val="22"/>
          <w:szCs w:val="22"/>
        </w:rPr>
        <w:t>) suggests that higher ability learners will build their confidence by assisting their peers and develop their knowledge even further by acting as the more knowledgeable other (MKO) to their peers. Although, it is</w:t>
      </w:r>
      <w:r>
        <w:rPr>
          <w:rStyle w:val="apple-converted-space"/>
          <w:color w:val="000000"/>
          <w:sz w:val="22"/>
          <w:szCs w:val="22"/>
        </w:rPr>
        <w:t xml:space="preserve"> important to consider the factor that some children may have Additional Learning Needs (ALN) and that may be a contributing factor as to why they behave the way that they do within a mixed ability group. </w:t>
      </w:r>
    </w:p>
    <w:p w14:paraId="5C891DBC" w14:textId="77777777" w:rsidR="00A44B29" w:rsidRDefault="00A44B29" w:rsidP="00A44B29">
      <w:pPr>
        <w:jc w:val="both"/>
        <w:rPr>
          <w:rFonts w:ascii="Times New Roman" w:hAnsi="Times New Roman" w:cs="Times New Roman"/>
          <w:sz w:val="22"/>
          <w:szCs w:val="22"/>
          <w:u w:val="single"/>
        </w:rPr>
      </w:pPr>
    </w:p>
    <w:p w14:paraId="4B859AC6" w14:textId="56642FC3" w:rsidR="00A44B29" w:rsidRPr="00A44B29" w:rsidRDefault="00A44B29" w:rsidP="00A44B29">
      <w:pPr>
        <w:jc w:val="both"/>
        <w:rPr>
          <w:rFonts w:ascii="Times New Roman" w:hAnsi="Times New Roman" w:cs="Times New Roman"/>
          <w:sz w:val="22"/>
          <w:szCs w:val="22"/>
          <w:u w:val="single"/>
        </w:rPr>
      </w:pPr>
      <w:r w:rsidRPr="00A44B29">
        <w:rPr>
          <w:rFonts w:ascii="Times New Roman" w:hAnsi="Times New Roman" w:cs="Times New Roman"/>
          <w:sz w:val="22"/>
          <w:szCs w:val="22"/>
          <w:u w:val="single"/>
        </w:rPr>
        <w:t>Conclusions and recommendations</w:t>
      </w:r>
    </w:p>
    <w:p w14:paraId="55D7A775" w14:textId="77777777" w:rsidR="00ED752F" w:rsidRPr="00A44B29" w:rsidRDefault="00ED752F" w:rsidP="00A44B29">
      <w:pPr>
        <w:jc w:val="both"/>
        <w:rPr>
          <w:rFonts w:ascii="Times New Roman" w:hAnsi="Times New Roman" w:cs="Times New Roman"/>
          <w:sz w:val="22"/>
          <w:szCs w:val="22"/>
        </w:rPr>
      </w:pPr>
    </w:p>
    <w:p w14:paraId="316BAB2E" w14:textId="76B495F4" w:rsidR="00ED752F" w:rsidRDefault="00A44B29" w:rsidP="00A44B29">
      <w:pPr>
        <w:jc w:val="both"/>
        <w:rPr>
          <w:rFonts w:ascii="Times New Roman" w:hAnsi="Times New Roman" w:cs="Times New Roman"/>
          <w:sz w:val="22"/>
          <w:szCs w:val="22"/>
        </w:rPr>
      </w:pPr>
      <w:r>
        <w:rPr>
          <w:rFonts w:ascii="Times New Roman" w:hAnsi="Times New Roman" w:cs="Times New Roman"/>
          <w:sz w:val="22"/>
          <w:szCs w:val="22"/>
        </w:rPr>
        <w:t xml:space="preserve">Some could argue that the use of mixed ability grouping in primary schools will only increase the ‘gap’ between children of low ability and higher ability as the space for achievement widens for each learner. </w:t>
      </w:r>
      <w:r w:rsidRPr="00A44B29">
        <w:rPr>
          <w:rFonts w:ascii="Times New Roman" w:hAnsi="Times New Roman" w:cs="Times New Roman"/>
          <w:sz w:val="22"/>
          <w:szCs w:val="22"/>
        </w:rPr>
        <w:t>(Schofield, 2010). However, Hornby (2011) suggests that the use of mixed ability grouping in primary schools is a very effective educational tool used</w:t>
      </w:r>
      <w:r>
        <w:rPr>
          <w:rFonts w:ascii="Times New Roman" w:hAnsi="Times New Roman" w:cs="Times New Roman"/>
          <w:sz w:val="22"/>
          <w:szCs w:val="22"/>
        </w:rPr>
        <w:t xml:space="preserve"> by teachers to enhance their pedagogical practises which will allow each child to perform better academically, develop physically, and improve their emotional and social skillsets. As well as this, some could argue the benefits of mixed ability groupings against other educational tools such as streaming. For example, streaming is when children are placed in groups dependent on their ability. Whilst streaming can </w:t>
      </w:r>
      <w:r w:rsidRPr="00A44B29">
        <w:rPr>
          <w:rFonts w:ascii="Times New Roman" w:hAnsi="Times New Roman" w:cs="Times New Roman"/>
          <w:sz w:val="22"/>
          <w:szCs w:val="22"/>
        </w:rPr>
        <w:t xml:space="preserve">be beneficial, one of the most important factors to consider is the socio-emotional impact of the practise. One example of this, is that the attitudes of children in non-streamed classes towards their peers were much more positive. </w:t>
      </w:r>
      <w:r w:rsidRPr="00A44B29">
        <w:rPr>
          <w:rFonts w:ascii="Times New Roman" w:hAnsi="Times New Roman" w:cs="Times New Roman"/>
          <w:sz w:val="22"/>
          <w:szCs w:val="22"/>
        </w:rPr>
        <w:t xml:space="preserve">(Hallam and Parsons, 2013). </w:t>
      </w:r>
      <w:r w:rsidRPr="00A44B29">
        <w:rPr>
          <w:rFonts w:ascii="Times New Roman" w:hAnsi="Times New Roman" w:cs="Times New Roman"/>
          <w:sz w:val="22"/>
          <w:szCs w:val="22"/>
        </w:rPr>
        <w:t xml:space="preserve"> The children in the non-streamed classes were kinder to one another and valued each other more than those of children in a streamed class. (Hallam and Parsons, 2013). There are many benefits and disadvantages of mixed ability grouping proven across the decades. Therefore</w:t>
      </w:r>
      <w:r>
        <w:rPr>
          <w:rFonts w:ascii="Times New Roman" w:hAnsi="Times New Roman" w:cs="Times New Roman"/>
          <w:sz w:val="22"/>
          <w:szCs w:val="22"/>
        </w:rPr>
        <w:t xml:space="preserve">, based on the data concluded from this research project in particular and the external sources, the observer has concluded that the benefits of mixed ability groupings outweigh the negatives. But mixed ability groupings should not be the primary grouping system within the classroom. In fact, all children would benefit from a range of grouping practises, such as streaming and mixed ability, as the higher ability children will become more focussed and challenged, the moderate ability children will grow in both social and academic confidence, and the lower ability children will continue to work towards their own goals with the assistance of their teacher and the more knowledgeable others (their peers). Finally, the research can help to show the different levels of involvement for learners of different abilities in a small group setting and in future, it would be beneficial to develop an understanding as to ‘How mixed ability grouping can effect a learners academic and social performance in a reception small group task?’ </w:t>
      </w:r>
    </w:p>
    <w:p w14:paraId="45C47916" w14:textId="77777777" w:rsidR="00A44B29" w:rsidRDefault="00A44B29" w:rsidP="00A44B29">
      <w:pPr>
        <w:jc w:val="both"/>
        <w:rPr>
          <w:rFonts w:ascii="Times New Roman" w:hAnsi="Times New Roman" w:cs="Times New Roman"/>
          <w:sz w:val="22"/>
          <w:szCs w:val="22"/>
        </w:rPr>
      </w:pPr>
    </w:p>
    <w:p w14:paraId="6B7763BB" w14:textId="77777777" w:rsidR="00A44B29" w:rsidRDefault="00A44B29" w:rsidP="00A44B29">
      <w:pPr>
        <w:jc w:val="center"/>
        <w:rPr>
          <w:rFonts w:ascii="Times New Roman" w:hAnsi="Times New Roman" w:cs="Times New Roman"/>
          <w:sz w:val="22"/>
          <w:szCs w:val="22"/>
          <w:u w:val="single"/>
        </w:rPr>
      </w:pPr>
    </w:p>
    <w:p w14:paraId="6F5DF428" w14:textId="77777777" w:rsidR="00A44B29" w:rsidRDefault="00A44B29" w:rsidP="00A44B29">
      <w:pPr>
        <w:jc w:val="center"/>
        <w:rPr>
          <w:rFonts w:ascii="Times New Roman" w:hAnsi="Times New Roman" w:cs="Times New Roman"/>
          <w:sz w:val="22"/>
          <w:szCs w:val="22"/>
          <w:u w:val="single"/>
        </w:rPr>
      </w:pPr>
    </w:p>
    <w:p w14:paraId="1836AB50" w14:textId="77777777" w:rsidR="00A44B29" w:rsidRDefault="00A44B29" w:rsidP="00A44B29">
      <w:pPr>
        <w:jc w:val="center"/>
        <w:rPr>
          <w:rFonts w:ascii="Times New Roman" w:hAnsi="Times New Roman" w:cs="Times New Roman"/>
          <w:sz w:val="22"/>
          <w:szCs w:val="22"/>
          <w:u w:val="single"/>
        </w:rPr>
      </w:pPr>
    </w:p>
    <w:p w14:paraId="150AFFC8" w14:textId="77777777" w:rsidR="00A44B29" w:rsidRDefault="00A44B29" w:rsidP="00A44B29">
      <w:pPr>
        <w:jc w:val="center"/>
        <w:rPr>
          <w:rFonts w:ascii="Times New Roman" w:hAnsi="Times New Roman" w:cs="Times New Roman"/>
          <w:sz w:val="22"/>
          <w:szCs w:val="22"/>
          <w:u w:val="single"/>
        </w:rPr>
      </w:pPr>
    </w:p>
    <w:p w14:paraId="71A46919" w14:textId="0456E7E5" w:rsidR="00A44B29" w:rsidRPr="00A44B29" w:rsidRDefault="00A44B29" w:rsidP="00A44B29">
      <w:pPr>
        <w:jc w:val="center"/>
        <w:rPr>
          <w:rFonts w:ascii="Times New Roman" w:hAnsi="Times New Roman" w:cs="Times New Roman"/>
          <w:sz w:val="22"/>
          <w:szCs w:val="22"/>
          <w:u w:val="single"/>
        </w:rPr>
      </w:pPr>
      <w:r w:rsidRPr="00A44B29">
        <w:rPr>
          <w:rFonts w:ascii="Times New Roman" w:hAnsi="Times New Roman" w:cs="Times New Roman"/>
          <w:sz w:val="22"/>
          <w:szCs w:val="22"/>
          <w:u w:val="single"/>
        </w:rPr>
        <w:t>References</w:t>
      </w:r>
    </w:p>
    <w:p w14:paraId="44AB3282" w14:textId="77777777" w:rsidR="00A44B29" w:rsidRPr="00A44B29" w:rsidRDefault="00A44B29" w:rsidP="00A44B29">
      <w:pPr>
        <w:pStyle w:val="Heading1"/>
        <w:jc w:val="both"/>
        <w:rPr>
          <w:b w:val="0"/>
          <w:bCs w:val="0"/>
          <w:color w:val="211F20"/>
          <w:sz w:val="24"/>
          <w:szCs w:val="24"/>
        </w:rPr>
      </w:pPr>
      <w:r w:rsidRPr="00A44B29">
        <w:rPr>
          <w:b w:val="0"/>
          <w:bCs w:val="0"/>
          <w:sz w:val="24"/>
          <w:szCs w:val="24"/>
        </w:rPr>
        <w:lastRenderedPageBreak/>
        <w:t xml:space="preserve">Estyn (2017) </w:t>
      </w:r>
      <w:r w:rsidRPr="00A44B29">
        <w:rPr>
          <w:b w:val="0"/>
          <w:bCs w:val="0"/>
          <w:color w:val="211F20"/>
          <w:sz w:val="24"/>
          <w:szCs w:val="24"/>
        </w:rPr>
        <w:t>Matching the curriculum for Wales to school values and teacher aspirations</w:t>
      </w:r>
      <w:r w:rsidRPr="00A44B29">
        <w:rPr>
          <w:b w:val="0"/>
          <w:bCs w:val="0"/>
          <w:color w:val="211F20"/>
          <w:sz w:val="24"/>
          <w:szCs w:val="24"/>
        </w:rPr>
        <w:t xml:space="preserve">. </w:t>
      </w:r>
      <w:hyperlink r:id="rId4" w:history="1">
        <w:r w:rsidRPr="00A44B29">
          <w:rPr>
            <w:rStyle w:val="Hyperlink"/>
            <w:b w:val="0"/>
            <w:bCs w:val="0"/>
            <w:sz w:val="24"/>
            <w:szCs w:val="24"/>
            <w:u w:val="none"/>
          </w:rPr>
          <w:t>https://www.estyn.gov.wales/effective-practice/matching</w:t>
        </w:r>
        <w:r w:rsidRPr="00A44B29">
          <w:rPr>
            <w:rStyle w:val="Hyperlink"/>
            <w:b w:val="0"/>
            <w:bCs w:val="0"/>
            <w:sz w:val="24"/>
            <w:szCs w:val="24"/>
            <w:u w:val="none"/>
          </w:rPr>
          <w:t>-</w:t>
        </w:r>
        <w:r w:rsidRPr="00A44B29">
          <w:rPr>
            <w:rStyle w:val="Hyperlink"/>
            <w:b w:val="0"/>
            <w:bCs w:val="0"/>
            <w:sz w:val="24"/>
            <w:szCs w:val="24"/>
            <w:u w:val="none"/>
          </w:rPr>
          <w:t>curriculum-wales-school-values-and-teacher-aspirations</w:t>
        </w:r>
      </w:hyperlink>
      <w:r w:rsidRPr="00A44B29">
        <w:rPr>
          <w:b w:val="0"/>
          <w:bCs w:val="0"/>
          <w:color w:val="211F20"/>
          <w:sz w:val="24"/>
          <w:szCs w:val="24"/>
        </w:rPr>
        <w:t xml:space="preserve"> </w:t>
      </w:r>
    </w:p>
    <w:p w14:paraId="76BD861B" w14:textId="77777777" w:rsidR="00A44B29" w:rsidRPr="00A44B29" w:rsidRDefault="00A44B29" w:rsidP="00A44B29">
      <w:pPr>
        <w:pStyle w:val="Heading1"/>
        <w:spacing w:before="240" w:beforeAutospacing="0" w:after="168" w:afterAutospacing="0"/>
        <w:jc w:val="both"/>
        <w:rPr>
          <w:b w:val="0"/>
          <w:bCs w:val="0"/>
          <w:color w:val="000000"/>
          <w:spacing w:val="-5"/>
          <w:sz w:val="24"/>
          <w:szCs w:val="24"/>
        </w:rPr>
      </w:pPr>
      <w:r w:rsidRPr="00A44B29">
        <w:rPr>
          <w:b w:val="0"/>
          <w:bCs w:val="0"/>
          <w:color w:val="000000"/>
          <w:spacing w:val="-5"/>
          <w:sz w:val="24"/>
          <w:szCs w:val="24"/>
        </w:rPr>
        <w:t>Hallam, S., &amp; Parsons, S. (2013). Prevalence of streaming in UK primary schools: evidence from the Millennium Cohort Study.</w:t>
      </w:r>
      <w:r w:rsidRPr="00A44B29">
        <w:rPr>
          <w:rStyle w:val="apple-converted-space"/>
          <w:b w:val="0"/>
          <w:bCs w:val="0"/>
          <w:color w:val="000000"/>
          <w:spacing w:val="-5"/>
          <w:sz w:val="24"/>
          <w:szCs w:val="24"/>
        </w:rPr>
        <w:t> </w:t>
      </w:r>
      <w:r w:rsidRPr="00A44B29">
        <w:rPr>
          <w:b w:val="0"/>
          <w:bCs w:val="0"/>
          <w:i/>
          <w:iCs/>
          <w:color w:val="000000"/>
          <w:spacing w:val="-5"/>
          <w:sz w:val="24"/>
          <w:szCs w:val="24"/>
        </w:rPr>
        <w:t>British Educational Research Journal</w:t>
      </w:r>
      <w:r w:rsidRPr="00A44B29">
        <w:rPr>
          <w:b w:val="0"/>
          <w:bCs w:val="0"/>
          <w:color w:val="000000"/>
          <w:spacing w:val="-5"/>
          <w:sz w:val="24"/>
          <w:szCs w:val="24"/>
        </w:rPr>
        <w:t>,</w:t>
      </w:r>
      <w:r w:rsidRPr="00A44B29">
        <w:rPr>
          <w:rStyle w:val="apple-converted-space"/>
          <w:b w:val="0"/>
          <w:bCs w:val="0"/>
          <w:color w:val="000000"/>
          <w:spacing w:val="-5"/>
          <w:sz w:val="24"/>
          <w:szCs w:val="24"/>
        </w:rPr>
        <w:t> </w:t>
      </w:r>
      <w:r w:rsidRPr="00A44B29">
        <w:rPr>
          <w:b w:val="0"/>
          <w:bCs w:val="0"/>
          <w:i/>
          <w:iCs/>
          <w:color w:val="000000"/>
          <w:spacing w:val="-5"/>
          <w:sz w:val="24"/>
          <w:szCs w:val="24"/>
        </w:rPr>
        <w:t>39</w:t>
      </w:r>
      <w:r w:rsidRPr="00A44B29">
        <w:rPr>
          <w:b w:val="0"/>
          <w:bCs w:val="0"/>
          <w:color w:val="000000"/>
          <w:spacing w:val="-5"/>
          <w:sz w:val="24"/>
          <w:szCs w:val="24"/>
        </w:rPr>
        <w:t xml:space="preserve">(3), 514–544. </w:t>
      </w:r>
      <w:hyperlink r:id="rId5" w:history="1">
        <w:r w:rsidRPr="00A44B29">
          <w:rPr>
            <w:rStyle w:val="Hyperlink"/>
            <w:b w:val="0"/>
            <w:bCs w:val="0"/>
            <w:spacing w:val="-5"/>
            <w:sz w:val="24"/>
            <w:szCs w:val="24"/>
            <w:u w:val="none"/>
          </w:rPr>
          <w:t>http://www.jstor.org/stable/24463970</w:t>
        </w:r>
      </w:hyperlink>
    </w:p>
    <w:p w14:paraId="5FCEB4B0" w14:textId="77777777" w:rsidR="00A44B29" w:rsidRPr="00A44B29" w:rsidRDefault="00A44B29" w:rsidP="00A44B29">
      <w:pPr>
        <w:jc w:val="both"/>
        <w:rPr>
          <w:rFonts w:ascii="Times New Roman" w:eastAsia="Times New Roman" w:hAnsi="Times New Roman" w:cs="Times New Roman"/>
          <w:color w:val="1F1F1F"/>
          <w:kern w:val="0"/>
          <w:lang w:eastAsia="en-GB"/>
          <w14:ligatures w14:val="none"/>
        </w:rPr>
      </w:pPr>
      <w:r w:rsidRPr="00A44B29">
        <w:rPr>
          <w:rFonts w:ascii="Times New Roman" w:eastAsia="Times New Roman" w:hAnsi="Times New Roman" w:cs="Times New Roman"/>
          <w:color w:val="1F1F1F"/>
          <w:kern w:val="0"/>
          <w:lang w:eastAsia="en-GB"/>
          <w14:ligatures w14:val="none"/>
        </w:rPr>
        <w:t>Hornby</w:t>
      </w:r>
      <w:r w:rsidRPr="00A44B29">
        <w:rPr>
          <w:rFonts w:ascii="Times New Roman" w:eastAsia="Times New Roman" w:hAnsi="Times New Roman" w:cs="Times New Roman"/>
          <w:color w:val="1F1F1F"/>
          <w:kern w:val="0"/>
          <w:lang w:eastAsia="en-GB"/>
          <w14:ligatures w14:val="none"/>
        </w:rPr>
        <w:t xml:space="preserve">, G. </w:t>
      </w:r>
      <w:r w:rsidRPr="00A44B29">
        <w:rPr>
          <w:rFonts w:ascii="Times New Roman" w:eastAsia="Times New Roman" w:hAnsi="Times New Roman" w:cs="Times New Roman"/>
          <w:color w:val="1F1F1F"/>
          <w:kern w:val="0"/>
          <w:lang w:eastAsia="en-GB"/>
          <w14:ligatures w14:val="none"/>
        </w:rPr>
        <w:t>Witte</w:t>
      </w:r>
      <w:r w:rsidRPr="00A44B29">
        <w:rPr>
          <w:rFonts w:ascii="Times New Roman" w:eastAsia="Times New Roman" w:hAnsi="Times New Roman" w:cs="Times New Roman"/>
          <w:color w:val="1F1F1F"/>
          <w:kern w:val="0"/>
          <w:lang w:eastAsia="en-GB"/>
          <w14:ligatures w14:val="none"/>
        </w:rPr>
        <w:t>, C.</w:t>
      </w:r>
      <w:r w:rsidRPr="00A44B29">
        <w:rPr>
          <w:rFonts w:ascii="Times New Roman" w:eastAsia="Times New Roman" w:hAnsi="Times New Roman" w:cs="Times New Roman"/>
          <w:color w:val="1F1F1F"/>
          <w:kern w:val="0"/>
          <w:lang w:eastAsia="en-GB"/>
          <w14:ligatures w14:val="none"/>
        </w:rPr>
        <w:t> Mitchell</w:t>
      </w:r>
      <w:r w:rsidRPr="00A44B29">
        <w:rPr>
          <w:rFonts w:ascii="Times New Roman" w:eastAsia="Times New Roman" w:hAnsi="Times New Roman" w:cs="Times New Roman"/>
          <w:color w:val="1F1F1F"/>
          <w:kern w:val="0"/>
          <w:lang w:eastAsia="en-GB"/>
          <w14:ligatures w14:val="none"/>
        </w:rPr>
        <w:t xml:space="preserve">, </w:t>
      </w:r>
      <w:r w:rsidRPr="00A44B29">
        <w:rPr>
          <w:rFonts w:ascii="Times New Roman" w:eastAsia="Times New Roman" w:hAnsi="Times New Roman" w:cs="Times New Roman"/>
          <w:color w:val="1F1F1F"/>
          <w:kern w:val="0"/>
          <w:lang w:eastAsia="en-GB"/>
          <w14:ligatures w14:val="none"/>
        </w:rPr>
        <w:t>D. </w:t>
      </w:r>
      <w:r w:rsidRPr="00A44B29">
        <w:rPr>
          <w:rFonts w:ascii="Times New Roman" w:eastAsia="Times New Roman" w:hAnsi="Times New Roman" w:cs="Times New Roman"/>
          <w:color w:val="707070"/>
          <w:kern w:val="0"/>
          <w:lang w:eastAsia="en-GB"/>
          <w14:ligatures w14:val="none"/>
        </w:rPr>
        <w:t>(2011),</w:t>
      </w:r>
      <w:r w:rsidRPr="00A44B29">
        <w:rPr>
          <w:rFonts w:ascii="Times New Roman" w:eastAsia="Times New Roman" w:hAnsi="Times New Roman" w:cs="Times New Roman"/>
          <w:color w:val="1F1F1F"/>
          <w:kern w:val="0"/>
          <w:lang w:eastAsia="en-GB"/>
          <w14:ligatures w14:val="none"/>
        </w:rPr>
        <w:t>Policies and practices of ability grouping in New Zealand intermediate schools</w:t>
      </w:r>
      <w:r w:rsidRPr="00A44B29">
        <w:rPr>
          <w:rFonts w:ascii="Times New Roman" w:eastAsia="Times New Roman" w:hAnsi="Times New Roman" w:cs="Times New Roman"/>
          <w:color w:val="1F1F1F"/>
          <w:kern w:val="0"/>
          <w:lang w:eastAsia="en-GB"/>
          <w14:ligatures w14:val="none"/>
        </w:rPr>
        <w:t xml:space="preserve">. </w:t>
      </w:r>
      <w:r w:rsidRPr="00A44B29">
        <w:rPr>
          <w:rFonts w:ascii="Times New Roman" w:eastAsia="Times New Roman" w:hAnsi="Times New Roman" w:cs="Times New Roman"/>
          <w:color w:val="707070"/>
          <w:kern w:val="0"/>
          <w:lang w:eastAsia="en-GB"/>
          <w14:ligatures w14:val="none"/>
        </w:rPr>
        <w:t>Support for Learning, 26 (3) pp. 92-96,</w:t>
      </w:r>
    </w:p>
    <w:p w14:paraId="17F6BFF2" w14:textId="77777777" w:rsidR="00A44B29" w:rsidRPr="00A44B29" w:rsidRDefault="00A44B29" w:rsidP="00A44B29">
      <w:pPr>
        <w:pStyle w:val="NormalWeb"/>
        <w:jc w:val="both"/>
      </w:pPr>
      <w:r w:rsidRPr="00A44B29">
        <w:rPr>
          <w:color w:val="555555"/>
          <w:shd w:val="clear" w:color="auto" w:fill="FFFFFF"/>
        </w:rPr>
        <w:t xml:space="preserve">Laevers, F. (2011) </w:t>
      </w:r>
      <w:r w:rsidRPr="00A44B29">
        <w:t>Experiential Education: Making Care and Education More Effective Through Well-Being and Involvement</w:t>
      </w:r>
      <w:r w:rsidRPr="00A44B29">
        <w:t xml:space="preserve">. </w:t>
      </w:r>
      <w:hyperlink r:id="rId6" w:history="1">
        <w:r w:rsidRPr="00A44B29">
          <w:rPr>
            <w:rStyle w:val="Hyperlink"/>
            <w:u w:val="none"/>
          </w:rPr>
          <w:t>http://expertisecentrum.cego.be/wp-content/uploads/2019/07/Laevers_2011_ChildEncyclopedia.pdf</w:t>
        </w:r>
      </w:hyperlink>
      <w:r w:rsidRPr="00A44B29">
        <w:t xml:space="preserve"> </w:t>
      </w:r>
    </w:p>
    <w:p w14:paraId="702E71FD" w14:textId="77777777" w:rsidR="00A44B29" w:rsidRPr="00A44B29" w:rsidRDefault="00A44B29" w:rsidP="00A44B29">
      <w:pPr>
        <w:pStyle w:val="Heading1"/>
        <w:spacing w:before="240" w:beforeAutospacing="0" w:after="168" w:afterAutospacing="0"/>
        <w:jc w:val="both"/>
        <w:rPr>
          <w:b w:val="0"/>
          <w:bCs w:val="0"/>
          <w:color w:val="000000"/>
          <w:spacing w:val="-5"/>
          <w:sz w:val="24"/>
          <w:szCs w:val="24"/>
        </w:rPr>
      </w:pPr>
      <w:r w:rsidRPr="00A44B29">
        <w:rPr>
          <w:b w:val="0"/>
          <w:bCs w:val="0"/>
          <w:sz w:val="24"/>
          <w:szCs w:val="24"/>
        </w:rPr>
        <w:t xml:space="preserve">NSPCC Learning (2024) </w:t>
      </w:r>
      <w:r w:rsidRPr="00A44B29">
        <w:rPr>
          <w:b w:val="0"/>
          <w:bCs w:val="0"/>
          <w:color w:val="000000"/>
          <w:spacing w:val="-5"/>
          <w:sz w:val="24"/>
          <w:szCs w:val="24"/>
        </w:rPr>
        <w:t>Research with children: ethics, safety and promoting inclusion</w:t>
      </w:r>
      <w:r w:rsidRPr="00A44B29">
        <w:rPr>
          <w:b w:val="0"/>
          <w:bCs w:val="0"/>
          <w:color w:val="000000"/>
          <w:spacing w:val="-5"/>
          <w:sz w:val="24"/>
          <w:szCs w:val="24"/>
        </w:rPr>
        <w:t xml:space="preserve">. </w:t>
      </w:r>
      <w:hyperlink r:id="rId7" w:history="1">
        <w:r w:rsidRPr="00A44B29">
          <w:rPr>
            <w:rStyle w:val="Hyperlink"/>
            <w:b w:val="0"/>
            <w:bCs w:val="0"/>
            <w:spacing w:val="-5"/>
            <w:sz w:val="24"/>
            <w:szCs w:val="24"/>
            <w:u w:val="none"/>
          </w:rPr>
          <w:t>https://learning.nspcc.org.uk/research-resources/briefings/research-with-children-ethics-safety-promoting-inclusion/#:~:text=Research%20for%20the%20sake%20of,minimise%20the%20risk%20of%20harm</w:t>
        </w:r>
      </w:hyperlink>
      <w:r w:rsidRPr="00A44B29">
        <w:rPr>
          <w:b w:val="0"/>
          <w:bCs w:val="0"/>
          <w:color w:val="000000"/>
          <w:spacing w:val="-5"/>
          <w:sz w:val="24"/>
          <w:szCs w:val="24"/>
        </w:rPr>
        <w:t>.</w:t>
      </w:r>
      <w:r w:rsidRPr="00A44B29">
        <w:rPr>
          <w:b w:val="0"/>
          <w:bCs w:val="0"/>
          <w:color w:val="000000"/>
          <w:spacing w:val="-5"/>
          <w:sz w:val="24"/>
          <w:szCs w:val="24"/>
        </w:rPr>
        <w:t xml:space="preserve"> </w:t>
      </w:r>
    </w:p>
    <w:p w14:paraId="1B06FDCA" w14:textId="2FDB64B3" w:rsidR="00A44B29" w:rsidRPr="00A44B29" w:rsidRDefault="00A44B29" w:rsidP="00A44B29">
      <w:pPr>
        <w:pStyle w:val="NormalWeb"/>
        <w:jc w:val="both"/>
      </w:pPr>
      <w:r w:rsidRPr="00A44B29">
        <w:rPr>
          <w:color w:val="000000"/>
          <w:spacing w:val="-5"/>
        </w:rPr>
        <w:t xml:space="preserve">OECD (2004)  </w:t>
      </w:r>
      <w:r w:rsidRPr="00A44B29">
        <w:rPr>
          <w:i/>
          <w:iCs/>
        </w:rPr>
        <w:t>Starting Strong Curricula and Pedagogies</w:t>
      </w:r>
      <w:r w:rsidRPr="00A44B29">
        <w:rPr>
          <w:i/>
          <w:iCs/>
        </w:rPr>
        <w:br/>
        <w:t>in</w:t>
      </w:r>
      <w:r w:rsidRPr="00A44B29">
        <w:rPr>
          <w:i/>
          <w:iCs/>
        </w:rPr>
        <w:t xml:space="preserve"> </w:t>
      </w:r>
      <w:r w:rsidRPr="00A44B29">
        <w:rPr>
          <w:i/>
          <w:iCs/>
        </w:rPr>
        <w:t>Early Childhood Education and Care</w:t>
      </w:r>
      <w:r w:rsidRPr="00A44B29">
        <w:rPr>
          <w:i/>
          <w:iCs/>
        </w:rPr>
        <w:t xml:space="preserve">. </w:t>
      </w:r>
      <w:r w:rsidRPr="00A44B29">
        <w:rPr>
          <w:position w:val="2"/>
        </w:rPr>
        <w:t>FIVE</w:t>
      </w:r>
      <w:r w:rsidRPr="00A44B29">
        <w:rPr>
          <w:color w:val="BFBFBF"/>
        </w:rPr>
        <w:t xml:space="preserve"> </w:t>
      </w:r>
      <w:r w:rsidRPr="00A44B29">
        <w:rPr>
          <w:position w:val="2"/>
        </w:rPr>
        <w:t>CURRICULUM</w:t>
      </w:r>
      <w:r w:rsidRPr="00A44B29">
        <w:rPr>
          <w:color w:val="BFBFBF"/>
        </w:rPr>
        <w:t xml:space="preserve"> </w:t>
      </w:r>
      <w:r w:rsidRPr="00A44B29">
        <w:rPr>
          <w:position w:val="2"/>
        </w:rPr>
        <w:t>OUTLINES</w:t>
      </w:r>
      <w:r w:rsidRPr="00A44B29">
        <w:rPr>
          <w:position w:val="2"/>
        </w:rPr>
        <w:t xml:space="preserve">. </w:t>
      </w:r>
      <w:r w:rsidRPr="00A44B29">
        <w:rPr>
          <w:i/>
          <w:iCs/>
        </w:rPr>
        <w:t>Directorate for Education</w:t>
      </w:r>
      <w:r w:rsidRPr="00A44B29">
        <w:rPr>
          <w:i/>
          <w:iCs/>
        </w:rPr>
        <w:t xml:space="preserve">. </w:t>
      </w:r>
      <w:hyperlink r:id="rId8" w:history="1">
        <w:r w:rsidRPr="00A44B29">
          <w:rPr>
            <w:rStyle w:val="Hyperlink"/>
            <w:i/>
            <w:iCs/>
          </w:rPr>
          <w:t>http://expertisecentrum.cego.be/wp-content/uploads/2019/07/OECD_2004_FiveCurriculumOutlines.pdf</w:t>
        </w:r>
      </w:hyperlink>
      <w:r w:rsidRPr="00A44B29">
        <w:rPr>
          <w:i/>
          <w:iCs/>
        </w:rPr>
        <w:t xml:space="preserve">  </w:t>
      </w:r>
    </w:p>
    <w:p w14:paraId="40D7F743" w14:textId="77777777" w:rsidR="00A44B29" w:rsidRPr="00A44B29" w:rsidRDefault="00A44B29" w:rsidP="00A44B29">
      <w:pPr>
        <w:jc w:val="both"/>
        <w:rPr>
          <w:rFonts w:ascii="Times New Roman" w:hAnsi="Times New Roman" w:cs="Times New Roman"/>
          <w:color w:val="555555"/>
          <w:shd w:val="clear" w:color="auto" w:fill="FFFFFF"/>
        </w:rPr>
      </w:pPr>
      <w:r w:rsidRPr="00A44B29">
        <w:rPr>
          <w:rFonts w:ascii="Times New Roman" w:hAnsi="Times New Roman" w:cs="Times New Roman"/>
          <w:color w:val="555555"/>
          <w:shd w:val="clear" w:color="auto" w:fill="FFFFFF"/>
        </w:rPr>
        <w:t xml:space="preserve">Petrenas, C., </w:t>
      </w:r>
      <w:proofErr w:type="spellStart"/>
      <w:r w:rsidRPr="00A44B29">
        <w:rPr>
          <w:rFonts w:ascii="Times New Roman" w:hAnsi="Times New Roman" w:cs="Times New Roman"/>
          <w:color w:val="555555"/>
          <w:shd w:val="clear" w:color="auto" w:fill="FFFFFF"/>
        </w:rPr>
        <w:t>Puigdellivol</w:t>
      </w:r>
      <w:proofErr w:type="spellEnd"/>
      <w:r w:rsidRPr="00A44B29">
        <w:rPr>
          <w:rFonts w:ascii="Times New Roman" w:hAnsi="Times New Roman" w:cs="Times New Roman"/>
          <w:color w:val="555555"/>
          <w:shd w:val="clear" w:color="auto" w:fill="FFFFFF"/>
        </w:rPr>
        <w:t xml:space="preserve">, R. &amp; </w:t>
      </w:r>
      <w:proofErr w:type="spellStart"/>
      <w:r w:rsidRPr="00A44B29">
        <w:rPr>
          <w:rFonts w:ascii="Times New Roman" w:hAnsi="Times New Roman" w:cs="Times New Roman"/>
          <w:color w:val="555555"/>
          <w:shd w:val="clear" w:color="auto" w:fill="FFFFFF"/>
        </w:rPr>
        <w:t>Campdepadros</w:t>
      </w:r>
      <w:proofErr w:type="spellEnd"/>
      <w:r w:rsidRPr="00A44B29">
        <w:rPr>
          <w:rFonts w:ascii="Times New Roman" w:hAnsi="Times New Roman" w:cs="Times New Roman"/>
          <w:color w:val="555555"/>
          <w:shd w:val="clear" w:color="auto" w:fill="FFFFFF"/>
        </w:rPr>
        <w:t>, R., 2013, ‘From educational segregation to transformative inclusion’,</w:t>
      </w:r>
      <w:r w:rsidRPr="00A44B29">
        <w:rPr>
          <w:rStyle w:val="apple-converted-space"/>
          <w:rFonts w:ascii="Times New Roman" w:hAnsi="Times New Roman" w:cs="Times New Roman"/>
          <w:color w:val="555555"/>
          <w:shd w:val="clear" w:color="auto" w:fill="FFFFFF"/>
        </w:rPr>
        <w:t> </w:t>
      </w:r>
      <w:r w:rsidRPr="00A44B29">
        <w:rPr>
          <w:rFonts w:ascii="Times New Roman" w:hAnsi="Times New Roman" w:cs="Times New Roman"/>
          <w:i/>
          <w:iCs/>
          <w:color w:val="555555"/>
        </w:rPr>
        <w:t>International Review of Qualitative Research</w:t>
      </w:r>
      <w:r w:rsidRPr="00A44B29">
        <w:rPr>
          <w:rStyle w:val="apple-converted-space"/>
          <w:rFonts w:ascii="Times New Roman" w:hAnsi="Times New Roman" w:cs="Times New Roman"/>
          <w:color w:val="555555"/>
          <w:shd w:val="clear" w:color="auto" w:fill="FFFFFF"/>
        </w:rPr>
        <w:t> </w:t>
      </w:r>
      <w:r w:rsidRPr="00A44B29">
        <w:rPr>
          <w:rFonts w:ascii="Times New Roman" w:hAnsi="Times New Roman" w:cs="Times New Roman"/>
          <w:color w:val="555555"/>
          <w:shd w:val="clear" w:color="auto" w:fill="FFFFFF"/>
        </w:rPr>
        <w:t>6(2), 210–225. https://doi. org/10. 1525/</w:t>
      </w:r>
      <w:proofErr w:type="spellStart"/>
      <w:r w:rsidRPr="00A44B29">
        <w:rPr>
          <w:rFonts w:ascii="Times New Roman" w:hAnsi="Times New Roman" w:cs="Times New Roman"/>
          <w:color w:val="555555"/>
          <w:shd w:val="clear" w:color="auto" w:fill="FFFFFF"/>
        </w:rPr>
        <w:t>irqr</w:t>
      </w:r>
      <w:proofErr w:type="spellEnd"/>
      <w:r w:rsidRPr="00A44B29">
        <w:rPr>
          <w:rFonts w:ascii="Times New Roman" w:hAnsi="Times New Roman" w:cs="Times New Roman"/>
          <w:color w:val="555555"/>
          <w:shd w:val="clear" w:color="auto" w:fill="FFFFFF"/>
        </w:rPr>
        <w:t>. 2013. 6. 2. 210</w:t>
      </w:r>
      <w:r w:rsidRPr="00A44B29">
        <w:rPr>
          <w:rFonts w:ascii="Times New Roman" w:hAnsi="Times New Roman" w:cs="Times New Roman"/>
          <w:color w:val="555555"/>
          <w:shd w:val="clear" w:color="auto" w:fill="FFFFFF"/>
        </w:rPr>
        <w:t xml:space="preserve"> </w:t>
      </w:r>
    </w:p>
    <w:p w14:paraId="05814648" w14:textId="77777777" w:rsidR="00A44B29" w:rsidRPr="00A44B29" w:rsidRDefault="00A44B29" w:rsidP="00A44B29">
      <w:pPr>
        <w:jc w:val="both"/>
        <w:rPr>
          <w:rFonts w:ascii="Times New Roman" w:hAnsi="Times New Roman" w:cs="Times New Roman"/>
          <w:color w:val="555555"/>
          <w:shd w:val="clear" w:color="auto" w:fill="FFFFFF"/>
        </w:rPr>
      </w:pPr>
    </w:p>
    <w:p w14:paraId="3835A506" w14:textId="77777777" w:rsidR="00A44B29" w:rsidRPr="00A44B29" w:rsidRDefault="00A44B29" w:rsidP="00A44B29">
      <w:pPr>
        <w:jc w:val="both"/>
        <w:rPr>
          <w:rFonts w:ascii="Times New Roman" w:hAnsi="Times New Roman" w:cs="Times New Roman"/>
          <w:color w:val="555555"/>
          <w:shd w:val="clear" w:color="auto" w:fill="FFFFFF"/>
        </w:rPr>
      </w:pPr>
      <w:r w:rsidRPr="00A44B29">
        <w:rPr>
          <w:rFonts w:ascii="Times New Roman" w:hAnsi="Times New Roman" w:cs="Times New Roman"/>
          <w:color w:val="555555"/>
          <w:shd w:val="clear" w:color="auto" w:fill="FFFFFF"/>
        </w:rPr>
        <w:t>Saaris, N., 2021,</w:t>
      </w:r>
      <w:r w:rsidRPr="00A44B29">
        <w:rPr>
          <w:rStyle w:val="apple-converted-space"/>
          <w:rFonts w:ascii="Times New Roman" w:hAnsi="Times New Roman" w:cs="Times New Roman"/>
          <w:color w:val="555555"/>
          <w:shd w:val="clear" w:color="auto" w:fill="FFFFFF"/>
        </w:rPr>
        <w:t> </w:t>
      </w:r>
      <w:r w:rsidRPr="00A44B29">
        <w:rPr>
          <w:rFonts w:ascii="Times New Roman" w:hAnsi="Times New Roman" w:cs="Times New Roman"/>
          <w:i/>
          <w:iCs/>
          <w:color w:val="555555"/>
        </w:rPr>
        <w:t xml:space="preserve">How can students work together in a mixed </w:t>
      </w:r>
      <w:proofErr w:type="gramStart"/>
      <w:r w:rsidRPr="00A44B29">
        <w:rPr>
          <w:rFonts w:ascii="Times New Roman" w:hAnsi="Times New Roman" w:cs="Times New Roman"/>
          <w:i/>
          <w:iCs/>
          <w:color w:val="555555"/>
        </w:rPr>
        <w:t>classroom?</w:t>
      </w:r>
      <w:r w:rsidRPr="00A44B29">
        <w:rPr>
          <w:rFonts w:ascii="Times New Roman" w:hAnsi="Times New Roman" w:cs="Times New Roman"/>
          <w:color w:val="555555"/>
          <w:shd w:val="clear" w:color="auto" w:fill="FFFFFF"/>
        </w:rPr>
        <w:t>,</w:t>
      </w:r>
      <w:proofErr w:type="gramEnd"/>
      <w:r w:rsidRPr="00A44B29">
        <w:rPr>
          <w:rFonts w:ascii="Times New Roman" w:hAnsi="Times New Roman" w:cs="Times New Roman"/>
          <w:color w:val="555555"/>
          <w:shd w:val="clear" w:color="auto" w:fill="FFFFFF"/>
        </w:rPr>
        <w:t xml:space="preserve"> viewed 14 February 2021, from https://www. </w:t>
      </w:r>
      <w:proofErr w:type="spellStart"/>
      <w:r w:rsidRPr="00A44B29">
        <w:rPr>
          <w:rFonts w:ascii="Times New Roman" w:hAnsi="Times New Roman" w:cs="Times New Roman"/>
          <w:color w:val="555555"/>
          <w:shd w:val="clear" w:color="auto" w:fill="FFFFFF"/>
        </w:rPr>
        <w:t>activelylearn</w:t>
      </w:r>
      <w:proofErr w:type="spellEnd"/>
      <w:r w:rsidRPr="00A44B29">
        <w:rPr>
          <w:rFonts w:ascii="Times New Roman" w:hAnsi="Times New Roman" w:cs="Times New Roman"/>
          <w:color w:val="555555"/>
          <w:shd w:val="clear" w:color="auto" w:fill="FFFFFF"/>
        </w:rPr>
        <w:t>. com/post/collaboration-mixed-ability-classroom.</w:t>
      </w:r>
    </w:p>
    <w:p w14:paraId="6BA8E030" w14:textId="77777777" w:rsidR="00A44B29" w:rsidRPr="00A44B29" w:rsidRDefault="00A44B29" w:rsidP="00A44B29">
      <w:pPr>
        <w:jc w:val="both"/>
        <w:rPr>
          <w:rFonts w:ascii="Times New Roman" w:hAnsi="Times New Roman" w:cs="Times New Roman"/>
          <w:color w:val="555555"/>
          <w:shd w:val="clear" w:color="auto" w:fill="FFFFFF"/>
        </w:rPr>
      </w:pPr>
    </w:p>
    <w:p w14:paraId="7D08AF4B" w14:textId="77777777" w:rsidR="00A44B29" w:rsidRPr="00A44B29" w:rsidRDefault="00A44B29" w:rsidP="00A44B29">
      <w:pPr>
        <w:jc w:val="both"/>
        <w:rPr>
          <w:rFonts w:ascii="Times New Roman" w:eastAsia="Times New Roman" w:hAnsi="Times New Roman" w:cs="Times New Roman"/>
          <w:color w:val="707070"/>
          <w:kern w:val="0"/>
          <w:lang w:eastAsia="en-GB"/>
          <w14:ligatures w14:val="none"/>
        </w:rPr>
      </w:pPr>
      <w:r w:rsidRPr="00A44B29">
        <w:rPr>
          <w:rFonts w:ascii="Times New Roman" w:eastAsia="Times New Roman" w:hAnsi="Times New Roman" w:cs="Times New Roman"/>
          <w:color w:val="1F1F1F"/>
          <w:kern w:val="0"/>
          <w:lang w:eastAsia="en-GB"/>
          <w14:ligatures w14:val="none"/>
        </w:rPr>
        <w:t>Schofield</w:t>
      </w:r>
      <w:r w:rsidRPr="00A44B29">
        <w:rPr>
          <w:rFonts w:ascii="Times New Roman" w:eastAsia="Times New Roman" w:hAnsi="Times New Roman" w:cs="Times New Roman"/>
          <w:color w:val="1F1F1F"/>
          <w:kern w:val="0"/>
          <w:lang w:eastAsia="en-GB"/>
          <w14:ligatures w14:val="none"/>
        </w:rPr>
        <w:t xml:space="preserve">, </w:t>
      </w:r>
      <w:r w:rsidRPr="00A44B29">
        <w:rPr>
          <w:rFonts w:ascii="Times New Roman" w:eastAsia="Times New Roman" w:hAnsi="Times New Roman" w:cs="Times New Roman"/>
          <w:color w:val="1F1F1F"/>
          <w:kern w:val="0"/>
          <w:lang w:eastAsia="en-GB"/>
          <w14:ligatures w14:val="none"/>
        </w:rPr>
        <w:t>J</w:t>
      </w:r>
      <w:r w:rsidRPr="00A44B29">
        <w:rPr>
          <w:rFonts w:ascii="Times New Roman" w:eastAsia="Times New Roman" w:hAnsi="Times New Roman" w:cs="Times New Roman"/>
          <w:color w:val="1F1F1F"/>
          <w:kern w:val="0"/>
          <w:lang w:eastAsia="en-GB"/>
          <w14:ligatures w14:val="none"/>
        </w:rPr>
        <w:t xml:space="preserve">. </w:t>
      </w:r>
      <w:r w:rsidRPr="00A44B29">
        <w:rPr>
          <w:rFonts w:ascii="Times New Roman" w:eastAsia="Times New Roman" w:hAnsi="Times New Roman" w:cs="Times New Roman"/>
          <w:color w:val="707070"/>
          <w:kern w:val="0"/>
          <w:lang w:eastAsia="en-GB"/>
          <w14:ligatures w14:val="none"/>
        </w:rPr>
        <w:t>(2010),</w:t>
      </w:r>
      <w:r w:rsidRPr="00A44B29">
        <w:rPr>
          <w:rFonts w:ascii="Times New Roman" w:eastAsia="Times New Roman" w:hAnsi="Times New Roman" w:cs="Times New Roman"/>
          <w:color w:val="1F1F1F"/>
          <w:kern w:val="0"/>
          <w:lang w:eastAsia="en-GB"/>
          <w14:ligatures w14:val="none"/>
        </w:rPr>
        <w:t xml:space="preserve">International evidence on ability grouping with curriculum differentiation and the achievement gap in secondary </w:t>
      </w:r>
      <w:proofErr w:type="spellStart"/>
      <w:r w:rsidRPr="00A44B29">
        <w:rPr>
          <w:rFonts w:ascii="Times New Roman" w:eastAsia="Times New Roman" w:hAnsi="Times New Roman" w:cs="Times New Roman"/>
          <w:color w:val="1F1F1F"/>
          <w:kern w:val="0"/>
          <w:lang w:eastAsia="en-GB"/>
          <w14:ligatures w14:val="none"/>
        </w:rPr>
        <w:t>schools.</w:t>
      </w:r>
      <w:r w:rsidRPr="00A44B29">
        <w:rPr>
          <w:rFonts w:ascii="Times New Roman" w:eastAsia="Times New Roman" w:hAnsi="Times New Roman" w:cs="Times New Roman"/>
          <w:color w:val="707070"/>
          <w:kern w:val="0"/>
          <w:lang w:eastAsia="en-GB"/>
          <w14:ligatures w14:val="none"/>
        </w:rPr>
        <w:t>Teachers</w:t>
      </w:r>
      <w:proofErr w:type="spellEnd"/>
      <w:r w:rsidRPr="00A44B29">
        <w:rPr>
          <w:rFonts w:ascii="Times New Roman" w:eastAsia="Times New Roman" w:hAnsi="Times New Roman" w:cs="Times New Roman"/>
          <w:color w:val="707070"/>
          <w:kern w:val="0"/>
          <w:lang w:eastAsia="en-GB"/>
          <w14:ligatures w14:val="none"/>
        </w:rPr>
        <w:t xml:space="preserve"> College Record, 112 (5) pp. 1492-1528</w:t>
      </w:r>
    </w:p>
    <w:p w14:paraId="33CDD472" w14:textId="77777777" w:rsidR="00A44B29" w:rsidRPr="00A44B29" w:rsidRDefault="00A44B29" w:rsidP="00A44B29">
      <w:pPr>
        <w:jc w:val="both"/>
        <w:rPr>
          <w:rFonts w:ascii="Times New Roman" w:eastAsia="Times New Roman" w:hAnsi="Times New Roman" w:cs="Times New Roman"/>
          <w:color w:val="707070"/>
          <w:kern w:val="0"/>
          <w:lang w:eastAsia="en-GB"/>
          <w14:ligatures w14:val="none"/>
        </w:rPr>
      </w:pPr>
    </w:p>
    <w:p w14:paraId="02E123BD" w14:textId="77777777" w:rsidR="00A44B29" w:rsidRDefault="00A44B29" w:rsidP="00A44B29">
      <w:pPr>
        <w:pStyle w:val="Heading1"/>
        <w:spacing w:before="0" w:beforeAutospacing="0" w:after="750" w:afterAutospacing="0"/>
        <w:jc w:val="both"/>
        <w:rPr>
          <w:b w:val="0"/>
          <w:bCs w:val="0"/>
          <w:color w:val="2E2D62"/>
          <w:sz w:val="24"/>
          <w:szCs w:val="24"/>
        </w:rPr>
      </w:pPr>
      <w:r w:rsidRPr="00A44B29">
        <w:rPr>
          <w:color w:val="707070"/>
          <w:kern w:val="0"/>
          <w:sz w:val="24"/>
          <w:szCs w:val="24"/>
        </w:rPr>
        <w:t xml:space="preserve">UK Research and Innovation (2023) </w:t>
      </w:r>
      <w:r w:rsidRPr="00A44B29">
        <w:rPr>
          <w:b w:val="0"/>
          <w:bCs w:val="0"/>
          <w:color w:val="2E2D62"/>
          <w:sz w:val="24"/>
          <w:szCs w:val="24"/>
        </w:rPr>
        <w:t>Research with children and young people</w:t>
      </w:r>
      <w:r w:rsidRPr="00A44B29">
        <w:rPr>
          <w:b w:val="0"/>
          <w:bCs w:val="0"/>
          <w:color w:val="2E2D62"/>
          <w:sz w:val="24"/>
          <w:szCs w:val="24"/>
        </w:rPr>
        <w:t xml:space="preserve">. </w:t>
      </w:r>
      <w:hyperlink r:id="rId9" w:history="1">
        <w:r w:rsidRPr="00A44B29">
          <w:rPr>
            <w:rStyle w:val="Hyperlink"/>
            <w:b w:val="0"/>
            <w:bCs w:val="0"/>
            <w:sz w:val="24"/>
            <w:szCs w:val="24"/>
          </w:rPr>
          <w:t>https://www.ukri.org/councils/esrc/guidance-for-applicants/research-ethics-guidance/research-with-children-and-young-people/</w:t>
        </w:r>
      </w:hyperlink>
      <w:r w:rsidRPr="00A44B29">
        <w:rPr>
          <w:b w:val="0"/>
          <w:bCs w:val="0"/>
          <w:color w:val="2E2D62"/>
          <w:sz w:val="24"/>
          <w:szCs w:val="24"/>
        </w:rPr>
        <w:t xml:space="preserve"> </w:t>
      </w:r>
    </w:p>
    <w:p w14:paraId="109E93E8" w14:textId="77777777" w:rsidR="00A44B29" w:rsidRDefault="00A44B29" w:rsidP="00A44B29">
      <w:pPr>
        <w:pStyle w:val="Heading1"/>
        <w:spacing w:before="0" w:beforeAutospacing="0" w:after="750" w:afterAutospacing="0"/>
        <w:jc w:val="both"/>
        <w:rPr>
          <w:b w:val="0"/>
          <w:bCs w:val="0"/>
          <w:color w:val="1F1F1F"/>
          <w:sz w:val="24"/>
          <w:szCs w:val="24"/>
        </w:rPr>
      </w:pPr>
      <w:r w:rsidRPr="00A44B29">
        <w:rPr>
          <w:b w:val="0"/>
          <w:bCs w:val="0"/>
          <w:color w:val="1F1F1F"/>
          <w:sz w:val="24"/>
          <w:szCs w:val="24"/>
        </w:rPr>
        <w:t>Vygotsky, L.S. (1978).</w:t>
      </w:r>
      <w:r w:rsidRPr="00A44B29">
        <w:rPr>
          <w:rStyle w:val="apple-converted-space"/>
          <w:b w:val="0"/>
          <w:bCs w:val="0"/>
          <w:color w:val="1F1F1F"/>
          <w:sz w:val="24"/>
          <w:szCs w:val="24"/>
        </w:rPr>
        <w:t> </w:t>
      </w:r>
      <w:r w:rsidRPr="00A44B29">
        <w:rPr>
          <w:rStyle w:val="Emphasis"/>
          <w:b w:val="0"/>
          <w:bCs w:val="0"/>
          <w:color w:val="1F1F1F"/>
          <w:sz w:val="24"/>
          <w:szCs w:val="24"/>
        </w:rPr>
        <w:t>Mind in society: The development of higher mental processes</w:t>
      </w:r>
      <w:r w:rsidRPr="00A44B29">
        <w:rPr>
          <w:b w:val="0"/>
          <w:bCs w:val="0"/>
          <w:color w:val="1F1F1F"/>
          <w:sz w:val="24"/>
          <w:szCs w:val="24"/>
        </w:rPr>
        <w:t xml:space="preserve">, eds &amp; trans. M. Cole, V. John-Steiner, S. Scribner &amp; E. </w:t>
      </w:r>
      <w:proofErr w:type="spellStart"/>
      <w:r w:rsidRPr="00A44B29">
        <w:rPr>
          <w:b w:val="0"/>
          <w:bCs w:val="0"/>
          <w:color w:val="1F1F1F"/>
          <w:sz w:val="24"/>
          <w:szCs w:val="24"/>
        </w:rPr>
        <w:t>Souberman</w:t>
      </w:r>
      <w:proofErr w:type="spellEnd"/>
      <w:r w:rsidRPr="00A44B29">
        <w:rPr>
          <w:b w:val="0"/>
          <w:bCs w:val="0"/>
          <w:color w:val="1F1F1F"/>
          <w:sz w:val="24"/>
          <w:szCs w:val="24"/>
        </w:rPr>
        <w:t>. Cambridge, MA: Harvard University Press.</w:t>
      </w:r>
    </w:p>
    <w:p w14:paraId="4FE53DD9" w14:textId="642F961C" w:rsidR="00A44B29" w:rsidRPr="00A44B29" w:rsidRDefault="00A44B29" w:rsidP="00A44B29">
      <w:pPr>
        <w:pStyle w:val="Heading1"/>
        <w:spacing w:before="0" w:beforeAutospacing="0" w:after="750" w:afterAutospacing="0"/>
        <w:jc w:val="both"/>
        <w:rPr>
          <w:b w:val="0"/>
          <w:bCs w:val="0"/>
          <w:color w:val="2E2D62"/>
          <w:sz w:val="24"/>
          <w:szCs w:val="24"/>
        </w:rPr>
      </w:pPr>
      <w:r w:rsidRPr="00A44B29">
        <w:rPr>
          <w:b w:val="0"/>
          <w:bCs w:val="0"/>
          <w:color w:val="555555"/>
          <w:sz w:val="22"/>
          <w:szCs w:val="22"/>
          <w:shd w:val="clear" w:color="auto" w:fill="FFFFFF"/>
        </w:rPr>
        <w:t>Walters, D., 2017,</w:t>
      </w:r>
      <w:r w:rsidRPr="00A44B29">
        <w:rPr>
          <w:rStyle w:val="apple-converted-space"/>
          <w:b w:val="0"/>
          <w:bCs w:val="0"/>
          <w:color w:val="555555"/>
          <w:sz w:val="22"/>
          <w:szCs w:val="22"/>
          <w:shd w:val="clear" w:color="auto" w:fill="FFFFFF"/>
        </w:rPr>
        <w:t> </w:t>
      </w:r>
      <w:r w:rsidRPr="00A44B29">
        <w:rPr>
          <w:b w:val="0"/>
          <w:bCs w:val="0"/>
          <w:i/>
          <w:iCs/>
          <w:color w:val="555555"/>
          <w:sz w:val="22"/>
          <w:szCs w:val="22"/>
        </w:rPr>
        <w:t>Mixed-ability classes: Factors, challenges and advantages</w:t>
      </w:r>
      <w:r w:rsidRPr="00A44B29">
        <w:rPr>
          <w:b w:val="0"/>
          <w:bCs w:val="0"/>
          <w:color w:val="555555"/>
          <w:sz w:val="22"/>
          <w:szCs w:val="22"/>
          <w:shd w:val="clear" w:color="auto" w:fill="FFFFFF"/>
        </w:rPr>
        <w:t>.</w:t>
      </w:r>
    </w:p>
    <w:p w14:paraId="68EB43E7" w14:textId="77777777" w:rsidR="00A44B29" w:rsidRPr="00A44B29" w:rsidRDefault="00A44B29" w:rsidP="00A44B29">
      <w:pPr>
        <w:rPr>
          <w:rFonts w:ascii="Times New Roman" w:hAnsi="Times New Roman" w:cs="Times New Roman"/>
          <w:color w:val="555555"/>
          <w:sz w:val="22"/>
          <w:szCs w:val="22"/>
          <w:shd w:val="clear" w:color="auto" w:fill="FFFFFF"/>
        </w:rPr>
      </w:pPr>
      <w:r w:rsidRPr="00A44B29">
        <w:rPr>
          <w:rFonts w:ascii="Times New Roman" w:hAnsi="Times New Roman" w:cs="Times New Roman"/>
          <w:color w:val="555555"/>
          <w:sz w:val="22"/>
          <w:szCs w:val="22"/>
          <w:shd w:val="clear" w:color="auto" w:fill="FFFFFF"/>
        </w:rPr>
        <w:lastRenderedPageBreak/>
        <w:t>Welsh Government, 2023. Grouping practises for learning support. Education Wales.</w:t>
      </w:r>
    </w:p>
    <w:p w14:paraId="0274C377" w14:textId="54BFBB3B" w:rsidR="00A44B29" w:rsidRDefault="00A44B29" w:rsidP="00A44B29">
      <w:pPr>
        <w:pStyle w:val="NormalWeb"/>
        <w:tabs>
          <w:tab w:val="left" w:pos="5520"/>
        </w:tabs>
      </w:pPr>
    </w:p>
    <w:p w14:paraId="450C7CF0" w14:textId="14EC202D" w:rsidR="00A44B29" w:rsidRDefault="00A44B29" w:rsidP="00A44B29">
      <w:pPr>
        <w:jc w:val="both"/>
        <w:rPr>
          <w:rFonts w:ascii="Times New Roman" w:hAnsi="Times New Roman" w:cs="Times New Roman"/>
          <w:color w:val="555555"/>
          <w:sz w:val="22"/>
          <w:szCs w:val="22"/>
          <w:shd w:val="clear" w:color="auto" w:fill="FFFFFF"/>
        </w:rPr>
      </w:pPr>
    </w:p>
    <w:p w14:paraId="5A4887D0" w14:textId="77777777" w:rsidR="00A44B29" w:rsidRPr="00A44B29" w:rsidRDefault="00A44B29" w:rsidP="00A44B29">
      <w:pPr>
        <w:jc w:val="both"/>
        <w:rPr>
          <w:rFonts w:ascii="Times New Roman" w:hAnsi="Times New Roman" w:cs="Times New Roman"/>
          <w:color w:val="555555"/>
          <w:sz w:val="22"/>
          <w:szCs w:val="22"/>
          <w:shd w:val="clear" w:color="auto" w:fill="FFFFFF"/>
        </w:rPr>
      </w:pPr>
    </w:p>
    <w:sectPr w:rsidR="00A44B29" w:rsidRPr="00A44B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A50"/>
    <w:rsid w:val="0023062F"/>
    <w:rsid w:val="00451A50"/>
    <w:rsid w:val="00772178"/>
    <w:rsid w:val="009E5407"/>
    <w:rsid w:val="00A44B29"/>
    <w:rsid w:val="00E21A05"/>
    <w:rsid w:val="00ED7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6DDEFC"/>
  <w15:chartTrackingRefBased/>
  <w15:docId w15:val="{A05277BD-4BAE-CB4A-9382-6648808B6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44B29"/>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4B2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44B29"/>
  </w:style>
  <w:style w:type="table" w:styleId="TableGrid">
    <w:name w:val="Table Grid"/>
    <w:basedOn w:val="TableNormal"/>
    <w:uiPriority w:val="39"/>
    <w:rsid w:val="00A44B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44B29"/>
    <w:rPr>
      <w:i/>
      <w:iCs/>
    </w:rPr>
  </w:style>
  <w:style w:type="character" w:customStyle="1" w:styleId="Heading1Char">
    <w:name w:val="Heading 1 Char"/>
    <w:basedOn w:val="DefaultParagraphFont"/>
    <w:link w:val="Heading1"/>
    <w:uiPriority w:val="9"/>
    <w:rsid w:val="00A44B29"/>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A44B29"/>
    <w:rPr>
      <w:color w:val="0563C1" w:themeColor="hyperlink"/>
      <w:u w:val="single"/>
    </w:rPr>
  </w:style>
  <w:style w:type="character" w:styleId="UnresolvedMention">
    <w:name w:val="Unresolved Mention"/>
    <w:basedOn w:val="DefaultParagraphFont"/>
    <w:uiPriority w:val="99"/>
    <w:semiHidden/>
    <w:unhideWhenUsed/>
    <w:rsid w:val="00A44B29"/>
    <w:rPr>
      <w:color w:val="605E5C"/>
      <w:shd w:val="clear" w:color="auto" w:fill="E1DFDD"/>
    </w:rPr>
  </w:style>
  <w:style w:type="character" w:styleId="FollowedHyperlink">
    <w:name w:val="FollowedHyperlink"/>
    <w:basedOn w:val="DefaultParagraphFont"/>
    <w:uiPriority w:val="99"/>
    <w:semiHidden/>
    <w:unhideWhenUsed/>
    <w:rsid w:val="00A44B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621911">
      <w:bodyDiv w:val="1"/>
      <w:marLeft w:val="0"/>
      <w:marRight w:val="0"/>
      <w:marTop w:val="0"/>
      <w:marBottom w:val="0"/>
      <w:divBdr>
        <w:top w:val="none" w:sz="0" w:space="0" w:color="auto"/>
        <w:left w:val="none" w:sz="0" w:space="0" w:color="auto"/>
        <w:bottom w:val="none" w:sz="0" w:space="0" w:color="auto"/>
        <w:right w:val="none" w:sz="0" w:space="0" w:color="auto"/>
      </w:divBdr>
      <w:divsChild>
        <w:div w:id="1222789490">
          <w:marLeft w:val="0"/>
          <w:marRight w:val="0"/>
          <w:marTop w:val="0"/>
          <w:marBottom w:val="0"/>
          <w:divBdr>
            <w:top w:val="none" w:sz="0" w:space="0" w:color="auto"/>
            <w:left w:val="none" w:sz="0" w:space="0" w:color="auto"/>
            <w:bottom w:val="none" w:sz="0" w:space="0" w:color="auto"/>
            <w:right w:val="none" w:sz="0" w:space="0" w:color="auto"/>
          </w:divBdr>
        </w:div>
        <w:div w:id="917323641">
          <w:marLeft w:val="0"/>
          <w:marRight w:val="0"/>
          <w:marTop w:val="0"/>
          <w:marBottom w:val="0"/>
          <w:divBdr>
            <w:top w:val="none" w:sz="0" w:space="0" w:color="auto"/>
            <w:left w:val="none" w:sz="0" w:space="0" w:color="auto"/>
            <w:bottom w:val="none" w:sz="0" w:space="0" w:color="auto"/>
            <w:right w:val="none" w:sz="0" w:space="0" w:color="auto"/>
          </w:divBdr>
        </w:div>
      </w:divsChild>
    </w:div>
    <w:div w:id="507983156">
      <w:bodyDiv w:val="1"/>
      <w:marLeft w:val="0"/>
      <w:marRight w:val="0"/>
      <w:marTop w:val="0"/>
      <w:marBottom w:val="0"/>
      <w:divBdr>
        <w:top w:val="none" w:sz="0" w:space="0" w:color="auto"/>
        <w:left w:val="none" w:sz="0" w:space="0" w:color="auto"/>
        <w:bottom w:val="none" w:sz="0" w:space="0" w:color="auto"/>
        <w:right w:val="none" w:sz="0" w:space="0" w:color="auto"/>
      </w:divBdr>
    </w:div>
    <w:div w:id="566259113">
      <w:bodyDiv w:val="1"/>
      <w:marLeft w:val="0"/>
      <w:marRight w:val="0"/>
      <w:marTop w:val="0"/>
      <w:marBottom w:val="0"/>
      <w:divBdr>
        <w:top w:val="none" w:sz="0" w:space="0" w:color="auto"/>
        <w:left w:val="none" w:sz="0" w:space="0" w:color="auto"/>
        <w:bottom w:val="none" w:sz="0" w:space="0" w:color="auto"/>
        <w:right w:val="none" w:sz="0" w:space="0" w:color="auto"/>
      </w:divBdr>
      <w:divsChild>
        <w:div w:id="721101807">
          <w:marLeft w:val="0"/>
          <w:marRight w:val="0"/>
          <w:marTop w:val="0"/>
          <w:marBottom w:val="0"/>
          <w:divBdr>
            <w:top w:val="none" w:sz="0" w:space="0" w:color="auto"/>
            <w:left w:val="none" w:sz="0" w:space="0" w:color="auto"/>
            <w:bottom w:val="none" w:sz="0" w:space="0" w:color="auto"/>
            <w:right w:val="none" w:sz="0" w:space="0" w:color="auto"/>
          </w:divBdr>
          <w:divsChild>
            <w:div w:id="1133333944">
              <w:marLeft w:val="0"/>
              <w:marRight w:val="0"/>
              <w:marTop w:val="0"/>
              <w:marBottom w:val="0"/>
              <w:divBdr>
                <w:top w:val="none" w:sz="0" w:space="0" w:color="auto"/>
                <w:left w:val="none" w:sz="0" w:space="0" w:color="auto"/>
                <w:bottom w:val="none" w:sz="0" w:space="0" w:color="auto"/>
                <w:right w:val="none" w:sz="0" w:space="0" w:color="auto"/>
              </w:divBdr>
              <w:divsChild>
                <w:div w:id="103003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785082">
      <w:bodyDiv w:val="1"/>
      <w:marLeft w:val="0"/>
      <w:marRight w:val="0"/>
      <w:marTop w:val="0"/>
      <w:marBottom w:val="0"/>
      <w:divBdr>
        <w:top w:val="none" w:sz="0" w:space="0" w:color="auto"/>
        <w:left w:val="none" w:sz="0" w:space="0" w:color="auto"/>
        <w:bottom w:val="none" w:sz="0" w:space="0" w:color="auto"/>
        <w:right w:val="none" w:sz="0" w:space="0" w:color="auto"/>
      </w:divBdr>
      <w:divsChild>
        <w:div w:id="1231306215">
          <w:marLeft w:val="0"/>
          <w:marRight w:val="0"/>
          <w:marTop w:val="0"/>
          <w:marBottom w:val="0"/>
          <w:divBdr>
            <w:top w:val="none" w:sz="0" w:space="0" w:color="auto"/>
            <w:left w:val="none" w:sz="0" w:space="0" w:color="auto"/>
            <w:bottom w:val="none" w:sz="0" w:space="0" w:color="auto"/>
            <w:right w:val="none" w:sz="0" w:space="0" w:color="auto"/>
          </w:divBdr>
        </w:div>
        <w:div w:id="1336804383">
          <w:marLeft w:val="0"/>
          <w:marRight w:val="0"/>
          <w:marTop w:val="0"/>
          <w:marBottom w:val="0"/>
          <w:divBdr>
            <w:top w:val="none" w:sz="0" w:space="0" w:color="auto"/>
            <w:left w:val="none" w:sz="0" w:space="0" w:color="auto"/>
            <w:bottom w:val="none" w:sz="0" w:space="0" w:color="auto"/>
            <w:right w:val="none" w:sz="0" w:space="0" w:color="auto"/>
          </w:divBdr>
        </w:div>
      </w:divsChild>
    </w:div>
    <w:div w:id="776288816">
      <w:bodyDiv w:val="1"/>
      <w:marLeft w:val="0"/>
      <w:marRight w:val="0"/>
      <w:marTop w:val="0"/>
      <w:marBottom w:val="0"/>
      <w:divBdr>
        <w:top w:val="none" w:sz="0" w:space="0" w:color="auto"/>
        <w:left w:val="none" w:sz="0" w:space="0" w:color="auto"/>
        <w:bottom w:val="none" w:sz="0" w:space="0" w:color="auto"/>
        <w:right w:val="none" w:sz="0" w:space="0" w:color="auto"/>
      </w:divBdr>
    </w:div>
    <w:div w:id="862985157">
      <w:bodyDiv w:val="1"/>
      <w:marLeft w:val="0"/>
      <w:marRight w:val="0"/>
      <w:marTop w:val="0"/>
      <w:marBottom w:val="0"/>
      <w:divBdr>
        <w:top w:val="none" w:sz="0" w:space="0" w:color="auto"/>
        <w:left w:val="none" w:sz="0" w:space="0" w:color="auto"/>
        <w:bottom w:val="none" w:sz="0" w:space="0" w:color="auto"/>
        <w:right w:val="none" w:sz="0" w:space="0" w:color="auto"/>
      </w:divBdr>
      <w:divsChild>
        <w:div w:id="904070809">
          <w:marLeft w:val="0"/>
          <w:marRight w:val="0"/>
          <w:marTop w:val="0"/>
          <w:marBottom w:val="0"/>
          <w:divBdr>
            <w:top w:val="none" w:sz="0" w:space="0" w:color="auto"/>
            <w:left w:val="none" w:sz="0" w:space="0" w:color="auto"/>
            <w:bottom w:val="none" w:sz="0" w:space="0" w:color="auto"/>
            <w:right w:val="none" w:sz="0" w:space="0" w:color="auto"/>
          </w:divBdr>
        </w:div>
      </w:divsChild>
    </w:div>
    <w:div w:id="913053708">
      <w:bodyDiv w:val="1"/>
      <w:marLeft w:val="0"/>
      <w:marRight w:val="0"/>
      <w:marTop w:val="0"/>
      <w:marBottom w:val="0"/>
      <w:divBdr>
        <w:top w:val="none" w:sz="0" w:space="0" w:color="auto"/>
        <w:left w:val="none" w:sz="0" w:space="0" w:color="auto"/>
        <w:bottom w:val="none" w:sz="0" w:space="0" w:color="auto"/>
        <w:right w:val="none" w:sz="0" w:space="0" w:color="auto"/>
      </w:divBdr>
      <w:divsChild>
        <w:div w:id="785974697">
          <w:marLeft w:val="0"/>
          <w:marRight w:val="0"/>
          <w:marTop w:val="0"/>
          <w:marBottom w:val="0"/>
          <w:divBdr>
            <w:top w:val="none" w:sz="0" w:space="0" w:color="auto"/>
            <w:left w:val="none" w:sz="0" w:space="0" w:color="auto"/>
            <w:bottom w:val="none" w:sz="0" w:space="0" w:color="auto"/>
            <w:right w:val="none" w:sz="0" w:space="0" w:color="auto"/>
          </w:divBdr>
          <w:divsChild>
            <w:div w:id="1999840463">
              <w:marLeft w:val="0"/>
              <w:marRight w:val="0"/>
              <w:marTop w:val="0"/>
              <w:marBottom w:val="0"/>
              <w:divBdr>
                <w:top w:val="none" w:sz="0" w:space="0" w:color="auto"/>
                <w:left w:val="none" w:sz="0" w:space="0" w:color="auto"/>
                <w:bottom w:val="none" w:sz="0" w:space="0" w:color="auto"/>
                <w:right w:val="none" w:sz="0" w:space="0" w:color="auto"/>
              </w:divBdr>
              <w:divsChild>
                <w:div w:id="61742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894566">
      <w:bodyDiv w:val="1"/>
      <w:marLeft w:val="0"/>
      <w:marRight w:val="0"/>
      <w:marTop w:val="0"/>
      <w:marBottom w:val="0"/>
      <w:divBdr>
        <w:top w:val="none" w:sz="0" w:space="0" w:color="auto"/>
        <w:left w:val="none" w:sz="0" w:space="0" w:color="auto"/>
        <w:bottom w:val="none" w:sz="0" w:space="0" w:color="auto"/>
        <w:right w:val="none" w:sz="0" w:space="0" w:color="auto"/>
      </w:divBdr>
      <w:divsChild>
        <w:div w:id="1277983020">
          <w:marLeft w:val="0"/>
          <w:marRight w:val="0"/>
          <w:marTop w:val="0"/>
          <w:marBottom w:val="0"/>
          <w:divBdr>
            <w:top w:val="none" w:sz="0" w:space="0" w:color="auto"/>
            <w:left w:val="none" w:sz="0" w:space="0" w:color="auto"/>
            <w:bottom w:val="none" w:sz="0" w:space="0" w:color="auto"/>
            <w:right w:val="none" w:sz="0" w:space="0" w:color="auto"/>
          </w:divBdr>
          <w:divsChild>
            <w:div w:id="1137644180">
              <w:marLeft w:val="0"/>
              <w:marRight w:val="0"/>
              <w:marTop w:val="0"/>
              <w:marBottom w:val="0"/>
              <w:divBdr>
                <w:top w:val="none" w:sz="0" w:space="0" w:color="auto"/>
                <w:left w:val="none" w:sz="0" w:space="0" w:color="auto"/>
                <w:bottom w:val="none" w:sz="0" w:space="0" w:color="auto"/>
                <w:right w:val="none" w:sz="0" w:space="0" w:color="auto"/>
              </w:divBdr>
              <w:divsChild>
                <w:div w:id="141744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563169">
      <w:bodyDiv w:val="1"/>
      <w:marLeft w:val="0"/>
      <w:marRight w:val="0"/>
      <w:marTop w:val="0"/>
      <w:marBottom w:val="0"/>
      <w:divBdr>
        <w:top w:val="none" w:sz="0" w:space="0" w:color="auto"/>
        <w:left w:val="none" w:sz="0" w:space="0" w:color="auto"/>
        <w:bottom w:val="none" w:sz="0" w:space="0" w:color="auto"/>
        <w:right w:val="none" w:sz="0" w:space="0" w:color="auto"/>
      </w:divBdr>
    </w:div>
    <w:div w:id="1606769007">
      <w:bodyDiv w:val="1"/>
      <w:marLeft w:val="0"/>
      <w:marRight w:val="0"/>
      <w:marTop w:val="0"/>
      <w:marBottom w:val="0"/>
      <w:divBdr>
        <w:top w:val="none" w:sz="0" w:space="0" w:color="auto"/>
        <w:left w:val="none" w:sz="0" w:space="0" w:color="auto"/>
        <w:bottom w:val="none" w:sz="0" w:space="0" w:color="auto"/>
        <w:right w:val="none" w:sz="0" w:space="0" w:color="auto"/>
      </w:divBdr>
      <w:divsChild>
        <w:div w:id="1978678565">
          <w:marLeft w:val="0"/>
          <w:marRight w:val="0"/>
          <w:marTop w:val="0"/>
          <w:marBottom w:val="0"/>
          <w:divBdr>
            <w:top w:val="none" w:sz="0" w:space="0" w:color="auto"/>
            <w:left w:val="none" w:sz="0" w:space="0" w:color="auto"/>
            <w:bottom w:val="none" w:sz="0" w:space="0" w:color="auto"/>
            <w:right w:val="none" w:sz="0" w:space="0" w:color="auto"/>
          </w:divBdr>
          <w:divsChild>
            <w:div w:id="168058352">
              <w:marLeft w:val="0"/>
              <w:marRight w:val="0"/>
              <w:marTop w:val="0"/>
              <w:marBottom w:val="0"/>
              <w:divBdr>
                <w:top w:val="none" w:sz="0" w:space="0" w:color="auto"/>
                <w:left w:val="none" w:sz="0" w:space="0" w:color="auto"/>
                <w:bottom w:val="none" w:sz="0" w:space="0" w:color="auto"/>
                <w:right w:val="none" w:sz="0" w:space="0" w:color="auto"/>
              </w:divBdr>
              <w:divsChild>
                <w:div w:id="106726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892243">
      <w:bodyDiv w:val="1"/>
      <w:marLeft w:val="0"/>
      <w:marRight w:val="0"/>
      <w:marTop w:val="0"/>
      <w:marBottom w:val="0"/>
      <w:divBdr>
        <w:top w:val="none" w:sz="0" w:space="0" w:color="auto"/>
        <w:left w:val="none" w:sz="0" w:space="0" w:color="auto"/>
        <w:bottom w:val="none" w:sz="0" w:space="0" w:color="auto"/>
        <w:right w:val="none" w:sz="0" w:space="0" w:color="auto"/>
      </w:divBdr>
      <w:divsChild>
        <w:div w:id="1315647344">
          <w:marLeft w:val="0"/>
          <w:marRight w:val="0"/>
          <w:marTop w:val="0"/>
          <w:marBottom w:val="0"/>
          <w:divBdr>
            <w:top w:val="none" w:sz="0" w:space="0" w:color="auto"/>
            <w:left w:val="none" w:sz="0" w:space="0" w:color="auto"/>
            <w:bottom w:val="none" w:sz="0" w:space="0" w:color="auto"/>
            <w:right w:val="none" w:sz="0" w:space="0" w:color="auto"/>
          </w:divBdr>
          <w:divsChild>
            <w:div w:id="429396622">
              <w:marLeft w:val="0"/>
              <w:marRight w:val="0"/>
              <w:marTop w:val="0"/>
              <w:marBottom w:val="0"/>
              <w:divBdr>
                <w:top w:val="none" w:sz="0" w:space="0" w:color="auto"/>
                <w:left w:val="none" w:sz="0" w:space="0" w:color="auto"/>
                <w:bottom w:val="none" w:sz="0" w:space="0" w:color="auto"/>
                <w:right w:val="none" w:sz="0" w:space="0" w:color="auto"/>
              </w:divBdr>
              <w:divsChild>
                <w:div w:id="89026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xpertisecentrum.cego.be/wp-content/uploads/2019/07/OECD_2004_FiveCurriculumOutlines.pdf" TargetMode="External"/><Relationship Id="rId3" Type="http://schemas.openxmlformats.org/officeDocument/2006/relationships/webSettings" Target="webSettings.xml"/><Relationship Id="rId7" Type="http://schemas.openxmlformats.org/officeDocument/2006/relationships/hyperlink" Target="https://learning.nspcc.org.uk/research-resources/briefings/research-with-children-ethics-safety-promoting-inclusion/#:~:text=Research%20for%20the%20sake%20of,minimise%20the%20risk%20of%20har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expertisecentrum.cego.be/wp-content/uploads/2019/07/Laevers_2011_ChildEncyclopedia.pdf" TargetMode="External"/><Relationship Id="rId11" Type="http://schemas.openxmlformats.org/officeDocument/2006/relationships/theme" Target="theme/theme1.xml"/><Relationship Id="rId5" Type="http://schemas.openxmlformats.org/officeDocument/2006/relationships/hyperlink" Target="http://www.jstor.org/stable/24463970" TargetMode="External"/><Relationship Id="rId10" Type="http://schemas.openxmlformats.org/officeDocument/2006/relationships/fontTable" Target="fontTable.xml"/><Relationship Id="rId4" Type="http://schemas.openxmlformats.org/officeDocument/2006/relationships/hyperlink" Target="https://www.estyn.gov.wales/effective-practice/matching-curriculum-wales-school-values-and-teacher-aspirations" TargetMode="External"/><Relationship Id="rId9" Type="http://schemas.openxmlformats.org/officeDocument/2006/relationships/hyperlink" Target="https://www.ukri.org/councils/esrc/guidance-for-applicants/research-ethics-guidance/research-with-children-and-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2462</Words>
  <Characters>14039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(2317130)</dc:creator>
  <cp:keywords/>
  <dc:description/>
  <cp:lastModifiedBy>Emily James (2317130)</cp:lastModifiedBy>
  <cp:revision>2</cp:revision>
  <dcterms:created xsi:type="dcterms:W3CDTF">2024-02-26T23:56:00Z</dcterms:created>
  <dcterms:modified xsi:type="dcterms:W3CDTF">2024-02-26T23:56:00Z</dcterms:modified>
</cp:coreProperties>
</file>