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anchor distT="0" distB="0" distL="114300" distR="114300" simplePos="0" relativeHeight="251660288" behindDoc="1" locked="0" layoutInCell="1" allowOverlap="1">
            <wp:simplePos x="0" y="0"/>
            <wp:positionH relativeFrom="column">
              <wp:posOffset>3124200</wp:posOffset>
            </wp:positionH>
            <wp:positionV relativeFrom="paragraph">
              <wp:posOffset>0</wp:posOffset>
            </wp:positionV>
            <wp:extent cx="2752725" cy="835660"/>
            <wp:effectExtent l="0" t="0" r="15875" b="2540"/>
            <wp:wrapTight wrapText="bothSides">
              <wp:wrapPolygon>
                <wp:start x="0" y="0"/>
                <wp:lineTo x="0" y="21009"/>
                <wp:lineTo x="21326" y="21009"/>
                <wp:lineTo x="21326" y="0"/>
                <wp:lineTo x="0" y="0"/>
              </wp:wrapPolygon>
            </wp:wrapTight>
            <wp:docPr id="2" name="Picture 2" descr="Turnitin – The DTL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urnitin – The DTL Guide"/>
                    <pic:cNvPicPr>
                      <a:picLocks noChangeAspect="1" noChangeArrowheads="1"/>
                    </pic:cNvPicPr>
                  </pic:nvPicPr>
                  <pic:blipFill>
                    <a:blip r:embed="rId6">
                      <a:extLst>
                        <a:ext uri="{28A0092B-C50C-407E-A947-70E740481C1C}">
                          <a14:useLocalDpi xmlns:a14="http://schemas.microsoft.com/office/drawing/2010/main" val="0"/>
                        </a:ext>
                      </a:extLst>
                    </a:blip>
                    <a:srcRect l="11965" t="27353" r="11423" b="28118"/>
                    <a:stretch>
                      <a:fillRect/>
                    </a:stretch>
                  </pic:blipFill>
                  <pic:spPr>
                    <a:xfrm>
                      <a:off x="0" y="0"/>
                      <a:ext cx="2752725" cy="835969"/>
                    </a:xfrm>
                    <a:prstGeom prst="rect">
                      <a:avLst/>
                    </a:prstGeom>
                    <a:noFill/>
                    <a:ln>
                      <a:noFill/>
                    </a:ln>
                  </pic:spPr>
                </pic:pic>
              </a:graphicData>
            </a:graphic>
          </wp:anchor>
        </w:drawing>
      </w:r>
      <w:r>
        <w:rPr>
          <w:rFonts w:hint="default" w:ascii="Times New Roman" w:hAnsi="Times New Roman" w:cs="Times New Roman"/>
          <w:sz w:val="24"/>
          <w:szCs w:val="24"/>
        </w:rPr>
        <w:drawing>
          <wp:inline distT="0" distB="0" distL="0" distR="0">
            <wp:extent cx="2699385" cy="895350"/>
            <wp:effectExtent l="0" t="0" r="18415" b="1905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709820" cy="898757"/>
                    </a:xfrm>
                    <a:prstGeom prst="rect">
                      <a:avLst/>
                    </a:prstGeom>
                    <a:noFill/>
                    <a:ln>
                      <a:noFill/>
                    </a:ln>
                  </pic:spPr>
                </pic:pic>
              </a:graphicData>
            </a:graphic>
          </wp:inline>
        </w:drawing>
      </w:r>
    </w:p>
    <w:p>
      <w:pPr>
        <w:keepNext w:val="0"/>
        <w:keepLines w:val="0"/>
        <w:pageBreakBefore w:val="0"/>
        <w:widowControl/>
        <w:kinsoku/>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adjustRightInd/>
        <w:snapToGrid/>
        <w:spacing w:line="480" w:lineRule="auto"/>
        <w:jc w:val="center"/>
        <w:textAlignment w:val="auto"/>
        <w:outlineLvl w:val="0"/>
        <w:rPr>
          <w:rFonts w:hint="default" w:ascii="Times New Roman" w:hAnsi="Times New Roman" w:cs="Times New Roman"/>
          <w:sz w:val="24"/>
          <w:szCs w:val="24"/>
        </w:rPr>
      </w:pPr>
      <w:bookmarkStart w:id="0" w:name="_Toc22129"/>
      <w:bookmarkStart w:id="1" w:name="_Toc1304190821"/>
      <w:r>
        <w:rPr>
          <w:rFonts w:hint="default" w:ascii="Times New Roman" w:hAnsi="Times New Roman" w:cs="Times New Roman"/>
          <w:sz w:val="24"/>
          <w:szCs w:val="24"/>
        </w:rPr>
        <w:t>BMMB70</w:t>
      </w:r>
      <w:r>
        <w:rPr>
          <w:rFonts w:hint="eastAsia" w:ascii="Times New Roman" w:hAnsi="Times New Roman" w:eastAsia="宋体" w:cs="Times New Roman"/>
          <w:sz w:val="24"/>
          <w:szCs w:val="24"/>
          <w:lang w:val="en-US" w:eastAsia="zh-CN"/>
        </w:rPr>
        <w:t>13</w:t>
      </w:r>
      <w:r>
        <w:rPr>
          <w:rFonts w:hint="default" w:ascii="Times New Roman" w:hAnsi="Times New Roman" w:cs="Times New Roman"/>
          <w:sz w:val="24"/>
          <w:szCs w:val="24"/>
        </w:rPr>
        <w:t xml:space="preserve"> – Strategic Management</w:t>
      </w:r>
      <w:bookmarkEnd w:id="0"/>
      <w:bookmarkEnd w:id="1"/>
    </w:p>
    <w:p>
      <w:pPr>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Customer-centric is HUAWEI's unchangeable strategy</w:t>
      </w:r>
    </w:p>
    <w:p>
      <w:pPr>
        <w:pStyle w:val="2"/>
        <w:keepNext w:val="0"/>
        <w:keepLines w:val="0"/>
        <w:pageBreakBefore w:val="0"/>
        <w:widowControl/>
        <w:kinsoku/>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pStyle w:val="2"/>
        <w:keepNext w:val="0"/>
        <w:keepLines w:val="0"/>
        <w:pageBreakBefore w:val="0"/>
        <w:widowControl/>
        <w:kinsoku/>
        <w:overflowPunct/>
        <w:topLinePunct w:val="0"/>
        <w:autoSpaceDE/>
        <w:autoSpaceDN/>
        <w:bidi w:val="0"/>
        <w:adjustRightInd/>
        <w:snapToGrid/>
        <w:spacing w:line="480" w:lineRule="auto"/>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highlight w:val="yellow"/>
        </w:rPr>
      </w:pPr>
      <w:r>
        <w:rPr>
          <w:rFonts w:hint="default" w:ascii="Times New Roman" w:hAnsi="Times New Roman" w:cs="Times New Roman"/>
          <w:sz w:val="24"/>
          <w:szCs w:val="24"/>
          <w:highlight w:val="yellow"/>
        </w:rPr>
        <w:t>Printed Name: _ _ _ _ _ _ _ _ _ _ _ _ _ _ _ _ _ _ _ _ _ _ _ _ _</w:t>
      </w:r>
    </w:p>
    <w:p>
      <w:pPr>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highlight w:val="yellow"/>
        </w:rPr>
      </w:pPr>
    </w:p>
    <w:p>
      <w:pPr>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cs="Times New Roman"/>
          <w:sz w:val="24"/>
          <w:szCs w:val="24"/>
          <w:highlight w:val="yellow"/>
        </w:rPr>
        <w:sectPr>
          <w:headerReference r:id="rId3" w:type="default"/>
          <w:footerReference r:id="rId4" w:type="default"/>
          <w:pgSz w:w="11906" w:h="16838"/>
          <w:pgMar w:top="1440" w:right="1440" w:bottom="1440" w:left="1440" w:header="708" w:footer="708" w:gutter="0"/>
          <w:pgNumType w:fmt="decimal"/>
          <w:cols w:space="708" w:num="1"/>
          <w:docGrid w:linePitch="360" w:charSpace="0"/>
        </w:sectPr>
      </w:pPr>
      <w:r>
        <w:rPr>
          <w:rFonts w:hint="default" w:ascii="Times New Roman" w:hAnsi="Times New Roman" w:cs="Times New Roman"/>
          <w:sz w:val="24"/>
          <w:szCs w:val="24"/>
          <w:highlight w:val="yellow"/>
        </w:rPr>
        <w:t>Signature: _ _ _ _ _ _ _ _ _ _ _ _ _ _ _ _ _ _ _ _ _ _ _ _ _ _ _</w:t>
      </w:r>
    </w:p>
    <w:p>
      <w:pPr>
        <w:rPr>
          <w:rFonts w:hint="default"/>
        </w:rPr>
      </w:pPr>
    </w:p>
    <w:p>
      <w:pPr>
        <w:pStyle w:val="7"/>
        <w:keepNext w:val="0"/>
        <w:keepLines w:val="0"/>
        <w:pageBreakBefore w:val="0"/>
        <w:widowControl/>
        <w:suppressLineNumbers w:val="0"/>
        <w:kinsoku/>
        <w:wordWrap/>
        <w:overflowPunct/>
        <w:topLinePunct w:val="0"/>
        <w:autoSpaceDE/>
        <w:autoSpaceDN/>
        <w:bidi w:val="0"/>
        <w:adjustRightInd/>
        <w:snapToGrid w:val="0"/>
        <w:spacing w:before="294" w:beforeAutospacing="0" w:after="294" w:afterAutospacing="0" w:line="480" w:lineRule="auto"/>
        <w:ind w:left="0" w:right="0"/>
        <w:jc w:val="center"/>
        <w:textAlignment w:val="auto"/>
        <w:outlineLvl w:val="0"/>
        <w:rPr>
          <w:rFonts w:hint="default" w:ascii="Times New Roman" w:hAnsi="Times New Roman" w:cs="Times New Roman"/>
          <w:b/>
          <w:bCs/>
          <w:sz w:val="24"/>
          <w:szCs w:val="24"/>
        </w:rPr>
      </w:pPr>
      <w:bookmarkStart w:id="2" w:name="_Toc16081"/>
      <w:bookmarkStart w:id="3" w:name="_Toc23588"/>
      <w:bookmarkStart w:id="4" w:name="_Toc2807"/>
      <w:bookmarkStart w:id="5" w:name="_Toc833"/>
      <w:bookmarkStart w:id="6" w:name="_Toc169543618"/>
      <w:r>
        <w:rPr>
          <w:rFonts w:hint="default" w:ascii="Times New Roman" w:hAnsi="Times New Roman" w:cs="Times New Roman"/>
          <w:b/>
          <w:bCs/>
          <w:sz w:val="24"/>
          <w:szCs w:val="24"/>
        </w:rPr>
        <w:t>Executive summary</w:t>
      </w:r>
      <w:bookmarkEnd w:id="2"/>
      <w:bookmarkEnd w:id="3"/>
      <w:bookmarkEnd w:id="4"/>
      <w:bookmarkEnd w:id="5"/>
      <w:bookmarkEnd w:id="6"/>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Starting from the periphery of China's fragmented telecom market, HUAWEI has gradually expanded into overseas markets and achieved excellent results by adhering to customer-centric values and constantly forging ahead. In the future, HUAWEI should adhere to the core values of customer-centric. Only by strengthening the result-oriented research and development and scientifically setting goals can HUAWEI better fulfill its historical responsibilities.</w:t>
      </w:r>
    </w:p>
    <w:p>
      <w:pPr>
        <w:rPr>
          <w:rFonts w:hint="default"/>
        </w:rPr>
      </w:pPr>
      <w:r>
        <w:rPr>
          <w:rFonts w:hint="default"/>
        </w:rPr>
        <w:br w:type="page"/>
      </w:r>
    </w:p>
    <w:sdt>
      <w:sdtPr>
        <w:rPr>
          <w:rFonts w:ascii="宋体" w:hAnsi="宋体" w:eastAsia="宋体" w:cstheme="minorBidi"/>
          <w:kern w:val="2"/>
          <w:sz w:val="21"/>
          <w:szCs w:val="24"/>
          <w:lang w:val="en-US" w:eastAsia="zh-CN" w:bidi="ar-SA"/>
        </w:rPr>
        <w:id w:val="540492472"/>
        <w15:color w:val="DBDBDB"/>
        <w:docPartObj>
          <w:docPartGallery w:val="Table of Contents"/>
          <w:docPartUnique/>
        </w:docPartObj>
      </w:sdtPr>
      <w:sdtEndPr>
        <w:rPr>
          <w:rFonts w:hint="default" w:ascii="Times New Roman" w:hAnsi="Times New Roman" w:eastAsia="Times New Roman" w:cstheme="minorBidi"/>
          <w:kern w:val="44"/>
          <w:sz w:val="28"/>
          <w:szCs w:val="28"/>
          <w:lang w:eastAsia="zh-CN" w:bidi="ar-SA"/>
        </w:rPr>
      </w:sdtEndPr>
      <w:sdtContent>
        <w:p>
          <w:pPr>
            <w:spacing w:before="0" w:beforeLines="0" w:after="0" w:afterLines="0" w:line="240" w:lineRule="auto"/>
            <w:ind w:left="0" w:leftChars="0" w:right="0" w:rightChars="0" w:firstLine="0" w:firstLineChars="0"/>
            <w:jc w:val="center"/>
            <w:rPr>
              <w:rFonts w:hint="eastAsia" w:eastAsia="宋体"/>
              <w:lang w:eastAsia="zh-Hans"/>
            </w:rPr>
          </w:pPr>
          <w:r>
            <w:rPr>
              <w:rFonts w:hint="eastAsia" w:ascii="宋体" w:hAnsi="宋体" w:eastAsia="宋体"/>
              <w:b/>
              <w:bCs/>
              <w:sz w:val="28"/>
              <w:szCs w:val="36"/>
              <w:lang w:val="en-US" w:eastAsia="zh-Hans"/>
            </w:rPr>
            <w:t>CONTENTS</w:t>
          </w:r>
        </w:p>
        <w:p>
          <w:pPr>
            <w:pStyle w:val="10"/>
            <w:tabs>
              <w:tab w:val="right" w:leader="dot" w:pos="8306"/>
            </w:tabs>
          </w:pPr>
          <w:r>
            <w:rPr>
              <w:rFonts w:hint="default"/>
            </w:rPr>
            <w:fldChar w:fldCharType="begin"/>
          </w:r>
          <w:r>
            <w:rPr>
              <w:rFonts w:hint="default"/>
            </w:rPr>
            <w:instrText xml:space="preserve">TOC \o "1-1" \h \u </w:instrText>
          </w:r>
          <w:r>
            <w:rPr>
              <w:rFonts w:hint="default"/>
            </w:rPr>
            <w:fldChar w:fldCharType="separate"/>
          </w:r>
          <w:r>
            <w:rPr>
              <w:rFonts w:hint="default"/>
            </w:rPr>
            <w:fldChar w:fldCharType="begin"/>
          </w:r>
          <w:r>
            <w:rPr>
              <w:rFonts w:hint="default"/>
            </w:rPr>
            <w:instrText xml:space="preserve"> HYPERLINK \l _Toc1304190821 </w:instrText>
          </w:r>
          <w:r>
            <w:rPr>
              <w:rFonts w:hint="default"/>
            </w:rPr>
            <w:fldChar w:fldCharType="separate"/>
          </w:r>
          <w:r>
            <w:rPr>
              <w:rFonts w:hint="default" w:ascii="Times New Roman" w:hAnsi="Times New Roman" w:cs="Times New Roman"/>
              <w:szCs w:val="24"/>
            </w:rPr>
            <w:t>BMMB70</w:t>
          </w:r>
          <w:r>
            <w:rPr>
              <w:rFonts w:hint="eastAsia" w:ascii="Times New Roman" w:hAnsi="Times New Roman" w:eastAsia="宋体" w:cs="Times New Roman"/>
              <w:szCs w:val="24"/>
              <w:lang w:val="en-US" w:eastAsia="zh-CN"/>
            </w:rPr>
            <w:t>13</w:t>
          </w:r>
          <w:r>
            <w:rPr>
              <w:rFonts w:hint="default" w:ascii="Times New Roman" w:hAnsi="Times New Roman" w:cs="Times New Roman"/>
              <w:szCs w:val="24"/>
            </w:rPr>
            <w:t xml:space="preserve"> – Strategic Management</w:t>
          </w:r>
          <w:r>
            <w:tab/>
          </w:r>
          <w:r>
            <w:fldChar w:fldCharType="begin"/>
          </w:r>
          <w:r>
            <w:instrText xml:space="preserve"> PAGEREF _Toc1304190821 \h </w:instrText>
          </w:r>
          <w:r>
            <w:fldChar w:fldCharType="separate"/>
          </w:r>
          <w:r>
            <w:t>1</w:t>
          </w:r>
          <w:r>
            <w:fldChar w:fldCharType="end"/>
          </w:r>
          <w:r>
            <w:rPr>
              <w:rFonts w:hint="default"/>
            </w:rPr>
            <w:fldChar w:fldCharType="end"/>
          </w:r>
        </w:p>
        <w:p>
          <w:pPr>
            <w:pStyle w:val="10"/>
            <w:tabs>
              <w:tab w:val="right" w:leader="dot" w:pos="8306"/>
            </w:tabs>
          </w:pPr>
          <w:r>
            <w:rPr>
              <w:rFonts w:hint="default"/>
            </w:rPr>
            <w:fldChar w:fldCharType="begin"/>
          </w:r>
          <w:r>
            <w:rPr>
              <w:rFonts w:hint="default"/>
            </w:rPr>
            <w:instrText xml:space="preserve"> HYPERLINK \l _Toc169543618 </w:instrText>
          </w:r>
          <w:r>
            <w:rPr>
              <w:rFonts w:hint="default"/>
            </w:rPr>
            <w:fldChar w:fldCharType="separate"/>
          </w:r>
          <w:r>
            <w:rPr>
              <w:rFonts w:hint="default" w:ascii="Times New Roman" w:hAnsi="Times New Roman" w:cs="Times New Roman"/>
              <w:bCs/>
              <w:szCs w:val="24"/>
            </w:rPr>
            <w:t>Executive summary</w:t>
          </w:r>
          <w:r>
            <w:tab/>
          </w:r>
          <w:r>
            <w:fldChar w:fldCharType="begin"/>
          </w:r>
          <w:r>
            <w:instrText xml:space="preserve"> PAGEREF _Toc169543618 \h </w:instrText>
          </w:r>
          <w:r>
            <w:fldChar w:fldCharType="separate"/>
          </w:r>
          <w:r>
            <w:t>2</w:t>
          </w:r>
          <w:r>
            <w:fldChar w:fldCharType="end"/>
          </w:r>
          <w:r>
            <w:rPr>
              <w:rFonts w:hint="default"/>
            </w:rPr>
            <w:fldChar w:fldCharType="end"/>
          </w:r>
        </w:p>
        <w:p>
          <w:pPr>
            <w:pStyle w:val="10"/>
            <w:tabs>
              <w:tab w:val="right" w:leader="dot" w:pos="8306"/>
            </w:tabs>
          </w:pPr>
          <w:r>
            <w:rPr>
              <w:rFonts w:hint="default"/>
            </w:rPr>
            <w:fldChar w:fldCharType="begin"/>
          </w:r>
          <w:r>
            <w:rPr>
              <w:rFonts w:hint="default"/>
            </w:rPr>
            <w:instrText xml:space="preserve"> HYPERLINK \l _Toc1956271804 </w:instrText>
          </w:r>
          <w:r>
            <w:rPr>
              <w:rFonts w:hint="default"/>
            </w:rPr>
            <w:fldChar w:fldCharType="separate"/>
          </w:r>
          <w:r>
            <w:rPr>
              <w:rFonts w:hint="default"/>
            </w:rPr>
            <w:t>1 Introduction</w:t>
          </w:r>
          <w:r>
            <w:tab/>
          </w:r>
          <w:r>
            <w:fldChar w:fldCharType="begin"/>
          </w:r>
          <w:r>
            <w:instrText xml:space="preserve"> PAGEREF _Toc1956271804 \h </w:instrText>
          </w:r>
          <w:r>
            <w:fldChar w:fldCharType="separate"/>
          </w:r>
          <w:r>
            <w:t>4</w:t>
          </w:r>
          <w:r>
            <w:fldChar w:fldCharType="end"/>
          </w:r>
          <w:r>
            <w:rPr>
              <w:rFonts w:hint="default"/>
            </w:rPr>
            <w:fldChar w:fldCharType="end"/>
          </w:r>
        </w:p>
        <w:p>
          <w:pPr>
            <w:pStyle w:val="10"/>
            <w:tabs>
              <w:tab w:val="right" w:leader="dot" w:pos="8306"/>
            </w:tabs>
          </w:pPr>
          <w:r>
            <w:rPr>
              <w:rFonts w:hint="default"/>
            </w:rPr>
            <w:fldChar w:fldCharType="begin"/>
          </w:r>
          <w:r>
            <w:rPr>
              <w:rFonts w:hint="default"/>
            </w:rPr>
            <w:instrText xml:space="preserve"> HYPERLINK \l _Toc1085574258 </w:instrText>
          </w:r>
          <w:r>
            <w:rPr>
              <w:rFonts w:hint="default"/>
            </w:rPr>
            <w:fldChar w:fldCharType="separate"/>
          </w:r>
          <w:r>
            <w:rPr>
              <w:rFonts w:hint="default"/>
            </w:rPr>
            <w:t>2 Customer orientation is the core value of HUAWEI</w:t>
          </w:r>
          <w:r>
            <w:tab/>
          </w:r>
          <w:r>
            <w:fldChar w:fldCharType="begin"/>
          </w:r>
          <w:r>
            <w:instrText xml:space="preserve"> PAGEREF _Toc1085574258 \h </w:instrText>
          </w:r>
          <w:r>
            <w:fldChar w:fldCharType="separate"/>
          </w:r>
          <w:r>
            <w:t>5</w:t>
          </w:r>
          <w:r>
            <w:fldChar w:fldCharType="end"/>
          </w:r>
          <w:r>
            <w:rPr>
              <w:rFonts w:hint="default"/>
            </w:rPr>
            <w:fldChar w:fldCharType="end"/>
          </w:r>
        </w:p>
        <w:p>
          <w:pPr>
            <w:pStyle w:val="10"/>
            <w:tabs>
              <w:tab w:val="right" w:leader="dot" w:pos="8306"/>
            </w:tabs>
          </w:pPr>
          <w:r>
            <w:rPr>
              <w:rFonts w:hint="default"/>
            </w:rPr>
            <w:fldChar w:fldCharType="begin"/>
          </w:r>
          <w:r>
            <w:rPr>
              <w:rFonts w:hint="default"/>
            </w:rPr>
            <w:instrText xml:space="preserve"> HYPERLINK \l _Toc225489294 </w:instrText>
          </w:r>
          <w:r>
            <w:rPr>
              <w:rFonts w:hint="default"/>
            </w:rPr>
            <w:fldChar w:fldCharType="separate"/>
          </w:r>
          <w:r>
            <w:rPr>
              <w:rFonts w:hint="default"/>
            </w:rPr>
            <w:t>3 Conclusions</w:t>
          </w:r>
          <w:r>
            <w:tab/>
          </w:r>
          <w:r>
            <w:fldChar w:fldCharType="begin"/>
          </w:r>
          <w:r>
            <w:instrText xml:space="preserve"> PAGEREF _Toc225489294 \h </w:instrText>
          </w:r>
          <w:r>
            <w:fldChar w:fldCharType="separate"/>
          </w:r>
          <w:r>
            <w:t>9</w:t>
          </w:r>
          <w:r>
            <w:fldChar w:fldCharType="end"/>
          </w:r>
          <w:r>
            <w:rPr>
              <w:rFonts w:hint="default"/>
            </w:rPr>
            <w:fldChar w:fldCharType="end"/>
          </w:r>
        </w:p>
        <w:p>
          <w:pPr>
            <w:pStyle w:val="10"/>
            <w:tabs>
              <w:tab w:val="right" w:leader="dot" w:pos="8306"/>
            </w:tabs>
          </w:pPr>
          <w:r>
            <w:rPr>
              <w:rFonts w:hint="default"/>
            </w:rPr>
            <w:fldChar w:fldCharType="begin"/>
          </w:r>
          <w:r>
            <w:rPr>
              <w:rFonts w:hint="default"/>
            </w:rPr>
            <w:instrText xml:space="preserve"> HYPERLINK \l _Toc1637410950 </w:instrText>
          </w:r>
          <w:r>
            <w:rPr>
              <w:rFonts w:hint="default"/>
            </w:rPr>
            <w:fldChar w:fldCharType="separate"/>
          </w:r>
          <w:r>
            <w:rPr>
              <w:rFonts w:hint="default"/>
            </w:rPr>
            <w:t>4 Recommendations</w:t>
          </w:r>
          <w:r>
            <w:tab/>
          </w:r>
          <w:r>
            <w:fldChar w:fldCharType="begin"/>
          </w:r>
          <w:r>
            <w:instrText xml:space="preserve"> PAGEREF _Toc1637410950 \h </w:instrText>
          </w:r>
          <w:r>
            <w:fldChar w:fldCharType="separate"/>
          </w:r>
          <w:r>
            <w:t>10</w:t>
          </w:r>
          <w:r>
            <w:fldChar w:fldCharType="end"/>
          </w:r>
          <w:r>
            <w:rPr>
              <w:rFonts w:hint="default"/>
            </w:rPr>
            <w:fldChar w:fldCharType="end"/>
          </w:r>
        </w:p>
        <w:p>
          <w:pPr>
            <w:pStyle w:val="10"/>
            <w:tabs>
              <w:tab w:val="right" w:leader="dot" w:pos="8306"/>
            </w:tabs>
          </w:pPr>
          <w:r>
            <w:rPr>
              <w:rFonts w:hint="default"/>
            </w:rPr>
            <w:fldChar w:fldCharType="begin"/>
          </w:r>
          <w:r>
            <w:rPr>
              <w:rFonts w:hint="default"/>
            </w:rPr>
            <w:instrText xml:space="preserve"> HYPERLINK \l _Toc2110383992 </w:instrText>
          </w:r>
          <w:r>
            <w:rPr>
              <w:rFonts w:hint="default"/>
            </w:rPr>
            <w:fldChar w:fldCharType="separate"/>
          </w:r>
          <w:r>
            <w:rPr>
              <w:rFonts w:hint="default"/>
            </w:rPr>
            <w:t xml:space="preserve">5 </w:t>
          </w:r>
          <w:r>
            <w:rPr>
              <w:rFonts w:hint="default"/>
              <w:lang w:val="en-GB"/>
            </w:rPr>
            <w:t>References</w:t>
          </w:r>
          <w:r>
            <w:tab/>
          </w:r>
          <w:r>
            <w:fldChar w:fldCharType="begin"/>
          </w:r>
          <w:r>
            <w:instrText xml:space="preserve"> PAGEREF _Toc2110383992 \h </w:instrText>
          </w:r>
          <w:r>
            <w:fldChar w:fldCharType="separate"/>
          </w:r>
          <w:r>
            <w:t>11</w:t>
          </w:r>
          <w:r>
            <w:fldChar w:fldCharType="end"/>
          </w:r>
          <w:r>
            <w:rPr>
              <w:rFonts w:hint="default"/>
            </w:rPr>
            <w:fldChar w:fldCharType="end"/>
          </w:r>
        </w:p>
        <w:p>
          <w:pPr>
            <w:pStyle w:val="3"/>
            <w:bidi w:val="0"/>
            <w:outlineLvl w:val="9"/>
            <w:rPr>
              <w:rFonts w:hint="default"/>
            </w:rPr>
          </w:pPr>
          <w:r>
            <w:rPr>
              <w:rFonts w:hint="default"/>
            </w:rPr>
            <w:fldChar w:fldCharType="end"/>
          </w:r>
        </w:p>
      </w:sdtContent>
    </w:sdt>
    <w:p>
      <w:pPr>
        <w:rPr>
          <w:rFonts w:hint="default"/>
        </w:rPr>
      </w:pPr>
      <w:r>
        <w:rPr>
          <w:rFonts w:hint="default"/>
        </w:rPr>
        <w:br w:type="page"/>
      </w:r>
    </w:p>
    <w:p>
      <w:pPr>
        <w:pStyle w:val="3"/>
        <w:bidi w:val="0"/>
        <w:rPr>
          <w:rFonts w:hint="default"/>
        </w:rPr>
      </w:pPr>
      <w:bookmarkStart w:id="7" w:name="_Toc1956271804"/>
      <w:r>
        <w:rPr>
          <w:rFonts w:hint="default"/>
        </w:rPr>
        <w:t xml:space="preserve">1 </w:t>
      </w:r>
      <w:r>
        <w:rPr>
          <w:rFonts w:hint="default"/>
        </w:rPr>
        <w:t>Introduction</w:t>
      </w:r>
      <w:bookmarkEnd w:id="7"/>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we all know, HUAWEI is one of the World's top 500 companies. In the latest Fortune Global 500 list released in 2020, HUAWEI ranked 49th, which was the first time that a Chinese technology company entered the top 50 of the list. It is also a great enterprise with continuous success. For HUAWEI, the most basic identity is information and communication technology solution supplier. Especially in 5G, HUAWEI is the leader, and high-tech technology has laid the foundation for HUAWEI's leading position. Since its establishment in 1987, HUAWEI's performance has maintained a good momentum of growth, especially in 2020, the revenue of 891.4 billion yuan. In 2022, HUAWEI's market share will reach 29%, leaving Nokia and Ericsson behind and ranking first.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HUAWEI is a high-tech company known for its long-term strategic patience and resolute strategy execution. Behind the success of HUAWEI is the success of its strategic management, in which there are many gems worth digging.</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addition to expanding into the Chinese market, HUAWEI is also actively expanding into the international market. Starting in 2002, HUAWEI asked BT to certify its management system in preparation for expanding BT's short list of purchases. After continuous efforts, HUAWEI was finally included in the short list of "21st Century Network" suppliers of British Telecom in 2005. HUAWEI adopted the classic competitive strategy of "encircle cities with rural areas". In 1999, its international market revenue was 53 million US dollars, accounting for less than 4% of the total. In 2004, the contracts signed by HUAWEI reached 46.2 billion yuan, and its overseas revenue accounted for 41%, ranking 22nd among the top 50 global telecom operators. In 2005, HUAWEI's international revenue surpassed China's for the first time, reaching $4.8 billion, or 58 percent of the company's total sales. HUAWEI has made the transition from a single-product manufacturer to a multi-product maker of communications equipment through rapid growth in overseas revenues and category expansion. In terms of staff arrangement, HUAWEI not only stationed its marketing, delivery and service organizations overseas, but also set up research institutes in India, Silicon Valley, Sweden and other places from 1999 to 2005.</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addition to directly investing in and holding R&amp;D institutions, HUAWEI has also cooperated with 3Com, Siemens, Seck Irongate, Intel and other companies through joint ventures or acquisitions. HUAWEI takes a global perspective, allocates resources to enhance the competitiveness of core technologies, products and solutions, and becomes a truly global enterprise with stronger competitiveness in the global market.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As a technology enterprise, HUAWEI has a very strong R&amp;D strength. In October 2004, HUAWEI established Hesus Semiconductor Company, which is mainly engaged in chip research and development. The main research strength of Hesis comes from the HUAWEI Integrated Circuit Design Center, which was established in 1991. Centering on customer-centric values, HUAWEI has strongly promoted scientific and technological research and development, which has enabled Huawei to enter the World's Top 500 companies.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reason why HUAWEI has achieved 18% market share in the international market is that China's large-scale 5G construction has secured the No.1 position in the global telecom equipment market. The 5G landscape in China is dominated by four major operators and HUAWEI and ZTE. In terms of 5G patents, HUAWEI has over 6,500 patents. In the global communications equipment market, HUAWEI has nearly a third of the market share. Clearly, HUAWEI has a say in 5G equipment.</w:t>
      </w:r>
    </w:p>
    <w:p>
      <w:pPr>
        <w:pStyle w:val="3"/>
        <w:bidi w:val="0"/>
        <w:rPr>
          <w:rFonts w:hint="default"/>
        </w:rPr>
      </w:pPr>
      <w:bookmarkStart w:id="8" w:name="_Toc1085574258"/>
      <w:r>
        <w:rPr>
          <w:rFonts w:hint="default"/>
        </w:rPr>
        <w:t>2</w:t>
      </w:r>
      <w:r>
        <w:rPr>
          <w:rFonts w:hint="default"/>
        </w:rPr>
        <w:t xml:space="preserve"> Customer orientation is the core value of HUAWEI</w:t>
      </w:r>
      <w:bookmarkEnd w:id="8"/>
    </w:p>
    <w:p>
      <w:pPr>
        <w:pStyle w:val="4"/>
        <w:bidi w:val="0"/>
        <w:rPr>
          <w:rFonts w:hint="default"/>
        </w:rPr>
      </w:pPr>
      <w:r>
        <w:rPr>
          <w:rFonts w:hint="default"/>
        </w:rPr>
        <w:t>2</w:t>
      </w:r>
      <w:r>
        <w:rPr>
          <w:rFonts w:hint="default"/>
        </w:rPr>
        <w:t>.1 Customer-centric</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There must be reasons behind HUAWEI's success. According to Aristotle in ancient Greece, all things exist and exist on the basis of all conditions, including material cause, form cause, purpose cause, motive cause. In the 1990s, people were almost the same in terms of material. The main raw materials used in the production of communication chips and optical fibers were river sand, which was inexhaustible. In terms of form, there is basically little difference between us, and the West is more dominant, occupying all the time. HUAWEI has been playing the role of a follower for a long time. His growth process is just as he said, he caught up with the dragon spaceship with the spirit of the tortoise.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first basic principle of HUAWEI's strategic management is customer-centric. As a company, the significance of HUAWEI's existence in the market is to serve customers, and customer demand is the best driving force for HUAWEI's development. This was the case when HUAWEI was founded and will continue to be the case. HUAWEI emphasizes that strategy and innovation must be customer-centered. It has many failure stories in business history, and only those who have experienced pain should remember the lessons from the past. HUAWEI has also made many major strategic mistakes. Thanks to its customer-centric guiding ideology and efficient feedback mechanism, HUAWEI's senior management can timely receive information from the market and customers and quickly adjust its strategy.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the early stage, HUAWEI's main market was China, while the Chinese communication market was mainly occupied by MOTOROLA, Ericsson, Lucent and other foreign manufacturers, and the price of the equipment was very high. As a latecomer, HUAWEI strives to learn from the experience of its predecessors, follow the steps of industry leaders, imitate the products and technologies of benchmark manufacturers, and capture some markets by lowering prices. But as HUAWEI grows, the road will have to change.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Throughout the history of HUAWEI's development, no matter how its path has changed, its values have always been customer-centric. For example, the customer-centric approach starts from the customer interface. The customer-centric approach of the customer interface first means that the success of HUAWEI's customers is the success of HUAWEI. Serving the needs of customers is the only reason for HUAWEI's existence. However, it is not through building a good relationship with customers to make them buy HUAWEI's products and services. Instead, customers use HUAWEI's products and services to create satisfactory products for customers, thus generating loyalty among customers. Products developed by HUAWEI continue to create long-term value for customers through continuous iteration. HUAWEI takes customer demand as the guidance, the direction of work and the yardstick of value evaluation. Only when customers are satisfied can customers become HUAWEI. Therefore, the success of customer business is the performance evaluation index of customer interface business.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be customer-centric, consider the business scenarios in which the customer will use the product. HUAWEI brings itself into customers' lives, discovers customers' potential pain points through insight and detail mining, and then satisfies the pain points by developing products. For example, the Single series of products launched by HUAWEI is a model of such innovation. In the context of the economic downturn in Europe, when the expense of computer room rental and equipment electricity consumption became a problem for customers, HUAWEI actively developed and launched SingleRAN, SingleEPC, SingleOSS and other products, and integrated different functions and services into one set of equipment by improving equipment integration. It greatly reduces the equipment's floor area and energy consumption, and rapidly meets the market demand, enabling HUAWEI to occupy a good market share in developed markets such as Europe, and even develop into the world's largest wireless equipment supplier.</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HUAWEI's customer-centric approach is also reflected in organizational optimization. The organization in the customer interface should be concise, rather than fully functional but complex, increase customer annoyance. The person in charge of HUAWEI's overseas representative office is called the country representative, and the first-line sales staff is called the account manager, which has two meanings. They represent HUAWEI on the customer interface, and HUAWEI represents the customer back. The front line can call for artillery fire, and can call for artillery fire. This is what Ren Zhengfei said, "Let those who can hear the sound of artillery fire to call for artillery fire."</w:t>
      </w:r>
    </w:p>
    <w:p>
      <w:pPr>
        <w:rPr>
          <w:rFonts w:hint="default" w:ascii="Times New Roman Regular" w:hAnsi="Times New Roman Regular" w:cs="Times New Roman Regular"/>
          <w:sz w:val="24"/>
          <w:szCs w:val="24"/>
        </w:rPr>
      </w:pPr>
    </w:p>
    <w:p>
      <w:pPr>
        <w:pStyle w:val="4"/>
        <w:bidi w:val="0"/>
        <w:rPr>
          <w:rFonts w:hint="default"/>
        </w:rPr>
      </w:pPr>
      <w:r>
        <w:rPr>
          <w:rFonts w:hint="default"/>
        </w:rPr>
        <w:t>2</w:t>
      </w:r>
      <w:r>
        <w:rPr>
          <w:rFonts w:hint="default"/>
        </w:rPr>
        <w:t>.2 The highest platform of HUAWEI is to create value for the society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core problem of an enterprise is its position in the market, which is the basic condition for the survival of an enterprise. HUAWEI clearly realizes that only customers bring cash flow to HUAWEI, and in order to get customers to provide funds, it needs HUAWEI to provide satisfactory service to customers. Therefore, for more than 30 years, HUAWEI has always been customer-centric and customer service, which is the first core value of HUAWEI. Many companies around the world claim to be customer-centric, but few actually do and stick to it.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Customer-centric, strivers oriented and prepared for a long and arduous struggle are the core values of HUAWEI and the golden rule for its survival. Customer orientation is the basic belief of HUAWEI and the code of conduct that all employees must abide by. Companies should always know who they are serving and where they stand in the market, and work hard to be strong accordingly.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To create more value for the society, enterprises need to create objective benefits to support their own operation. Only by ensuring its own survival and development can an enterprise further take care of the interests of employees and shareholders. Some companies, because of their paranoid thinking, think that they are only serving shareholders, and then pursue the maximization of shareholders' interests, but many of these American companies have gone bankrupt; Many Japanese companies haven't had a pay rise in years, even though they think their employees are the ones they want to serve. It is precisely because of this phenomenon that HUAWEI has firmly established its core value of being customer-centric. In order to survive, HUAWEI must adhere to the path of serving customers, helping customers to maximize their value, constantly improving their interests, and constantly developing high-quality and cost-effective products that meet customers' needs. Only in this way can customers be attracted to buy more products to support the company, and HUAWEI can survive in the long run.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lowest goal for an enterprise is to survive in the midst of business, but to survive is to consider only in its own favorable aspects. Only to survive cannot become a great enterprise. If an enterprise wants to play its value, it must make its due contribution to the human society and create useful value for the society. In the past, HUAWEI's vision was to enrich people's lives. In the foreseeable future, humans will enter the intelligent society. Facing the new era, HUAWEI needs to further deepen its vision, meet the future needs of customers, create every person, every family, every organization, and build a smart world where everything is connected.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Individuals, families and organizations are the basic forms of society and the world, and also directly reflect the main business scenarios and business categories of HUAWEI. Such business forms, scenarios and categories themselves reflect HUAWEI's core values of "customer-centric".</w:t>
      </w:r>
    </w:p>
    <w:p>
      <w:pPr>
        <w:pStyle w:val="4"/>
        <w:bidi w:val="0"/>
        <w:rPr>
          <w:rFonts w:hint="default"/>
        </w:rPr>
      </w:pPr>
      <w:r>
        <w:rPr>
          <w:rFonts w:hint="default"/>
        </w:rPr>
        <w:t>2</w:t>
      </w:r>
      <w:r>
        <w:rPr>
          <w:rFonts w:hint="default"/>
        </w:rPr>
        <w:t>.3 Customer service is the sole reason HUAWEI exists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If you want to survive, you have to have cash flow, you have to make a decent profit. Profits for HUAWEI can only be obtained from customers. A customer is the person or organization that purchases or uses HUAWEI. The survival of HUAWEI depends entirely on whether it can meet the needs of customers. Meanwhile, customers will return the corresponding price to support HUAWEI to further develop new products to meet the future needs of customers. Employees need to be paid, shareholders need to pay back, and the only people in the world who give money to HUAWEI are customers. If HUAWEI doesn't serve its customers, who else can it serve? Customers are HUAWEI's sole reason for survival. Since it is the customer that determines the survival of the enterprise and the customer that provides the survival value of the enterprise, the enterprise must serve the customer.</w:t>
      </w:r>
    </w:p>
    <w:p>
      <w:pPr>
        <w:pStyle w:val="2"/>
        <w:rPr>
          <w:rFonts w:hint="default"/>
        </w:rPr>
      </w:pPr>
      <w:r>
        <w:rPr>
          <w:rFonts w:hint="default"/>
        </w:rPr>
        <w:t>However, in the digital era, once it slows down, it will be difficult to catch up. Especially in the context of increasingly complex market environment and sharp increase of uncertainties, enterprises need more efficiency from digitalization and more "fast" value creation, so that they have the opportunity to remain invincible in the future market competition.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This fast pace is not brought by the "piling up" of digital technology. Traditional enterprises are not science and technology companies, and technology is not our own competitiveness. Technology should serve the business, and digital capabilities should support enterprise scenario needs and value creation.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Although the truth is very clear, knowing is easier than doing, and there always seems to be a "veil" between the industry and technology. As Wu Hui, president of Huawei's Chinese government enterprise business, said, "People who understand digitalization do not understand the industry, and people who understand the industry have a gap in their understanding of digitalization." How can we break this veil? How to release digital productivity? In this regard, Wu Hui pointed out that digital productivity exists in technology, hidden in the scene.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a long time in the past, it was popular to promote digital transformation "from outside to inside", usually relying on digital technology. Enterprises changed customer service and interactive experience mainly because of external consumer demand and market environment.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this process, because of the support of digital technology, the innovation speed will become faster, but at the same time, because digitalization breaks the boundary of competition, traditional enterprises often find that the competition from the market is more intense than before. This feeling represents that the industry in which the enterprise is located has begun to enter the deep-water area of digital transformation.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HUAWEI's fundamental view of the relationship between enterprises and customers -- customer service. Looking at business problems and customer relations from this perspective can ensure that the direction is correct and avoid the waste of enterprise resources. At the same time in the development of internal rules and regulations and work standards, from this perspective can better create value for the company. Customer-centric, customer service and value creation for customers are from the hearts of all employees and implemented in action, rather than just a slogan.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HUAWEI has grown to its current scale by thinking about customers, narrowing itself in the process of progress, and focusing more resources to help customers maximize their benefits and serve the operators it contacts with. In the future direction, HUAWEI must continue to adhere to the truth that customer service is the only reason for HUAWEI's existence, and continue to develop.</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Enterprises to solve customer needs, all constitute around the customer is just the foundation, better to meet the future development trend is the direction. Customer-oriented is the foundation of the survival of enterprises, and future-oriented is the source of vigorous vitality of enterprises.</w:t>
      </w:r>
    </w:p>
    <w:p>
      <w:pPr>
        <w:pStyle w:val="4"/>
        <w:bidi w:val="0"/>
        <w:rPr>
          <w:rFonts w:hint="default"/>
        </w:rPr>
      </w:pPr>
      <w:r>
        <w:rPr>
          <w:rFonts w:hint="default"/>
        </w:rPr>
        <w:t>2</w:t>
      </w:r>
      <w:r>
        <w:rPr>
          <w:rFonts w:hint="default"/>
        </w:rPr>
        <w:t>.4 Future competition is platform competition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With the in-depth development of the Internet, technology convergence between large enterprises is increasing, but customer needs emerge in an endless stream. In order to achieve an objective market share in the current technological convergence, we need to rely on the power of the platform, in order to quickly and effectively meet the needs of customers under the new situation. The platform needs to have multiple sub-systems that combine hardware and software, while also having the ability to improve and deeply meet the changing needs of the industry. The platform provides rich basic functions. With the continuous evolution of customer needs, HUAWEI only needs to carry out in-depth development on the provided platform to quickly form products to meet customer needs. An excellent platform can naturally reduce research and development costs and improve research and development efficiency. In the long run, competition between products comes down to platform competition.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HUAWEI should increase the investment in the platform and build the victory of tomorrow with the support of the platform. It is imperative to build a platform for three different audiences, namely, operators, government, enterprises and consumers, to tilt the existing resources towards the platform. Only the platform created by the enterprise has considerable competitiveness, can it continue to support the long-term development of the product development and help the company achieve commercial success.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Digital transformation is innovation and change. Huawei found that all enterprises that have successfully made digital transformation have a common premise: they have a strong desire for transformation, and dare to venture, try, and invest. In particular, the senior management participated personally, formulated the transformation strategy and vision, and implemented them step by step; Dare to try and make mistakes in the process, but also unswervingly invest resources, so that the digital transformation of enterprises is more effective. It can be said that the digital transformation of enterprises originates from the strong will of the senior management.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choice of scenarios must focus on three values: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First, commercial value. As an enterprise, first of all, we should create benefits. We should use digital technology to improve quality, reduce costs and increase benefits. Scenarios should be found along the value stream to create higher "business value" for the enterprise.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Second, social values. The value of some scenarios cannot be measured only by interests, such as reducing the number of coal mine safety accidents, reducing urban river pollution, and improving the hard working environment of patrol workers.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Third, the value of evolution. Digital transformation is for the future development and survival of the enterprise. It is necessary to examine whether your digital system can support sustainable business development and whether the system itself can achieve sustainable development. Based on this value evaluation, digitalization should achieve overall safety and reliability, sustainable architecture evolution, and flexible scale expansion.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Obviously, these three values point to two words: the future.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When an enterprise plans for digitalization, it should think about the current problems based on the future scenarios, and make plans around business, society and continuous evolution.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this process, enterprises need to reduce complexity to simplicity and do a good job in subtraction; The scenario should focus on the core value and do a good job of addition.</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order to better help enterprises do a good job in "digital" "addition and subtraction". Starting from its own perspective, Huawei has established an organization with customers and partners. At the same time, in order to quickly gather resources, improve decision-making efficiency, and achieve short chain operation, Huawei has established an industry corps, an industry corps, and a product portfolio corps. Its essence is to be able to better understand the situational needs of industry customers, and then to accompany customers to accelerate the process of digital transformation with comprehensive "technology internalization" capabilities and partners' "application plug-in" capabilities.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 is the platform strategy that enables HUAWEI to squeeze out a way to survive when the industry is being carved up. After more than 20 years of silent efforts and unremitting efforts, HUAWEI has made great achievements in the platform, and has preliminarily completed the construction of a competitive hardware and software platform, laying the foundation for future development.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For example,</w:t>
      </w:r>
      <w:bookmarkStart w:id="12" w:name="_GoBack"/>
      <w:bookmarkEnd w:id="12"/>
      <w:r>
        <w:rPr>
          <w:rFonts w:hint="default" w:ascii="Times New Roman Regular" w:hAnsi="Times New Roman Regular" w:cs="Times New Roman Regular"/>
          <w:sz w:val="24"/>
          <w:szCs w:val="24"/>
        </w:rPr>
        <w:t xml:space="preserve"> the demand for mobile phones, from the objective statistics, the introduction of new mobile phone technology for most users is not just needed, new knowledge exceeds the real needs of human beings. Many companies blindly pursue advanced technology, resulting in bankruptcy and liquidation. The services provided by companies should not be too far ahead of consumers, or it will be difficult to meet the needs of The Times. Enterprises need money to survive, and consumers with too advanced technology have not generated the corresponding demand, so there is a high probability that they will not pay for their products. Therefore, technology is only a means or tool to achieve customer needs.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One of the most useful aspects of technology in customer retention is insight into customer needs. What customers need, enterprises in time to provide what, in science and technology to slightly ahead of the customer needs to maintain the advancement of science and technology, is the real technical needs of customers. Too much ahead of the technology, of course, is the treasure of mankind, but it must be at the sacrifice of their own to complete. As a business organization, an enterprise cannot study anything unrelated to corporate strategy or that cannot bring commercial value to customers and the company. Instead, it should study customer needs and realize customer needs. Any advanced technology, product and solution can only generate value if it meets customer needs or translates into customer business success. The new technology must promote good quality, good service and low cost, otherwise it does not make business sense.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Customer demand is the driving force for HUAWEI's development, and innovation is the magic weapon for Huawei to profit from the market. Innovation is also reflected in meeting customer needs and creating value for customers. HUAWEI's innovation is also closely focused on customer needs. Only through keen insight, accurate grasp and comply with the needs of customers to find the law of the market and the future trend of demand development. Only by firmly grasping the current and future needs of customers can HUAWEI achieve sustainable development.</w:t>
      </w:r>
    </w:p>
    <w:p>
      <w:pPr>
        <w:pStyle w:val="3"/>
        <w:bidi w:val="0"/>
        <w:rPr>
          <w:rFonts w:hint="default"/>
        </w:rPr>
      </w:pPr>
      <w:bookmarkStart w:id="9" w:name="_Toc225489294"/>
      <w:r>
        <w:rPr>
          <w:rFonts w:hint="default"/>
        </w:rPr>
        <w:t>3</w:t>
      </w:r>
      <w:r>
        <w:rPr>
          <w:rFonts w:hint="default"/>
        </w:rPr>
        <w:t xml:space="preserve"> Conclusions</w:t>
      </w:r>
      <w:bookmarkEnd w:id="9"/>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It's hard to start a business. How can a startup think so far ahead when it doesn't even know where tomorrow's "breakfast" is? In fact, if in front of customers eager for quick success, I'm afraid even a grain of millet won't get, because customers need a stable business ecology. On the premise of long-termism, short-term performance can be taken into account. However, all the goals of HUAWEIHUAWEI are guided by customer needs and fully meet customer needs to enhance core competitiveness. As long as the direction of all the organization and work of the company is oriented towards customer needs, it will never be lost.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Customer focus is not entirely internal to the organization, but should be discussed in conjunction with the internal and external environment. This means that in the process of serving customers, enterprises should combine the opportunities and threats of the external environment and the advantages and disadvantages of the internal environment to find out strategic opportunities and make strategic decisions on this basis. Neither should we be headstrong enough to make a judgment based on our own feelings, nor should we allow changes in the external environment and situation to disturb our judgment too much.</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p>
    <w:p>
      <w:pPr>
        <w:pStyle w:val="3"/>
        <w:bidi w:val="0"/>
        <w:rPr>
          <w:rFonts w:hint="default"/>
        </w:rPr>
      </w:pPr>
      <w:bookmarkStart w:id="10" w:name="_Toc1637410950"/>
      <w:r>
        <w:rPr>
          <w:rFonts w:hint="default"/>
        </w:rPr>
        <w:t>4</w:t>
      </w:r>
      <w:r>
        <w:rPr>
          <w:rFonts w:hint="default"/>
        </w:rPr>
        <w:t xml:space="preserve"> Recommendations</w:t>
      </w:r>
      <w:bookmarkEnd w:id="10"/>
    </w:p>
    <w:p>
      <w:pPr>
        <w:pStyle w:val="4"/>
        <w:bidi w:val="0"/>
        <w:rPr>
          <w:rFonts w:hint="default"/>
        </w:rPr>
      </w:pPr>
      <w:r>
        <w:rPr>
          <w:rFonts w:hint="default"/>
        </w:rPr>
        <w:t>4</w:t>
      </w:r>
      <w:r>
        <w:rPr>
          <w:rFonts w:hint="default"/>
        </w:rPr>
        <w:t>.1 Be goal-oriented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Being customer-centric is the right direction, but it's still goal-oriented when it comes to implementation. The goal here is not only the amount of consumption, but also the balance between the various important goals and the balance between short - and medium-term goals and long-term goals. HUAWEI pays particular attention to the emergence of new opportunities and captures them through the development of its own platform. Goal-oriented can better mobilize HUAWEI's own resources and achieve good coordination of product line and sales line.</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Ren Zhengfei once said: "In the era of great opportunities, we must not be opportunistic, we must have strategic patience, must adhere to their own strategy, adhere to their own values, adhere to their own clear path and methods, steady progress."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 order to achieve the long-term goal of the enterprise, it is necessary to mobilize the existing resources to tilt towards the channel, enhance the overall coordination, maintain the strategic focus of the execution of the enterprise, maintain the continuous development state, in order to open up the market gap, and then achieve phased victory. HUAWEI began to develop wireless products in 1996. In 1997, it obtained the network access license of the Ministry of Posts and Telecommunications for the complete set of 2G base stations. Due to the uniqueness of the Chinese market, wireless communication equipment has always been controlled by Western brands with stronger brand credibility. Therefore, HUAWEI had to start from the marginal market in China and actively expand overseas markets. From 1996 to 2006, HUAWEI continued to invest in its wireless product line and continued to lose money. The wireless product line broke even in 2007 and made up all the previous losses in 2008. Since then, it has been contributing cash flow to HUAWEI and is known as "Holy Wireless" within the company.</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 customer-centric approach to goal setting can go in the right direction, but it can be challenging. Goals need to take into account a number of factors. According to the different needs of the corresponding market, the cultural and historical differences of customers, it is necessary to develop different strategic means and research direction. Goal-oriented, in addition to determining the big goal, it is more necessary to sort out the sub-goals that support the achievement of the big goal and the critical path to achieve the goal. In other words, goals can't come from nowhere.</w:t>
      </w:r>
    </w:p>
    <w:p>
      <w:pPr>
        <w:pStyle w:val="4"/>
        <w:bidi w:val="0"/>
        <w:rPr>
          <w:rFonts w:hint="default"/>
        </w:rPr>
      </w:pPr>
      <w:r>
        <w:rPr>
          <w:rFonts w:hint="default"/>
        </w:rPr>
        <w:t>4</w:t>
      </w:r>
      <w:r>
        <w:rPr>
          <w:rFonts w:hint="default"/>
        </w:rPr>
        <w:t>.2 Consolidate values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If HUAWEI wants to grow in the long term, it needs to consolidate its overall values. In the practice of enterprise management, many companies and managers often make behaviors that go against their own values, which are not only intentional, but also related to the deviation of the cognition and understanding of values. For the understanding of values, the most core two questions are: first, what is the value? Second, what is the core problem to be solved?</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influence of values on an enterprise is equivalent to the sails of a ship sailing on the sea. The direction indicated should be followed by all the resources of the company. The determination of values is the guidance of regulating behavior and the standard of judging right and wrong in daily life. The core issue of values is to determine what is right for HUAWEI. In fulfilling the social responsibility undertaken by enterprises, values are the highest standard and basis for guiding all behaviors and tasks. The unity of values within the company is conducive to the rapid development of the enterprise. Values can play a role in driving the behavior of employees to conform to the expectations of the company in carefully defined areas.</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The company's values are the direction of the company's resource allocation. All organizations within the company should ensure that the values are fully reflected in the company's strategy, to ensure that the daily activities of the company are in line with the values of the company. HUAWEI should look for employees who are in line with the company's values in the future. HUAWEI's core values are "customer-centric, strivers oriented, long-term hard work, and self-criticism", so employees should keep these values in mind and fully believe in the idea of value advocacy. Otherwise, the presence of rebels in the team will have a very bad impact on the atmosphere of the team.</w:t>
      </w:r>
    </w:p>
    <w:p>
      <w:pPr>
        <w:pStyle w:val="3"/>
        <w:bidi w:val="0"/>
        <w:rPr>
          <w:rFonts w:hint="default"/>
        </w:rPr>
      </w:pPr>
      <w:bookmarkStart w:id="11" w:name="_Toc2110383992"/>
      <w:r>
        <w:rPr>
          <w:rFonts w:hint="default"/>
        </w:rPr>
        <w:t>5</w:t>
      </w:r>
      <w:r>
        <w:rPr>
          <w:rFonts w:hint="default"/>
        </w:rPr>
        <w:t xml:space="preserve"> </w:t>
      </w:r>
      <w:r>
        <w:rPr>
          <w:rFonts w:hint="default"/>
          <w:lang w:val="en-GB"/>
        </w:rPr>
        <w:t>References</w:t>
      </w:r>
      <w:bookmarkEnd w:id="11"/>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lang w:val="en-US" w:eastAsia="zh-Hans"/>
        </w:rPr>
      </w:pPr>
      <w:r>
        <w:rPr>
          <w:rFonts w:hint="default" w:ascii="Times New Roman Regular" w:hAnsi="Times New Roman Regular" w:cs="Times New Roman Regular"/>
          <w:b w:val="0"/>
          <w:bCs w:val="0"/>
          <w:i w:val="0"/>
          <w:iCs w:val="0"/>
          <w:caps w:val="0"/>
          <w:color w:val="000000"/>
          <w:spacing w:val="0"/>
          <w:sz w:val="24"/>
          <w:szCs w:val="24"/>
          <w:u w:val="none"/>
          <w:lang w:val="en-US" w:eastAsia="zh-Hans"/>
        </w:rPr>
        <w:t>Ammar, S., Moore, D. and Wright, R. (2008) “Analysing customer satisfaction surveys using a fuzzy rule-based decision support system: Enhancing customer relationship management,”</w:t>
      </w:r>
      <w:r>
        <w:rPr>
          <w:rFonts w:hint="default" w:ascii="Times New Roman Italic" w:hAnsi="Times New Roman Italic" w:cs="Times New Roman Italic"/>
          <w:b w:val="0"/>
          <w:bCs w:val="0"/>
          <w:i/>
          <w:iCs/>
          <w:caps w:val="0"/>
          <w:color w:val="000000"/>
          <w:spacing w:val="0"/>
          <w:sz w:val="24"/>
          <w:szCs w:val="24"/>
          <w:u w:val="none"/>
          <w:lang w:val="en-US" w:eastAsia="zh-Hans"/>
        </w:rPr>
        <w:t xml:space="preserve"> Journal of Database Marketing &amp;amp; Customer Strategy Management</w:t>
      </w: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 15(2), pp. 91–105. Available at: https://doi.org/10.1057/dbm.2008.2.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lang w:val="en-US" w:eastAsia="zh-Hans"/>
        </w:rPr>
      </w:pP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Paudyal, N.Y. (2022) “Social algorithms of the Chinese company Huawei Technologies Management Model,” </w:t>
      </w:r>
      <w:r>
        <w:rPr>
          <w:rFonts w:hint="default" w:ascii="Times New Roman Italic" w:hAnsi="Times New Roman Italic" w:cs="Times New Roman Italic"/>
          <w:b w:val="0"/>
          <w:bCs w:val="0"/>
          <w:i/>
          <w:iCs/>
          <w:caps w:val="0"/>
          <w:color w:val="000000"/>
          <w:spacing w:val="0"/>
          <w:sz w:val="24"/>
          <w:szCs w:val="24"/>
          <w:u w:val="none"/>
          <w:lang w:val="en-US" w:eastAsia="zh-Hans"/>
        </w:rPr>
        <w:t>Vestnik Universiteta</w:t>
      </w:r>
      <w:r>
        <w:rPr>
          <w:rFonts w:hint="default" w:ascii="Times New Roman Regular" w:hAnsi="Times New Roman Regular" w:cs="Times New Roman Regular"/>
          <w:b w:val="0"/>
          <w:bCs w:val="0"/>
          <w:i w:val="0"/>
          <w:iCs w:val="0"/>
          <w:caps w:val="0"/>
          <w:color w:val="000000"/>
          <w:spacing w:val="0"/>
          <w:sz w:val="24"/>
          <w:szCs w:val="24"/>
          <w:u w:val="none"/>
          <w:lang w:val="en-US" w:eastAsia="zh-Hans"/>
        </w:rPr>
        <w:t>, 1(7), pp. 170–176. Available at: https://doi.org/10.26425/1816-4277-2022-7-170-176.</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lang w:val="en-US" w:eastAsia="zh-Hans"/>
        </w:rPr>
      </w:pP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Ke, J. (2015) “Analyses on strategies of enhancing brand competitiveness of Huawei Company,” </w:t>
      </w:r>
      <w:r>
        <w:rPr>
          <w:rFonts w:hint="default" w:ascii="Times New Roman Italic" w:hAnsi="Times New Roman Italic" w:cs="Times New Roman Italic"/>
          <w:b w:val="0"/>
          <w:bCs w:val="0"/>
          <w:i/>
          <w:iCs/>
          <w:caps w:val="0"/>
          <w:color w:val="000000"/>
          <w:spacing w:val="0"/>
          <w:sz w:val="24"/>
          <w:szCs w:val="24"/>
          <w:u w:val="none"/>
          <w:lang w:val="en-US" w:eastAsia="zh-Hans"/>
        </w:rPr>
        <w:t>Proceedings of the 2nd International Conference on Intelligent</w:t>
      </w: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 </w:t>
      </w:r>
      <w:r>
        <w:rPr>
          <w:rFonts w:hint="default" w:ascii="Times New Roman Italic" w:hAnsi="Times New Roman Italic" w:cs="Times New Roman Italic"/>
          <w:b w:val="0"/>
          <w:bCs w:val="0"/>
          <w:i/>
          <w:iCs/>
          <w:caps w:val="0"/>
          <w:color w:val="000000"/>
          <w:spacing w:val="0"/>
          <w:sz w:val="24"/>
          <w:szCs w:val="24"/>
          <w:u w:val="none"/>
          <w:lang w:val="en-US" w:eastAsia="zh-Hans"/>
        </w:rPr>
        <w:t>Computing and</w:t>
      </w:r>
      <w:r>
        <w:rPr>
          <w:rFonts w:hint="default" w:ascii="Times New Roman Italic" w:hAnsi="Times New Roman Italic" w:cs="Times New Roman Italic"/>
          <w:b w:val="0"/>
          <w:bCs w:val="0"/>
          <w:i/>
          <w:iCs/>
          <w:caps w:val="0"/>
          <w:color w:val="000000"/>
          <w:spacing w:val="0"/>
          <w:sz w:val="24"/>
          <w:szCs w:val="24"/>
          <w:u w:val="none"/>
          <w:lang w:eastAsia="zh-Hans"/>
        </w:rPr>
        <w:t xml:space="preserve"> </w:t>
      </w:r>
      <w:r>
        <w:rPr>
          <w:rFonts w:hint="default" w:ascii="Times New Roman Italic" w:hAnsi="Times New Roman Italic" w:cs="Times New Roman Italic"/>
          <w:b w:val="0"/>
          <w:bCs w:val="0"/>
          <w:i/>
          <w:iCs/>
          <w:caps w:val="0"/>
          <w:color w:val="000000"/>
          <w:spacing w:val="0"/>
          <w:sz w:val="24"/>
          <w:szCs w:val="24"/>
          <w:u w:val="none"/>
          <w:lang w:val="en-US" w:eastAsia="zh-Hans"/>
        </w:rPr>
        <w:t>Cognitive Informatics</w:t>
      </w: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 [Preprint]. Available at: https://doi.org/10.2991/icicci-15.2015.27.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lang w:val="en-US" w:eastAsia="zh-Hans"/>
        </w:rPr>
      </w:pP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Paudyal, N.Y. (2022) “Social algorithms of the Chinese company Huawei Technologies Management Model,” </w:t>
      </w:r>
      <w:r>
        <w:rPr>
          <w:rFonts w:hint="default" w:ascii="Times New Roman Italic" w:hAnsi="Times New Roman Italic" w:cs="Times New Roman Italic"/>
          <w:b w:val="0"/>
          <w:bCs w:val="0"/>
          <w:i/>
          <w:iCs/>
          <w:caps w:val="0"/>
          <w:color w:val="000000"/>
          <w:spacing w:val="0"/>
          <w:sz w:val="24"/>
          <w:szCs w:val="24"/>
          <w:u w:val="none"/>
          <w:lang w:val="en-US" w:eastAsia="zh-Hans"/>
        </w:rPr>
        <w:t>Vestnik Universiteta</w:t>
      </w: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 1(7), pp. 170–176. Available at: https://doi.org/10.26425/1816-4277-2022-7-170-176.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lang w:val="en-US" w:eastAsia="zh-Hans"/>
        </w:rPr>
      </w:pPr>
      <w:r>
        <w:rPr>
          <w:rFonts w:hint="default" w:ascii="Times New Roman Regular" w:hAnsi="Times New Roman Regular" w:cs="Times New Roman Regular"/>
          <w:b w:val="0"/>
          <w:bCs w:val="0"/>
          <w:i w:val="0"/>
          <w:iCs w:val="0"/>
          <w:caps w:val="0"/>
          <w:color w:val="000000"/>
          <w:spacing w:val="0"/>
          <w:sz w:val="24"/>
          <w:szCs w:val="24"/>
          <w:u w:val="none"/>
          <w:lang w:val="en-US" w:eastAsia="zh-Hans"/>
        </w:rPr>
        <w:t xml:space="preserve">“Australia, Huawei and 5G” (2019) Strategic Comments, 25(7), pp. x-xii. Available at: https://doi.org/10.1080/13567888.2019.1680159.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“Conclusion. the mobile assemblage and social change in China” (2020)</w:t>
      </w:r>
      <w:r>
        <w:rPr>
          <w:rFonts w:hint="default" w:ascii="Times New Roman Italic" w:hAnsi="Times New Roman Italic" w:cs="Times New Roman Italic"/>
          <w:b w:val="0"/>
          <w:bCs w:val="0"/>
          <w:i/>
          <w:iCs/>
          <w:caps w:val="0"/>
          <w:color w:val="000000"/>
          <w:spacing w:val="0"/>
          <w:sz w:val="24"/>
          <w:szCs w:val="24"/>
          <w:u w:val="none"/>
        </w:rPr>
        <w:t> Technomobility in China</w:t>
      </w:r>
      <w:r>
        <w:rPr>
          <w:rFonts w:hint="default" w:ascii="Times New Roman Regular" w:hAnsi="Times New Roman Regular" w:cs="Times New Roman Regular"/>
          <w:b w:val="0"/>
          <w:bCs w:val="0"/>
          <w:i w:val="0"/>
          <w:iCs w:val="0"/>
          <w:caps w:val="0"/>
          <w:color w:val="000000"/>
          <w:spacing w:val="0"/>
          <w:sz w:val="24"/>
          <w:szCs w:val="24"/>
          <w:u w:val="none"/>
        </w:rPr>
        <w:t>, pp. 177–188. Available at: https://doi.org/10.18574/nyu/9780814795262.003.0006.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“Introduction. mobile bodies, mobile technologies, and immobile mobility” (2020) </w:t>
      </w:r>
      <w:r>
        <w:rPr>
          <w:rFonts w:hint="default" w:ascii="Times New Roman Regular" w:hAnsi="Times New Roman Regular" w:cs="Times New Roman Regular"/>
          <w:b w:val="0"/>
          <w:bCs w:val="0"/>
          <w:i/>
          <w:iCs/>
          <w:caps w:val="0"/>
          <w:color w:val="000000"/>
          <w:spacing w:val="0"/>
          <w:sz w:val="24"/>
          <w:szCs w:val="24"/>
          <w:u w:val="none"/>
        </w:rPr>
        <w:t>Technomobility in China</w:t>
      </w:r>
      <w:r>
        <w:rPr>
          <w:rFonts w:hint="default" w:ascii="Times New Roman Regular" w:hAnsi="Times New Roman Regular" w:cs="Times New Roman Regular"/>
          <w:b w:val="0"/>
          <w:bCs w:val="0"/>
          <w:i w:val="0"/>
          <w:iCs w:val="0"/>
          <w:caps w:val="0"/>
          <w:color w:val="000000"/>
          <w:spacing w:val="0"/>
          <w:sz w:val="24"/>
          <w:szCs w:val="24"/>
          <w:u w:val="none"/>
        </w:rPr>
        <w:t>, pp. 1–28. Available at: https://doi.org/10.18574/nyu/9780814795262.003.0007.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“Mobile people, mobile disease” (2021) </w:t>
      </w:r>
      <w:r>
        <w:rPr>
          <w:rFonts w:hint="default" w:ascii="Times New Roman Regular" w:hAnsi="Times New Roman Regular" w:cs="Times New Roman Regular"/>
          <w:b w:val="0"/>
          <w:bCs w:val="0"/>
          <w:i/>
          <w:iCs/>
          <w:caps w:val="0"/>
          <w:color w:val="000000"/>
          <w:spacing w:val="0"/>
          <w:sz w:val="24"/>
          <w:szCs w:val="24"/>
          <w:u w:val="none"/>
        </w:rPr>
        <w:t>China and the Cholera Pandemic</w:t>
      </w:r>
      <w:r>
        <w:rPr>
          <w:rFonts w:hint="default" w:ascii="Times New Roman Regular" w:hAnsi="Times New Roman Regular" w:cs="Times New Roman Regular"/>
          <w:b w:val="0"/>
          <w:bCs w:val="0"/>
          <w:i w:val="0"/>
          <w:iCs w:val="0"/>
          <w:caps w:val="0"/>
          <w:color w:val="000000"/>
          <w:spacing w:val="0"/>
          <w:sz w:val="24"/>
          <w:szCs w:val="24"/>
          <w:u w:val="none"/>
        </w:rPr>
        <w:t>, pp. 48–78. Available at: https://doi.org/10.2307/j.ctv1kwxfn0.7.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Yihong, J. (2011) “Mobile patriarchy: Changes in the Mobile Rural Family,” </w:t>
      </w:r>
      <w:r>
        <w:rPr>
          <w:rFonts w:hint="default" w:ascii="Times New Roman Regular" w:hAnsi="Times New Roman Regular" w:cs="Times New Roman Regular"/>
          <w:b w:val="0"/>
          <w:bCs w:val="0"/>
          <w:i/>
          <w:iCs/>
          <w:caps w:val="0"/>
          <w:color w:val="000000"/>
          <w:spacing w:val="0"/>
          <w:sz w:val="24"/>
          <w:szCs w:val="24"/>
          <w:u w:val="none"/>
        </w:rPr>
        <w:t>Social Sciences in China</w:t>
      </w:r>
      <w:r>
        <w:rPr>
          <w:rFonts w:hint="default" w:ascii="Times New Roman Regular" w:hAnsi="Times New Roman Regular" w:cs="Times New Roman Regular"/>
          <w:b w:val="0"/>
          <w:bCs w:val="0"/>
          <w:i w:val="0"/>
          <w:iCs w:val="0"/>
          <w:caps w:val="0"/>
          <w:color w:val="000000"/>
          <w:spacing w:val="0"/>
          <w:sz w:val="24"/>
          <w:szCs w:val="24"/>
          <w:u w:val="none"/>
        </w:rPr>
        <w:t>, 32(1), pp. 26–43. Available at: https://doi.org/10.1080/02529203.2011.548917.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Zhang, G. (2022) “Mobile media in China: media practice as a research orientation,” </w:t>
      </w:r>
      <w:r>
        <w:rPr>
          <w:rFonts w:hint="default" w:ascii="Times New Roman Regular" w:hAnsi="Times New Roman Regular" w:cs="Times New Roman Regular"/>
          <w:b w:val="0"/>
          <w:bCs w:val="0"/>
          <w:i/>
          <w:iCs/>
          <w:caps w:val="0"/>
          <w:color w:val="000000"/>
          <w:spacing w:val="0"/>
          <w:sz w:val="24"/>
          <w:szCs w:val="24"/>
          <w:u w:val="none"/>
        </w:rPr>
        <w:t>Mobile Media &amp; Communication</w:t>
      </w:r>
      <w:r>
        <w:rPr>
          <w:rFonts w:hint="default" w:ascii="Times New Roman Regular" w:hAnsi="Times New Roman Regular" w:cs="Times New Roman Regular"/>
          <w:b w:val="0"/>
          <w:bCs w:val="0"/>
          <w:i w:val="0"/>
          <w:iCs w:val="0"/>
          <w:caps w:val="0"/>
          <w:color w:val="000000"/>
          <w:spacing w:val="0"/>
          <w:sz w:val="24"/>
          <w:szCs w:val="24"/>
          <w:u w:val="none"/>
        </w:rPr>
        <w:t>, p. 205015792211349. Available at: https://doi.org/10.1177/20501579221134947.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Durand, A. (2018) “Mobile marketing,” </w:t>
      </w:r>
      <w:r>
        <w:rPr>
          <w:rFonts w:hint="default" w:ascii="Times New Roman Regular" w:hAnsi="Times New Roman Regular" w:cs="Times New Roman Regular"/>
          <w:b w:val="0"/>
          <w:bCs w:val="0"/>
          <w:i/>
          <w:iCs/>
          <w:caps w:val="0"/>
          <w:color w:val="000000"/>
          <w:spacing w:val="0"/>
          <w:sz w:val="24"/>
          <w:szCs w:val="24"/>
          <w:u w:val="none"/>
        </w:rPr>
        <w:t>Marketing and Globalization</w:t>
      </w:r>
      <w:r>
        <w:rPr>
          <w:rFonts w:hint="default" w:ascii="Times New Roman Regular" w:hAnsi="Times New Roman Regular" w:cs="Times New Roman Regular"/>
          <w:b w:val="0"/>
          <w:bCs w:val="0"/>
          <w:i w:val="0"/>
          <w:iCs w:val="0"/>
          <w:caps w:val="0"/>
          <w:color w:val="000000"/>
          <w:spacing w:val="0"/>
          <w:sz w:val="24"/>
          <w:szCs w:val="24"/>
          <w:u w:val="none"/>
        </w:rPr>
        <w:t>, pp. 376–430. Available at: https://doi.org/10.4324/9781315474175-10.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Hua, H. (2019) “Marketing space 4.0 - mobile end-to-end marketing,” </w:t>
      </w:r>
      <w:r>
        <w:rPr>
          <w:rFonts w:hint="default" w:ascii="Times New Roman Regular" w:hAnsi="Times New Roman Regular" w:cs="Times New Roman Regular"/>
          <w:b w:val="0"/>
          <w:bCs w:val="0"/>
          <w:i/>
          <w:iCs/>
          <w:caps w:val="0"/>
          <w:color w:val="000000"/>
          <w:spacing w:val="0"/>
          <w:sz w:val="24"/>
          <w:szCs w:val="24"/>
          <w:u w:val="none"/>
        </w:rPr>
        <w:t>Mobile Marketing Management</w:t>
      </w:r>
      <w:r>
        <w:rPr>
          <w:rFonts w:hint="default" w:ascii="Times New Roman Regular" w:hAnsi="Times New Roman Regular" w:cs="Times New Roman Regular"/>
          <w:b w:val="0"/>
          <w:bCs w:val="0"/>
          <w:i w:val="0"/>
          <w:iCs w:val="0"/>
          <w:caps w:val="0"/>
          <w:color w:val="000000"/>
          <w:spacing w:val="0"/>
          <w:sz w:val="24"/>
          <w:szCs w:val="24"/>
          <w:u w:val="none"/>
        </w:rPr>
        <w:t>, pp. 320–345. Available at: https://doi.org/10.4324/9780429030871-17.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Lee, S.-H. (2015) “Mobile phone culture: The impacts of mobile phone use,” </w:t>
      </w:r>
      <w:r>
        <w:rPr>
          <w:rFonts w:hint="default" w:ascii="Times New Roman Regular" w:hAnsi="Times New Roman Regular" w:cs="Times New Roman Regular"/>
          <w:b w:val="0"/>
          <w:bCs w:val="0"/>
          <w:i/>
          <w:iCs/>
          <w:caps w:val="0"/>
          <w:color w:val="000000"/>
          <w:spacing w:val="0"/>
          <w:sz w:val="24"/>
          <w:szCs w:val="24"/>
          <w:u w:val="none"/>
        </w:rPr>
        <w:t>Encyclopedia of Mobile Phone Behavior</w:t>
      </w:r>
      <w:r>
        <w:rPr>
          <w:rFonts w:hint="default" w:ascii="Times New Roman Regular" w:hAnsi="Times New Roman Regular" w:cs="Times New Roman Regular"/>
          <w:b w:val="0"/>
          <w:bCs w:val="0"/>
          <w:i w:val="0"/>
          <w:iCs w:val="0"/>
          <w:caps w:val="0"/>
          <w:color w:val="000000"/>
          <w:spacing w:val="0"/>
          <w:sz w:val="24"/>
          <w:szCs w:val="24"/>
          <w:u w:val="none"/>
        </w:rPr>
        <w:t>, pp. 658–672. Available at: https://doi.org/10.4018/978-1-4666-8239-9.ch055.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Rieber, D. (2017) “Mobile marketing,” </w:t>
      </w:r>
      <w:r>
        <w:rPr>
          <w:rFonts w:hint="default" w:ascii="Times New Roman Regular" w:hAnsi="Times New Roman Regular" w:cs="Times New Roman Regular"/>
          <w:b w:val="0"/>
          <w:bCs w:val="0"/>
          <w:i/>
          <w:iCs/>
          <w:caps w:val="0"/>
          <w:color w:val="000000"/>
          <w:spacing w:val="0"/>
          <w:sz w:val="24"/>
          <w:szCs w:val="24"/>
          <w:u w:val="none"/>
        </w:rPr>
        <w:t>Mobile Marketing</w:t>
      </w:r>
      <w:r>
        <w:rPr>
          <w:rFonts w:hint="default" w:ascii="Times New Roman Regular" w:hAnsi="Times New Roman Regular" w:cs="Times New Roman Regular"/>
          <w:b w:val="0"/>
          <w:bCs w:val="0"/>
          <w:i w:val="0"/>
          <w:iCs w:val="0"/>
          <w:caps w:val="0"/>
          <w:color w:val="000000"/>
          <w:spacing w:val="0"/>
          <w:sz w:val="24"/>
          <w:szCs w:val="24"/>
          <w:u w:val="none"/>
        </w:rPr>
        <w:t>, pp. 25–45. Available at: https://doi.org/10.1007/978-3-658-14777-8_2.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S, B. (2019) “Marketing, mobile and future of Mobile Advertisement: Life Changing Through Mobile,” </w:t>
      </w:r>
      <w:r>
        <w:rPr>
          <w:rFonts w:hint="default" w:ascii="Times New Roman Regular" w:hAnsi="Times New Roman Regular" w:cs="Times New Roman Regular"/>
          <w:b w:val="0"/>
          <w:bCs w:val="0"/>
          <w:i/>
          <w:iCs/>
          <w:caps w:val="0"/>
          <w:color w:val="000000"/>
          <w:spacing w:val="0"/>
          <w:sz w:val="24"/>
          <w:szCs w:val="24"/>
          <w:u w:val="none"/>
        </w:rPr>
        <w:t>International Journal of Psychosocial Rehabilitation</w:t>
      </w:r>
      <w:r>
        <w:rPr>
          <w:rFonts w:hint="default" w:ascii="Times New Roman Regular" w:hAnsi="Times New Roman Regular" w:cs="Times New Roman Regular"/>
          <w:b w:val="0"/>
          <w:bCs w:val="0"/>
          <w:i w:val="0"/>
          <w:iCs w:val="0"/>
          <w:caps w:val="0"/>
          <w:color w:val="000000"/>
          <w:spacing w:val="0"/>
          <w:sz w:val="24"/>
          <w:szCs w:val="24"/>
          <w:u w:val="none"/>
        </w:rPr>
        <w:t>, 23(4), pp. 1623–1630. Available at: https://doi.org/10.37200/ijpr/v23i4/pr190487.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Alleva, C. (2021) “A mobile mapping system utilizing a spherical camera.” Available at: https://doi.org/10.32920/ryerson.14643951.v1.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Androulidakis, I.I. (2016) “Mobile Phone Forensics,” </w:t>
      </w:r>
      <w:r>
        <w:rPr>
          <w:rFonts w:hint="default" w:ascii="Times New Roman Regular" w:hAnsi="Times New Roman Regular" w:cs="Times New Roman Regular"/>
          <w:b w:val="0"/>
          <w:bCs w:val="0"/>
          <w:i/>
          <w:iCs/>
          <w:caps w:val="0"/>
          <w:color w:val="000000"/>
          <w:spacing w:val="0"/>
          <w:sz w:val="24"/>
          <w:szCs w:val="24"/>
          <w:u w:val="none"/>
        </w:rPr>
        <w:t>Mobile Phone Security and Forensics</w:t>
      </w:r>
      <w:r>
        <w:rPr>
          <w:rFonts w:hint="default" w:ascii="Times New Roman Regular" w:hAnsi="Times New Roman Regular" w:cs="Times New Roman Regular"/>
          <w:b w:val="0"/>
          <w:bCs w:val="0"/>
          <w:i w:val="0"/>
          <w:iCs w:val="0"/>
          <w:caps w:val="0"/>
          <w:color w:val="000000"/>
          <w:spacing w:val="0"/>
          <w:sz w:val="24"/>
          <w:szCs w:val="24"/>
          <w:u w:val="none"/>
        </w:rPr>
        <w:t>, pp. 87–109. Available at: https://doi.org/10.1007/978-3-319-29742-2_6.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Lee, S.-H. (2015) “Mobile phone culture: The impacts of mobile phone use,” </w:t>
      </w:r>
      <w:r>
        <w:rPr>
          <w:rFonts w:hint="default" w:ascii="Times New Roman Regular" w:hAnsi="Times New Roman Regular" w:cs="Times New Roman Regular"/>
          <w:b w:val="0"/>
          <w:bCs w:val="0"/>
          <w:i/>
          <w:iCs/>
          <w:caps w:val="0"/>
          <w:color w:val="000000"/>
          <w:spacing w:val="0"/>
          <w:sz w:val="24"/>
          <w:szCs w:val="24"/>
          <w:u w:val="none"/>
        </w:rPr>
        <w:t>Encyclopedia of Mobile Phone Behavior</w:t>
      </w:r>
      <w:r>
        <w:rPr>
          <w:rFonts w:hint="default" w:ascii="Times New Roman Regular" w:hAnsi="Times New Roman Regular" w:cs="Times New Roman Regular"/>
          <w:b w:val="0"/>
          <w:bCs w:val="0"/>
          <w:i w:val="0"/>
          <w:iCs w:val="0"/>
          <w:caps w:val="0"/>
          <w:color w:val="000000"/>
          <w:spacing w:val="0"/>
          <w:sz w:val="24"/>
          <w:szCs w:val="24"/>
          <w:u w:val="none"/>
        </w:rPr>
        <w:t>, pp. 658–672. Available at: https://doi.org/10.4018/978-1-4666-8239-9.ch055.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Udell, C. (2014) “Using a mobile camera as a powerful learning tool,” </w:t>
      </w:r>
      <w:r>
        <w:rPr>
          <w:rFonts w:hint="default" w:ascii="Times New Roman Regular" w:hAnsi="Times New Roman Regular" w:cs="Times New Roman Regular"/>
          <w:b w:val="0"/>
          <w:bCs w:val="0"/>
          <w:i/>
          <w:iCs/>
          <w:caps w:val="0"/>
          <w:color w:val="000000"/>
          <w:spacing w:val="0"/>
          <w:sz w:val="24"/>
          <w:szCs w:val="24"/>
          <w:u w:val="none"/>
        </w:rPr>
        <w:t>Mastering Mobile Learning</w:t>
      </w:r>
      <w:r>
        <w:rPr>
          <w:rFonts w:hint="default" w:ascii="Times New Roman Regular" w:hAnsi="Times New Roman Regular" w:cs="Times New Roman Regular"/>
          <w:b w:val="0"/>
          <w:bCs w:val="0"/>
          <w:i w:val="0"/>
          <w:iCs w:val="0"/>
          <w:caps w:val="0"/>
          <w:color w:val="000000"/>
          <w:spacing w:val="0"/>
          <w:sz w:val="24"/>
          <w:szCs w:val="24"/>
          <w:u w:val="none"/>
        </w:rPr>
        <w:t>, pp. 141–143. Available at: https://doi.org/10.1002/9781119036883.ch19. </w:t>
      </w:r>
    </w:p>
    <w:p>
      <w:pPr>
        <w:pStyle w:val="7"/>
        <w:keepNext w:val="0"/>
        <w:keepLines w:val="0"/>
        <w:pageBreakBefore w:val="0"/>
        <w:widowControl/>
        <w:suppressLineNumbers w:val="0"/>
        <w:kinsoku/>
        <w:wordWrap/>
        <w:overflowPunct/>
        <w:topLinePunct w:val="0"/>
        <w:autoSpaceDE/>
        <w:autoSpaceDN/>
        <w:bidi w:val="0"/>
        <w:adjustRightInd/>
        <w:spacing w:line="480" w:lineRule="auto"/>
        <w:ind w:left="567" w:hanging="567"/>
        <w:textAlignment w:val="auto"/>
        <w:rPr>
          <w:rFonts w:hint="default" w:ascii="Times New Roman Regular" w:hAnsi="Times New Roman Regular" w:cs="Times New Roman Regular"/>
          <w:b w:val="0"/>
          <w:bCs w:val="0"/>
          <w:i w:val="0"/>
          <w:iCs w:val="0"/>
          <w:caps w:val="0"/>
          <w:color w:val="000000"/>
          <w:spacing w:val="0"/>
          <w:sz w:val="24"/>
          <w:szCs w:val="24"/>
          <w:u w:val="none"/>
        </w:rPr>
      </w:pPr>
      <w:r>
        <w:rPr>
          <w:rFonts w:hint="default" w:ascii="Times New Roman Regular" w:hAnsi="Times New Roman Regular" w:cs="Times New Roman Regular"/>
          <w:b w:val="0"/>
          <w:bCs w:val="0"/>
          <w:i w:val="0"/>
          <w:iCs w:val="0"/>
          <w:caps w:val="0"/>
          <w:color w:val="000000"/>
          <w:spacing w:val="0"/>
          <w:sz w:val="24"/>
          <w:szCs w:val="24"/>
          <w:u w:val="none"/>
        </w:rPr>
        <w:t>Chunli, W., Yuchen, L. and Huaiwei, L. (2019) “Speech enhancement algorithms in vehicle environment,” </w:t>
      </w:r>
      <w:r>
        <w:rPr>
          <w:rFonts w:hint="default" w:ascii="Times New Roman Regular" w:hAnsi="Times New Roman Regular" w:cs="Times New Roman Regular"/>
          <w:b w:val="0"/>
          <w:bCs w:val="0"/>
          <w:i/>
          <w:iCs/>
          <w:caps w:val="0"/>
          <w:color w:val="000000"/>
          <w:spacing w:val="0"/>
          <w:sz w:val="24"/>
          <w:szCs w:val="24"/>
          <w:u w:val="none"/>
        </w:rPr>
        <w:t>International Journal of Performability Engineering</w:t>
      </w:r>
      <w:r>
        <w:rPr>
          <w:rFonts w:hint="default" w:ascii="Times New Roman Regular" w:hAnsi="Times New Roman Regular" w:cs="Times New Roman Regular"/>
          <w:b w:val="0"/>
          <w:bCs w:val="0"/>
          <w:i w:val="0"/>
          <w:iCs w:val="0"/>
          <w:caps w:val="0"/>
          <w:color w:val="000000"/>
          <w:spacing w:val="0"/>
          <w:sz w:val="24"/>
          <w:szCs w:val="24"/>
          <w:u w:val="none"/>
        </w:rPr>
        <w:t>, 15(11), p. 3081. Available at: https://doi.org/10.23940/ijpe.19.11.p28.30813089. </w:t>
      </w: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pageBreakBefore w:val="0"/>
        <w:widowControl/>
        <w:kinsoku/>
        <w:wordWrap/>
        <w:overflowPunct/>
        <w:topLinePunct w:val="0"/>
        <w:autoSpaceDE/>
        <w:autoSpaceDN/>
        <w:bidi w:val="0"/>
        <w:adjustRightInd/>
        <w:spacing w:line="480" w:lineRule="auto"/>
        <w:textAlignment w:val="auto"/>
        <w:rPr>
          <w:rFonts w:hint="default" w:ascii="Times New Roman Regular" w:hAnsi="Times New Roman Regular" w:cs="Times New Roman Regular"/>
          <w:sz w:val="24"/>
          <w:szCs w:val="24"/>
        </w:rPr>
      </w:pPr>
    </w:p>
    <w:p>
      <w:pPr>
        <w:pStyle w:val="2"/>
        <w:rPr>
          <w:rFonts w:hint="default"/>
          <w:lang w:val="en-US" w:eastAsia="zh-Hans"/>
        </w:rPr>
      </w:pPr>
    </w:p>
    <w:p>
      <w:pPr>
        <w:rPr>
          <w:rFonts w:hint="default" w:ascii="Times New Roman Regular" w:hAnsi="Times New Roman Regular" w:cs="Times New Roman Regular"/>
          <w:sz w:val="24"/>
          <w:szCs w:val="24"/>
        </w:rPr>
      </w:pPr>
    </w:p>
    <w:p>
      <w:pPr>
        <w:rPr>
          <w:rFonts w:hint="default" w:ascii="Times New Roman Regular" w:hAnsi="Times New Roman Regular" w:cs="Times New Roman Regula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0000" w:usb1="00000000" w:usb2="00000000" w:usb3="00000000" w:csb0="00000000" w:csb1="00000000"/>
  </w:font>
  <w:font w:name="宋体">
    <w:altName w:val="汉仪书宋二KW"/>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PMingLiU">
    <w:altName w:val="宋体-繁"/>
    <w:panose1 w:val="02010601000101010101"/>
    <w:charset w:val="88"/>
    <w:family w:val="roman"/>
    <w:pitch w:val="default"/>
    <w:sig w:usb0="00000000" w:usb1="00000000" w:usb2="00000016" w:usb3="00000000" w:csb0="00100001" w:csb1="00000000"/>
  </w:font>
  <w:font w:name="MS PGothic">
    <w:altName w:val="Hiragino Kaku Gothic Std"/>
    <w:panose1 w:val="020B0600070205080204"/>
    <w:charset w:val="80"/>
    <w:family w:val="swiss"/>
    <w:pitch w:val="default"/>
    <w:sig w:usb0="00000000" w:usb1="00000000" w:usb2="08000012" w:usb3="00000000" w:csb0="0002009F" w:csb1="00000000"/>
  </w:font>
  <w:font w:name="宋体-繁">
    <w:panose1 w:val="02010600040101010101"/>
    <w:charset w:val="86"/>
    <w:family w:val="auto"/>
    <w:pitch w:val="default"/>
    <w:sig w:usb0="00000000" w:usb1="00000000" w:usb2="00000000" w:usb3="00000000" w:csb0="00160000" w:csb1="00000000"/>
  </w:font>
  <w:font w:name="Hiragino Kaku Gothic Std">
    <w:panose1 w:val="020B0800000000000000"/>
    <w:charset w:val="86"/>
    <w:family w:val="auto"/>
    <w:pitch w:val="default"/>
    <w:sig w:usb0="00000000" w:usb1="00000000" w:usb2="00000000" w:usb3="00000000" w:csb0="00160000" w:csb1="00000000"/>
  </w:font>
  <w:font w:name="Times New Roman Italic">
    <w:panose1 w:val="02020603050405020304"/>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Tahoma">
    <w:panose1 w:val="020B060403050404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BEFB4"/>
    <w:rsid w:val="35F17908"/>
    <w:rsid w:val="3DBF3DEF"/>
    <w:rsid w:val="3FFBEFB4"/>
    <w:rsid w:val="6687DECD"/>
    <w:rsid w:val="757F6CE2"/>
    <w:rsid w:val="7DFBE260"/>
    <w:rsid w:val="7EFDFF65"/>
    <w:rsid w:val="7FFF22DE"/>
    <w:rsid w:val="EBD64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Lines="0" w:beforeAutospacing="0" w:afterLines="0" w:afterAutospacing="0" w:line="240" w:lineRule="auto"/>
      <w:jc w:val="left"/>
      <w:outlineLvl w:val="0"/>
    </w:pPr>
    <w:rPr>
      <w:rFonts w:ascii="Times New Roman" w:hAnsi="Times New Roman" w:eastAsia="Times New Roman"/>
      <w:kern w:val="44"/>
      <w:sz w:val="28"/>
      <w:szCs w:val="28"/>
    </w:rPr>
  </w:style>
  <w:style w:type="paragraph" w:styleId="4">
    <w:name w:val="heading 2"/>
    <w:basedOn w:val="1"/>
    <w:next w:val="1"/>
    <w:unhideWhenUsed/>
    <w:qFormat/>
    <w:uiPriority w:val="0"/>
    <w:pPr>
      <w:keepNext/>
      <w:keepLines/>
      <w:spacing w:beforeLines="0" w:beforeAutospacing="0" w:afterLines="0" w:afterAutospacing="0" w:line="240" w:lineRule="auto"/>
      <w:outlineLvl w:val="1"/>
    </w:pPr>
    <w:rPr>
      <w:rFonts w:ascii="Times New Roman" w:hAnsi="Times New Roman" w:eastAsia="Times New Roman"/>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customStyle="1" w:styleId="10">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Office_4.4.1.7360_F1E327BC-269C-435d-A152-05C5408002CA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2018-12-13T23:06:00Z</dcterms:created>
  <dc:creator> </dc:creator>
  <cp:lastModifiedBy>Bling</cp:lastModifiedBy>
  <dcterms:modified xsi:type="dcterms:W3CDTF">2022-12-14T10:41:10Z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2052-4.4.1.7360</vt:lpwstr>
  </property>
  <property fmtid="{D5CDD505-2E9C-101B-9397-08002B2CF9AE}" pid="3" name="ICV">
    <vt:lpwstr>548BC284AEAE75EDA29E8C6300691D23</vt:lpwstr>
  </property>
</Properties>
</file>