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0E632" w14:textId="17AB7731" w:rsidR="00C9264B" w:rsidRDefault="00C9264B" w:rsidP="003316C2">
      <w:pPr>
        <w:pStyle w:val="Heading1"/>
        <w:jc w:val="center"/>
      </w:pPr>
      <w:r>
        <w:t>Name: Laris Zamfir</w:t>
      </w:r>
    </w:p>
    <w:p w14:paraId="1BBBBBAC" w14:textId="77777777" w:rsidR="00C9264B" w:rsidRDefault="00C9264B" w:rsidP="003316C2">
      <w:pPr>
        <w:pStyle w:val="Heading1"/>
        <w:jc w:val="center"/>
      </w:pPr>
    </w:p>
    <w:p w14:paraId="0C1B6F1C" w14:textId="600FA861" w:rsidR="00C9264B" w:rsidRDefault="00C9264B" w:rsidP="003316C2">
      <w:pPr>
        <w:pStyle w:val="Heading1"/>
        <w:jc w:val="center"/>
      </w:pPr>
      <w:r>
        <w:t>ID Number: 2213788</w:t>
      </w:r>
    </w:p>
    <w:p w14:paraId="13822C70" w14:textId="77777777" w:rsidR="00C9264B" w:rsidRDefault="00C9264B" w:rsidP="003316C2">
      <w:pPr>
        <w:pStyle w:val="Heading1"/>
        <w:jc w:val="center"/>
      </w:pPr>
    </w:p>
    <w:p w14:paraId="03EF7F10" w14:textId="47151644" w:rsidR="00C9264B" w:rsidRDefault="00C9264B" w:rsidP="003316C2">
      <w:pPr>
        <w:pStyle w:val="Heading1"/>
        <w:jc w:val="center"/>
      </w:pPr>
      <w:r>
        <w:t>Module: Principles of Marketing</w:t>
      </w:r>
    </w:p>
    <w:p w14:paraId="15EA2909" w14:textId="77777777" w:rsidR="00C9264B" w:rsidRDefault="00C9264B" w:rsidP="003316C2">
      <w:pPr>
        <w:pStyle w:val="Heading1"/>
        <w:jc w:val="center"/>
      </w:pPr>
    </w:p>
    <w:p w14:paraId="5334F5CA" w14:textId="77777777" w:rsidR="00C9264B" w:rsidRDefault="00C9264B" w:rsidP="003316C2">
      <w:pPr>
        <w:pStyle w:val="Heading1"/>
        <w:jc w:val="center"/>
      </w:pPr>
      <w:r>
        <w:t>Module code: LCBB5015</w:t>
      </w:r>
    </w:p>
    <w:p w14:paraId="31C63713" w14:textId="77777777" w:rsidR="00C9264B" w:rsidRDefault="00C9264B" w:rsidP="003316C2">
      <w:pPr>
        <w:pStyle w:val="Heading1"/>
        <w:jc w:val="center"/>
      </w:pPr>
    </w:p>
    <w:p w14:paraId="1C3BB4F0" w14:textId="77777777" w:rsidR="00C9264B" w:rsidRDefault="00C9264B" w:rsidP="003316C2">
      <w:pPr>
        <w:pStyle w:val="Heading1"/>
        <w:jc w:val="center"/>
      </w:pPr>
      <w:r>
        <w:t>Assignment Title: Component 1: Coursework: Individual Report</w:t>
      </w:r>
    </w:p>
    <w:p w14:paraId="39991748" w14:textId="77777777" w:rsidR="00C9264B" w:rsidRDefault="00C9264B" w:rsidP="003316C2">
      <w:pPr>
        <w:pStyle w:val="Heading1"/>
        <w:jc w:val="center"/>
      </w:pPr>
    </w:p>
    <w:p w14:paraId="411EF28F" w14:textId="59E6B8D6" w:rsidR="00C9264B" w:rsidRDefault="00C9264B" w:rsidP="003316C2">
      <w:pPr>
        <w:pStyle w:val="Heading1"/>
        <w:jc w:val="center"/>
      </w:pPr>
      <w:r>
        <w:t>Company: Greggs</w:t>
      </w:r>
      <w:r w:rsidR="003316C2">
        <w:t xml:space="preserve"> PLC</w:t>
      </w:r>
    </w:p>
    <w:p w14:paraId="5B4C23C6" w14:textId="77777777" w:rsidR="00C9264B" w:rsidRDefault="00C9264B" w:rsidP="003316C2">
      <w:pPr>
        <w:pStyle w:val="Heading1"/>
        <w:jc w:val="center"/>
      </w:pPr>
    </w:p>
    <w:p w14:paraId="470121B1" w14:textId="470DA81D" w:rsidR="0097371B" w:rsidRDefault="00C9264B" w:rsidP="003316C2">
      <w:pPr>
        <w:pStyle w:val="Heading1"/>
        <w:jc w:val="center"/>
      </w:pPr>
      <w:r>
        <w:t>Lecturer Name:</w:t>
      </w:r>
      <w:r w:rsidR="00D53123" w:rsidRPr="00D53123">
        <w:t xml:space="preserve"> Ade Adegbite</w:t>
      </w:r>
    </w:p>
    <w:p w14:paraId="5BD1DE23" w14:textId="77777777" w:rsidR="003316C2" w:rsidRDefault="003316C2" w:rsidP="003316C2">
      <w:pPr>
        <w:rPr>
          <w:rFonts w:asciiTheme="majorHAnsi" w:eastAsiaTheme="majorEastAsia" w:hAnsiTheme="majorHAnsi" w:cstheme="majorBidi"/>
          <w:color w:val="0F4761" w:themeColor="accent1" w:themeShade="BF"/>
          <w:sz w:val="40"/>
          <w:szCs w:val="40"/>
        </w:rPr>
      </w:pPr>
    </w:p>
    <w:p w14:paraId="4A9063A8" w14:textId="77777777" w:rsidR="003316C2" w:rsidRDefault="003316C2" w:rsidP="003316C2"/>
    <w:p w14:paraId="1C463D7B" w14:textId="77777777" w:rsidR="003316C2" w:rsidRDefault="003316C2" w:rsidP="003316C2"/>
    <w:p w14:paraId="29F2C3A6" w14:textId="5F605E73" w:rsidR="003316C2" w:rsidRPr="00D7145B" w:rsidRDefault="00EF17E8" w:rsidP="003316C2">
      <w:pPr>
        <w:rPr>
          <w:rFonts w:ascii="Arial" w:hAnsi="Arial" w:cs="Arial"/>
          <w:b/>
          <w:bCs/>
          <w:sz w:val="24"/>
          <w:szCs w:val="24"/>
          <w:u w:val="single"/>
        </w:rPr>
      </w:pPr>
      <w:r w:rsidRPr="00D7145B">
        <w:rPr>
          <w:rFonts w:ascii="Arial" w:hAnsi="Arial" w:cs="Arial"/>
          <w:b/>
          <w:bCs/>
          <w:sz w:val="24"/>
          <w:szCs w:val="24"/>
          <w:u w:val="single"/>
        </w:rPr>
        <w:lastRenderedPageBreak/>
        <w:t xml:space="preserve">INTRODUCTION </w:t>
      </w:r>
    </w:p>
    <w:p w14:paraId="07570500" w14:textId="1395C4F3" w:rsidR="00D7145B" w:rsidRPr="00D7145B" w:rsidRDefault="00D7145B" w:rsidP="00D7145B">
      <w:pPr>
        <w:rPr>
          <w:rFonts w:ascii="Arial" w:hAnsi="Arial" w:cs="Arial"/>
          <w:sz w:val="24"/>
          <w:szCs w:val="24"/>
        </w:rPr>
      </w:pPr>
      <w:r w:rsidRPr="00D7145B">
        <w:rPr>
          <w:rFonts w:ascii="Arial" w:hAnsi="Arial" w:cs="Arial"/>
          <w:sz w:val="24"/>
          <w:szCs w:val="24"/>
        </w:rPr>
        <w:t>Greggs PLC is a prominent food-on-the-go retailer based in the UK, focusing on bakery items, sandwiches, hot meals, and drinks. Established in 1939, Greggs has evolved into one of the most recogni</w:t>
      </w:r>
      <w:r w:rsidR="003F7690">
        <w:rPr>
          <w:rFonts w:ascii="Arial" w:hAnsi="Arial" w:cs="Arial"/>
          <w:sz w:val="24"/>
          <w:szCs w:val="24"/>
        </w:rPr>
        <w:t>s</w:t>
      </w:r>
      <w:r w:rsidRPr="00D7145B">
        <w:rPr>
          <w:rFonts w:ascii="Arial" w:hAnsi="Arial" w:cs="Arial"/>
          <w:sz w:val="24"/>
          <w:szCs w:val="24"/>
        </w:rPr>
        <w:t>able brands on the UK high street, with over 2,300 locations across the country. The company operates within the fast-food and quick-service restaurant (QSR) sector, where factors such as convenience, pricing, and brand loyalty play vital roles in achieving success (Greggs, 2023).</w:t>
      </w:r>
    </w:p>
    <w:p w14:paraId="301F8063" w14:textId="50D3463E" w:rsidR="00D7145B" w:rsidRDefault="00D7145B" w:rsidP="00D7145B">
      <w:pPr>
        <w:rPr>
          <w:rFonts w:ascii="Arial" w:hAnsi="Arial" w:cs="Arial"/>
          <w:sz w:val="24"/>
          <w:szCs w:val="24"/>
        </w:rPr>
      </w:pPr>
      <w:r w:rsidRPr="00D7145B">
        <w:rPr>
          <w:rFonts w:ascii="Arial" w:hAnsi="Arial" w:cs="Arial"/>
          <w:sz w:val="24"/>
          <w:szCs w:val="24"/>
        </w:rPr>
        <w:t xml:space="preserve">This report aims to perform a situational analysis of Greggs through the lens of Porter’s Five Forces model. This analytical framework examines the competitive dynamics within an industry to determine its appeal and the strategic positioning of the companies within it (Porter, 2008). By </w:t>
      </w:r>
      <w:r w:rsidR="001C6201" w:rsidRPr="001C6201">
        <w:rPr>
          <w:rFonts w:ascii="Arial" w:hAnsi="Arial" w:cs="Arial"/>
          <w:sz w:val="24"/>
          <w:szCs w:val="24"/>
        </w:rPr>
        <w:t>analysing</w:t>
      </w:r>
      <w:r w:rsidRPr="00D7145B">
        <w:rPr>
          <w:rFonts w:ascii="Arial" w:hAnsi="Arial" w:cs="Arial"/>
          <w:sz w:val="24"/>
          <w:szCs w:val="24"/>
        </w:rPr>
        <w:t xml:space="preserve"> these forces, the report seeks to uncover significant external challenges impacting Greggs and assess their consequences for strategic decision-making.</w:t>
      </w:r>
    </w:p>
    <w:p w14:paraId="00C09B61" w14:textId="77777777" w:rsidR="00F909CD" w:rsidRDefault="00F909CD" w:rsidP="00F909CD">
      <w:pPr>
        <w:rPr>
          <w:rFonts w:ascii="Arial" w:hAnsi="Arial" w:cs="Arial"/>
          <w:sz w:val="24"/>
          <w:szCs w:val="24"/>
        </w:rPr>
      </w:pPr>
    </w:p>
    <w:p w14:paraId="1AC43268" w14:textId="77777777" w:rsidR="007E0519" w:rsidRDefault="007E0519" w:rsidP="00F909CD">
      <w:pPr>
        <w:rPr>
          <w:rFonts w:ascii="Arial" w:hAnsi="Arial" w:cs="Arial"/>
          <w:sz w:val="24"/>
          <w:szCs w:val="24"/>
        </w:rPr>
      </w:pPr>
    </w:p>
    <w:p w14:paraId="533F501A" w14:textId="77777777" w:rsidR="007E0519" w:rsidRDefault="007E0519" w:rsidP="00F909CD">
      <w:pPr>
        <w:rPr>
          <w:rFonts w:ascii="Arial" w:hAnsi="Arial" w:cs="Arial"/>
          <w:sz w:val="24"/>
          <w:szCs w:val="24"/>
        </w:rPr>
      </w:pPr>
    </w:p>
    <w:p w14:paraId="00DCDC8F" w14:textId="4492F132" w:rsidR="00645BE1" w:rsidRDefault="00F909CD" w:rsidP="00645BE1">
      <w:pPr>
        <w:rPr>
          <w:rFonts w:ascii="Arial" w:hAnsi="Arial" w:cs="Arial"/>
          <w:b/>
          <w:bCs/>
          <w:sz w:val="24"/>
          <w:szCs w:val="24"/>
          <w:u w:val="single"/>
        </w:rPr>
      </w:pPr>
      <w:r w:rsidRPr="00AC718C">
        <w:rPr>
          <w:rFonts w:ascii="Arial" w:hAnsi="Arial" w:cs="Arial"/>
          <w:b/>
          <w:bCs/>
          <w:sz w:val="24"/>
          <w:szCs w:val="24"/>
          <w:u w:val="single"/>
        </w:rPr>
        <w:t>SITUATIONAL ANALYSIS –</w:t>
      </w:r>
      <w:r w:rsidRPr="00AC718C">
        <w:rPr>
          <w:rFonts w:ascii="Arial" w:hAnsi="Arial" w:cs="Arial"/>
          <w:sz w:val="24"/>
          <w:szCs w:val="24"/>
          <w:u w:val="single"/>
        </w:rPr>
        <w:t xml:space="preserve"> </w:t>
      </w:r>
      <w:r w:rsidRPr="00AC718C">
        <w:rPr>
          <w:rFonts w:ascii="Arial" w:hAnsi="Arial" w:cs="Arial"/>
          <w:b/>
          <w:bCs/>
          <w:sz w:val="24"/>
          <w:szCs w:val="24"/>
          <w:u w:val="single"/>
        </w:rPr>
        <w:t>PORTER’S FIVE FORCES</w:t>
      </w:r>
    </w:p>
    <w:p w14:paraId="68185671" w14:textId="6FF05E1B" w:rsidR="00645BE1" w:rsidRDefault="00645BE1" w:rsidP="00645BE1">
      <w:pPr>
        <w:rPr>
          <w:rFonts w:ascii="Arial" w:hAnsi="Arial" w:cs="Arial"/>
          <w:sz w:val="24"/>
          <w:szCs w:val="24"/>
        </w:rPr>
      </w:pPr>
      <w:r w:rsidRPr="00645BE1">
        <w:rPr>
          <w:rFonts w:ascii="Arial" w:hAnsi="Arial" w:cs="Arial"/>
          <w:b/>
          <w:bCs/>
          <w:sz w:val="24"/>
          <w:szCs w:val="24"/>
        </w:rPr>
        <w:t>Threat of New Entrants</w:t>
      </w:r>
      <w:r>
        <w:rPr>
          <w:rFonts w:ascii="Arial" w:hAnsi="Arial" w:cs="Arial"/>
          <w:b/>
          <w:bCs/>
          <w:sz w:val="24"/>
          <w:szCs w:val="24"/>
        </w:rPr>
        <w:t xml:space="preserve"> - </w:t>
      </w:r>
      <w:r w:rsidR="00CC1088" w:rsidRPr="00CC1088">
        <w:rPr>
          <w:rFonts w:ascii="Arial" w:hAnsi="Arial" w:cs="Arial"/>
          <w:sz w:val="24"/>
          <w:szCs w:val="24"/>
        </w:rPr>
        <w:t xml:space="preserve">The threat posed by new entrants in the UK fast-food sector is considered moderate. On one side, the relatively low capital investment </w:t>
      </w:r>
      <w:r w:rsidR="00C46DB4" w:rsidRPr="00CC1088">
        <w:rPr>
          <w:rFonts w:ascii="Arial" w:hAnsi="Arial" w:cs="Arial"/>
          <w:sz w:val="24"/>
          <w:szCs w:val="24"/>
        </w:rPr>
        <w:t>required,</w:t>
      </w:r>
      <w:r w:rsidR="00CC1088" w:rsidRPr="00CC1088">
        <w:rPr>
          <w:rFonts w:ascii="Arial" w:hAnsi="Arial" w:cs="Arial"/>
          <w:sz w:val="24"/>
          <w:szCs w:val="24"/>
        </w:rPr>
        <w:t xml:space="preserve"> and minimal regulatory hurdles facilitate the entry of small businesses and independent food establishments into the market. Furthermore, the emergence of digital platforms and food delivery services has diminished the barriers for new brands (IBISWorld, 2024).</w:t>
      </w:r>
    </w:p>
    <w:p w14:paraId="73F751A6" w14:textId="2CBB29C9" w:rsidR="003716FE" w:rsidRDefault="00C02110" w:rsidP="00645BE1">
      <w:pPr>
        <w:rPr>
          <w:rFonts w:ascii="Arial" w:hAnsi="Arial" w:cs="Arial"/>
          <w:sz w:val="24"/>
          <w:szCs w:val="24"/>
        </w:rPr>
      </w:pPr>
      <w:r>
        <w:rPr>
          <w:rFonts w:ascii="Arial" w:hAnsi="Arial" w:cs="Arial"/>
          <w:sz w:val="24"/>
          <w:szCs w:val="24"/>
        </w:rPr>
        <w:t>However</w:t>
      </w:r>
      <w:r w:rsidR="003716FE" w:rsidRPr="003716FE">
        <w:rPr>
          <w:rFonts w:ascii="Arial" w:hAnsi="Arial" w:cs="Arial"/>
          <w:sz w:val="24"/>
          <w:szCs w:val="24"/>
        </w:rPr>
        <w:t xml:space="preserve">, </w:t>
      </w:r>
      <w:r w:rsidRPr="00C02110">
        <w:rPr>
          <w:rFonts w:ascii="Arial" w:hAnsi="Arial" w:cs="Arial"/>
          <w:sz w:val="24"/>
          <w:szCs w:val="24"/>
        </w:rPr>
        <w:t>benefits from strong brand recognition, economies of scale and an extensive distribution network, which create significant barriers for new competitors</w:t>
      </w:r>
      <w:r w:rsidR="003716FE" w:rsidRPr="003716FE">
        <w:rPr>
          <w:rFonts w:ascii="Arial" w:hAnsi="Arial" w:cs="Arial"/>
          <w:sz w:val="24"/>
          <w:szCs w:val="24"/>
        </w:rPr>
        <w:t>. Established customer loyalty and competitive pricing further diminish the chances of new entrants successfully gaining market share. Thus, while market entry is feasible, maintaining long-term competitiveness poses significant challenges for new companies.</w:t>
      </w:r>
    </w:p>
    <w:p w14:paraId="5BA8DF75" w14:textId="627942D6" w:rsidR="001A4368" w:rsidRPr="001A4368" w:rsidRDefault="001A4368" w:rsidP="001A4368">
      <w:pPr>
        <w:rPr>
          <w:rFonts w:ascii="Arial" w:hAnsi="Arial" w:cs="Arial"/>
          <w:sz w:val="24"/>
          <w:szCs w:val="24"/>
        </w:rPr>
      </w:pPr>
      <w:r w:rsidRPr="001A4368">
        <w:rPr>
          <w:rFonts w:ascii="Arial" w:hAnsi="Arial" w:cs="Arial"/>
          <w:b/>
          <w:bCs/>
          <w:sz w:val="24"/>
          <w:szCs w:val="24"/>
        </w:rPr>
        <w:t>Bargaining Power of Suppliers</w:t>
      </w:r>
      <w:r>
        <w:rPr>
          <w:rFonts w:ascii="Arial" w:hAnsi="Arial" w:cs="Arial"/>
          <w:sz w:val="24"/>
          <w:szCs w:val="24"/>
        </w:rPr>
        <w:t xml:space="preserve"> - </w:t>
      </w:r>
      <w:r w:rsidRPr="001A4368">
        <w:rPr>
          <w:rFonts w:ascii="Arial" w:hAnsi="Arial" w:cs="Arial"/>
          <w:sz w:val="24"/>
          <w:szCs w:val="24"/>
        </w:rPr>
        <w:t>The bargaining power of suppliers within Greggs’ industry is assessed as relatively low to moderate. Greggs procures raw materials such as flour, meat, and dairy from a diverse array of suppliers, which lessens reliance on any single source. This diversification allows the company to negotiate advantageous terms and mitigate supply chain risks (Greggs, 2023).</w:t>
      </w:r>
    </w:p>
    <w:p w14:paraId="6137B3B4" w14:textId="78917CA4" w:rsidR="00532A20" w:rsidRDefault="001A4368" w:rsidP="001A4368">
      <w:pPr>
        <w:rPr>
          <w:rFonts w:ascii="Arial" w:hAnsi="Arial" w:cs="Arial"/>
          <w:sz w:val="24"/>
          <w:szCs w:val="24"/>
        </w:rPr>
      </w:pPr>
      <w:r w:rsidRPr="001A4368">
        <w:rPr>
          <w:rFonts w:ascii="Arial" w:hAnsi="Arial" w:cs="Arial"/>
          <w:sz w:val="24"/>
          <w:szCs w:val="24"/>
        </w:rPr>
        <w:t>However, variations in commodity prices and disruptions in the supply chain, particularly in the aftermath of Brexit and amid global economic instability, can enhance supplier power. Increasing costs of energy and raw materials have also exerted pressure on profit margins within the food sector (Statista, 2024). Despite these obstacles, Greggs’ scale and purchasing power curtail the overall influence of suppliers.</w:t>
      </w:r>
    </w:p>
    <w:p w14:paraId="4B107B99" w14:textId="77777777" w:rsidR="007E0519" w:rsidRDefault="007E0519" w:rsidP="001A4368">
      <w:pPr>
        <w:rPr>
          <w:rFonts w:ascii="Arial" w:hAnsi="Arial" w:cs="Arial"/>
          <w:sz w:val="24"/>
          <w:szCs w:val="24"/>
        </w:rPr>
      </w:pPr>
    </w:p>
    <w:p w14:paraId="5504E2D8" w14:textId="4E7256E4" w:rsidR="003F2B14" w:rsidRPr="003F2B14" w:rsidRDefault="00082821" w:rsidP="003F2B14">
      <w:pPr>
        <w:rPr>
          <w:rFonts w:ascii="Arial" w:hAnsi="Arial" w:cs="Arial"/>
          <w:sz w:val="24"/>
          <w:szCs w:val="24"/>
        </w:rPr>
      </w:pPr>
      <w:r w:rsidRPr="003F2B14">
        <w:rPr>
          <w:rFonts w:ascii="Arial" w:hAnsi="Arial" w:cs="Arial"/>
          <w:b/>
          <w:bCs/>
          <w:sz w:val="24"/>
          <w:szCs w:val="24"/>
        </w:rPr>
        <w:lastRenderedPageBreak/>
        <w:t>Bargaining Power of Buyers</w:t>
      </w:r>
      <w:r>
        <w:rPr>
          <w:rFonts w:ascii="Arial" w:hAnsi="Arial" w:cs="Arial"/>
          <w:sz w:val="24"/>
          <w:szCs w:val="24"/>
        </w:rPr>
        <w:t xml:space="preserve"> - </w:t>
      </w:r>
      <w:r w:rsidR="003F2B14" w:rsidRPr="003F2B14">
        <w:rPr>
          <w:rFonts w:ascii="Arial" w:hAnsi="Arial" w:cs="Arial"/>
          <w:sz w:val="24"/>
          <w:szCs w:val="24"/>
        </w:rPr>
        <w:t>The bargaining power of consumers in the fast-food industry is considerable. Customers have a wide range of options, including supermarkets, cafés, independent bakeries, and global fast-food chains. Price sensitivity is particularly pronounced during times of economic instability, compelling companies like Greggs to adopt competitive pricing strategies (Euromonitor, 2023).</w:t>
      </w:r>
    </w:p>
    <w:p w14:paraId="282C0A79" w14:textId="377F5B13" w:rsidR="007E0519" w:rsidRDefault="003F2B14" w:rsidP="003F2B14">
      <w:pPr>
        <w:rPr>
          <w:rFonts w:ascii="Arial" w:hAnsi="Arial" w:cs="Arial"/>
          <w:sz w:val="24"/>
          <w:szCs w:val="24"/>
        </w:rPr>
      </w:pPr>
      <w:r w:rsidRPr="003F2B14">
        <w:rPr>
          <w:rFonts w:ascii="Arial" w:hAnsi="Arial" w:cs="Arial"/>
          <w:sz w:val="24"/>
          <w:szCs w:val="24"/>
        </w:rPr>
        <w:t>Moreover, contemporary consumers are increasingly seeking healthier, sustainable, and ethically sourced food products. This shift raises customer expectations and impacts Greggs’ product development and marketing approaches. Consequently, customer preferences are pivotal in influencing Greggs’ strategic choices.</w:t>
      </w:r>
    </w:p>
    <w:p w14:paraId="6375F535" w14:textId="12C8992E" w:rsidR="00292A4C" w:rsidRPr="00292A4C" w:rsidRDefault="00292A4C" w:rsidP="00292A4C">
      <w:pPr>
        <w:rPr>
          <w:rFonts w:ascii="Arial" w:hAnsi="Arial" w:cs="Arial"/>
          <w:sz w:val="24"/>
          <w:szCs w:val="24"/>
        </w:rPr>
      </w:pPr>
      <w:r w:rsidRPr="00292A4C">
        <w:rPr>
          <w:rFonts w:ascii="Arial" w:hAnsi="Arial" w:cs="Arial"/>
          <w:b/>
          <w:bCs/>
          <w:sz w:val="24"/>
          <w:szCs w:val="24"/>
        </w:rPr>
        <w:t>Threat of Substitute Products</w:t>
      </w:r>
      <w:r>
        <w:rPr>
          <w:rFonts w:ascii="Arial" w:hAnsi="Arial" w:cs="Arial"/>
          <w:sz w:val="24"/>
          <w:szCs w:val="24"/>
        </w:rPr>
        <w:t xml:space="preserve"> - </w:t>
      </w:r>
      <w:r w:rsidRPr="00292A4C">
        <w:rPr>
          <w:rFonts w:ascii="Arial" w:hAnsi="Arial" w:cs="Arial"/>
          <w:sz w:val="24"/>
          <w:szCs w:val="24"/>
        </w:rPr>
        <w:t>The threat posed by substitutes in the fast-food sector is substantial. Consumers can readily replace Greggs’ offerings with home-cooked meals, ready-to-eat items from supermarkets, or other fast-food brands. The presence of affordable and convenient substitutes heightens competitive pressure on Greggs (IBISWorld, 2024).</w:t>
      </w:r>
    </w:p>
    <w:p w14:paraId="4B355596" w14:textId="3F4CCFB1" w:rsidR="00E93CA5" w:rsidRDefault="00292A4C" w:rsidP="00292A4C">
      <w:pPr>
        <w:rPr>
          <w:rFonts w:ascii="Arial" w:hAnsi="Arial" w:cs="Arial"/>
          <w:sz w:val="24"/>
          <w:szCs w:val="24"/>
        </w:rPr>
      </w:pPr>
      <w:r w:rsidRPr="00292A4C">
        <w:rPr>
          <w:rFonts w:ascii="Arial" w:hAnsi="Arial" w:cs="Arial"/>
          <w:sz w:val="24"/>
          <w:szCs w:val="24"/>
        </w:rPr>
        <w:t>In addition, rising health consciousness has prompted some consumers to limit their intake of processed and high-calorie foods, making healthier alternatives more appealing. In response to this threat, Greggs has broadened its menu to feature vegan and healthier selections, showcasing its strategic adjustment to evolving consumer preferences.</w:t>
      </w:r>
    </w:p>
    <w:p w14:paraId="33F25007" w14:textId="6082EEAA" w:rsidR="009A4DDD" w:rsidRPr="009A4DDD" w:rsidRDefault="009A4DDD" w:rsidP="009A4DDD">
      <w:pPr>
        <w:rPr>
          <w:rFonts w:ascii="Arial" w:hAnsi="Arial" w:cs="Arial"/>
          <w:b/>
          <w:bCs/>
          <w:sz w:val="24"/>
          <w:szCs w:val="24"/>
        </w:rPr>
      </w:pPr>
      <w:r w:rsidRPr="009A4DDD">
        <w:rPr>
          <w:rFonts w:ascii="Arial" w:hAnsi="Arial" w:cs="Arial"/>
          <w:b/>
          <w:bCs/>
          <w:sz w:val="24"/>
          <w:szCs w:val="24"/>
        </w:rPr>
        <w:t>Competitive Rivalry</w:t>
      </w:r>
      <w:r>
        <w:rPr>
          <w:rFonts w:ascii="Arial" w:hAnsi="Arial" w:cs="Arial"/>
          <w:b/>
          <w:bCs/>
          <w:sz w:val="24"/>
          <w:szCs w:val="24"/>
        </w:rPr>
        <w:t xml:space="preserve"> - </w:t>
      </w:r>
      <w:r w:rsidRPr="009A4DDD">
        <w:rPr>
          <w:rFonts w:ascii="Arial" w:hAnsi="Arial" w:cs="Arial"/>
          <w:sz w:val="24"/>
          <w:szCs w:val="24"/>
        </w:rPr>
        <w:t xml:space="preserve">Competitive rivalry in the UK fast-food sector is </w:t>
      </w:r>
      <w:r w:rsidR="00F85FCB">
        <w:rPr>
          <w:rFonts w:ascii="Arial" w:hAnsi="Arial" w:cs="Arial"/>
          <w:sz w:val="24"/>
          <w:szCs w:val="24"/>
        </w:rPr>
        <w:t>intense</w:t>
      </w:r>
      <w:r w:rsidRPr="009A4DDD">
        <w:rPr>
          <w:rFonts w:ascii="Arial" w:hAnsi="Arial" w:cs="Arial"/>
          <w:sz w:val="24"/>
          <w:szCs w:val="24"/>
        </w:rPr>
        <w:t xml:space="preserve">. Greggs faces competition from </w:t>
      </w:r>
      <w:r w:rsidR="00F85FCB">
        <w:rPr>
          <w:rFonts w:ascii="Arial" w:hAnsi="Arial" w:cs="Arial"/>
          <w:sz w:val="24"/>
          <w:szCs w:val="24"/>
        </w:rPr>
        <w:t>major</w:t>
      </w:r>
      <w:r w:rsidRPr="009A4DDD">
        <w:rPr>
          <w:rFonts w:ascii="Arial" w:hAnsi="Arial" w:cs="Arial"/>
          <w:sz w:val="24"/>
          <w:szCs w:val="24"/>
        </w:rPr>
        <w:t xml:space="preserve"> brands such as McDonald’s, Subway, and Costa Coffee, along with supermarkets that provide meal deals and hot food options. The high level of market saturation and </w:t>
      </w:r>
      <w:r w:rsidR="00F85FCB">
        <w:rPr>
          <w:rFonts w:ascii="Arial" w:hAnsi="Arial" w:cs="Arial"/>
          <w:sz w:val="24"/>
          <w:szCs w:val="24"/>
        </w:rPr>
        <w:t>slow</w:t>
      </w:r>
      <w:r w:rsidRPr="009A4DDD">
        <w:rPr>
          <w:rFonts w:ascii="Arial" w:hAnsi="Arial" w:cs="Arial"/>
          <w:sz w:val="24"/>
          <w:szCs w:val="24"/>
        </w:rPr>
        <w:t xml:space="preserve"> industry growth further </w:t>
      </w:r>
      <w:r w:rsidR="002D3BA0" w:rsidRPr="009A4DDD">
        <w:rPr>
          <w:rFonts w:ascii="Arial" w:hAnsi="Arial" w:cs="Arial"/>
          <w:sz w:val="24"/>
          <w:szCs w:val="24"/>
        </w:rPr>
        <w:t>intensifies</w:t>
      </w:r>
      <w:r w:rsidRPr="009A4DDD">
        <w:rPr>
          <w:rFonts w:ascii="Arial" w:hAnsi="Arial" w:cs="Arial"/>
          <w:sz w:val="24"/>
          <w:szCs w:val="24"/>
        </w:rPr>
        <w:t xml:space="preserve"> competition (Euromonitor, 2023).</w:t>
      </w:r>
    </w:p>
    <w:p w14:paraId="58BBC1AB" w14:textId="71F4E5E5" w:rsidR="009A4DDD" w:rsidRDefault="009A4DDD" w:rsidP="009A4DDD">
      <w:pPr>
        <w:rPr>
          <w:rFonts w:ascii="Arial" w:hAnsi="Arial" w:cs="Arial"/>
          <w:sz w:val="24"/>
          <w:szCs w:val="24"/>
        </w:rPr>
      </w:pPr>
      <w:r w:rsidRPr="009A4DDD">
        <w:rPr>
          <w:rFonts w:ascii="Arial" w:hAnsi="Arial" w:cs="Arial"/>
          <w:sz w:val="24"/>
          <w:szCs w:val="24"/>
        </w:rPr>
        <w:t>To sustain its competitive edge, Greggs focuses on cost leadership, product innovation, and a robust brand identity. The company’s capacity to deliver affordable, convenient, and consistent products has been fundamental to its success. Nevertheless, the intense rivalry continues to apply pressure.</w:t>
      </w:r>
    </w:p>
    <w:p w14:paraId="0C7E8281" w14:textId="77777777" w:rsidR="002D18AA" w:rsidRDefault="002D18AA" w:rsidP="009A4DDD">
      <w:pPr>
        <w:rPr>
          <w:rFonts w:ascii="Arial" w:hAnsi="Arial" w:cs="Arial"/>
          <w:sz w:val="24"/>
          <w:szCs w:val="24"/>
        </w:rPr>
      </w:pPr>
    </w:p>
    <w:p w14:paraId="69E77907" w14:textId="77777777" w:rsidR="002D18AA" w:rsidRDefault="002D18AA" w:rsidP="009A4DDD">
      <w:pPr>
        <w:rPr>
          <w:rFonts w:ascii="Arial" w:hAnsi="Arial" w:cs="Arial"/>
          <w:sz w:val="24"/>
          <w:szCs w:val="24"/>
        </w:rPr>
      </w:pPr>
    </w:p>
    <w:p w14:paraId="042E7F14" w14:textId="77777777" w:rsidR="002D18AA" w:rsidRDefault="002D18AA" w:rsidP="009A4DDD">
      <w:pPr>
        <w:rPr>
          <w:rFonts w:ascii="Arial" w:hAnsi="Arial" w:cs="Arial"/>
          <w:sz w:val="24"/>
          <w:szCs w:val="24"/>
        </w:rPr>
      </w:pPr>
    </w:p>
    <w:p w14:paraId="12BB6BC0" w14:textId="7D5ADC61" w:rsidR="007E0519" w:rsidRPr="009A2227" w:rsidRDefault="002D18AA" w:rsidP="001A4368">
      <w:pPr>
        <w:rPr>
          <w:rFonts w:ascii="Arial" w:hAnsi="Arial" w:cs="Arial"/>
          <w:b/>
          <w:bCs/>
          <w:sz w:val="24"/>
          <w:szCs w:val="24"/>
          <w:u w:val="single"/>
        </w:rPr>
      </w:pPr>
      <w:r w:rsidRPr="002D18AA">
        <w:rPr>
          <w:rFonts w:ascii="Arial" w:hAnsi="Arial" w:cs="Arial"/>
          <w:b/>
          <w:bCs/>
          <w:sz w:val="24"/>
          <w:szCs w:val="24"/>
          <w:u w:val="single"/>
        </w:rPr>
        <w:t>CRITICAL ANALYSIS AND EVALUATION</w:t>
      </w:r>
    </w:p>
    <w:p w14:paraId="06AD213B" w14:textId="77777777" w:rsidR="009A2227" w:rsidRPr="009A2227" w:rsidRDefault="009A2227" w:rsidP="009A2227">
      <w:pPr>
        <w:rPr>
          <w:rFonts w:ascii="Arial" w:hAnsi="Arial" w:cs="Arial"/>
          <w:sz w:val="24"/>
          <w:szCs w:val="24"/>
        </w:rPr>
      </w:pPr>
      <w:r w:rsidRPr="009A2227">
        <w:rPr>
          <w:rFonts w:ascii="Arial" w:hAnsi="Arial" w:cs="Arial"/>
          <w:sz w:val="24"/>
          <w:szCs w:val="24"/>
        </w:rPr>
        <w:t>Porter’s Five Forces analysis indicates that Greggs functions within a highly competitive sector marked by substantial buyer power, considerable threats from substitutes, and fierce rivalry. According to Porter (2008), companies in such settings must formulate distinct competitive strategies to maintain profitability. Greggs’ emphasis on affordability and convenience exemplifies a cost leadership strategy, which is consistent with Porter’s competitive strategy framework.</w:t>
      </w:r>
    </w:p>
    <w:p w14:paraId="3AE08164" w14:textId="77777777" w:rsidR="009A2227" w:rsidRPr="009A2227" w:rsidRDefault="009A2227" w:rsidP="009A2227">
      <w:pPr>
        <w:rPr>
          <w:rFonts w:ascii="Arial" w:hAnsi="Arial" w:cs="Arial"/>
          <w:sz w:val="24"/>
          <w:szCs w:val="24"/>
        </w:rPr>
      </w:pPr>
    </w:p>
    <w:p w14:paraId="4E5F4B54" w14:textId="0F8D56AE" w:rsidR="009A2227" w:rsidRPr="009A2227" w:rsidRDefault="009A2227" w:rsidP="009A2227">
      <w:pPr>
        <w:rPr>
          <w:rFonts w:ascii="Arial" w:hAnsi="Arial" w:cs="Arial"/>
          <w:sz w:val="24"/>
          <w:szCs w:val="24"/>
        </w:rPr>
      </w:pPr>
      <w:r w:rsidRPr="009A2227">
        <w:rPr>
          <w:rFonts w:ascii="Arial" w:hAnsi="Arial" w:cs="Arial"/>
          <w:sz w:val="24"/>
          <w:szCs w:val="24"/>
        </w:rPr>
        <w:lastRenderedPageBreak/>
        <w:t>Moreover, the analysis underscores the significance of external industry forces in influencing organisational performance. Johnson et al. (2017) contend that comprehending industry structure allows firms to better anticipate threats and leverage opportunities. Greggs’ foray into digital ordering and delivery services demonstrates how businesses can strategically adapt to competitive pressures and technological advancements.</w:t>
      </w:r>
    </w:p>
    <w:p w14:paraId="08E85702" w14:textId="7FE79DE1" w:rsidR="007E0519" w:rsidRDefault="00472271" w:rsidP="009A2227">
      <w:pPr>
        <w:rPr>
          <w:rFonts w:ascii="Arial" w:hAnsi="Arial" w:cs="Arial"/>
          <w:sz w:val="24"/>
          <w:szCs w:val="24"/>
        </w:rPr>
      </w:pPr>
      <w:r>
        <w:rPr>
          <w:rFonts w:ascii="Arial" w:hAnsi="Arial" w:cs="Arial"/>
          <w:sz w:val="24"/>
          <w:szCs w:val="24"/>
        </w:rPr>
        <w:t>However</w:t>
      </w:r>
      <w:r w:rsidR="009A2227" w:rsidRPr="009A2227">
        <w:rPr>
          <w:rFonts w:ascii="Arial" w:hAnsi="Arial" w:cs="Arial"/>
          <w:sz w:val="24"/>
          <w:szCs w:val="24"/>
        </w:rPr>
        <w:t xml:space="preserve">, Porter’s model has its drawbacks. It predominantly concentrates on external competitive forces and does not adequately account for internal organisational capabilities or evolving market dynamics. Consequently, relying exclusively on this framework may oversimplify intricate strategic realities. Integrating Porter’s model with additional analytical tools could yield a more thorough understanding of Greggs’ strategic </w:t>
      </w:r>
      <w:r w:rsidR="003A1898">
        <w:rPr>
          <w:rFonts w:ascii="Arial" w:hAnsi="Arial" w:cs="Arial"/>
          <w:sz w:val="24"/>
          <w:szCs w:val="24"/>
        </w:rPr>
        <w:t>environment</w:t>
      </w:r>
      <w:r w:rsidR="009A2227" w:rsidRPr="009A2227">
        <w:rPr>
          <w:rFonts w:ascii="Arial" w:hAnsi="Arial" w:cs="Arial"/>
          <w:sz w:val="24"/>
          <w:szCs w:val="24"/>
        </w:rPr>
        <w:t>.</w:t>
      </w:r>
    </w:p>
    <w:p w14:paraId="30E47197" w14:textId="77777777" w:rsidR="00ED3996" w:rsidRDefault="00ED3996" w:rsidP="009A2227">
      <w:pPr>
        <w:rPr>
          <w:rFonts w:ascii="Arial" w:hAnsi="Arial" w:cs="Arial"/>
          <w:sz w:val="24"/>
          <w:szCs w:val="24"/>
        </w:rPr>
      </w:pPr>
    </w:p>
    <w:p w14:paraId="15244703" w14:textId="77777777" w:rsidR="00ED3996" w:rsidRDefault="00ED3996" w:rsidP="009A2227">
      <w:pPr>
        <w:rPr>
          <w:rFonts w:ascii="Arial" w:hAnsi="Arial" w:cs="Arial"/>
          <w:sz w:val="24"/>
          <w:szCs w:val="24"/>
        </w:rPr>
      </w:pPr>
    </w:p>
    <w:p w14:paraId="3DC495BA" w14:textId="77777777" w:rsidR="00ED3996" w:rsidRDefault="00ED3996" w:rsidP="009A2227">
      <w:pPr>
        <w:rPr>
          <w:rFonts w:ascii="Arial" w:hAnsi="Arial" w:cs="Arial"/>
          <w:sz w:val="24"/>
          <w:szCs w:val="24"/>
        </w:rPr>
      </w:pPr>
    </w:p>
    <w:p w14:paraId="509B011C" w14:textId="5A2C2F54" w:rsidR="00ED3996" w:rsidRDefault="00ED3996" w:rsidP="009A2227">
      <w:pPr>
        <w:rPr>
          <w:rFonts w:ascii="Arial" w:hAnsi="Arial" w:cs="Arial"/>
          <w:b/>
          <w:bCs/>
          <w:sz w:val="24"/>
          <w:szCs w:val="24"/>
          <w:u w:val="single"/>
        </w:rPr>
      </w:pPr>
      <w:r w:rsidRPr="00ED3996">
        <w:rPr>
          <w:rFonts w:ascii="Arial" w:hAnsi="Arial" w:cs="Arial"/>
          <w:b/>
          <w:bCs/>
          <w:sz w:val="24"/>
          <w:szCs w:val="24"/>
          <w:u w:val="single"/>
        </w:rPr>
        <w:t>CONCLUSION AND RECOMMENDATION</w:t>
      </w:r>
    </w:p>
    <w:p w14:paraId="0385363F" w14:textId="77777777" w:rsidR="00524874" w:rsidRDefault="00524874" w:rsidP="00524874">
      <w:pPr>
        <w:rPr>
          <w:rFonts w:ascii="Arial" w:hAnsi="Arial" w:cs="Arial"/>
          <w:b/>
          <w:bCs/>
          <w:sz w:val="24"/>
          <w:szCs w:val="24"/>
          <w:u w:val="single"/>
        </w:rPr>
      </w:pPr>
    </w:p>
    <w:p w14:paraId="02E7730F" w14:textId="69E47CAD" w:rsidR="00524874" w:rsidRPr="00524874" w:rsidRDefault="00524874" w:rsidP="00524874">
      <w:pPr>
        <w:rPr>
          <w:rFonts w:ascii="Arial" w:hAnsi="Arial" w:cs="Arial"/>
          <w:sz w:val="24"/>
          <w:szCs w:val="24"/>
        </w:rPr>
      </w:pPr>
      <w:r w:rsidRPr="00524874">
        <w:rPr>
          <w:rFonts w:ascii="Arial" w:hAnsi="Arial" w:cs="Arial"/>
          <w:sz w:val="24"/>
          <w:szCs w:val="24"/>
        </w:rPr>
        <w:t xml:space="preserve">This report </w:t>
      </w:r>
      <w:r w:rsidR="0044033F">
        <w:rPr>
          <w:rFonts w:ascii="Arial" w:hAnsi="Arial" w:cs="Arial"/>
          <w:sz w:val="24"/>
          <w:szCs w:val="24"/>
        </w:rPr>
        <w:t>has applied</w:t>
      </w:r>
      <w:r w:rsidRPr="00524874">
        <w:rPr>
          <w:rFonts w:ascii="Arial" w:hAnsi="Arial" w:cs="Arial"/>
          <w:sz w:val="24"/>
          <w:szCs w:val="24"/>
        </w:rPr>
        <w:t xml:space="preserve"> Porter’s Five Forces model to examine the competitive landscape of Greggs PLC. The results reveal that Greggs encounters intense competitive rivalry, substantial customer power, and considerable threats from substitutes, while enjoying relatively low supplier power and moderate barriers to entry.</w:t>
      </w:r>
    </w:p>
    <w:p w14:paraId="1AE2D984" w14:textId="1494A476" w:rsidR="00524874" w:rsidRPr="00524874" w:rsidRDefault="00524874" w:rsidP="00524874">
      <w:pPr>
        <w:rPr>
          <w:rFonts w:ascii="Arial" w:hAnsi="Arial" w:cs="Arial"/>
          <w:sz w:val="24"/>
          <w:szCs w:val="24"/>
        </w:rPr>
      </w:pPr>
      <w:r w:rsidRPr="00524874">
        <w:rPr>
          <w:rFonts w:ascii="Arial" w:hAnsi="Arial" w:cs="Arial"/>
          <w:sz w:val="24"/>
          <w:szCs w:val="24"/>
        </w:rPr>
        <w:t xml:space="preserve">Based on this analysis, several recommendations are put forward. Firstly, Greggs should persist in innovating its product offerings to meet the evolving preferences of consumers, especially regarding health and sustainability. Secondly, the company ought to enhance its digital and delivery capabilities to effectively compete with fast-food competitors. Thirdly, Greggs should further refine its supply chain to </w:t>
      </w:r>
      <w:r w:rsidR="00CF6129" w:rsidRPr="00524874">
        <w:rPr>
          <w:rFonts w:ascii="Arial" w:hAnsi="Arial" w:cs="Arial"/>
          <w:sz w:val="24"/>
          <w:szCs w:val="24"/>
        </w:rPr>
        <w:t>improve</w:t>
      </w:r>
      <w:r w:rsidRPr="00524874">
        <w:rPr>
          <w:rFonts w:ascii="Arial" w:hAnsi="Arial" w:cs="Arial"/>
          <w:sz w:val="24"/>
          <w:szCs w:val="24"/>
        </w:rPr>
        <w:t xml:space="preserve"> cost pressures and improve operational efficiency.</w:t>
      </w:r>
    </w:p>
    <w:p w14:paraId="2329AD7E" w14:textId="39B79CCC" w:rsidR="00524874" w:rsidRDefault="00524874" w:rsidP="00524874">
      <w:pPr>
        <w:rPr>
          <w:rFonts w:ascii="Arial" w:hAnsi="Arial" w:cs="Arial"/>
          <w:sz w:val="24"/>
          <w:szCs w:val="24"/>
        </w:rPr>
      </w:pPr>
      <w:r w:rsidRPr="00524874">
        <w:rPr>
          <w:rFonts w:ascii="Arial" w:hAnsi="Arial" w:cs="Arial"/>
          <w:sz w:val="24"/>
          <w:szCs w:val="24"/>
        </w:rPr>
        <w:t>In summary, situational analysis is crucial for strategic planning, as it allows organi</w:t>
      </w:r>
      <w:r w:rsidR="00A14608">
        <w:rPr>
          <w:rFonts w:ascii="Arial" w:hAnsi="Arial" w:cs="Arial"/>
          <w:sz w:val="24"/>
          <w:szCs w:val="24"/>
        </w:rPr>
        <w:t>s</w:t>
      </w:r>
      <w:r w:rsidRPr="00524874">
        <w:rPr>
          <w:rFonts w:ascii="Arial" w:hAnsi="Arial" w:cs="Arial"/>
          <w:sz w:val="24"/>
          <w:szCs w:val="24"/>
        </w:rPr>
        <w:t>ations to comprehend their competitive environment and make well-informed decisions. For Greggs, the ongoing assessment of industry forces is vital for maintaining its competitive edge in the changing UK fast-food sector.</w:t>
      </w:r>
    </w:p>
    <w:p w14:paraId="2D06AFC8" w14:textId="77777777" w:rsidR="00A14608" w:rsidRDefault="00A14608" w:rsidP="00524874">
      <w:pPr>
        <w:rPr>
          <w:rFonts w:ascii="Arial" w:hAnsi="Arial" w:cs="Arial"/>
          <w:sz w:val="24"/>
          <w:szCs w:val="24"/>
        </w:rPr>
      </w:pPr>
    </w:p>
    <w:p w14:paraId="2D13646B" w14:textId="77777777" w:rsidR="00A14608" w:rsidRDefault="00A14608" w:rsidP="00524874">
      <w:pPr>
        <w:rPr>
          <w:rFonts w:ascii="Arial" w:hAnsi="Arial" w:cs="Arial"/>
          <w:sz w:val="24"/>
          <w:szCs w:val="24"/>
        </w:rPr>
      </w:pPr>
    </w:p>
    <w:p w14:paraId="0AFB66F0" w14:textId="77777777" w:rsidR="00A14608" w:rsidRDefault="00A14608" w:rsidP="00524874">
      <w:pPr>
        <w:rPr>
          <w:rFonts w:ascii="Arial" w:hAnsi="Arial" w:cs="Arial"/>
          <w:sz w:val="24"/>
          <w:szCs w:val="24"/>
        </w:rPr>
      </w:pPr>
    </w:p>
    <w:p w14:paraId="07A7701B" w14:textId="77777777" w:rsidR="00A14608" w:rsidRDefault="00A14608" w:rsidP="00524874">
      <w:pPr>
        <w:rPr>
          <w:rFonts w:ascii="Arial" w:hAnsi="Arial" w:cs="Arial"/>
          <w:sz w:val="24"/>
          <w:szCs w:val="24"/>
        </w:rPr>
      </w:pPr>
    </w:p>
    <w:p w14:paraId="1FA4F30D" w14:textId="77777777" w:rsidR="00A14608" w:rsidRDefault="00A14608" w:rsidP="00524874">
      <w:pPr>
        <w:rPr>
          <w:rFonts w:ascii="Arial" w:hAnsi="Arial" w:cs="Arial"/>
          <w:sz w:val="24"/>
          <w:szCs w:val="24"/>
        </w:rPr>
      </w:pPr>
    </w:p>
    <w:p w14:paraId="01CF2919" w14:textId="77777777" w:rsidR="00A14608" w:rsidRDefault="00A14608" w:rsidP="00524874">
      <w:pPr>
        <w:rPr>
          <w:rFonts w:ascii="Arial" w:hAnsi="Arial" w:cs="Arial"/>
          <w:sz w:val="24"/>
          <w:szCs w:val="24"/>
        </w:rPr>
      </w:pPr>
    </w:p>
    <w:p w14:paraId="5F0A9944" w14:textId="77DF522F" w:rsidR="00A14608" w:rsidRDefault="00E615B0" w:rsidP="00E615B0">
      <w:pPr>
        <w:jc w:val="center"/>
        <w:rPr>
          <w:rFonts w:ascii="Arial" w:hAnsi="Arial" w:cs="Arial"/>
          <w:b/>
          <w:bCs/>
          <w:sz w:val="24"/>
          <w:szCs w:val="24"/>
          <w:u w:val="single"/>
        </w:rPr>
      </w:pPr>
      <w:r w:rsidRPr="00E615B0">
        <w:rPr>
          <w:rFonts w:ascii="Arial" w:hAnsi="Arial" w:cs="Arial"/>
          <w:b/>
          <w:bCs/>
          <w:sz w:val="24"/>
          <w:szCs w:val="24"/>
          <w:u w:val="single"/>
        </w:rPr>
        <w:lastRenderedPageBreak/>
        <w:t>REFERENCES</w:t>
      </w:r>
    </w:p>
    <w:p w14:paraId="13118283" w14:textId="161F9A9B" w:rsidR="00E615B0" w:rsidRPr="003D5775" w:rsidRDefault="00503523" w:rsidP="00503523">
      <w:pPr>
        <w:pStyle w:val="ListParagraph"/>
        <w:numPr>
          <w:ilvl w:val="0"/>
          <w:numId w:val="1"/>
        </w:numPr>
        <w:rPr>
          <w:rFonts w:ascii="Arial" w:hAnsi="Arial" w:cs="Arial"/>
          <w:sz w:val="24"/>
          <w:szCs w:val="24"/>
        </w:rPr>
      </w:pPr>
      <w:r w:rsidRPr="003D5775">
        <w:rPr>
          <w:rFonts w:ascii="Arial" w:hAnsi="Arial" w:cs="Arial"/>
          <w:sz w:val="24"/>
          <w:szCs w:val="24"/>
        </w:rPr>
        <w:t>Euromonitor (2023) Fast Food in the UK. London: Euromonitor International.</w:t>
      </w:r>
    </w:p>
    <w:p w14:paraId="65FEF2A8" w14:textId="0F88236F" w:rsidR="00503523" w:rsidRPr="003D5775" w:rsidRDefault="00302C55" w:rsidP="00503523">
      <w:pPr>
        <w:pStyle w:val="ListParagraph"/>
        <w:numPr>
          <w:ilvl w:val="0"/>
          <w:numId w:val="1"/>
        </w:numPr>
        <w:rPr>
          <w:rFonts w:ascii="Arial" w:hAnsi="Arial" w:cs="Arial"/>
          <w:sz w:val="24"/>
          <w:szCs w:val="24"/>
        </w:rPr>
      </w:pPr>
      <w:r w:rsidRPr="003D5775">
        <w:rPr>
          <w:rFonts w:ascii="Arial" w:hAnsi="Arial" w:cs="Arial"/>
          <w:sz w:val="24"/>
          <w:szCs w:val="24"/>
        </w:rPr>
        <w:t xml:space="preserve">Greggs PLC (2023) Annual Report and Accounts 2023. Available at: </w:t>
      </w:r>
      <w:hyperlink r:id="rId7" w:history="1">
        <w:r w:rsidRPr="003D5775">
          <w:rPr>
            <w:rStyle w:val="Hyperlink"/>
            <w:rFonts w:ascii="Arial" w:hAnsi="Arial" w:cs="Arial"/>
            <w:sz w:val="24"/>
            <w:szCs w:val="24"/>
          </w:rPr>
          <w:t>https://www.greggs.co.uk</w:t>
        </w:r>
      </w:hyperlink>
    </w:p>
    <w:p w14:paraId="225B548E" w14:textId="38923B21" w:rsidR="00302C55" w:rsidRPr="003D5775" w:rsidRDefault="00302C55" w:rsidP="00503523">
      <w:pPr>
        <w:pStyle w:val="ListParagraph"/>
        <w:numPr>
          <w:ilvl w:val="0"/>
          <w:numId w:val="1"/>
        </w:numPr>
        <w:rPr>
          <w:rFonts w:ascii="Arial" w:hAnsi="Arial" w:cs="Arial"/>
          <w:sz w:val="24"/>
          <w:szCs w:val="24"/>
        </w:rPr>
      </w:pPr>
      <w:r w:rsidRPr="003D5775">
        <w:rPr>
          <w:rFonts w:ascii="Arial" w:hAnsi="Arial" w:cs="Arial"/>
          <w:sz w:val="24"/>
          <w:szCs w:val="24"/>
        </w:rPr>
        <w:t xml:space="preserve">IBISWorld (2024) UK Fast Food and Takeaway Food Industry Report. Available at: </w:t>
      </w:r>
      <w:hyperlink r:id="rId8" w:history="1">
        <w:r w:rsidRPr="003D5775">
          <w:rPr>
            <w:rStyle w:val="Hyperlink"/>
            <w:rFonts w:ascii="Arial" w:hAnsi="Arial" w:cs="Arial"/>
            <w:sz w:val="24"/>
            <w:szCs w:val="24"/>
          </w:rPr>
          <w:t>https://www.ibisworld.com</w:t>
        </w:r>
      </w:hyperlink>
    </w:p>
    <w:p w14:paraId="1C14AB1A" w14:textId="0A547D7F" w:rsidR="00302C55" w:rsidRPr="003D5775" w:rsidRDefault="001137A0" w:rsidP="00503523">
      <w:pPr>
        <w:pStyle w:val="ListParagraph"/>
        <w:numPr>
          <w:ilvl w:val="0"/>
          <w:numId w:val="1"/>
        </w:numPr>
        <w:rPr>
          <w:rFonts w:ascii="Arial" w:hAnsi="Arial" w:cs="Arial"/>
          <w:sz w:val="24"/>
          <w:szCs w:val="24"/>
        </w:rPr>
      </w:pPr>
      <w:r w:rsidRPr="003D5775">
        <w:rPr>
          <w:rFonts w:ascii="Arial" w:hAnsi="Arial" w:cs="Arial"/>
          <w:sz w:val="24"/>
          <w:szCs w:val="24"/>
        </w:rPr>
        <w:t xml:space="preserve">Johnson, G., Whittington, R., Scholes, K., Angwin, D. and </w:t>
      </w:r>
      <w:proofErr w:type="spellStart"/>
      <w:r w:rsidRPr="003D5775">
        <w:rPr>
          <w:rFonts w:ascii="Arial" w:hAnsi="Arial" w:cs="Arial"/>
          <w:sz w:val="24"/>
          <w:szCs w:val="24"/>
        </w:rPr>
        <w:t>Regnér</w:t>
      </w:r>
      <w:proofErr w:type="spellEnd"/>
      <w:r w:rsidRPr="003D5775">
        <w:rPr>
          <w:rFonts w:ascii="Arial" w:hAnsi="Arial" w:cs="Arial"/>
          <w:sz w:val="24"/>
          <w:szCs w:val="24"/>
        </w:rPr>
        <w:t xml:space="preserve">, P. (2017) Exploring Strategy. 11th </w:t>
      </w:r>
      <w:proofErr w:type="spellStart"/>
      <w:r w:rsidRPr="003D5775">
        <w:rPr>
          <w:rFonts w:ascii="Arial" w:hAnsi="Arial" w:cs="Arial"/>
          <w:sz w:val="24"/>
          <w:szCs w:val="24"/>
        </w:rPr>
        <w:t>edn</w:t>
      </w:r>
      <w:proofErr w:type="spellEnd"/>
      <w:r w:rsidRPr="003D5775">
        <w:rPr>
          <w:rFonts w:ascii="Arial" w:hAnsi="Arial" w:cs="Arial"/>
          <w:sz w:val="24"/>
          <w:szCs w:val="24"/>
        </w:rPr>
        <w:t>. Harlow: Pearson.</w:t>
      </w:r>
    </w:p>
    <w:p w14:paraId="6E25C903" w14:textId="04D4B2C7" w:rsidR="001137A0" w:rsidRPr="003D5775" w:rsidRDefault="001137A0" w:rsidP="00503523">
      <w:pPr>
        <w:pStyle w:val="ListParagraph"/>
        <w:numPr>
          <w:ilvl w:val="0"/>
          <w:numId w:val="1"/>
        </w:numPr>
        <w:rPr>
          <w:rFonts w:ascii="Arial" w:hAnsi="Arial" w:cs="Arial"/>
          <w:sz w:val="24"/>
          <w:szCs w:val="24"/>
        </w:rPr>
      </w:pPr>
      <w:r w:rsidRPr="003D5775">
        <w:rPr>
          <w:rFonts w:ascii="Arial" w:hAnsi="Arial" w:cs="Arial"/>
          <w:sz w:val="24"/>
          <w:szCs w:val="24"/>
        </w:rPr>
        <w:t xml:space="preserve">Kotler, P. and Keller, K.L. (2016) Marketing Management. 15th </w:t>
      </w:r>
      <w:proofErr w:type="spellStart"/>
      <w:r w:rsidRPr="003D5775">
        <w:rPr>
          <w:rFonts w:ascii="Arial" w:hAnsi="Arial" w:cs="Arial"/>
          <w:sz w:val="24"/>
          <w:szCs w:val="24"/>
        </w:rPr>
        <w:t>edn</w:t>
      </w:r>
      <w:proofErr w:type="spellEnd"/>
      <w:r w:rsidRPr="003D5775">
        <w:rPr>
          <w:rFonts w:ascii="Arial" w:hAnsi="Arial" w:cs="Arial"/>
          <w:sz w:val="24"/>
          <w:szCs w:val="24"/>
        </w:rPr>
        <w:t>. Harlow: Pearson.</w:t>
      </w:r>
    </w:p>
    <w:p w14:paraId="67184904" w14:textId="286007D6" w:rsidR="001137A0" w:rsidRPr="003D5775" w:rsidRDefault="0083016C" w:rsidP="00503523">
      <w:pPr>
        <w:pStyle w:val="ListParagraph"/>
        <w:numPr>
          <w:ilvl w:val="0"/>
          <w:numId w:val="1"/>
        </w:numPr>
        <w:rPr>
          <w:rFonts w:ascii="Arial" w:hAnsi="Arial" w:cs="Arial"/>
          <w:sz w:val="24"/>
          <w:szCs w:val="24"/>
        </w:rPr>
      </w:pPr>
      <w:r w:rsidRPr="003D5775">
        <w:rPr>
          <w:rFonts w:ascii="Arial" w:hAnsi="Arial" w:cs="Arial"/>
          <w:sz w:val="24"/>
          <w:szCs w:val="24"/>
        </w:rPr>
        <w:t>Porter, M.E. (2008) ‘The five competitive forces that shape strategy’, Harvard Business Review, 86(1), pp. 78–93.</w:t>
      </w:r>
    </w:p>
    <w:p w14:paraId="7518389F" w14:textId="542B1856" w:rsidR="0083016C" w:rsidRPr="003D5775" w:rsidRDefault="0083016C" w:rsidP="00503523">
      <w:pPr>
        <w:pStyle w:val="ListParagraph"/>
        <w:numPr>
          <w:ilvl w:val="0"/>
          <w:numId w:val="1"/>
        </w:numPr>
        <w:rPr>
          <w:rFonts w:ascii="Arial" w:hAnsi="Arial" w:cs="Arial"/>
          <w:sz w:val="24"/>
          <w:szCs w:val="24"/>
        </w:rPr>
      </w:pPr>
      <w:r w:rsidRPr="003D5775">
        <w:rPr>
          <w:rFonts w:ascii="Arial" w:hAnsi="Arial" w:cs="Arial"/>
          <w:sz w:val="24"/>
          <w:szCs w:val="24"/>
        </w:rPr>
        <w:t xml:space="preserve">Statista (2024) ‘UK fast food market revenue’. Available at: </w:t>
      </w:r>
      <w:hyperlink r:id="rId9" w:history="1">
        <w:r w:rsidRPr="003D5775">
          <w:rPr>
            <w:rStyle w:val="Hyperlink"/>
            <w:rFonts w:ascii="Arial" w:hAnsi="Arial" w:cs="Arial"/>
            <w:sz w:val="24"/>
            <w:szCs w:val="24"/>
          </w:rPr>
          <w:t>https://www.statista.com</w:t>
        </w:r>
      </w:hyperlink>
    </w:p>
    <w:p w14:paraId="4A68E320" w14:textId="56A2FABA" w:rsidR="0083016C" w:rsidRPr="003D5775" w:rsidRDefault="00061E57" w:rsidP="00503523">
      <w:pPr>
        <w:pStyle w:val="ListParagraph"/>
        <w:numPr>
          <w:ilvl w:val="0"/>
          <w:numId w:val="1"/>
        </w:numPr>
        <w:rPr>
          <w:rFonts w:ascii="Arial" w:hAnsi="Arial" w:cs="Arial"/>
          <w:sz w:val="24"/>
          <w:szCs w:val="24"/>
        </w:rPr>
      </w:pPr>
      <w:r w:rsidRPr="003D5775">
        <w:rPr>
          <w:rFonts w:ascii="Arial" w:hAnsi="Arial" w:cs="Arial"/>
          <w:sz w:val="24"/>
          <w:szCs w:val="24"/>
        </w:rPr>
        <w:t xml:space="preserve">Grant, R.M. (2022) Contemporary Strategy Analysis. 10th </w:t>
      </w:r>
      <w:proofErr w:type="spellStart"/>
      <w:r w:rsidRPr="003D5775">
        <w:rPr>
          <w:rFonts w:ascii="Arial" w:hAnsi="Arial" w:cs="Arial"/>
          <w:sz w:val="24"/>
          <w:szCs w:val="24"/>
        </w:rPr>
        <w:t>edn</w:t>
      </w:r>
      <w:proofErr w:type="spellEnd"/>
      <w:r w:rsidRPr="003D5775">
        <w:rPr>
          <w:rFonts w:ascii="Arial" w:hAnsi="Arial" w:cs="Arial"/>
          <w:sz w:val="24"/>
          <w:szCs w:val="24"/>
        </w:rPr>
        <w:t>. Hoboken: Wiley.</w:t>
      </w:r>
    </w:p>
    <w:p w14:paraId="64A95883" w14:textId="1835007A" w:rsidR="00061E57" w:rsidRPr="003D5775" w:rsidRDefault="00061E57" w:rsidP="00503523">
      <w:pPr>
        <w:pStyle w:val="ListParagraph"/>
        <w:numPr>
          <w:ilvl w:val="0"/>
          <w:numId w:val="1"/>
        </w:numPr>
        <w:rPr>
          <w:rFonts w:ascii="Arial" w:hAnsi="Arial" w:cs="Arial"/>
          <w:sz w:val="24"/>
          <w:szCs w:val="24"/>
        </w:rPr>
      </w:pPr>
      <w:r w:rsidRPr="003D5775">
        <w:rPr>
          <w:rFonts w:ascii="Arial" w:hAnsi="Arial" w:cs="Arial"/>
          <w:sz w:val="24"/>
          <w:szCs w:val="24"/>
        </w:rPr>
        <w:t>OECD (2023) Consumer Trends in Food Markets. Paris: OECD Publishing.</w:t>
      </w:r>
    </w:p>
    <w:p w14:paraId="332B9D2F" w14:textId="6ECC8870" w:rsidR="00061E57" w:rsidRPr="003D5775" w:rsidRDefault="003D5775" w:rsidP="00503523">
      <w:pPr>
        <w:pStyle w:val="ListParagraph"/>
        <w:numPr>
          <w:ilvl w:val="0"/>
          <w:numId w:val="1"/>
        </w:numPr>
        <w:rPr>
          <w:rFonts w:ascii="Arial" w:hAnsi="Arial" w:cs="Arial"/>
          <w:sz w:val="24"/>
          <w:szCs w:val="24"/>
        </w:rPr>
      </w:pPr>
      <w:r w:rsidRPr="003D5775">
        <w:rPr>
          <w:rFonts w:ascii="Arial" w:hAnsi="Arial" w:cs="Arial"/>
          <w:sz w:val="24"/>
          <w:szCs w:val="24"/>
        </w:rPr>
        <w:t>Mintel (2023) UK Food-to-Go Market Report. London: Mintel.</w:t>
      </w:r>
    </w:p>
    <w:sectPr w:rsidR="00061E57" w:rsidRPr="003D57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D8BDC" w14:textId="77777777" w:rsidR="002211BB" w:rsidRDefault="002211BB" w:rsidP="003316C2">
      <w:pPr>
        <w:spacing w:after="0" w:line="240" w:lineRule="auto"/>
      </w:pPr>
      <w:r>
        <w:separator/>
      </w:r>
    </w:p>
  </w:endnote>
  <w:endnote w:type="continuationSeparator" w:id="0">
    <w:p w14:paraId="423AF20D" w14:textId="77777777" w:rsidR="002211BB" w:rsidRDefault="002211BB" w:rsidP="00331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6CF4B" w14:textId="77777777" w:rsidR="002211BB" w:rsidRDefault="002211BB" w:rsidP="003316C2">
      <w:pPr>
        <w:spacing w:after="0" w:line="240" w:lineRule="auto"/>
      </w:pPr>
      <w:r>
        <w:separator/>
      </w:r>
    </w:p>
  </w:footnote>
  <w:footnote w:type="continuationSeparator" w:id="0">
    <w:p w14:paraId="04E55C2E" w14:textId="77777777" w:rsidR="002211BB" w:rsidRDefault="002211BB" w:rsidP="003316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A152D"/>
    <w:multiLevelType w:val="hybridMultilevel"/>
    <w:tmpl w:val="3DAEA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1071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D47"/>
    <w:rsid w:val="00061E57"/>
    <w:rsid w:val="00082821"/>
    <w:rsid w:val="001137A0"/>
    <w:rsid w:val="001A4368"/>
    <w:rsid w:val="001C6201"/>
    <w:rsid w:val="002211BB"/>
    <w:rsid w:val="00292A4C"/>
    <w:rsid w:val="002C2746"/>
    <w:rsid w:val="002D18AA"/>
    <w:rsid w:val="002D3BA0"/>
    <w:rsid w:val="002F6D47"/>
    <w:rsid w:val="00302C55"/>
    <w:rsid w:val="003316C2"/>
    <w:rsid w:val="003716FE"/>
    <w:rsid w:val="003A1898"/>
    <w:rsid w:val="003C2FBE"/>
    <w:rsid w:val="003D5775"/>
    <w:rsid w:val="003E4D84"/>
    <w:rsid w:val="003F2B14"/>
    <w:rsid w:val="003F7690"/>
    <w:rsid w:val="0044033F"/>
    <w:rsid w:val="00457BE7"/>
    <w:rsid w:val="00472271"/>
    <w:rsid w:val="00503523"/>
    <w:rsid w:val="00524874"/>
    <w:rsid w:val="00532A20"/>
    <w:rsid w:val="005405F7"/>
    <w:rsid w:val="00645BE1"/>
    <w:rsid w:val="007E0519"/>
    <w:rsid w:val="0080270C"/>
    <w:rsid w:val="0083016C"/>
    <w:rsid w:val="00954347"/>
    <w:rsid w:val="0097371B"/>
    <w:rsid w:val="009A2227"/>
    <w:rsid w:val="009A4DDD"/>
    <w:rsid w:val="00A14608"/>
    <w:rsid w:val="00AC718C"/>
    <w:rsid w:val="00C02110"/>
    <w:rsid w:val="00C211AB"/>
    <w:rsid w:val="00C46DB4"/>
    <w:rsid w:val="00C9264B"/>
    <w:rsid w:val="00CC1088"/>
    <w:rsid w:val="00CF6129"/>
    <w:rsid w:val="00D53123"/>
    <w:rsid w:val="00D7145B"/>
    <w:rsid w:val="00E615B0"/>
    <w:rsid w:val="00E77F1C"/>
    <w:rsid w:val="00E93CA5"/>
    <w:rsid w:val="00ED3996"/>
    <w:rsid w:val="00EF17E8"/>
    <w:rsid w:val="00F85FCB"/>
    <w:rsid w:val="00F909CD"/>
    <w:rsid w:val="00FE3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8749B"/>
  <w15:chartTrackingRefBased/>
  <w15:docId w15:val="{C4F35E19-E399-40C0-AF35-FC2427F7A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6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6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6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6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6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6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6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6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6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6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6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D47"/>
    <w:rPr>
      <w:rFonts w:eastAsiaTheme="majorEastAsia" w:cstheme="majorBidi"/>
      <w:color w:val="272727" w:themeColor="text1" w:themeTint="D8"/>
    </w:rPr>
  </w:style>
  <w:style w:type="paragraph" w:styleId="Title">
    <w:name w:val="Title"/>
    <w:basedOn w:val="Normal"/>
    <w:next w:val="Normal"/>
    <w:link w:val="TitleChar"/>
    <w:uiPriority w:val="10"/>
    <w:qFormat/>
    <w:rsid w:val="002F6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D47"/>
    <w:pPr>
      <w:spacing w:before="160"/>
      <w:jc w:val="center"/>
    </w:pPr>
    <w:rPr>
      <w:i/>
      <w:iCs/>
      <w:color w:val="404040" w:themeColor="text1" w:themeTint="BF"/>
    </w:rPr>
  </w:style>
  <w:style w:type="character" w:customStyle="1" w:styleId="QuoteChar">
    <w:name w:val="Quote Char"/>
    <w:basedOn w:val="DefaultParagraphFont"/>
    <w:link w:val="Quote"/>
    <w:uiPriority w:val="29"/>
    <w:rsid w:val="002F6D47"/>
    <w:rPr>
      <w:i/>
      <w:iCs/>
      <w:color w:val="404040" w:themeColor="text1" w:themeTint="BF"/>
    </w:rPr>
  </w:style>
  <w:style w:type="paragraph" w:styleId="ListParagraph">
    <w:name w:val="List Paragraph"/>
    <w:basedOn w:val="Normal"/>
    <w:uiPriority w:val="34"/>
    <w:qFormat/>
    <w:rsid w:val="002F6D47"/>
    <w:pPr>
      <w:ind w:left="720"/>
      <w:contextualSpacing/>
    </w:pPr>
  </w:style>
  <w:style w:type="character" w:styleId="IntenseEmphasis">
    <w:name w:val="Intense Emphasis"/>
    <w:basedOn w:val="DefaultParagraphFont"/>
    <w:uiPriority w:val="21"/>
    <w:qFormat/>
    <w:rsid w:val="002F6D47"/>
    <w:rPr>
      <w:i/>
      <w:iCs/>
      <w:color w:val="0F4761" w:themeColor="accent1" w:themeShade="BF"/>
    </w:rPr>
  </w:style>
  <w:style w:type="paragraph" w:styleId="IntenseQuote">
    <w:name w:val="Intense Quote"/>
    <w:basedOn w:val="Normal"/>
    <w:next w:val="Normal"/>
    <w:link w:val="IntenseQuoteChar"/>
    <w:uiPriority w:val="30"/>
    <w:qFormat/>
    <w:rsid w:val="002F6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6D47"/>
    <w:rPr>
      <w:i/>
      <w:iCs/>
      <w:color w:val="0F4761" w:themeColor="accent1" w:themeShade="BF"/>
    </w:rPr>
  </w:style>
  <w:style w:type="character" w:styleId="IntenseReference">
    <w:name w:val="Intense Reference"/>
    <w:basedOn w:val="DefaultParagraphFont"/>
    <w:uiPriority w:val="32"/>
    <w:qFormat/>
    <w:rsid w:val="002F6D47"/>
    <w:rPr>
      <w:b/>
      <w:bCs/>
      <w:smallCaps/>
      <w:color w:val="0F4761" w:themeColor="accent1" w:themeShade="BF"/>
      <w:spacing w:val="5"/>
    </w:rPr>
  </w:style>
  <w:style w:type="paragraph" w:styleId="Header">
    <w:name w:val="header"/>
    <w:basedOn w:val="Normal"/>
    <w:link w:val="HeaderChar"/>
    <w:uiPriority w:val="99"/>
    <w:unhideWhenUsed/>
    <w:rsid w:val="00331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6C2"/>
  </w:style>
  <w:style w:type="paragraph" w:styleId="Footer">
    <w:name w:val="footer"/>
    <w:basedOn w:val="Normal"/>
    <w:link w:val="FooterChar"/>
    <w:uiPriority w:val="99"/>
    <w:unhideWhenUsed/>
    <w:rsid w:val="00331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6C2"/>
  </w:style>
  <w:style w:type="character" w:styleId="Hyperlink">
    <w:name w:val="Hyperlink"/>
    <w:basedOn w:val="DefaultParagraphFont"/>
    <w:uiPriority w:val="99"/>
    <w:unhideWhenUsed/>
    <w:rsid w:val="00302C55"/>
    <w:rPr>
      <w:color w:val="467886" w:themeColor="hyperlink"/>
      <w:u w:val="single"/>
    </w:rPr>
  </w:style>
  <w:style w:type="character" w:styleId="UnresolvedMention">
    <w:name w:val="Unresolved Mention"/>
    <w:basedOn w:val="DefaultParagraphFont"/>
    <w:uiPriority w:val="99"/>
    <w:semiHidden/>
    <w:unhideWhenUsed/>
    <w:rsid w:val="00302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isworld.com" TargetMode="External"/><Relationship Id="rId3" Type="http://schemas.openxmlformats.org/officeDocument/2006/relationships/settings" Target="settings.xml"/><Relationship Id="rId7" Type="http://schemas.openxmlformats.org/officeDocument/2006/relationships/hyperlink" Target="https://www.gregg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1265</Words>
  <Characters>7212</Characters>
  <Application>Microsoft Office Word</Application>
  <DocSecurity>0</DocSecurity>
  <Lines>60</Lines>
  <Paragraphs>16</Paragraphs>
  <ScaleCrop>false</ScaleCrop>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2026-02-18T15:06:00Z</dcterms:created>
  <dcterms:modified xsi:type="dcterms:W3CDTF">2026-02-18T15:06:00Z</dcterms:modified>
</cp:coreProperties>
</file>