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EF578" w14:textId="54C8AFF5" w:rsidR="00407995" w:rsidRPr="00407995" w:rsidRDefault="00407995" w:rsidP="000B491E">
      <w:pPr>
        <w:rPr>
          <w:rFonts w:ascii="Times New Roman" w:hAnsi="Times New Roman" w:cs="Times New Roman"/>
          <w:b/>
          <w:bCs/>
          <w:sz w:val="40"/>
          <w:szCs w:val="40"/>
          <w:u w:val="single"/>
        </w:rPr>
      </w:pPr>
      <w:r w:rsidRPr="00407995">
        <w:rPr>
          <w:rFonts w:ascii="Times New Roman" w:hAnsi="Times New Roman" w:cs="Times New Roman"/>
          <w:b/>
          <w:bCs/>
          <w:sz w:val="40"/>
          <w:szCs w:val="40"/>
          <w:u w:val="single"/>
        </w:rPr>
        <w:t>MAHENRAJ RAMESH</w:t>
      </w:r>
    </w:p>
    <w:p w14:paraId="3C82C2A3" w14:textId="4FEA739B" w:rsidR="00407995" w:rsidRPr="00407995" w:rsidRDefault="00407995" w:rsidP="000B491E">
      <w:pPr>
        <w:rPr>
          <w:rFonts w:ascii="Times New Roman" w:hAnsi="Times New Roman" w:cs="Times New Roman"/>
          <w:b/>
          <w:bCs/>
          <w:sz w:val="40"/>
          <w:szCs w:val="40"/>
          <w:u w:val="single"/>
        </w:rPr>
      </w:pPr>
      <w:r w:rsidRPr="00407995">
        <w:rPr>
          <w:rFonts w:ascii="Times New Roman" w:hAnsi="Times New Roman" w:cs="Times New Roman"/>
          <w:b/>
          <w:bCs/>
          <w:sz w:val="40"/>
          <w:szCs w:val="40"/>
          <w:u w:val="single"/>
        </w:rPr>
        <w:t>2226103</w:t>
      </w:r>
    </w:p>
    <w:p w14:paraId="46A3EED0" w14:textId="3AB6EEFC" w:rsidR="00407995" w:rsidRPr="00407995" w:rsidRDefault="00407995" w:rsidP="000B491E">
      <w:pPr>
        <w:rPr>
          <w:rFonts w:ascii="Times New Roman" w:hAnsi="Times New Roman" w:cs="Times New Roman"/>
          <w:b/>
          <w:bCs/>
          <w:sz w:val="32"/>
          <w:szCs w:val="32"/>
        </w:rPr>
      </w:pPr>
      <w:r w:rsidRPr="00407995">
        <w:rPr>
          <w:rFonts w:ascii="Times New Roman" w:hAnsi="Times New Roman" w:cs="Times New Roman"/>
          <w:b/>
          <w:bCs/>
          <w:sz w:val="32"/>
          <w:szCs w:val="32"/>
          <w:u w:val="single"/>
        </w:rPr>
        <w:t>Self</w:t>
      </w:r>
      <w:r w:rsidRPr="00407995">
        <w:rPr>
          <w:rFonts w:ascii="Times New Roman" w:hAnsi="Times New Roman" w:cs="Times New Roman"/>
          <w:b/>
          <w:bCs/>
          <w:sz w:val="32"/>
          <w:szCs w:val="32"/>
          <w:u w:val="single"/>
        </w:rPr>
        <w:t>-Employment in The Construction Industry</w:t>
      </w:r>
      <w:bookmarkStart w:id="0" w:name="_GoBack"/>
      <w:bookmarkEnd w:id="0"/>
    </w:p>
    <w:p w14:paraId="129184A4" w14:textId="5FA14DE4" w:rsidR="007E1F6A" w:rsidRPr="00261E4A" w:rsidRDefault="000B491E"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Individuals who operate as independent contractors in the construction industry, such as sole proprietors, may be subject to the Construction Industry Scheme (CIS), which is a programme administered by HM Revenue and Customs. </w:t>
      </w:r>
      <w:proofErr w:type="gramStart"/>
      <w:r w:rsidRPr="00261E4A">
        <w:rPr>
          <w:rFonts w:ascii="Times New Roman" w:hAnsi="Times New Roman" w:cs="Times New Roman"/>
          <w:sz w:val="24"/>
          <w:szCs w:val="24"/>
        </w:rPr>
        <w:t>In the event that</w:t>
      </w:r>
      <w:proofErr w:type="gramEnd"/>
      <w:r w:rsidRPr="00261E4A">
        <w:rPr>
          <w:rFonts w:ascii="Times New Roman" w:hAnsi="Times New Roman" w:cs="Times New Roman"/>
          <w:sz w:val="24"/>
          <w:szCs w:val="24"/>
        </w:rPr>
        <w:t xml:space="preserve"> an individual is not registered with the CIS, the provider is legally obligated to withhold 30% of their earnings as tax. In contrast to the norm for self-employed individuals in fields other than construction, who obtain their earnings "gross" without any tax deductions, the situation is different. In contrast to the commonly held notion, it is not the case that all construction labourers are self-employed individuals. All individuals, including those employed in the construction industry, must consider their employment stability. Despite the similarity of the documents resembling payslips, contractors are not regarded as employees and thus are not entitled to the customary employment privileges. </w:t>
      </w:r>
    </w:p>
    <w:p w14:paraId="158B9D83" w14:textId="2BF935CB" w:rsidR="00ED6E8C" w:rsidRPr="00261E4A" w:rsidRDefault="000B491E"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The scope of activities covered by CIS includes not only traditional construction and civil engineering tasks, but also demolition, site clearance, restoration and beautification, and installation of electricity systems. The Construction Industry Scheme encompasses the activities delineated in the HMRC CIS manual. It is noteworthy to bear in mind that the Construction Industry Scheme (CIS) is not applicable </w:t>
      </w:r>
      <w:proofErr w:type="gramStart"/>
      <w:r w:rsidRPr="00261E4A">
        <w:rPr>
          <w:rFonts w:ascii="Times New Roman" w:hAnsi="Times New Roman" w:cs="Times New Roman"/>
          <w:sz w:val="24"/>
          <w:szCs w:val="24"/>
        </w:rPr>
        <w:t>in the event that</w:t>
      </w:r>
      <w:proofErr w:type="gramEnd"/>
      <w:r w:rsidRPr="00261E4A">
        <w:rPr>
          <w:rFonts w:ascii="Times New Roman" w:hAnsi="Times New Roman" w:cs="Times New Roman"/>
          <w:sz w:val="24"/>
          <w:szCs w:val="24"/>
        </w:rPr>
        <w:t xml:space="preserve"> an individual is rendering services akin to those in the construction sector directly to a homeowner, as opposed to a contractor. In such a scenario, the individual will receive full payment upon submission of an invoice. </w:t>
      </w:r>
    </w:p>
    <w:p w14:paraId="18826066" w14:textId="35188BA0" w:rsidR="007E1F6A" w:rsidRPr="00261E4A" w:rsidRDefault="007E1F6A"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The nature of an individual's connection to their employer can be described by their employment position. The employment status of an individual has a substantial impact on their tax obligations, encompassing income tax and National Insurance contributions. (NICs). From a legal standpoint, a discernible differentiation exists between individuals who receive wages and those who engage in self-employment as sole proprietors or partners in private enterprises.</w:t>
      </w:r>
    </w:p>
    <w:p w14:paraId="5CB8DC4E" w14:textId="3A31C27B" w:rsidR="007E1F6A" w:rsidRPr="00261E4A" w:rsidRDefault="007E1F6A"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The Pay </w:t>
      </w:r>
      <w:r w:rsidR="00407995" w:rsidRPr="00261E4A">
        <w:rPr>
          <w:rFonts w:ascii="Times New Roman" w:hAnsi="Times New Roman" w:cs="Times New Roman"/>
          <w:sz w:val="24"/>
          <w:szCs w:val="24"/>
        </w:rPr>
        <w:t>as</w:t>
      </w:r>
      <w:r w:rsidRPr="00261E4A">
        <w:rPr>
          <w:rFonts w:ascii="Times New Roman" w:hAnsi="Times New Roman" w:cs="Times New Roman"/>
          <w:sz w:val="24"/>
          <w:szCs w:val="24"/>
        </w:rPr>
        <w:t xml:space="preserve"> You Earn (PAYE) system mandates that employers deduct employee income tax and primary Class 1 National Insurance Contributions (NICs) from their </w:t>
      </w:r>
      <w:r w:rsidR="00407995" w:rsidRPr="00261E4A">
        <w:rPr>
          <w:rFonts w:ascii="Times New Roman" w:hAnsi="Times New Roman" w:cs="Times New Roman"/>
          <w:sz w:val="24"/>
          <w:szCs w:val="24"/>
        </w:rPr>
        <w:t>pay checks</w:t>
      </w:r>
      <w:r w:rsidRPr="00261E4A">
        <w:rPr>
          <w:rFonts w:ascii="Times New Roman" w:hAnsi="Times New Roman" w:cs="Times New Roman"/>
          <w:sz w:val="24"/>
          <w:szCs w:val="24"/>
        </w:rPr>
        <w:t xml:space="preserve">. The responsibility of making supplementary Class 1 National Insurance contributions on behalf of the employee lies with their employer. In contrast, it is noteworthy that self-employed </w:t>
      </w:r>
      <w:r w:rsidRPr="00261E4A">
        <w:rPr>
          <w:rFonts w:ascii="Times New Roman" w:hAnsi="Times New Roman" w:cs="Times New Roman"/>
          <w:sz w:val="24"/>
          <w:szCs w:val="24"/>
        </w:rPr>
        <w:lastRenderedPageBreak/>
        <w:t>individuals who render services for a client enterprise shall receive compensation on an aggregate basis, necessitating them to remit income tax and national insurance contributions (NICs) on their annual earnings.</w:t>
      </w:r>
    </w:p>
    <w:p w14:paraId="683E04A9" w14:textId="6FCD7764" w:rsidR="005D5946" w:rsidRPr="00261E4A" w:rsidRDefault="007E1F6A"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Individuals who work for themselves are required to remit both Class 2 and Class 4 National Insurance Contributions (NICs) on their income. Differentiating between sole proprietors operating a private business and corporations is crucial. In recent times, a considerable number of individuals have established their own limited liability companies, which they subsequently manage as either sole proprietors or managers. Despite the common practice of lumping them together, the tax and legal systems treat employers and employees very differently. In the context of a corporate entity, the profits generated by the organization are liable to be taxed under the purview of corporation tax. Conversely, the remuneration received by the employees of the company in the form of wages is subject to income tax and national insurance contributions.</w:t>
      </w:r>
      <w:r w:rsidR="005D5946" w:rsidRPr="00261E4A">
        <w:rPr>
          <w:rFonts w:ascii="Times New Roman" w:hAnsi="Times New Roman" w:cs="Times New Roman"/>
          <w:sz w:val="24"/>
          <w:szCs w:val="24"/>
        </w:rPr>
        <w:t xml:space="preserve"> </w:t>
      </w:r>
      <w:r w:rsidR="005D5946" w:rsidRPr="00261E4A">
        <w:rPr>
          <w:rFonts w:ascii="Times New Roman" w:hAnsi="Times New Roman" w:cs="Times New Roman"/>
          <w:sz w:val="24"/>
          <w:szCs w:val="24"/>
        </w:rPr>
        <w:t xml:space="preserve">This principle is used to determine </w:t>
      </w:r>
      <w:proofErr w:type="gramStart"/>
      <w:r w:rsidR="005D5946" w:rsidRPr="00261E4A">
        <w:rPr>
          <w:rFonts w:ascii="Times New Roman" w:hAnsi="Times New Roman" w:cs="Times New Roman"/>
          <w:sz w:val="24"/>
          <w:szCs w:val="24"/>
        </w:rPr>
        <w:t>whether or not</w:t>
      </w:r>
      <w:proofErr w:type="gramEnd"/>
      <w:r w:rsidR="005D5946" w:rsidRPr="00261E4A">
        <w:rPr>
          <w:rFonts w:ascii="Times New Roman" w:hAnsi="Times New Roman" w:cs="Times New Roman"/>
          <w:sz w:val="24"/>
          <w:szCs w:val="24"/>
        </w:rPr>
        <w:t xml:space="preserve"> an employer's payments should be taxed under PAYE. The tribunal in a seminal case on this topic stated that ITEPA 2003 "affords no further definition of [employment], and it is common ground that recourse must be had to the common law's understanding of the meaning of employment, and of contract of service, and in particular, the well-established distinction between those concepts and self-employment, independent contractor, and contract for </w:t>
      </w:r>
      <w:r w:rsidR="00407995" w:rsidRPr="00261E4A">
        <w:rPr>
          <w:rFonts w:ascii="Times New Roman" w:hAnsi="Times New Roman" w:cs="Times New Roman"/>
          <w:sz w:val="24"/>
          <w:szCs w:val="24"/>
        </w:rPr>
        <w:t>services. “This</w:t>
      </w:r>
      <w:r w:rsidR="005D5946" w:rsidRPr="00261E4A">
        <w:rPr>
          <w:rFonts w:ascii="Times New Roman" w:hAnsi="Times New Roman" w:cs="Times New Roman"/>
          <w:sz w:val="24"/>
          <w:szCs w:val="24"/>
        </w:rPr>
        <w:t xml:space="preserve"> interpretation "leaves open the most significant question: when is there a contract of service?" as the leading legal text 12 Revenue Law puts it. Contracts of service (employment) and contracts to provide services (self-employment) have different legal and practical implications, but it's easy to confuse the two because of the similar sounding words "service" and "services."</w:t>
      </w:r>
      <w:r w:rsidR="005D5946" w:rsidRPr="00261E4A">
        <w:rPr>
          <w:rFonts w:ascii="Times New Roman" w:hAnsi="Times New Roman" w:cs="Times New Roman"/>
          <w:sz w:val="24"/>
          <w:szCs w:val="24"/>
        </w:rPr>
        <w:t xml:space="preserve"> </w:t>
      </w:r>
      <w:r w:rsidR="005D5946" w:rsidRPr="00261E4A">
        <w:rPr>
          <w:rFonts w:ascii="Times New Roman" w:hAnsi="Times New Roman" w:cs="Times New Roman"/>
          <w:sz w:val="24"/>
          <w:szCs w:val="24"/>
        </w:rPr>
        <w:t xml:space="preserve">The choice of employment status is not within one's control. This inquiry involves a combination of factual and legal issues that ultimately fall under the jurisdiction of the courts to determine. </w:t>
      </w:r>
      <w:proofErr w:type="gramStart"/>
      <w:r w:rsidR="005D5946" w:rsidRPr="00261E4A">
        <w:rPr>
          <w:rFonts w:ascii="Times New Roman" w:hAnsi="Times New Roman" w:cs="Times New Roman"/>
          <w:sz w:val="24"/>
          <w:szCs w:val="24"/>
        </w:rPr>
        <w:t>In the event that</w:t>
      </w:r>
      <w:proofErr w:type="gramEnd"/>
      <w:r w:rsidR="005D5946" w:rsidRPr="00261E4A">
        <w:rPr>
          <w:rFonts w:ascii="Times New Roman" w:hAnsi="Times New Roman" w:cs="Times New Roman"/>
          <w:sz w:val="24"/>
          <w:szCs w:val="24"/>
        </w:rPr>
        <w:t xml:space="preserve"> legal proceedings are not pursued, it is incumbent upon enterprises and persons to independently determine the appropriate classification of employment status. This incurs time and cost, and is a continual process, because if the facts change, the status may change too.</w:t>
      </w:r>
    </w:p>
    <w:p w14:paraId="036B7A83" w14:textId="4C3C7E21"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Organizations may seek guidance from their accountant or legal counsel, thereby augmenting the expenses associated with the decision-making process. However, the repercussions of making an erroneous decision are not solely punitive in nature, as they can also have a detrimental impact on the standing of the enterprise.</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In previous instances, the judiciary has exhibited a propensity to </w:t>
      </w:r>
      <w:proofErr w:type="gramStart"/>
      <w:r w:rsidRPr="00261E4A">
        <w:rPr>
          <w:rFonts w:ascii="Times New Roman" w:hAnsi="Times New Roman" w:cs="Times New Roman"/>
          <w:sz w:val="24"/>
          <w:szCs w:val="24"/>
        </w:rPr>
        <w:t>take into account</w:t>
      </w:r>
      <w:proofErr w:type="gramEnd"/>
      <w:r w:rsidRPr="00261E4A">
        <w:rPr>
          <w:rFonts w:ascii="Times New Roman" w:hAnsi="Times New Roman" w:cs="Times New Roman"/>
          <w:sz w:val="24"/>
          <w:szCs w:val="24"/>
        </w:rPr>
        <w:t xml:space="preserve"> an individual's complete pattern of </w:t>
      </w:r>
      <w:r w:rsidR="00407995" w:rsidRPr="00261E4A">
        <w:rPr>
          <w:rFonts w:ascii="Times New Roman" w:hAnsi="Times New Roman" w:cs="Times New Roman"/>
          <w:sz w:val="24"/>
          <w:szCs w:val="24"/>
        </w:rPr>
        <w:t>behaviour</w:t>
      </w:r>
      <w:r w:rsidRPr="00261E4A">
        <w:rPr>
          <w:rFonts w:ascii="Times New Roman" w:hAnsi="Times New Roman" w:cs="Times New Roman"/>
          <w:sz w:val="24"/>
          <w:szCs w:val="24"/>
        </w:rPr>
        <w:t xml:space="preserve">. The </w:t>
      </w:r>
      <w:r w:rsidRPr="00261E4A">
        <w:rPr>
          <w:rFonts w:ascii="Times New Roman" w:hAnsi="Times New Roman" w:cs="Times New Roman"/>
          <w:sz w:val="24"/>
          <w:szCs w:val="24"/>
        </w:rPr>
        <w:lastRenderedPageBreak/>
        <w:t>issue of establishing job classification has been discussed in Tiley &amp; Collison, a renowned law book, which also cites Justice Lightman's comments from a significant case in 1996.</w:t>
      </w:r>
    </w:p>
    <w:p w14:paraId="4D4795FB" w14:textId="77777777"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The definitive categorization of any given activity into a </w:t>
      </w:r>
      <w:proofErr w:type="gramStart"/>
      <w:r w:rsidRPr="00261E4A">
        <w:rPr>
          <w:rFonts w:ascii="Times New Roman" w:hAnsi="Times New Roman" w:cs="Times New Roman"/>
          <w:sz w:val="24"/>
          <w:szCs w:val="24"/>
        </w:rPr>
        <w:t>particular group</w:t>
      </w:r>
      <w:proofErr w:type="gramEnd"/>
      <w:r w:rsidRPr="00261E4A">
        <w:rPr>
          <w:rFonts w:ascii="Times New Roman" w:hAnsi="Times New Roman" w:cs="Times New Roman"/>
          <w:sz w:val="24"/>
          <w:szCs w:val="24"/>
        </w:rPr>
        <w:t xml:space="preserve"> cannot be determined by a single litmus test. Various indicators can signify an individual's affiliation with a </w:t>
      </w:r>
      <w:proofErr w:type="gramStart"/>
      <w:r w:rsidRPr="00261E4A">
        <w:rPr>
          <w:rFonts w:ascii="Times New Roman" w:hAnsi="Times New Roman" w:cs="Times New Roman"/>
          <w:sz w:val="24"/>
          <w:szCs w:val="24"/>
        </w:rPr>
        <w:t>particular relationship</w:t>
      </w:r>
      <w:proofErr w:type="gramEnd"/>
      <w:r w:rsidRPr="00261E4A">
        <w:rPr>
          <w:rFonts w:ascii="Times New Roman" w:hAnsi="Times New Roman" w:cs="Times New Roman"/>
          <w:sz w:val="24"/>
          <w:szCs w:val="24"/>
        </w:rPr>
        <w:t>, and the significance of these indicators may vary depending on the context. The judges are required to consider the relative significance of each emblem in accordance with the particular facts and circumstances in every case.</w:t>
      </w:r>
    </w:p>
    <w:p w14:paraId="4E51A655" w14:textId="3D0B0C35"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As per the 2018 survey conducted by the Government on job status, it is a fact that case law </w:t>
      </w:r>
      <w:r w:rsidR="00407995" w:rsidRPr="00261E4A">
        <w:rPr>
          <w:rFonts w:ascii="Times New Roman" w:hAnsi="Times New Roman" w:cs="Times New Roman"/>
          <w:sz w:val="24"/>
          <w:szCs w:val="24"/>
        </w:rPr>
        <w:t>evolves,</w:t>
      </w:r>
      <w:r w:rsidRPr="00261E4A">
        <w:rPr>
          <w:rFonts w:ascii="Times New Roman" w:hAnsi="Times New Roman" w:cs="Times New Roman"/>
          <w:sz w:val="24"/>
          <w:szCs w:val="24"/>
        </w:rPr>
        <w:t xml:space="preserve"> and the courts </w:t>
      </w:r>
      <w:proofErr w:type="gramStart"/>
      <w:r w:rsidRPr="00261E4A">
        <w:rPr>
          <w:rFonts w:ascii="Times New Roman" w:hAnsi="Times New Roman" w:cs="Times New Roman"/>
          <w:sz w:val="24"/>
          <w:szCs w:val="24"/>
        </w:rPr>
        <w:t>take into account</w:t>
      </w:r>
      <w:proofErr w:type="gramEnd"/>
      <w:r w:rsidRPr="00261E4A">
        <w:rPr>
          <w:rFonts w:ascii="Times New Roman" w:hAnsi="Times New Roman" w:cs="Times New Roman"/>
          <w:sz w:val="24"/>
          <w:szCs w:val="24"/>
        </w:rPr>
        <w:t xml:space="preserve"> the pertinent factors in every individual case. Although there may be a certain degree of consistency across various instances, it is noteworthy that neither the employer nor the employee possesses an authoritative set of guidelines, a standardized list, or a systematic procedure for ascertaining their respective roles.</w:t>
      </w:r>
    </w:p>
    <w:p w14:paraId="747EB41A" w14:textId="276BBA73" w:rsidR="007E1F6A"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In a report published in 2015, the OTS provided an overview of pertinent case law. The report emphasized that although the case law has established specific standards for employment selection, particularly in relation to ascertaining the existence of a service contract, it has not necessarily facilitated comprehension of the legal framework.</w:t>
      </w:r>
    </w:p>
    <w:p w14:paraId="60D8BFBF" w14:textId="77777777" w:rsidR="005D5946" w:rsidRPr="00261E4A" w:rsidRDefault="005D5946" w:rsidP="00261E4A">
      <w:pPr>
        <w:spacing w:line="360" w:lineRule="auto"/>
        <w:jc w:val="both"/>
        <w:rPr>
          <w:rFonts w:ascii="Times New Roman" w:hAnsi="Times New Roman" w:cs="Times New Roman"/>
          <w:sz w:val="24"/>
          <w:szCs w:val="24"/>
        </w:rPr>
      </w:pPr>
    </w:p>
    <w:p w14:paraId="6ADC8512" w14:textId="7640E85C"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Employers may use the ambiguity surrounding independent contractor status to force employees to be classified as such, despite the reality of the situation. One of the primary financial motivations for hiding work is the chance to pay less in taxes and NICs on revenue from any activity.</w:t>
      </w:r>
    </w:p>
    <w:p w14:paraId="4ED8556D" w14:textId="77777777"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As addressed in a feedback document on the prevalence of "false" self-employment in the building sector released in 2009 by the Labour Government:</w:t>
      </w:r>
    </w:p>
    <w:p w14:paraId="5555B2F3" w14:textId="75631515"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For income tax and National Insurance (NICs) reasons, workers can classify themselves as either independent contractors or employees depending on the type of company or </w:t>
      </w:r>
      <w:r w:rsidR="00407995" w:rsidRPr="00261E4A">
        <w:rPr>
          <w:rFonts w:ascii="Times New Roman" w:hAnsi="Times New Roman" w:cs="Times New Roman"/>
          <w:sz w:val="24"/>
          <w:szCs w:val="24"/>
        </w:rPr>
        <w:t>field,</w:t>
      </w:r>
      <w:r w:rsidRPr="00261E4A">
        <w:rPr>
          <w:rFonts w:ascii="Times New Roman" w:hAnsi="Times New Roman" w:cs="Times New Roman"/>
          <w:sz w:val="24"/>
          <w:szCs w:val="24"/>
        </w:rPr>
        <w:t xml:space="preserve"> they operate in. Case law has created a battery of criteria to use when deciding how an employee should be handled.</w:t>
      </w:r>
      <w:r w:rsidR="00261E4A"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Some of these factors include </w:t>
      </w:r>
      <w:r w:rsidR="00407995" w:rsidRPr="00261E4A">
        <w:rPr>
          <w:rFonts w:ascii="Times New Roman" w:hAnsi="Times New Roman" w:cs="Times New Roman"/>
          <w:sz w:val="24"/>
          <w:szCs w:val="24"/>
        </w:rPr>
        <w:t>whether</w:t>
      </w:r>
      <w:r w:rsidRPr="00261E4A">
        <w:rPr>
          <w:rFonts w:ascii="Times New Roman" w:hAnsi="Times New Roman" w:cs="Times New Roman"/>
          <w:sz w:val="24"/>
          <w:szCs w:val="24"/>
        </w:rPr>
        <w:t xml:space="preserve"> the worker is in company for himself, who bears the financial risk, and who manages the job. To determine whether a person should be classified as an employee or independent contractor, these tests are applied to the specifics of the employment.</w:t>
      </w:r>
    </w:p>
    <w:p w14:paraId="2CABD941" w14:textId="4FD0FCDA"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lastRenderedPageBreak/>
        <w:t xml:space="preserve">Employers are required to use these measures under the Pay as You Earn (PAYE) and National Insurance Contributions (NICs) laws to decide </w:t>
      </w:r>
      <w:r w:rsidR="00407995" w:rsidRPr="00261E4A">
        <w:rPr>
          <w:rFonts w:ascii="Times New Roman" w:hAnsi="Times New Roman" w:cs="Times New Roman"/>
          <w:sz w:val="24"/>
          <w:szCs w:val="24"/>
        </w:rPr>
        <w:t>whether</w:t>
      </w:r>
      <w:r w:rsidRPr="00261E4A">
        <w:rPr>
          <w:rFonts w:ascii="Times New Roman" w:hAnsi="Times New Roman" w:cs="Times New Roman"/>
          <w:sz w:val="24"/>
          <w:szCs w:val="24"/>
        </w:rPr>
        <w:t xml:space="preserve"> an individual is an employee. This duty extends to all fields of </w:t>
      </w:r>
      <w:r w:rsidR="00407995" w:rsidRPr="00261E4A">
        <w:rPr>
          <w:rFonts w:ascii="Times New Roman" w:hAnsi="Times New Roman" w:cs="Times New Roman"/>
          <w:sz w:val="24"/>
          <w:szCs w:val="24"/>
        </w:rPr>
        <w:t>endeavour</w:t>
      </w:r>
      <w:r w:rsidRPr="00261E4A">
        <w:rPr>
          <w:rFonts w:ascii="Times New Roman" w:hAnsi="Times New Roman" w:cs="Times New Roman"/>
          <w:sz w:val="24"/>
          <w:szCs w:val="24"/>
        </w:rPr>
        <w:t>, including those related to the building trade.</w:t>
      </w:r>
      <w:r w:rsidR="00407995" w:rsidRPr="00261E4A">
        <w:rPr>
          <w:rFonts w:ascii="Times New Roman" w:hAnsi="Times New Roman" w:cs="Times New Roman"/>
          <w:sz w:val="24"/>
          <w:szCs w:val="24"/>
        </w:rPr>
        <w:t xml:space="preserve"> </w:t>
      </w:r>
      <w:r w:rsidR="00407995" w:rsidRPr="00261E4A">
        <w:rPr>
          <w:rFonts w:ascii="Times New Roman" w:hAnsi="Times New Roman" w:cs="Times New Roman"/>
          <w:sz w:val="24"/>
          <w:szCs w:val="24"/>
        </w:rPr>
        <w:t xml:space="preserve">It is extremely important to determine </w:t>
      </w:r>
      <w:proofErr w:type="gramStart"/>
      <w:r w:rsidR="00407995" w:rsidRPr="00261E4A">
        <w:rPr>
          <w:rFonts w:ascii="Times New Roman" w:hAnsi="Times New Roman" w:cs="Times New Roman"/>
          <w:sz w:val="24"/>
          <w:szCs w:val="24"/>
        </w:rPr>
        <w:t>whether or not</w:t>
      </w:r>
      <w:proofErr w:type="gramEnd"/>
      <w:r w:rsidR="00407995" w:rsidRPr="00261E4A">
        <w:rPr>
          <w:rFonts w:ascii="Times New Roman" w:hAnsi="Times New Roman" w:cs="Times New Roman"/>
          <w:sz w:val="24"/>
          <w:szCs w:val="24"/>
        </w:rPr>
        <w:t xml:space="preserve"> you are designated an employee or the proprietor of a business when it comes to issues concerning taxation and legal protections for employees. Since quite some time ago, there have been concerns regarding the widespread use of the term "fake self-employment" in the construction business. This term refers to employees who are given the impression that they will be paid as independent contractors when </w:t>
      </w:r>
      <w:proofErr w:type="gramStart"/>
      <w:r w:rsidR="00407995" w:rsidRPr="00261E4A">
        <w:rPr>
          <w:rFonts w:ascii="Times New Roman" w:hAnsi="Times New Roman" w:cs="Times New Roman"/>
          <w:sz w:val="24"/>
          <w:szCs w:val="24"/>
        </w:rPr>
        <w:t>in reality they</w:t>
      </w:r>
      <w:proofErr w:type="gramEnd"/>
      <w:r w:rsidR="00407995" w:rsidRPr="00261E4A">
        <w:rPr>
          <w:rFonts w:ascii="Times New Roman" w:hAnsi="Times New Roman" w:cs="Times New Roman"/>
          <w:sz w:val="24"/>
          <w:szCs w:val="24"/>
        </w:rPr>
        <w:t xml:space="preserve"> will be paid as employees. If an employer assigns this categorization to their workers, then the company might be exempt from paying NICs on the compensation that it pays out. People can reduce the amount of taxes they owe if they are not considered to be employees, but they might not be aware of all the benefits they are giving up as a result of this decision. (such as their rights to sick pay.) In its suggestion for the 2009 budget, the Labour Government stated that it would "consult with a view to future legislation" in order to </w:t>
      </w:r>
      <w:r w:rsidR="00407995" w:rsidRPr="00261E4A">
        <w:rPr>
          <w:rFonts w:ascii="Times New Roman" w:hAnsi="Times New Roman" w:cs="Times New Roman"/>
          <w:sz w:val="24"/>
          <w:szCs w:val="24"/>
        </w:rPr>
        <w:t>fulfil</w:t>
      </w:r>
      <w:r w:rsidR="00407995" w:rsidRPr="00261E4A">
        <w:rPr>
          <w:rFonts w:ascii="Times New Roman" w:hAnsi="Times New Roman" w:cs="Times New Roman"/>
          <w:sz w:val="24"/>
          <w:szCs w:val="24"/>
        </w:rPr>
        <w:t xml:space="preserve"> its commitment to "ensure that construction workers and those who work for them are taxed appropriately." During the summer of that year, a report manuscript was made available for review and feedback by the general public. As a result of the outcry that the plans generated, it was determined that we would not press forward with them. Recently, concerns have been raised that intermediary companies are abusing these rules by concealing the true nature of the contract they are entering into on behalf of the workers they place with employers and, in some cases, keeping the majority or all of the financial benefits for themselves at the expense of the workers. These concerns stem from the fact that intermediary companies have been accused of concealing the true nature of the contract they are </w:t>
      </w:r>
      <w:proofErr w:type="gramStart"/>
      <w:r w:rsidR="00407995" w:rsidRPr="00261E4A">
        <w:rPr>
          <w:rFonts w:ascii="Times New Roman" w:hAnsi="Times New Roman" w:cs="Times New Roman"/>
          <w:sz w:val="24"/>
          <w:szCs w:val="24"/>
        </w:rPr>
        <w:t>entering into</w:t>
      </w:r>
      <w:proofErr w:type="gramEnd"/>
      <w:r w:rsidR="00407995" w:rsidRPr="00261E4A">
        <w:rPr>
          <w:rFonts w:ascii="Times New Roman" w:hAnsi="Times New Roman" w:cs="Times New Roman"/>
          <w:sz w:val="24"/>
          <w:szCs w:val="24"/>
        </w:rPr>
        <w:t xml:space="preserve"> on behalf of the workers they place with employers. After much public discussion, the steps that the Coalition Government plans to take to battle employment intermediaries who evade taxes by being situated overseas or, more particularly for the construction industry, by disguising employment as self-employment were disclosed in the 2014 Budget.</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The inaugural budget of the Coalition Government, unveiled in June of 2010, incorporated the </w:t>
      </w:r>
      <w:proofErr w:type="gramStart"/>
      <w:r w:rsidRPr="00261E4A">
        <w:rPr>
          <w:rFonts w:ascii="Times New Roman" w:hAnsi="Times New Roman" w:cs="Times New Roman"/>
          <w:sz w:val="24"/>
          <w:szCs w:val="24"/>
        </w:rPr>
        <w:t>aforementioned measures</w:t>
      </w:r>
      <w:proofErr w:type="gramEnd"/>
      <w:r w:rsidRPr="00261E4A">
        <w:rPr>
          <w:rFonts w:ascii="Times New Roman" w:hAnsi="Times New Roman" w:cs="Times New Roman"/>
          <w:sz w:val="24"/>
          <w:szCs w:val="24"/>
        </w:rPr>
        <w:t>.</w:t>
      </w:r>
    </w:p>
    <w:p w14:paraId="62A907C3" w14:textId="5750CD83"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The establishment of a novel, unbiased panel to scrutinize the financial framework.</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Tax Commissioner's Office will conduct an analysis of the system and provide recommendations for its optimization.</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initial section of this report details that during March of 2015, the OTS had acquired certain information.</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The organization has published its ultimate report for the Parliamentary term of 2010-2015, </w:t>
      </w:r>
      <w:r w:rsidR="00407995" w:rsidRPr="00261E4A">
        <w:rPr>
          <w:rFonts w:ascii="Times New Roman" w:hAnsi="Times New Roman" w:cs="Times New Roman"/>
          <w:sz w:val="24"/>
          <w:szCs w:val="24"/>
        </w:rPr>
        <w:t>analysing</w:t>
      </w:r>
      <w:r w:rsidRPr="00261E4A">
        <w:rPr>
          <w:rFonts w:ascii="Times New Roman" w:hAnsi="Times New Roman" w:cs="Times New Roman"/>
          <w:sz w:val="24"/>
          <w:szCs w:val="24"/>
        </w:rPr>
        <w:t>.</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The current state of employment. As stated in the </w:t>
      </w:r>
      <w:r w:rsidRPr="00261E4A">
        <w:rPr>
          <w:rFonts w:ascii="Times New Roman" w:hAnsi="Times New Roman" w:cs="Times New Roman"/>
          <w:sz w:val="24"/>
          <w:szCs w:val="24"/>
        </w:rPr>
        <w:lastRenderedPageBreak/>
        <w:t>introduction, the authors observed that.</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According to the authors, the subject of work was challenging and had various aspects to consider.</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There are individuals who have expressed the belief that a viable solution to this issue may never be discovered.</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attainment of a solution to the issue at hand would enable us to progress towards achieving global harmony</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study indicated that the performance was exceptional. However, it did not furnish the corresponding revenue information.</w:t>
      </w:r>
    </w:p>
    <w:p w14:paraId="36AAA596" w14:textId="1C4D030A"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In the context of the discourse surrounding the Philosopher's Stone, the </w:t>
      </w:r>
      <w:proofErr w:type="gramStart"/>
      <w:r w:rsidRPr="00261E4A">
        <w:rPr>
          <w:rFonts w:ascii="Times New Roman" w:hAnsi="Times New Roman" w:cs="Times New Roman"/>
          <w:sz w:val="24"/>
          <w:szCs w:val="24"/>
        </w:rPr>
        <w:t>aforementioned work</w:t>
      </w:r>
      <w:proofErr w:type="gramEnd"/>
      <w:r w:rsidRPr="00261E4A">
        <w:rPr>
          <w:rFonts w:ascii="Times New Roman" w:hAnsi="Times New Roman" w:cs="Times New Roman"/>
          <w:sz w:val="24"/>
          <w:szCs w:val="24"/>
        </w:rPr>
        <w:t xml:space="preserve"> served to substantiate the veracity of its existence.</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present concern is the exacerbation of a problem due to contemporary changes in the work environment.</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revenue structure has not undergone significant updates since the early 1900s in several regards.</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attitude in question pertains to the classification of laborers into two distinct categories, namely employees and independent contractors.</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common employment status of a plumber is either as a salaried employee or as a self-employed individual.</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Regarding the human psyche. In the contemporary era, the </w:t>
      </w:r>
      <w:proofErr w:type="gramStart"/>
      <w:r w:rsidRPr="00261E4A">
        <w:rPr>
          <w:rFonts w:ascii="Times New Roman" w:hAnsi="Times New Roman" w:cs="Times New Roman"/>
          <w:sz w:val="24"/>
          <w:szCs w:val="24"/>
        </w:rPr>
        <w:t>aforementioned proposition</w:t>
      </w:r>
      <w:proofErr w:type="gramEnd"/>
      <w:r w:rsidRPr="00261E4A">
        <w:rPr>
          <w:rFonts w:ascii="Times New Roman" w:hAnsi="Times New Roman" w:cs="Times New Roman"/>
          <w:sz w:val="24"/>
          <w:szCs w:val="24"/>
        </w:rPr>
        <w:t xml:space="preserve"> may have been deemed logical during the 1950s and 1960s, however, given the current magnitude of the situation, it may require further examination.</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pursuit of working as a career path is a topic that warrants further exploration and expansion within the academic realm.</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Effortlessly conforming to the traditional framework. The expansion is a result of the growth of the information technology sector.</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domain of business has extended beyond its traditional boundaries, owing to the widespread usage of the internet.</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Contemporary software programs are commonly referred to as applications. This document could potentially be deemed obligatory for certain individuals.</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trend of opting for self-employment is on the rise due to the advantages it offers.</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tax structure has been a subject of debate among certain individuals due to these circumstances.</w:t>
      </w:r>
    </w:p>
    <w:p w14:paraId="238F5D07" w14:textId="1C25A764"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Recognizing an alternative approach to performing tasks. The ideal scenario is one where a cohesive set of principles is universally agreed upon.</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Established as a legal standard to guide judicial interpretation and decision-making.</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current state of employment. In an ideal scenario, those guidelines would be applicable.</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It is recommended to utilize the </w:t>
      </w:r>
      <w:proofErr w:type="gramStart"/>
      <w:r w:rsidRPr="00261E4A">
        <w:rPr>
          <w:rFonts w:ascii="Times New Roman" w:hAnsi="Times New Roman" w:cs="Times New Roman"/>
          <w:sz w:val="24"/>
          <w:szCs w:val="24"/>
        </w:rPr>
        <w:t>aforementioned term</w:t>
      </w:r>
      <w:proofErr w:type="gramEnd"/>
      <w:r w:rsidRPr="00261E4A">
        <w:rPr>
          <w:rFonts w:ascii="Times New Roman" w:hAnsi="Times New Roman" w:cs="Times New Roman"/>
          <w:sz w:val="24"/>
          <w:szCs w:val="24"/>
        </w:rPr>
        <w:t xml:space="preserve"> in all relevant contexts, such as taxation, the National Minimum Wage (NMW), and incentives.</w:t>
      </w:r>
      <w:r w:rsidRPr="00261E4A">
        <w:rPr>
          <w:rFonts w:ascii="Times New Roman" w:hAnsi="Times New Roman" w:cs="Times New Roman"/>
          <w:sz w:val="24"/>
          <w:szCs w:val="24"/>
        </w:rPr>
        <w:t xml:space="preserve"> </w:t>
      </w:r>
      <w:r w:rsidR="00407995" w:rsidRPr="00261E4A">
        <w:rPr>
          <w:rFonts w:ascii="Times New Roman" w:hAnsi="Times New Roman" w:cs="Times New Roman"/>
          <w:sz w:val="24"/>
          <w:szCs w:val="24"/>
        </w:rPr>
        <w:t>Labour</w:t>
      </w:r>
      <w:r w:rsidRPr="00261E4A">
        <w:rPr>
          <w:rFonts w:ascii="Times New Roman" w:hAnsi="Times New Roman" w:cs="Times New Roman"/>
          <w:sz w:val="24"/>
          <w:szCs w:val="24"/>
        </w:rPr>
        <w:t xml:space="preserve"> regulations and related policies.</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Notwithstanding its allure, I hold the belief that attainment of said objective is unlikely.</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reason for the uncertainty is due to the constant fluctuations.</w:t>
      </w:r>
    </w:p>
    <w:p w14:paraId="331F19CB" w14:textId="34C3C035"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lastRenderedPageBreak/>
        <w:t>There is a current trend towards identifying and highlighting instances that distinguish between items that may appear similar</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decisions. If such is the case, it may serve as the basis for a statutory regulation.</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decision was made to carry out an implementation.</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A set of established regulations would provide advantages in that</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This is where decisions regarding legislative rulemaking are made.</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arguments presented would possess sound reasoning that is observable. To what extent does the collection of data.</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The formulation of concepts and potential legislative modifications are possible.</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It is necessary to evaluate the impact of a given phenomenon on pre-existing overarching concepts.</w:t>
      </w:r>
      <w:r w:rsidRPr="00261E4A">
        <w:rPr>
          <w:rFonts w:ascii="Times New Roman" w:hAnsi="Times New Roman" w:cs="Times New Roman"/>
          <w:sz w:val="24"/>
          <w:szCs w:val="24"/>
        </w:rPr>
        <w:t xml:space="preserve"> </w:t>
      </w:r>
      <w:r w:rsidRPr="00261E4A">
        <w:rPr>
          <w:rFonts w:ascii="Times New Roman" w:hAnsi="Times New Roman" w:cs="Times New Roman"/>
          <w:sz w:val="24"/>
          <w:szCs w:val="24"/>
        </w:rPr>
        <w:t xml:space="preserve">As an integral component of the </w:t>
      </w:r>
      <w:r w:rsidR="00407995" w:rsidRPr="00261E4A">
        <w:rPr>
          <w:rFonts w:ascii="Times New Roman" w:hAnsi="Times New Roman" w:cs="Times New Roman"/>
          <w:sz w:val="24"/>
          <w:szCs w:val="24"/>
        </w:rPr>
        <w:t>counselling</w:t>
      </w:r>
      <w:r w:rsidRPr="00261E4A">
        <w:rPr>
          <w:rFonts w:ascii="Times New Roman" w:hAnsi="Times New Roman" w:cs="Times New Roman"/>
          <w:sz w:val="24"/>
          <w:szCs w:val="24"/>
        </w:rPr>
        <w:t xml:space="preserve"> protocol.</w:t>
      </w:r>
      <w:r w:rsidRPr="00261E4A">
        <w:rPr>
          <w:rFonts w:ascii="Times New Roman" w:hAnsi="Times New Roman" w:cs="Times New Roman"/>
          <w:sz w:val="24"/>
          <w:szCs w:val="24"/>
        </w:rPr>
        <w:t xml:space="preserve"> </w:t>
      </w:r>
    </w:p>
    <w:p w14:paraId="5084A5A1" w14:textId="77777777"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Misclassifying workers as independent contractors despite the absence of employee benefits in their contractual agreement is a retrogressive practice.</w:t>
      </w:r>
    </w:p>
    <w:p w14:paraId="0BD2F6B8" w14:textId="300A9C82"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Nevertheless, it is apparent that this </w:t>
      </w:r>
      <w:proofErr w:type="gramStart"/>
      <w:r w:rsidRPr="00261E4A">
        <w:rPr>
          <w:rFonts w:ascii="Times New Roman" w:hAnsi="Times New Roman" w:cs="Times New Roman"/>
          <w:sz w:val="24"/>
          <w:szCs w:val="24"/>
        </w:rPr>
        <w:t>particular perspective</w:t>
      </w:r>
      <w:proofErr w:type="gramEnd"/>
      <w:r w:rsidRPr="00261E4A">
        <w:rPr>
          <w:rFonts w:ascii="Times New Roman" w:hAnsi="Times New Roman" w:cs="Times New Roman"/>
          <w:sz w:val="24"/>
          <w:szCs w:val="24"/>
        </w:rPr>
        <w:t xml:space="preserve"> has garnered support, enabling enterprises to disseminate a fallacious concept of autonomy amidst their employees. While it is uncommon for legal challenges to one's job classification to result in a </w:t>
      </w:r>
      <w:r w:rsidR="00407995" w:rsidRPr="00261E4A">
        <w:rPr>
          <w:rFonts w:ascii="Times New Roman" w:hAnsi="Times New Roman" w:cs="Times New Roman"/>
          <w:sz w:val="24"/>
          <w:szCs w:val="24"/>
        </w:rPr>
        <w:t>favourable</w:t>
      </w:r>
      <w:r w:rsidRPr="00261E4A">
        <w:rPr>
          <w:rFonts w:ascii="Times New Roman" w:hAnsi="Times New Roman" w:cs="Times New Roman"/>
          <w:sz w:val="24"/>
          <w:szCs w:val="24"/>
        </w:rPr>
        <w:t xml:space="preserve"> outcome, pursuing such action can pose significant personal risks. Nonetheless, it is not uncommon for both employees and employers to benefit financially from engaging in a contractual arrangement. The present techniques employed in categorizing personnel are evidently experiencing pressure as the economy undergoes changes.</w:t>
      </w:r>
    </w:p>
    <w:p w14:paraId="374FB388" w14:textId="19E20C29"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The perceived flexibility that businesses possess to deny employees the rights that accompany employee or worker status results in a lack of protection for employees against abuse and </w:t>
      </w:r>
      <w:r w:rsidR="00407995" w:rsidRPr="00261E4A">
        <w:rPr>
          <w:rFonts w:ascii="Times New Roman" w:hAnsi="Times New Roman" w:cs="Times New Roman"/>
          <w:sz w:val="24"/>
          <w:szCs w:val="24"/>
        </w:rPr>
        <w:t>unfavourable</w:t>
      </w:r>
      <w:r w:rsidRPr="00261E4A">
        <w:rPr>
          <w:rFonts w:ascii="Times New Roman" w:hAnsi="Times New Roman" w:cs="Times New Roman"/>
          <w:sz w:val="24"/>
          <w:szCs w:val="24"/>
        </w:rPr>
        <w:t xml:space="preserve"> working conditions. In addition, the government experiences a loss in tax revenue and the welfare system may face increased strain.</w:t>
      </w:r>
    </w:p>
    <w:p w14:paraId="76D6A94E" w14:textId="1F81105D" w:rsidR="005D5946" w:rsidRPr="00261E4A" w:rsidRDefault="005D5946" w:rsidP="00261E4A">
      <w:pPr>
        <w:spacing w:line="360" w:lineRule="auto"/>
        <w:jc w:val="both"/>
        <w:rPr>
          <w:rFonts w:ascii="Times New Roman" w:hAnsi="Times New Roman" w:cs="Times New Roman"/>
          <w:sz w:val="24"/>
          <w:szCs w:val="24"/>
        </w:rPr>
      </w:pPr>
      <w:r w:rsidRPr="00261E4A">
        <w:rPr>
          <w:rFonts w:ascii="Times New Roman" w:hAnsi="Times New Roman" w:cs="Times New Roman"/>
          <w:sz w:val="24"/>
          <w:szCs w:val="24"/>
        </w:rPr>
        <w:t xml:space="preserve">A modification of the conventional job categorization from "self-employed" to "worker" would result in benefits for both employees and taxpayers. This change would mandate businesses to offer a basic set of rights and benefits to their employees. </w:t>
      </w:r>
      <w:proofErr w:type="gramStart"/>
      <w:r w:rsidRPr="00261E4A">
        <w:rPr>
          <w:rFonts w:ascii="Times New Roman" w:hAnsi="Times New Roman" w:cs="Times New Roman"/>
          <w:sz w:val="24"/>
          <w:szCs w:val="24"/>
        </w:rPr>
        <w:t>In the event that</w:t>
      </w:r>
      <w:proofErr w:type="gramEnd"/>
      <w:r w:rsidRPr="00261E4A">
        <w:rPr>
          <w:rFonts w:ascii="Times New Roman" w:hAnsi="Times New Roman" w:cs="Times New Roman"/>
          <w:sz w:val="24"/>
          <w:szCs w:val="24"/>
        </w:rPr>
        <w:t xml:space="preserve"> such a scenario </w:t>
      </w:r>
      <w:r w:rsidR="00407995" w:rsidRPr="00261E4A">
        <w:rPr>
          <w:rFonts w:ascii="Times New Roman" w:hAnsi="Times New Roman" w:cs="Times New Roman"/>
          <w:sz w:val="24"/>
          <w:szCs w:val="24"/>
        </w:rPr>
        <w:t>was</w:t>
      </w:r>
      <w:r w:rsidRPr="00261E4A">
        <w:rPr>
          <w:rFonts w:ascii="Times New Roman" w:hAnsi="Times New Roman" w:cs="Times New Roman"/>
          <w:sz w:val="24"/>
          <w:szCs w:val="24"/>
        </w:rPr>
        <w:t xml:space="preserve"> to occur, it would be plausible for employees to be granted the customary legal safeguards that are typically attributed to the designation of a "worker." The tax legislation does not recognize the classification of "worker," thus any alterations in taxation would not be applicable. The burden of proof with respect to job position would consequently lie with the enterprise if it intended to deviate from this model.</w:t>
      </w:r>
    </w:p>
    <w:p w14:paraId="355D791B" w14:textId="5DFBD8EC" w:rsidR="00407995" w:rsidRDefault="00407995" w:rsidP="005D5946"/>
    <w:p w14:paraId="21BDC6F4" w14:textId="1E0AF0E8" w:rsidR="00407995" w:rsidRDefault="00407995" w:rsidP="005D5946">
      <w:r>
        <w:t>REFRENCES</w:t>
      </w:r>
    </w:p>
    <w:p w14:paraId="72CCA293" w14:textId="2F85E640" w:rsidR="00EE3CF6" w:rsidRDefault="00407995" w:rsidP="00EE3CF6">
      <w:pPr>
        <w:pStyle w:val="NormalWeb"/>
        <w:ind w:left="567" w:hanging="567"/>
      </w:pPr>
      <w:r>
        <w:lastRenderedPageBreak/>
        <w:t>1.</w:t>
      </w:r>
      <w:r w:rsidR="00EE3CF6" w:rsidRPr="00EE3CF6">
        <w:rPr>
          <w:i/>
          <w:iCs/>
        </w:rPr>
        <w:t xml:space="preserve"> </w:t>
      </w:r>
      <w:r w:rsidR="00EE3CF6">
        <w:rPr>
          <w:i/>
          <w:iCs/>
        </w:rPr>
        <w:t>Self-employment in the construction industry - House of Commons Library</w:t>
      </w:r>
      <w:r w:rsidR="00EE3CF6">
        <w:t xml:space="preserve"> (no date). Available at: https://commonslibrary.parliament.uk/research-briefings/sn00196/ (Accessed: March 31, 2023). </w:t>
      </w:r>
    </w:p>
    <w:p w14:paraId="1B540D0F" w14:textId="0285AABB" w:rsidR="00EE3CF6" w:rsidRDefault="00EE3CF6" w:rsidP="00EE3CF6">
      <w:pPr>
        <w:pStyle w:val="NormalWeb"/>
        <w:ind w:left="567" w:hanging="567"/>
      </w:pPr>
      <w:r>
        <w:t>2.</w:t>
      </w:r>
      <w:r w:rsidRPr="00EE3CF6">
        <w:rPr>
          <w:i/>
          <w:iCs/>
        </w:rPr>
        <w:t xml:space="preserve"> </w:t>
      </w:r>
      <w:r>
        <w:rPr>
          <w:i/>
          <w:iCs/>
        </w:rPr>
        <w:t>Self-employment in the construction industry</w:t>
      </w:r>
      <w:r>
        <w:t xml:space="preserve"> (no date). Available at: https://researchbriefings.files.parliament.uk/documents/SN00196/SN00196.pdf (Accessed: March 31, 2023). </w:t>
      </w:r>
    </w:p>
    <w:p w14:paraId="23675DD0" w14:textId="4F86AB42" w:rsidR="00AB3D26" w:rsidRDefault="00AB3D26" w:rsidP="00AB3D26">
      <w:pPr>
        <w:pStyle w:val="NormalWeb"/>
        <w:ind w:left="567" w:hanging="567"/>
      </w:pPr>
      <w:r>
        <w:t>3.</w:t>
      </w:r>
      <w:r w:rsidRPr="00AB3D26">
        <w:rPr>
          <w:i/>
          <w:iCs/>
        </w:rPr>
        <w:t xml:space="preserve"> </w:t>
      </w:r>
      <w:r>
        <w:rPr>
          <w:i/>
          <w:iCs/>
        </w:rPr>
        <w:t>What is the Construction Industry Scheme (CIS)?</w:t>
      </w:r>
      <w:r>
        <w:t xml:space="preserve"> (2022) </w:t>
      </w:r>
      <w:r>
        <w:rPr>
          <w:i/>
          <w:iCs/>
        </w:rPr>
        <w:t>Low Incomes Tax Reform Group</w:t>
      </w:r>
      <w:r>
        <w:t xml:space="preserve">. Available at: https://www.litrg.org.uk/tax-guides/self-employment/what-construction-industry-scheme-cis (Accessed: March 31, 2023). </w:t>
      </w:r>
    </w:p>
    <w:p w14:paraId="48977C05" w14:textId="767DAA00" w:rsidR="00AB3D26" w:rsidRDefault="00AB3D26" w:rsidP="00AB3D26">
      <w:pPr>
        <w:pStyle w:val="NormalWeb"/>
        <w:ind w:left="567" w:hanging="567"/>
      </w:pPr>
      <w:r>
        <w:t>4.</w:t>
      </w:r>
      <w:r w:rsidRPr="00AB3D26">
        <w:t xml:space="preserve"> </w:t>
      </w:r>
      <w:r>
        <w:t xml:space="preserve">The Construction Index (2020) </w:t>
      </w:r>
      <w:r>
        <w:rPr>
          <w:i/>
          <w:iCs/>
        </w:rPr>
        <w:t>Self-employed vs employed – the conundrum for UK construction companies in the wake of covid-19</w:t>
      </w:r>
      <w:r>
        <w:t xml:space="preserve">, </w:t>
      </w:r>
      <w:r>
        <w:rPr>
          <w:i/>
          <w:iCs/>
        </w:rPr>
        <w:t>Construction Index</w:t>
      </w:r>
      <w:r>
        <w:t xml:space="preserve">. The Construction Index. Available at: https://www.theconstructionindex.co.uk/news/view/self-employed-vs-employed-the-conundrum-for-uk-construction-companies-in-the-wake-of-covid-19 (Accessed: March 31, 2023). </w:t>
      </w:r>
    </w:p>
    <w:p w14:paraId="6D1BCFDD" w14:textId="5F025130" w:rsidR="00CD33FF" w:rsidRDefault="00CD33FF" w:rsidP="00CD33FF">
      <w:pPr>
        <w:pStyle w:val="NormalWeb"/>
        <w:ind w:left="567" w:hanging="567"/>
      </w:pPr>
      <w:r>
        <w:t>5.</w:t>
      </w:r>
      <w:r w:rsidRPr="00CD33FF">
        <w:t xml:space="preserve"> </w:t>
      </w:r>
      <w:r>
        <w:t xml:space="preserve">Faulkner, L. (2022) </w:t>
      </w:r>
      <w:r>
        <w:rPr>
          <w:i/>
          <w:iCs/>
        </w:rPr>
        <w:t>A guide to employment status in Construction</w:t>
      </w:r>
      <w:r>
        <w:t xml:space="preserve">, </w:t>
      </w:r>
      <w:r>
        <w:rPr>
          <w:i/>
          <w:iCs/>
        </w:rPr>
        <w:t>Construction Management</w:t>
      </w:r>
      <w:r>
        <w:t xml:space="preserve">. Available at: https://constructionmanagement.co.uk/a-guide-to-employment-status-in-construction/ (Accessed: March 31, 2023). </w:t>
      </w:r>
    </w:p>
    <w:p w14:paraId="151F1796" w14:textId="64D88B10" w:rsidR="00CD33FF" w:rsidRDefault="00CD33FF" w:rsidP="00CD33FF">
      <w:pPr>
        <w:pStyle w:val="NormalWeb"/>
        <w:ind w:left="567" w:hanging="567"/>
      </w:pPr>
      <w:r>
        <w:t>6.</w:t>
      </w:r>
      <w:r w:rsidRPr="00CD33FF">
        <w:t xml:space="preserve"> </w:t>
      </w:r>
      <w:r>
        <w:t xml:space="preserve">Doswell, G. (2023) </w:t>
      </w:r>
      <w:r>
        <w:rPr>
          <w:i/>
          <w:iCs/>
        </w:rPr>
        <w:t xml:space="preserve">How does the Construction Industry Scheme (CIS) </w:t>
      </w:r>
      <w:proofErr w:type="gramStart"/>
      <w:r>
        <w:rPr>
          <w:i/>
          <w:iCs/>
        </w:rPr>
        <w:t>work?</w:t>
      </w:r>
      <w:r>
        <w:t>,</w:t>
      </w:r>
      <w:proofErr w:type="gramEnd"/>
      <w:r>
        <w:t xml:space="preserve"> </w:t>
      </w:r>
      <w:proofErr w:type="spellStart"/>
      <w:r>
        <w:rPr>
          <w:i/>
          <w:iCs/>
        </w:rPr>
        <w:t>TaxScouts</w:t>
      </w:r>
      <w:proofErr w:type="spellEnd"/>
      <w:r>
        <w:t xml:space="preserve">. Available at: https://taxscouts.com/self-employed-tax-returns/cis-construction-industry-scheme/ (Accessed: March 31, 2023). </w:t>
      </w:r>
    </w:p>
    <w:p w14:paraId="40480453" w14:textId="25DAC736" w:rsidR="00261E4A" w:rsidRDefault="00CD33FF" w:rsidP="00261E4A">
      <w:pPr>
        <w:pStyle w:val="NormalWeb"/>
        <w:ind w:left="567" w:hanging="567"/>
      </w:pPr>
      <w:r>
        <w:t>7.</w:t>
      </w:r>
      <w:r w:rsidR="00261E4A" w:rsidRPr="00261E4A">
        <w:t xml:space="preserve"> </w:t>
      </w:r>
      <w:r w:rsidR="00261E4A">
        <w:t xml:space="preserve">Hemingway, C. (2022) </w:t>
      </w:r>
      <w:r w:rsidR="00261E4A">
        <w:rPr>
          <w:i/>
          <w:iCs/>
        </w:rPr>
        <w:t>What you need to know about the construction industry scheme (CIS)</w:t>
      </w:r>
      <w:r w:rsidR="00261E4A">
        <w:t xml:space="preserve">, </w:t>
      </w:r>
      <w:r w:rsidR="00261E4A">
        <w:rPr>
          <w:i/>
          <w:iCs/>
        </w:rPr>
        <w:t>BHP, Chartered Accountants</w:t>
      </w:r>
      <w:r w:rsidR="00261E4A">
        <w:t xml:space="preserve">. Available at: https://bhp.co.uk/news-events/blog/what-you-need-to-know-about-the-construction-industry-scheme-cis/ (Accessed: March 31, 2023). </w:t>
      </w:r>
    </w:p>
    <w:p w14:paraId="50DAFA4C" w14:textId="7BC1282C" w:rsidR="00261E4A" w:rsidRDefault="00261E4A" w:rsidP="00261E4A">
      <w:pPr>
        <w:pStyle w:val="NormalWeb"/>
        <w:ind w:left="567" w:hanging="567"/>
      </w:pPr>
      <w:r>
        <w:t>8.</w:t>
      </w:r>
      <w:r w:rsidRPr="00261E4A">
        <w:t xml:space="preserve"> </w:t>
      </w:r>
      <w:r>
        <w:t xml:space="preserve">Service, G.D. (2014) </w:t>
      </w:r>
      <w:r>
        <w:rPr>
          <w:i/>
          <w:iCs/>
        </w:rPr>
        <w:t>Construction industry scheme (CIS)</w:t>
      </w:r>
      <w:r>
        <w:t xml:space="preserve">, </w:t>
      </w:r>
      <w:r>
        <w:rPr>
          <w:i/>
          <w:iCs/>
        </w:rPr>
        <w:t>GOV.UK</w:t>
      </w:r>
      <w:r>
        <w:t xml:space="preserve">. GOV.UK. Available at: https://www.gov.uk/what-is-the-construction-industry-scheme (Accessed: March 31, 2023). </w:t>
      </w:r>
    </w:p>
    <w:p w14:paraId="24C8C162" w14:textId="3F2F1FDB" w:rsidR="00407995" w:rsidRDefault="00407995" w:rsidP="005D5946"/>
    <w:sectPr w:rsidR="00407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91E"/>
    <w:rsid w:val="000B491E"/>
    <w:rsid w:val="00261E4A"/>
    <w:rsid w:val="00407995"/>
    <w:rsid w:val="005D5946"/>
    <w:rsid w:val="007E1F6A"/>
    <w:rsid w:val="00AB3D26"/>
    <w:rsid w:val="00CD33FF"/>
    <w:rsid w:val="00ED6E8C"/>
    <w:rsid w:val="00EE3CF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24F06"/>
  <w15:chartTrackingRefBased/>
  <w15:docId w15:val="{7D065A9E-58EC-4983-9FF2-2777A2350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3CF6"/>
    <w:pPr>
      <w:spacing w:before="100" w:beforeAutospacing="1" w:after="100" w:afterAutospacing="1" w:line="240" w:lineRule="auto"/>
    </w:pPr>
    <w:rPr>
      <w:rFonts w:ascii="Times New Roman" w:eastAsia="Times New Roman" w:hAnsi="Times New Roman" w:cs="Times New Roman"/>
      <w:sz w:val="24"/>
      <w:szCs w:val="24"/>
      <w:lang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93269">
      <w:bodyDiv w:val="1"/>
      <w:marLeft w:val="0"/>
      <w:marRight w:val="0"/>
      <w:marTop w:val="0"/>
      <w:marBottom w:val="0"/>
      <w:divBdr>
        <w:top w:val="none" w:sz="0" w:space="0" w:color="auto"/>
        <w:left w:val="none" w:sz="0" w:space="0" w:color="auto"/>
        <w:bottom w:val="none" w:sz="0" w:space="0" w:color="auto"/>
        <w:right w:val="none" w:sz="0" w:space="0" w:color="auto"/>
      </w:divBdr>
    </w:div>
    <w:div w:id="923951430">
      <w:bodyDiv w:val="1"/>
      <w:marLeft w:val="0"/>
      <w:marRight w:val="0"/>
      <w:marTop w:val="0"/>
      <w:marBottom w:val="0"/>
      <w:divBdr>
        <w:top w:val="none" w:sz="0" w:space="0" w:color="auto"/>
        <w:left w:val="none" w:sz="0" w:space="0" w:color="auto"/>
        <w:bottom w:val="none" w:sz="0" w:space="0" w:color="auto"/>
        <w:right w:val="none" w:sz="0" w:space="0" w:color="auto"/>
      </w:divBdr>
    </w:div>
    <w:div w:id="1248152112">
      <w:bodyDiv w:val="1"/>
      <w:marLeft w:val="0"/>
      <w:marRight w:val="0"/>
      <w:marTop w:val="0"/>
      <w:marBottom w:val="0"/>
      <w:divBdr>
        <w:top w:val="none" w:sz="0" w:space="0" w:color="auto"/>
        <w:left w:val="none" w:sz="0" w:space="0" w:color="auto"/>
        <w:bottom w:val="none" w:sz="0" w:space="0" w:color="auto"/>
        <w:right w:val="none" w:sz="0" w:space="0" w:color="auto"/>
      </w:divBdr>
    </w:div>
    <w:div w:id="1512646864">
      <w:bodyDiv w:val="1"/>
      <w:marLeft w:val="0"/>
      <w:marRight w:val="0"/>
      <w:marTop w:val="0"/>
      <w:marBottom w:val="0"/>
      <w:divBdr>
        <w:top w:val="none" w:sz="0" w:space="0" w:color="auto"/>
        <w:left w:val="none" w:sz="0" w:space="0" w:color="auto"/>
        <w:bottom w:val="none" w:sz="0" w:space="0" w:color="auto"/>
        <w:right w:val="none" w:sz="0" w:space="0" w:color="auto"/>
      </w:divBdr>
    </w:div>
    <w:div w:id="1742940640">
      <w:bodyDiv w:val="1"/>
      <w:marLeft w:val="0"/>
      <w:marRight w:val="0"/>
      <w:marTop w:val="0"/>
      <w:marBottom w:val="0"/>
      <w:divBdr>
        <w:top w:val="none" w:sz="0" w:space="0" w:color="auto"/>
        <w:left w:val="none" w:sz="0" w:space="0" w:color="auto"/>
        <w:bottom w:val="none" w:sz="0" w:space="0" w:color="auto"/>
        <w:right w:val="none" w:sz="0" w:space="0" w:color="auto"/>
      </w:divBdr>
    </w:div>
    <w:div w:id="1778911678">
      <w:bodyDiv w:val="1"/>
      <w:marLeft w:val="0"/>
      <w:marRight w:val="0"/>
      <w:marTop w:val="0"/>
      <w:marBottom w:val="0"/>
      <w:divBdr>
        <w:top w:val="none" w:sz="0" w:space="0" w:color="auto"/>
        <w:left w:val="none" w:sz="0" w:space="0" w:color="auto"/>
        <w:bottom w:val="none" w:sz="0" w:space="0" w:color="auto"/>
        <w:right w:val="none" w:sz="0" w:space="0" w:color="auto"/>
      </w:divBdr>
    </w:div>
    <w:div w:id="1874421799">
      <w:bodyDiv w:val="1"/>
      <w:marLeft w:val="0"/>
      <w:marRight w:val="0"/>
      <w:marTop w:val="0"/>
      <w:marBottom w:val="0"/>
      <w:divBdr>
        <w:top w:val="none" w:sz="0" w:space="0" w:color="auto"/>
        <w:left w:val="none" w:sz="0" w:space="0" w:color="auto"/>
        <w:bottom w:val="none" w:sz="0" w:space="0" w:color="auto"/>
        <w:right w:val="none" w:sz="0" w:space="0" w:color="auto"/>
      </w:divBdr>
    </w:div>
    <w:div w:id="1982421116">
      <w:bodyDiv w:val="1"/>
      <w:marLeft w:val="0"/>
      <w:marRight w:val="0"/>
      <w:marTop w:val="0"/>
      <w:marBottom w:val="0"/>
      <w:divBdr>
        <w:top w:val="none" w:sz="0" w:space="0" w:color="auto"/>
        <w:left w:val="none" w:sz="0" w:space="0" w:color="auto"/>
        <w:bottom w:val="none" w:sz="0" w:space="0" w:color="auto"/>
        <w:right w:val="none" w:sz="0" w:space="0" w:color="auto"/>
      </w:divBdr>
    </w:div>
    <w:div w:id="2077316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1989</TotalTime>
  <Pages>7</Pages>
  <Words>2678</Words>
  <Characters>15269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 RAJ</dc:creator>
  <cp:keywords/>
  <dc:description/>
  <cp:lastModifiedBy>MAHEN RAJ</cp:lastModifiedBy>
  <cp:revision>2</cp:revision>
  <dcterms:created xsi:type="dcterms:W3CDTF">2023-03-29T11:47:00Z</dcterms:created>
  <dcterms:modified xsi:type="dcterms:W3CDTF">2023-03-31T18:39:00Z</dcterms:modified>
</cp:coreProperties>
</file>