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3D9A" w:rsidRDefault="00E23D9A" w:rsidP="00E23D9A">
      <w:pPr>
        <w:pStyle w:val="paragraph"/>
        <w:spacing w:before="0" w:beforeAutospacing="0" w:after="0" w:afterAutospacing="0"/>
        <w:jc w:val="both"/>
        <w:textAlignment w:val="baseline"/>
        <w:rPr>
          <w:rFonts w:ascii="Segoe UI" w:hAnsi="Segoe UI" w:cs="Segoe UI"/>
          <w:sz w:val="18"/>
          <w:szCs w:val="18"/>
        </w:rPr>
      </w:pPr>
      <w:r>
        <w:rPr>
          <w:rStyle w:val="normaltextrun"/>
          <w:b/>
          <w:bCs/>
        </w:rPr>
        <w:t>What should schools and local authorities do to ensure the well-being of their pupils? In answering this question, you should refer to legislation, policy, best practise and theory. </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There is a high increase of mental health problems occurring within children and young people. Averagely, one out of ten children will be affected by a mental health problem. This could be in relation to all the pressures put onto children and young people, for example exams, ‘fitting in’ and societal views. Also, 70% of children and young people, who have obtained a mental health </w:t>
      </w:r>
      <w:proofErr w:type="gramStart"/>
      <w:r>
        <w:rPr>
          <w:rStyle w:val="normaltextrun"/>
        </w:rPr>
        <w:t>condition</w:t>
      </w:r>
      <w:proofErr w:type="gramEnd"/>
      <w:r>
        <w:rPr>
          <w:rStyle w:val="normaltextrun"/>
        </w:rPr>
        <w:t xml:space="preserve"> have not received appropriate, if any, support for their condition. Children and young people may not be aware of how to deal with these pressures they face which can develop mental health problems such as anxiety and depression (Mental Health Foundation, no date). Mental health problems then act as a barrier for the individual having good wellbeing. ‘Mental health is defined as a state of wellbeing’ (</w:t>
      </w:r>
      <w:proofErr w:type="spellStart"/>
      <w:r>
        <w:rPr>
          <w:rStyle w:val="spellingerror"/>
        </w:rPr>
        <w:t>YoungMinds</w:t>
      </w:r>
      <w:proofErr w:type="spellEnd"/>
      <w:r>
        <w:rPr>
          <w:rStyle w:val="normaltextrun"/>
        </w:rPr>
        <w:t xml:space="preserve">, 2017).  Mental health conditions </w:t>
      </w:r>
      <w:proofErr w:type="gramStart"/>
      <w:r>
        <w:rPr>
          <w:rStyle w:val="normaltextrun"/>
        </w:rPr>
        <w:t>cause</w:t>
      </w:r>
      <w:proofErr w:type="gramEnd"/>
      <w:r>
        <w:rPr>
          <w:rStyle w:val="normaltextrun"/>
        </w:rPr>
        <w:t xml:space="preserve"> the individuals physical, emotional, social and cognitive health to deteriorate which overall gives them poor wellbeing. </w:t>
      </w:r>
      <w:proofErr w:type="spellStart"/>
      <w:r>
        <w:rPr>
          <w:rStyle w:val="spellingerror"/>
        </w:rPr>
        <w:t>YoungMinds</w:t>
      </w:r>
      <w:proofErr w:type="spellEnd"/>
      <w:r>
        <w:rPr>
          <w:rStyle w:val="normaltextrun"/>
        </w:rPr>
        <w:t xml:space="preserve">, 2017, have expressed the substantial increase of mental health issues within children and young people, emphasising the importance of this increase and that it has become a ‘crisis’. Mental health conditions such as depression and anxiety, within teenagers, have increased by 70% within the last 25 years and </w:t>
      </w:r>
      <w:bookmarkStart w:id="0" w:name="_GoBack"/>
      <w:bookmarkEnd w:id="0"/>
      <w:r w:rsidR="00CF0185">
        <w:rPr>
          <w:rStyle w:val="normaltextrun"/>
        </w:rPr>
        <w:t>an average of one in twelve young people self-harms</w:t>
      </w:r>
      <w:r>
        <w:rPr>
          <w:rStyle w:val="normaltextrun"/>
        </w:rPr>
        <w:t xml:space="preserve"> on purpose (</w:t>
      </w:r>
      <w:proofErr w:type="spellStart"/>
      <w:r>
        <w:rPr>
          <w:rStyle w:val="spellingerror"/>
        </w:rPr>
        <w:t>YoungMinds</w:t>
      </w:r>
      <w:proofErr w:type="spellEnd"/>
      <w:r>
        <w:rPr>
          <w:rStyle w:val="normaltextrun"/>
        </w:rPr>
        <w:t>, 2017). </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The different types of mental health conditions that are commonly found within children and young people are depression, self – harm, anxiety, post-traumatic stress disorder (PTSD), attention deficit hyperactivity disorder (ADHD), and eating disorders (Mental Health Foundation, no date). Depression is when an individual feel ‘persistently sad’ for a long period of time rather than only a couple of days. Some of the symptoms are constantly feeling down and ‘in low spirit’ or feeling suicidal and that life is not worth living (NHS, 2016). Self-harm is when an individual intentionally harms themselves. This is usually an unorthodox technique the individual uses to cope, or express, emotional distress. There is a correlation between self-harm and suicide; over fifty percent of individuals whom have committed suicide, self-harmed previously. ‘Self-harm is a cry for help’ (NHS, 2015. Some of the signs of self-harming can include cuts, burns, bruises on their body, particularly on the arm, legs, wrists and so on; keeping themselves covered as a result of their cuts and bruises; and, signs of depression (NHS, 2015). Eating disorders is commonly found within children and young people, especially within schools. An eating disorder is when an individual has an unhealthy perspective to food which can cause them to become ill and be their main focus in life. There are a range of different eating disorders. The symptoms linked to eating disorders are spending an excessive amount of time worrying about your body weight, eating very little food and purposely making yourself vomit after consuming food, changes in your mood, feeling dizzy, problems with your digestion and exercising excessively (NHS, 2018). </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Mental health problems all pose as a barrier to the individual having good wellbeing as it can affect their physical, social, emotional and cognitive wellbeing. ‘Emotional wellbeing is a clear indicator of academic achievement, success and satisfaction in later life’ (</w:t>
      </w:r>
      <w:proofErr w:type="spellStart"/>
      <w:r>
        <w:rPr>
          <w:rStyle w:val="spellingerror"/>
        </w:rPr>
        <w:t>YoungMinds</w:t>
      </w:r>
      <w:proofErr w:type="spellEnd"/>
      <w:r>
        <w:rPr>
          <w:rStyle w:val="normaltextrun"/>
        </w:rPr>
        <w:t>, 2017), this quote states that how well an individual is emotionally, is dependent on their achievements academically, and their success within their later life. This puts more pressure among pupils within school to do well within their exams. Some of the expectation of certain pupils can seem unrealistic which causes their mental health to deteriorate and then develops the conditions such as depression and anxiety. </w:t>
      </w:r>
      <w:proofErr w:type="gramStart"/>
      <w:r>
        <w:rPr>
          <w:rStyle w:val="normaltextrun"/>
        </w:rPr>
        <w:t>‘80% of young people saying that exam pressure has significantly impacted on their mental health’ (</w:t>
      </w:r>
      <w:proofErr w:type="spellStart"/>
      <w:r>
        <w:rPr>
          <w:rStyle w:val="spellingerror"/>
        </w:rPr>
        <w:t>YoungMinds</w:t>
      </w:r>
      <w:proofErr w:type="spellEnd"/>
      <w:r>
        <w:rPr>
          <w:rStyle w:val="normaltextrun"/>
        </w:rPr>
        <w:t>, 2017).</w:t>
      </w:r>
      <w:proofErr w:type="gramEnd"/>
      <w:r>
        <w:rPr>
          <w:rStyle w:val="normaltextrun"/>
        </w:rPr>
        <w:t> Other than the pressures of exams for children and young people, there are other factors that can prevent the individual from obtaining good wellbeing. </w:t>
      </w:r>
      <w:proofErr w:type="gramStart"/>
      <w:r>
        <w:rPr>
          <w:rStyle w:val="normaltextrun"/>
        </w:rPr>
        <w:t xml:space="preserve">‘Low income affects direct measures of children’s well-being and development, including their cognitive </w:t>
      </w:r>
      <w:r>
        <w:rPr>
          <w:rStyle w:val="normaltextrun"/>
        </w:rPr>
        <w:lastRenderedPageBreak/>
        <w:t>ability, achievement and engagement in school, anxiety levels and behaviour’ (Cooper &amp; Stewart, 2013).</w:t>
      </w:r>
      <w:proofErr w:type="gramEnd"/>
      <w:r>
        <w:rPr>
          <w:rStyle w:val="normaltextrun"/>
        </w:rPr>
        <w:t>  This quote explains that children and young people who are from a low-income class tend to have a poorer overall wellbeing than those who are within a higher income class. Children and young people from a low-income family can have restricted opportunities within their life. This can include how well they perform at school down to the resources they can access; this can cause a range of issues to develop such as stress, anxiety and depression. Also, children and young people within low income can develop depression and anxiety due to not being able to ‘fit in’ with the other pupils with in the school. This can cause the child or young person to be bullied by other pupil’s for not having nice clothes and so on. A major barrier to good wellbeing is social media. Although there are many benefits of social media within children and young people’s lives; social media impacts children and young people’s mental health and wellbeing. Social media creates unrealistic views on how individuals should look and behave within their lives. This would cause children and young people to compare themselves with the filtered posts they observe on social networks; although these are unrealistic images, children and young people start to develop low self-esteem as they begin to think negatively of themselves. The child or young person may start to develop body dysmorphia which is when the individual spends a substantial amount of time on social networks and develops insecurity of their body; this can cause the individual to develop depression (Mental Health Foundation, 2016). An example of a social network that can impact children and young people’s mental health and well-being is ‘Snapchat’. Snapchat is one of the popular social networks used within today’s society, especially with children and young people. There is a game within this social network, which is used to criticise children and young people’s appearance and personality. This game is called ‘the X game’. This game involves an individual specifically targeting another individual. A group criticises anything they can about them and post it publicly. This is just one example of the issues children and young people face within social media (Rodger &amp; Taylor, 2017). </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Children and young people having good mental health and wellbeing within their school life </w:t>
      </w:r>
      <w:proofErr w:type="gramStart"/>
      <w:r>
        <w:rPr>
          <w:rStyle w:val="normaltextrun"/>
        </w:rPr>
        <w:t>is</w:t>
      </w:r>
      <w:proofErr w:type="gramEnd"/>
      <w:r>
        <w:rPr>
          <w:rStyle w:val="normaltextrun"/>
        </w:rPr>
        <w:t xml:space="preserve"> important as it will positively affect their academic development and their opportunities available to them later on in life. Students within a school whom have good mental health and wellbeing tend to be more engaged within learning and are more capable to concentrate and participate (Learners First, no date). Therefore, if children and young people have poor wellbeing within their school life they could develop a poor educational achievement and mental health problems. Poor educational achievement can impact their state of wellbeing within their household for example; not socialising outside of their rooms and so on. These negative impacts of children and young people’s wellbeing can cause other factors within their life to later develop such as a dependency on substances. Children and young people’s mental health and wellbeing </w:t>
      </w:r>
      <w:proofErr w:type="gramStart"/>
      <w:r>
        <w:rPr>
          <w:rStyle w:val="normaltextrun"/>
        </w:rPr>
        <w:t>is</w:t>
      </w:r>
      <w:proofErr w:type="gramEnd"/>
      <w:r>
        <w:rPr>
          <w:rStyle w:val="normaltextrun"/>
        </w:rPr>
        <w:t xml:space="preserve"> important within their home lives as it determines their state of wellbeing within themselves and in society. The Children’s Society (2018) state six priorities that are involved in children’s good wellbeing </w:t>
      </w:r>
      <w:r>
        <w:rPr>
          <w:rStyle w:val="contextualspellingandgrammarerror"/>
        </w:rPr>
        <w:t>The</w:t>
      </w:r>
      <w:r>
        <w:rPr>
          <w:rStyle w:val="normaltextrun"/>
        </w:rPr>
        <w:t> priorities stated, by The Children’s Society, includes being in a safe environment within their homes and having positive connections with family members. This states that if children and young people weren’t within a safe and suitable home environment and their family connections were weak, it would impact their mental health and wellbeing. This would then link to affect their ability to learn and develop within school and their concentration and attendance would be impacted. This shows why good wellbeing within school and home life is important for children and young people; also, there is a distinctive link between the both environments and how if one is impacted with poor wellbeing, it would most likely impact the other (The Children’s Society, 2018).</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lastRenderedPageBreak/>
        <w:t>Public Health England (2015) state that there are eight different principles when promoting children and young people’s wellbeing. These eight principles include; leadership and management, targeted support, working with parents or carers, identifying need and monitoring impact, staff development, allowing students to speak up (voice), curriculum teaching and learning, and an ethos and environment. </w:t>
      </w:r>
      <w:proofErr w:type="gramStart"/>
      <w:r>
        <w:rPr>
          <w:rStyle w:val="normaltextrun"/>
        </w:rPr>
        <w:t>School’s ethos and environment principle states that the physical, social and emotional environment staff and young people are within impacts there physical, emotional and mental health wellbeing and their attainment within school life.</w:t>
      </w:r>
      <w:proofErr w:type="gramEnd"/>
      <w:r>
        <w:rPr>
          <w:rStyle w:val="normaltextrun"/>
        </w:rPr>
        <w:t xml:space="preserve"> They also state that the relationships with staff and students and between students are important when promoting young people’s wellbeing and guiding them to create a sense of belonging and enjoyment of school. The school ethos and environment are inspected by Ofsted, who looks for positive ethos that looks to develop and improve in the school including the promotion of safe practises and a safe culture. It is recommended for secondary schools to provide staff and students with a safe environment which nurtures and encourages young people’s sense of self-worth, reduces the threat of bullying and promotes positive attitudes.  </w:t>
      </w:r>
      <w:proofErr w:type="spellStart"/>
      <w:r>
        <w:rPr>
          <w:rStyle w:val="spellingerror"/>
        </w:rPr>
        <w:t>Framwellgate</w:t>
      </w:r>
      <w:proofErr w:type="spellEnd"/>
      <w:r>
        <w:rPr>
          <w:rStyle w:val="normaltextrun"/>
        </w:rPr>
        <w:t> School </w:t>
      </w:r>
      <w:proofErr w:type="spellStart"/>
      <w:r>
        <w:rPr>
          <w:rStyle w:val="spellingerror"/>
        </w:rPr>
        <w:t>Durbam</w:t>
      </w:r>
      <w:proofErr w:type="spellEnd"/>
      <w:r>
        <w:rPr>
          <w:rStyle w:val="normaltextrun"/>
        </w:rPr>
        <w:t> demonstrates good practise of promoting young people’s wellbeing within this principle as they have peer mentoring schemes and anti-bullying ambassadors. These schemes would make the environment feel safer for staff and students to learn and develop themselves within. One of the other eight principles of promoting wellbeing was working with parents or carers. </w:t>
      </w:r>
      <w:proofErr w:type="gramStart"/>
      <w:r>
        <w:rPr>
          <w:rStyle w:val="normaltextrun"/>
        </w:rPr>
        <w:t>The Public Health England (2015) states that families play a big role in influencing children and young people’s emotional health and wellbeing.</w:t>
      </w:r>
      <w:proofErr w:type="gramEnd"/>
      <w:r>
        <w:rPr>
          <w:rStyle w:val="normaltextrun"/>
        </w:rPr>
        <w:t xml:space="preserve"> Ofsted’s inspection criteria expect schools to be involving parents or carers when supporting students’ academic achievement, behaviour and safety. It is recommended for secondary schools to work alongside parents, carers and other family members to promote young people’s social and emotional wellbeing. It is also recommended to ensure that parents, carers or any other family members whom may be in disadvantaged circumstances are able to access the support they need to participate in activities relating to the promotion of the pupils’ social and emotional wellbeing (Public Health England, 2015). An example of good practise of working with parents or carers when promoting children and young people’s emotional health and wellbeing is ‘How to </w:t>
      </w:r>
      <w:proofErr w:type="gramStart"/>
      <w:r>
        <w:rPr>
          <w:rStyle w:val="normaltextrun"/>
        </w:rPr>
        <w:t>Thrive</w:t>
      </w:r>
      <w:proofErr w:type="gramEnd"/>
      <w:r>
        <w:rPr>
          <w:rStyle w:val="normaltextrun"/>
        </w:rPr>
        <w:t xml:space="preserve">’. How to thrive </w:t>
      </w:r>
      <w:proofErr w:type="gramStart"/>
      <w:r>
        <w:rPr>
          <w:rStyle w:val="normaltextrun"/>
        </w:rPr>
        <w:t>is</w:t>
      </w:r>
      <w:proofErr w:type="gramEnd"/>
      <w:r>
        <w:rPr>
          <w:rStyle w:val="normaltextrun"/>
        </w:rPr>
        <w:t> specialists who provide resilience training in schools for children and young people, staff and parents or carers. This training of resilience includes giving parents or carers and staff the skills and resources needed to help boost the pupils’ resilience. Also, it helps change young people’s behaviour and their ability to learn (How </w:t>
      </w:r>
      <w:proofErr w:type="gramStart"/>
      <w:r>
        <w:rPr>
          <w:rStyle w:val="contextualspellingandgrammarerror"/>
        </w:rPr>
        <w:t>To</w:t>
      </w:r>
      <w:proofErr w:type="gramEnd"/>
      <w:r>
        <w:rPr>
          <w:rStyle w:val="normaltextrun"/>
        </w:rPr>
        <w:t> Thrive, 2018). </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Below are some recommendations given to secondary schools on how to promote good mental health and wellbeing within children and young </w:t>
      </w:r>
      <w:proofErr w:type="gramStart"/>
      <w:r>
        <w:rPr>
          <w:rStyle w:val="normaltextrun"/>
        </w:rPr>
        <w:t>people.</w:t>
      </w:r>
      <w:proofErr w:type="gramEnd"/>
      <w:r>
        <w:rPr>
          <w:rStyle w:val="normaltextrun"/>
        </w:rPr>
        <w:t> NICE (2009) recommends that secondary schools should provide a curriculum that encourages positive behaviours, good connections and assists to decrease disruptive behaviour and bullying. They state that this recommendation can be achievable by combining social and emotional skills within all the areas of the curriculum. The skills that are recommended to be developed include; self-awareness, problem-solving, conflict management, collaborative working and how to manage feelings and relationships. If these skills are achieved, the wellbeing of children and young people would improve as a result of better understanding of situations. Estyn (2017) had given </w:t>
      </w:r>
      <w:proofErr w:type="spellStart"/>
      <w:r>
        <w:rPr>
          <w:rStyle w:val="spellingerror"/>
        </w:rPr>
        <w:t>Dyffyn</w:t>
      </w:r>
      <w:proofErr w:type="spellEnd"/>
      <w:r>
        <w:rPr>
          <w:rStyle w:val="normaltextrun"/>
        </w:rPr>
        <w:t> </w:t>
      </w:r>
      <w:proofErr w:type="spellStart"/>
      <w:r>
        <w:rPr>
          <w:rStyle w:val="normaltextrun"/>
        </w:rPr>
        <w:t>Taf</w:t>
      </w:r>
      <w:proofErr w:type="spellEnd"/>
      <w:r>
        <w:rPr>
          <w:rStyle w:val="normaltextrun"/>
        </w:rPr>
        <w:t> a number of recommendations that would expected to be addressed and monitored. One of the recommendations given to </w:t>
      </w:r>
      <w:proofErr w:type="spellStart"/>
      <w:r>
        <w:rPr>
          <w:rStyle w:val="spellingerror"/>
        </w:rPr>
        <w:t>Dyffryn</w:t>
      </w:r>
      <w:proofErr w:type="spellEnd"/>
      <w:r>
        <w:rPr>
          <w:rStyle w:val="normaltextrun"/>
        </w:rPr>
        <w:t> </w:t>
      </w:r>
      <w:proofErr w:type="spellStart"/>
      <w:r>
        <w:rPr>
          <w:rStyle w:val="normaltextrun"/>
        </w:rPr>
        <w:t>Taf</w:t>
      </w:r>
      <w:proofErr w:type="spellEnd"/>
      <w:r>
        <w:rPr>
          <w:rStyle w:val="normaltextrun"/>
        </w:rPr>
        <w:t> was to ‘improve the quality of teaching, learning and assessment in those subjects where there is relative underperformance’ (Estyn, 2017). This would expect </w:t>
      </w:r>
      <w:proofErr w:type="spellStart"/>
      <w:r>
        <w:rPr>
          <w:rStyle w:val="spellingerror"/>
        </w:rPr>
        <w:t>Dyffryn</w:t>
      </w:r>
      <w:proofErr w:type="spellEnd"/>
      <w:r>
        <w:rPr>
          <w:rStyle w:val="normaltextrun"/>
        </w:rPr>
        <w:t> </w:t>
      </w:r>
      <w:proofErr w:type="spellStart"/>
      <w:r>
        <w:rPr>
          <w:rStyle w:val="normaltextrun"/>
        </w:rPr>
        <w:t>Taf</w:t>
      </w:r>
      <w:proofErr w:type="spellEnd"/>
      <w:r>
        <w:rPr>
          <w:rStyle w:val="normaltextrun"/>
        </w:rPr>
        <w:t xml:space="preserve"> to improve the teaching curriculum where pupils were considered as ‘underperforming’ in certain subjects. This would improve the success rates </w:t>
      </w:r>
      <w:r>
        <w:rPr>
          <w:rStyle w:val="normaltextrun"/>
        </w:rPr>
        <w:lastRenderedPageBreak/>
        <w:t>within </w:t>
      </w:r>
      <w:proofErr w:type="spellStart"/>
      <w:r>
        <w:rPr>
          <w:rStyle w:val="spellingerror"/>
        </w:rPr>
        <w:t>Dyffryn</w:t>
      </w:r>
      <w:proofErr w:type="spellEnd"/>
      <w:r>
        <w:rPr>
          <w:rStyle w:val="normaltextrun"/>
        </w:rPr>
        <w:t> </w:t>
      </w:r>
      <w:proofErr w:type="spellStart"/>
      <w:r>
        <w:rPr>
          <w:rStyle w:val="normaltextrun"/>
        </w:rPr>
        <w:t>Taf</w:t>
      </w:r>
      <w:proofErr w:type="spellEnd"/>
      <w:r>
        <w:rPr>
          <w:rStyle w:val="normaltextrun"/>
        </w:rPr>
        <w:t xml:space="preserve"> for improving their quality of teaching; and improve children and young people’s wellbeing as they would achieve good academic results which would increase their self-actualisation and self-worth. This would also improve children and young people’s mental health, as a result of the stress not being overloaded due to the support and effective teaching and learning process within subjects they were ‘underperforming’ within. This recommendation given by Estyn has recently been monitored and stated that </w:t>
      </w:r>
      <w:proofErr w:type="spellStart"/>
      <w:r>
        <w:rPr>
          <w:rStyle w:val="spellingerror"/>
        </w:rPr>
        <w:t>Dyffryn</w:t>
      </w:r>
      <w:proofErr w:type="spellEnd"/>
      <w:r>
        <w:rPr>
          <w:rStyle w:val="normaltextrun"/>
        </w:rPr>
        <w:t> </w:t>
      </w:r>
      <w:proofErr w:type="spellStart"/>
      <w:r>
        <w:rPr>
          <w:rStyle w:val="normaltextrun"/>
        </w:rPr>
        <w:t>Taf</w:t>
      </w:r>
      <w:proofErr w:type="spellEnd"/>
      <w:r>
        <w:rPr>
          <w:rStyle w:val="normaltextrun"/>
        </w:rPr>
        <w:t xml:space="preserve"> has improved within the practises of teaching, learning and assessments. The school has shown to follow with the recommendation by given professional development activities to help enhance the quality of teaching and learning (Estyn, 2017). </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 xml:space="preserve">There are a range of policies and legislations put in place to ensure the wellbeing of children and young people at home and within schools. Children and young people are considered ‘vulnerable’ and have many rights put in place to ensure their safety and have their health and wellbeing at best interest. Children and young people have the right to primary and secondary education; therefore, every child has equal opportunities to be educated. Children and young people have the right not to be discriminated against due to their race, sex, language, religion, nationality, ethnicity, disability, birth and so on. This right protects young people, within secondary schools, as they cannot be discriminated against due to these characteristics. This would lessen to risk of the young people being bullied within schools as of this right and improve their wellbeing and self-worth. Also, this right would ensure that every young person within schools </w:t>
      </w:r>
      <w:proofErr w:type="gramStart"/>
      <w:r>
        <w:rPr>
          <w:rStyle w:val="normaltextrun"/>
        </w:rPr>
        <w:t>are</w:t>
      </w:r>
      <w:proofErr w:type="gramEnd"/>
      <w:r>
        <w:rPr>
          <w:rStyle w:val="normaltextrun"/>
        </w:rPr>
        <w:t xml:space="preserve"> treated fairly and not different due to their different looks and circumstances. Another right, given by law, to children and young people is the right to be protected from all types of physical and/or mental violence, injury or abuse, neglect, treatment, maltreatment or exploitation which include sexual abuse when in the care of an individual. This right state that ‘all appropriate legislative, administrative, social and educational measures…’ (UNCRC, 1990) shall be taken in order to protect the child from the above physical and mental violence. This right state that the protection and wellbeing of the child is at best interest and that all appropriate means should be taken in order to prevent or stop any harm occurring to children and young people (UNCRC, 1990).</w:t>
      </w:r>
      <w:r>
        <w:rPr>
          <w:rStyle w:val="eop"/>
        </w:rPr>
        <w:t> </w:t>
      </w:r>
    </w:p>
    <w:p w:rsidR="00E23D9A" w:rsidRDefault="00E23D9A" w:rsidP="00E23D9A">
      <w:pPr>
        <w:pStyle w:val="paragraph"/>
        <w:spacing w:before="0" w:beforeAutospacing="0" w:after="0" w:afterAutospacing="0"/>
        <w:ind w:firstLine="720"/>
        <w:jc w:val="both"/>
        <w:textAlignment w:val="baseline"/>
        <w:rPr>
          <w:rFonts w:ascii="Segoe UI" w:hAnsi="Segoe UI" w:cs="Segoe UI"/>
          <w:sz w:val="18"/>
          <w:szCs w:val="18"/>
        </w:rPr>
      </w:pPr>
      <w:r>
        <w:rPr>
          <w:rStyle w:val="normaltextrun"/>
        </w:rPr>
        <w:t>The first need listen within Maslow’s hierarchy of needs is physiological needs; this is the most basic need, which is for physical survival, this includes food, water, warmth and sleep. However, if a child or young person is within a low income, this first step of Maslow’s pyramid will not be met. The child or young person could go hungry due to the lack of food or be in a constant cold state. Another reason why this first need may not be met is due to a mental illness, such as an eating disorder. An eating disorder can cause children and young people to become over engrossed with the way other people think they should look, such as slim, which causes them to limit and restrict the types of food they eat and how much. This mental illness can cause the individual to become increasingly underweight as they spend their day to day lives around their diet. Also, this type of mental illness could cause children and young people who have an eating disorder to become restless due to the lack of energy and nutrition and the amount of time worrying about how they look. The next need within Maslow’s hierarchy of needs is safety; this need includes the individuals being secure and feeling safe. Children and young people whom obtain a mental illness such as anxiety will not fulfil this need due to their anxiety causing them to overthink situations. Also, this need may not be met within schools, as well as in society, as the child or young person may be getting bullied within school and not feel safe to go to the bathroom alone; as they fear for their bullies to either mentally or physically abuse them. This may restrict the child or young person to not use the bathroom facilities or even attend school; as a result of this the young person’s attendance would lower and concentration within learning would reduce significantly. The second step among Maslow’s hierarchy of needs is belongingness and love </w:t>
      </w:r>
      <w:r>
        <w:rPr>
          <w:rStyle w:val="contextualspellingandgrammarerror"/>
        </w:rPr>
        <w:t>needs</w:t>
      </w:r>
      <w:r>
        <w:rPr>
          <w:rStyle w:val="normaltextrun"/>
        </w:rPr>
        <w:t xml:space="preserve"> and esteem needs; these are psychological needs. Children and young people </w:t>
      </w:r>
      <w:proofErr w:type="gramStart"/>
      <w:r>
        <w:rPr>
          <w:rStyle w:val="normaltextrun"/>
        </w:rPr>
        <w:lastRenderedPageBreak/>
        <w:t>within</w:t>
      </w:r>
      <w:proofErr w:type="gramEnd"/>
      <w:r>
        <w:rPr>
          <w:rStyle w:val="normaltextrun"/>
        </w:rPr>
        <w:t xml:space="preserve"> schools may isolate themselves, due to anxiety, which would restrict the ability to fulfil the belongingness and love needs. A child or young person who is shown no love or belongingness, either within school or home, could develop depression which would impact the child’s mental health and wellbeing. </w:t>
      </w:r>
      <w:proofErr w:type="gramStart"/>
      <w:r>
        <w:rPr>
          <w:rStyle w:val="normaltextrun"/>
        </w:rPr>
        <w:t>the</w:t>
      </w:r>
      <w:proofErr w:type="gramEnd"/>
      <w:r>
        <w:rPr>
          <w:rStyle w:val="normaltextrun"/>
        </w:rPr>
        <w:t xml:space="preserve"> other sector of the psychological needs was esteem; this could be impacted if a child or young person, within school does not or </w:t>
      </w:r>
      <w:proofErr w:type="spellStart"/>
      <w:r>
        <w:rPr>
          <w:rStyle w:val="normaltextrun"/>
        </w:rPr>
        <w:t>can not</w:t>
      </w:r>
      <w:proofErr w:type="spellEnd"/>
      <w:r>
        <w:rPr>
          <w:rStyle w:val="normaltextrun"/>
        </w:rPr>
        <w:t xml:space="preserve"> achieve their desired accomplishment. This would impact the child or young </w:t>
      </w:r>
      <w:proofErr w:type="spellStart"/>
      <w:proofErr w:type="gramStart"/>
      <w:r>
        <w:rPr>
          <w:rStyle w:val="normaltextrun"/>
        </w:rPr>
        <w:t>persons</w:t>
      </w:r>
      <w:proofErr w:type="spellEnd"/>
      <w:proofErr w:type="gramEnd"/>
      <w:r>
        <w:rPr>
          <w:rStyle w:val="normaltextrun"/>
        </w:rPr>
        <w:t xml:space="preserve"> wellbeing as they would feel like they have ‘failed’ either themselves or their </w:t>
      </w:r>
      <w:proofErr w:type="spellStart"/>
      <w:r>
        <w:rPr>
          <w:rStyle w:val="normaltextrun"/>
        </w:rPr>
        <w:t>carers</w:t>
      </w:r>
      <w:proofErr w:type="spellEnd"/>
      <w:r>
        <w:rPr>
          <w:rStyle w:val="normaltextrun"/>
        </w:rPr>
        <w:t>. This could cause other mental illnesses to develop such as anxiety, depression, self-harm and so on (McLeod, 2017).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b/>
          <w:bCs/>
        </w:rPr>
        <w:t>References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rPr>
        <w:t>Cooper, K., Stewart, K. (2013), </w:t>
      </w:r>
      <w:r>
        <w:rPr>
          <w:rStyle w:val="normaltextrun"/>
          <w:i/>
          <w:iCs/>
        </w:rPr>
        <w:t>Joseph Rowntree Foundation, </w:t>
      </w:r>
      <w:r>
        <w:rPr>
          <w:rStyle w:val="normaltextrun"/>
        </w:rPr>
        <w:t>“Does money affect children’s outcomes?</w:t>
      </w:r>
      <w:proofErr w:type="gramStart"/>
      <w:r>
        <w:rPr>
          <w:rStyle w:val="normaltextrun"/>
        </w:rPr>
        <w:t>”,</w:t>
      </w:r>
      <w:proofErr w:type="gramEnd"/>
      <w:r>
        <w:rPr>
          <w:rStyle w:val="normaltextrun"/>
        </w:rPr>
        <w:t> </w:t>
      </w:r>
      <w:hyperlink r:id="rId5" w:tgtFrame="_blank" w:history="1">
        <w:r>
          <w:rPr>
            <w:rStyle w:val="normaltextrun"/>
            <w:color w:val="0563C1"/>
            <w:u w:val="single"/>
          </w:rPr>
          <w:t>https://www.jrf.org.uk/report/does-money-affect-children%E2%80%99s-outcomes</w:t>
        </w:r>
      </w:hyperlink>
      <w:r>
        <w:rPr>
          <w:rStyle w:val="normaltextrun"/>
        </w:rPr>
        <w:t>, (Accessed; 27</w:t>
      </w:r>
      <w:r>
        <w:rPr>
          <w:rStyle w:val="normaltextrun"/>
          <w:sz w:val="19"/>
          <w:szCs w:val="19"/>
          <w:vertAlign w:val="superscript"/>
        </w:rPr>
        <w:t>th</w:t>
      </w:r>
      <w:r>
        <w:rPr>
          <w:rStyle w:val="normaltextrun"/>
        </w:rPr>
        <w:t> February 2018).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Estyn, (2017), </w:t>
      </w:r>
      <w:r>
        <w:rPr>
          <w:rStyle w:val="normaltextrun"/>
          <w:i/>
          <w:iCs/>
        </w:rPr>
        <w:t>Her Majesty’s Inspectorate for Education and Training in Wales, </w:t>
      </w:r>
      <w:r>
        <w:rPr>
          <w:rStyle w:val="normaltextrun"/>
        </w:rPr>
        <w:t>“Report following monitoring”, </w:t>
      </w:r>
      <w:hyperlink r:id="rId6" w:tgtFrame="_blank" w:history="1">
        <w:r>
          <w:rPr>
            <w:rStyle w:val="normaltextrun"/>
            <w:color w:val="0563C1"/>
            <w:u w:val="single"/>
          </w:rPr>
          <w:t>http://www.dyffryntaf.co.uk/wp-content/uploads/2013/11/Estyn-Report.pdf</w:t>
        </w:r>
      </w:hyperlink>
      <w:r>
        <w:rPr>
          <w:rStyle w:val="normaltextrun"/>
        </w:rPr>
        <w:t>, (Accessed; 16</w:t>
      </w:r>
      <w:r>
        <w:rPr>
          <w:rStyle w:val="normaltextrun"/>
          <w:sz w:val="19"/>
          <w:szCs w:val="19"/>
          <w:vertAlign w:val="superscript"/>
        </w:rPr>
        <w:t>th</w:t>
      </w:r>
      <w:r>
        <w:rPr>
          <w:rStyle w:val="normaltextrun"/>
        </w:rPr>
        <w:t> March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rPr>
        <w:t>How </w:t>
      </w:r>
      <w:proofErr w:type="gramStart"/>
      <w:r>
        <w:rPr>
          <w:rStyle w:val="contextualspellingandgrammarerror"/>
        </w:rPr>
        <w:t>To</w:t>
      </w:r>
      <w:proofErr w:type="gramEnd"/>
      <w:r>
        <w:rPr>
          <w:rStyle w:val="normaltextrun"/>
        </w:rPr>
        <w:t> Thrive, (2018), </w:t>
      </w:r>
      <w:r>
        <w:rPr>
          <w:rStyle w:val="normaltextrun"/>
          <w:i/>
          <w:iCs/>
        </w:rPr>
        <w:t>Resilience skills for young people</w:t>
      </w:r>
      <w:r>
        <w:rPr>
          <w:rStyle w:val="normaltextrun"/>
        </w:rPr>
        <w:t>, “Practical Resilience Training for Schools”, </w:t>
      </w:r>
      <w:hyperlink r:id="rId7" w:tgtFrame="_blank" w:history="1">
        <w:r>
          <w:rPr>
            <w:rStyle w:val="normaltextrun"/>
            <w:color w:val="0563C1"/>
            <w:u w:val="single"/>
          </w:rPr>
          <w:t>http://www.howtothrive.org/</w:t>
        </w:r>
      </w:hyperlink>
      <w:r>
        <w:rPr>
          <w:rStyle w:val="normaltextrun"/>
        </w:rPr>
        <w:t>, (Accessed 15</w:t>
      </w:r>
      <w:r>
        <w:rPr>
          <w:rStyle w:val="normaltextrun"/>
          <w:sz w:val="19"/>
          <w:szCs w:val="19"/>
          <w:vertAlign w:val="superscript"/>
        </w:rPr>
        <w:t>th</w:t>
      </w:r>
      <w:r>
        <w:rPr>
          <w:rStyle w:val="normaltextrun"/>
        </w:rPr>
        <w:t> of March 2018).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rPr>
        <w:t>Leaners First, (no date), </w:t>
      </w:r>
      <w:r>
        <w:rPr>
          <w:rStyle w:val="normaltextrun"/>
          <w:i/>
          <w:iCs/>
        </w:rPr>
        <w:t>Department of Education</w:t>
      </w:r>
      <w:r>
        <w:rPr>
          <w:rStyle w:val="normaltextrun"/>
        </w:rPr>
        <w:t>, “Why is health and wellbeing important for learning?</w:t>
      </w:r>
      <w:proofErr w:type="gramStart"/>
      <w:r>
        <w:rPr>
          <w:rStyle w:val="normaltextrun"/>
        </w:rPr>
        <w:t>”,</w:t>
      </w:r>
      <w:proofErr w:type="gramEnd"/>
      <w:r>
        <w:rPr>
          <w:rStyle w:val="normaltextrun"/>
        </w:rPr>
        <w:t> </w:t>
      </w:r>
      <w:hyperlink r:id="rId8" w:tgtFrame="_blank" w:history="1">
        <w:r>
          <w:rPr>
            <w:rStyle w:val="normaltextrun"/>
            <w:color w:val="0563C1"/>
            <w:u w:val="single"/>
          </w:rPr>
          <w:t>https://documentcentre.education.tas.gov.au/Documents/Student-Health-Initiative-Facts-and-Research.pdf</w:t>
        </w:r>
      </w:hyperlink>
      <w:r>
        <w:rPr>
          <w:rStyle w:val="normaltextrun"/>
        </w:rPr>
        <w:t>, (Accessed; 15</w:t>
      </w:r>
      <w:r>
        <w:rPr>
          <w:rStyle w:val="normaltextrun"/>
          <w:sz w:val="19"/>
          <w:szCs w:val="19"/>
          <w:vertAlign w:val="superscript"/>
        </w:rPr>
        <w:t>th</w:t>
      </w:r>
      <w:r>
        <w:rPr>
          <w:rStyle w:val="normaltextrun"/>
        </w:rPr>
        <w:t> of March 2018).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McLeod.,</w:t>
      </w:r>
      <w:proofErr w:type="gramEnd"/>
      <w:r>
        <w:rPr>
          <w:rStyle w:val="normaltextrun"/>
        </w:rPr>
        <w:t xml:space="preserve"> S, (2017), </w:t>
      </w:r>
      <w:r>
        <w:rPr>
          <w:rStyle w:val="normaltextrun"/>
          <w:i/>
          <w:iCs/>
        </w:rPr>
        <w:t>Simple Psychology</w:t>
      </w:r>
      <w:r>
        <w:rPr>
          <w:rStyle w:val="normaltextrun"/>
        </w:rPr>
        <w:t>, “Maslow’s Hierarchy of Needs, </w:t>
      </w:r>
      <w:hyperlink r:id="rId9" w:tgtFrame="_blank" w:history="1">
        <w:r>
          <w:rPr>
            <w:rStyle w:val="normaltextrun"/>
            <w:color w:val="0563C1"/>
            <w:u w:val="single"/>
          </w:rPr>
          <w:t>https://simplypsychology.org/maslow.html</w:t>
        </w:r>
      </w:hyperlink>
      <w:r>
        <w:rPr>
          <w:rStyle w:val="normaltextrun"/>
        </w:rPr>
        <w:t>, (Accessed 20</w:t>
      </w:r>
      <w:r>
        <w:rPr>
          <w:rStyle w:val="normaltextrun"/>
          <w:sz w:val="19"/>
          <w:szCs w:val="19"/>
          <w:vertAlign w:val="superscript"/>
        </w:rPr>
        <w:t>th</w:t>
      </w:r>
      <w:r>
        <w:rPr>
          <w:rStyle w:val="normaltextrun"/>
        </w:rPr>
        <w:t> March 2018).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Mental Health Foundation, (no date), </w:t>
      </w:r>
      <w:r>
        <w:rPr>
          <w:rStyle w:val="normaltextrun"/>
          <w:i/>
          <w:iCs/>
        </w:rPr>
        <w:t>Children and young people, </w:t>
      </w:r>
      <w:hyperlink r:id="rId10" w:tgtFrame="_blank" w:history="1">
        <w:r>
          <w:rPr>
            <w:rStyle w:val="normaltextrun"/>
            <w:i/>
            <w:iCs/>
            <w:color w:val="0563C1"/>
            <w:u w:val="single"/>
          </w:rPr>
          <w:t>https://www.mentalhealth.org.uk/a-to-z/c/children-and-young-people</w:t>
        </w:r>
      </w:hyperlink>
      <w:r>
        <w:rPr>
          <w:rStyle w:val="normaltextrun"/>
          <w:i/>
          <w:iCs/>
        </w:rPr>
        <w:t>, </w:t>
      </w:r>
      <w:r>
        <w:rPr>
          <w:rStyle w:val="normaltextrun"/>
        </w:rPr>
        <w:t>(Accessed; 15</w:t>
      </w:r>
      <w:r>
        <w:rPr>
          <w:rStyle w:val="normaltextrun"/>
          <w:sz w:val="19"/>
          <w:szCs w:val="19"/>
          <w:vertAlign w:val="superscript"/>
        </w:rPr>
        <w:t>th</w:t>
      </w:r>
      <w:r>
        <w:rPr>
          <w:rStyle w:val="normaltextrun"/>
        </w:rPr>
        <w:t> of February 2018).</w:t>
      </w:r>
      <w:proofErr w:type="gramEnd"/>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Mental Health Foundation, (2016), </w:t>
      </w:r>
      <w:r>
        <w:rPr>
          <w:rStyle w:val="normaltextrun"/>
          <w:i/>
          <w:iCs/>
        </w:rPr>
        <w:t>Social media and young people’s mental health</w:t>
      </w:r>
      <w:r>
        <w:rPr>
          <w:rStyle w:val="normaltextrun"/>
        </w:rPr>
        <w:t>, </w:t>
      </w:r>
      <w:hyperlink r:id="rId11" w:tgtFrame="_blank" w:history="1">
        <w:r>
          <w:rPr>
            <w:rStyle w:val="normaltextrun"/>
            <w:color w:val="0563C1"/>
            <w:u w:val="single"/>
          </w:rPr>
          <w:t>https://www.mentalhealth.org.uk/blog/social-media-and-young-peoples-mental-health</w:t>
        </w:r>
      </w:hyperlink>
      <w:r>
        <w:rPr>
          <w:rStyle w:val="normaltextrun"/>
        </w:rPr>
        <w:t>, (Accessed; 27</w:t>
      </w:r>
      <w:r>
        <w:rPr>
          <w:rStyle w:val="normaltextrun"/>
          <w:sz w:val="19"/>
          <w:szCs w:val="19"/>
          <w:vertAlign w:val="superscript"/>
        </w:rPr>
        <w:t>th</w:t>
      </w:r>
      <w:r>
        <w:rPr>
          <w:rStyle w:val="normaltextrun"/>
        </w:rPr>
        <w:t> of February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NHS, (2016), </w:t>
      </w:r>
      <w:r>
        <w:rPr>
          <w:rStyle w:val="normaltextrun"/>
          <w:i/>
          <w:iCs/>
        </w:rPr>
        <w:t>NHS choices, </w:t>
      </w:r>
      <w:r>
        <w:rPr>
          <w:rStyle w:val="normaltextrun"/>
        </w:rPr>
        <w:t>“Clinical depression”, </w:t>
      </w:r>
      <w:hyperlink r:id="rId12" w:tgtFrame="_blank" w:history="1">
        <w:r>
          <w:rPr>
            <w:rStyle w:val="normaltextrun"/>
            <w:color w:val="0563C1"/>
            <w:u w:val="single"/>
          </w:rPr>
          <w:t>https://www.nhs.uk/conditions/clinical-depression/</w:t>
        </w:r>
      </w:hyperlink>
      <w:r>
        <w:rPr>
          <w:rStyle w:val="normaltextrun"/>
        </w:rPr>
        <w:t>, (Accessed; 15</w:t>
      </w:r>
      <w:r>
        <w:rPr>
          <w:rStyle w:val="normaltextrun"/>
          <w:sz w:val="19"/>
          <w:szCs w:val="19"/>
          <w:vertAlign w:val="superscript"/>
        </w:rPr>
        <w:t>th</w:t>
      </w:r>
      <w:r>
        <w:rPr>
          <w:rStyle w:val="normaltextrun"/>
        </w:rPr>
        <w:t> of February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NHS, (2015), </w:t>
      </w:r>
      <w:r>
        <w:rPr>
          <w:rStyle w:val="normaltextrun"/>
          <w:i/>
          <w:iCs/>
        </w:rPr>
        <w:t>NHS choices, </w:t>
      </w:r>
      <w:r>
        <w:rPr>
          <w:rStyle w:val="normaltextrun"/>
        </w:rPr>
        <w:t>“Self-harm”, </w:t>
      </w:r>
      <w:hyperlink r:id="rId13" w:tgtFrame="_blank" w:history="1">
        <w:r>
          <w:rPr>
            <w:rStyle w:val="normaltextrun"/>
            <w:color w:val="0563C1"/>
            <w:u w:val="single"/>
          </w:rPr>
          <w:t>https://www.nhs.uk/conditions/self-harm/</w:t>
        </w:r>
      </w:hyperlink>
      <w:r>
        <w:rPr>
          <w:rStyle w:val="normaltextrun"/>
        </w:rPr>
        <w:t>, (Accessed; 15</w:t>
      </w:r>
      <w:r>
        <w:rPr>
          <w:rStyle w:val="normaltextrun"/>
          <w:sz w:val="19"/>
          <w:szCs w:val="19"/>
          <w:vertAlign w:val="superscript"/>
        </w:rPr>
        <w:t>th</w:t>
      </w:r>
      <w:r>
        <w:rPr>
          <w:rStyle w:val="normaltextrun"/>
        </w:rPr>
        <w:t> of February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NHS, (2018), </w:t>
      </w:r>
      <w:r>
        <w:rPr>
          <w:rStyle w:val="normaltextrun"/>
          <w:i/>
          <w:iCs/>
        </w:rPr>
        <w:t>NHS choices, </w:t>
      </w:r>
      <w:r>
        <w:rPr>
          <w:rStyle w:val="normaltextrun"/>
        </w:rPr>
        <w:t>“Eating disorders”, </w:t>
      </w:r>
      <w:hyperlink r:id="rId14" w:tgtFrame="_blank" w:history="1">
        <w:r>
          <w:rPr>
            <w:rStyle w:val="normaltextrun"/>
            <w:color w:val="0563C1"/>
            <w:u w:val="single"/>
          </w:rPr>
          <w:t>https://www.nhs.uk/conditions/eating-disorders/</w:t>
        </w:r>
      </w:hyperlink>
      <w:r>
        <w:rPr>
          <w:rStyle w:val="normaltextrun"/>
        </w:rPr>
        <w:t>, (Accessed; 22</w:t>
      </w:r>
      <w:r>
        <w:rPr>
          <w:rStyle w:val="normaltextrun"/>
          <w:sz w:val="19"/>
          <w:szCs w:val="19"/>
          <w:vertAlign w:val="superscript"/>
        </w:rPr>
        <w:t>nd</w:t>
      </w:r>
      <w:r>
        <w:rPr>
          <w:rStyle w:val="normaltextrun"/>
        </w:rPr>
        <w:t> of February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rPr>
        <w:t>NICE, (2009), </w:t>
      </w:r>
      <w:r>
        <w:rPr>
          <w:rStyle w:val="normaltextrun"/>
          <w:i/>
          <w:iCs/>
        </w:rPr>
        <w:t>Social and emotional wellbeing for children and young people</w:t>
      </w:r>
      <w:r>
        <w:rPr>
          <w:rStyle w:val="normaltextrun"/>
        </w:rPr>
        <w:t>, “Children and young people in secondary education”, </w:t>
      </w:r>
      <w:hyperlink r:id="rId15" w:tgtFrame="_blank" w:history="1">
        <w:r>
          <w:rPr>
            <w:rStyle w:val="normaltextrun"/>
            <w:color w:val="0563C1"/>
            <w:u w:val="single"/>
          </w:rPr>
          <w:t>https://pathways.nice.org.uk/pathways/social-and-emotional-wellbeing-for-children-and-young-people</w:t>
        </w:r>
      </w:hyperlink>
      <w:r>
        <w:rPr>
          <w:rStyle w:val="normaltextrun"/>
        </w:rPr>
        <w:t>, (Accessed; 16</w:t>
      </w:r>
      <w:r>
        <w:rPr>
          <w:rStyle w:val="normaltextrun"/>
          <w:sz w:val="19"/>
          <w:szCs w:val="19"/>
          <w:vertAlign w:val="superscript"/>
        </w:rPr>
        <w:t>th</w:t>
      </w:r>
      <w:r>
        <w:rPr>
          <w:rStyle w:val="normaltextrun"/>
        </w:rPr>
        <w:t> of March 2018).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lastRenderedPageBreak/>
        <w:t>Public Health England, (2015), </w:t>
      </w:r>
      <w:r>
        <w:rPr>
          <w:rStyle w:val="normaltextrun"/>
          <w:i/>
          <w:iCs/>
        </w:rPr>
        <w:t>Promoting children and young people’s emotional health and wellbeing, </w:t>
      </w:r>
      <w:hyperlink r:id="rId16" w:tgtFrame="_blank" w:history="1">
        <w:r>
          <w:rPr>
            <w:rStyle w:val="normaltextrun"/>
            <w:i/>
            <w:iCs/>
            <w:color w:val="0563C1"/>
            <w:u w:val="single"/>
          </w:rPr>
          <w:t>https://www.gov.uk/government/uploads/system/uploads/attachment_data/file/414908/Final_EHWB_draft_20_03_15.pdf</w:t>
        </w:r>
      </w:hyperlink>
      <w:r>
        <w:rPr>
          <w:rStyle w:val="normaltextrun"/>
          <w:i/>
          <w:iCs/>
        </w:rPr>
        <w:t>, </w:t>
      </w:r>
      <w:r>
        <w:rPr>
          <w:rStyle w:val="normaltextrun"/>
        </w:rPr>
        <w:t>(Accessed; 15</w:t>
      </w:r>
      <w:r>
        <w:rPr>
          <w:rStyle w:val="normaltextrun"/>
          <w:sz w:val="19"/>
          <w:szCs w:val="19"/>
          <w:vertAlign w:val="superscript"/>
        </w:rPr>
        <w:t>th</w:t>
      </w:r>
      <w:r>
        <w:rPr>
          <w:rStyle w:val="normaltextrun"/>
        </w:rPr>
        <w:t> March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rPr>
        <w:t>Rodger, J., &amp; Taylor, J., (2017), </w:t>
      </w:r>
      <w:r>
        <w:rPr>
          <w:rStyle w:val="normaltextrun"/>
          <w:i/>
          <w:iCs/>
        </w:rPr>
        <w:t>Cambridge news,</w:t>
      </w:r>
      <w:r>
        <w:rPr>
          <w:rStyle w:val="normaltextrun"/>
        </w:rPr>
        <w:t> “Everything you need to know about the letter X Snapchat Bullying craze”, </w:t>
      </w:r>
      <w:hyperlink r:id="rId17" w:tgtFrame="_blank" w:history="1">
        <w:r>
          <w:rPr>
            <w:rStyle w:val="normaltextrun"/>
            <w:color w:val="0563C1"/>
            <w:u w:val="single"/>
          </w:rPr>
          <w:t>https://www.cambridge-news.co.uk/news/uk-world-news/snapchat-facebook-social-media-bullying-13994981</w:t>
        </w:r>
      </w:hyperlink>
      <w:r>
        <w:rPr>
          <w:rStyle w:val="normaltextrun"/>
        </w:rPr>
        <w:t>, (Accessed; 8</w:t>
      </w:r>
      <w:r>
        <w:rPr>
          <w:rStyle w:val="normaltextrun"/>
          <w:sz w:val="19"/>
          <w:szCs w:val="19"/>
          <w:vertAlign w:val="superscript"/>
        </w:rPr>
        <w:t>th</w:t>
      </w:r>
      <w:r>
        <w:rPr>
          <w:rStyle w:val="normaltextrun"/>
        </w:rPr>
        <w:t> of March 2018).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The Children’s Society, (2018), </w:t>
      </w:r>
      <w:r>
        <w:rPr>
          <w:rStyle w:val="normaltextrun"/>
          <w:i/>
          <w:iCs/>
        </w:rPr>
        <w:t>Promoting positive well-being for children</w:t>
      </w:r>
      <w:r>
        <w:rPr>
          <w:rStyle w:val="normaltextrun"/>
        </w:rPr>
        <w:t>, </w:t>
      </w:r>
      <w:hyperlink r:id="rId18" w:tgtFrame="_blank" w:history="1">
        <w:r>
          <w:rPr>
            <w:rStyle w:val="normaltextrun"/>
            <w:color w:val="0563C1"/>
            <w:u w:val="single"/>
          </w:rPr>
          <w:t>https://www.childrenssociety.org.uk/what-we-do/research/well-being/publications/promoting-positive-well-being-children</w:t>
        </w:r>
      </w:hyperlink>
      <w:r>
        <w:rPr>
          <w:rStyle w:val="normaltextrun"/>
        </w:rPr>
        <w:t>, (Accessed; 15</w:t>
      </w:r>
      <w:r>
        <w:rPr>
          <w:rStyle w:val="normaltextrun"/>
          <w:sz w:val="19"/>
          <w:szCs w:val="19"/>
          <w:vertAlign w:val="superscript"/>
        </w:rPr>
        <w:t>th</w:t>
      </w:r>
      <w:r>
        <w:rPr>
          <w:rStyle w:val="normaltextrun"/>
        </w:rPr>
        <w:t> of March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gramStart"/>
      <w:r>
        <w:rPr>
          <w:rStyle w:val="normaltextrun"/>
        </w:rPr>
        <w:t>UNCRC, (1990), </w:t>
      </w:r>
      <w:r>
        <w:rPr>
          <w:rStyle w:val="normaltextrun"/>
          <w:i/>
          <w:iCs/>
        </w:rPr>
        <w:t>UNICEF, </w:t>
      </w:r>
      <w:r>
        <w:rPr>
          <w:rStyle w:val="normaltextrun"/>
        </w:rPr>
        <w:t>“Convention on the Rights of the Child”, </w:t>
      </w:r>
      <w:hyperlink r:id="rId19" w:tgtFrame="_blank" w:history="1">
        <w:r>
          <w:rPr>
            <w:rStyle w:val="normaltextrun"/>
            <w:color w:val="0563C1"/>
            <w:u w:val="single"/>
          </w:rPr>
          <w:t>https://downloads.unicef.org.uk/wp-content/uploads/2010/05/UNCRC_united_nations_convention_on_the_rights_of_the_child.pdf?_ga=2.254332363.258576238.1521555447-911692736.1521555447</w:t>
        </w:r>
      </w:hyperlink>
      <w:r>
        <w:rPr>
          <w:rStyle w:val="normaltextrun"/>
        </w:rPr>
        <w:t>, (Accessed; 20</w:t>
      </w:r>
      <w:r>
        <w:rPr>
          <w:rStyle w:val="normaltextrun"/>
          <w:sz w:val="19"/>
          <w:szCs w:val="19"/>
          <w:vertAlign w:val="superscript"/>
        </w:rPr>
        <w:t>th</w:t>
      </w:r>
      <w:r>
        <w:rPr>
          <w:rStyle w:val="normaltextrun"/>
        </w:rPr>
        <w:t> March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proofErr w:type="spellStart"/>
      <w:proofErr w:type="gramStart"/>
      <w:r>
        <w:rPr>
          <w:rStyle w:val="spellingerror"/>
        </w:rPr>
        <w:t>YoungMinds</w:t>
      </w:r>
      <w:proofErr w:type="spellEnd"/>
      <w:r>
        <w:rPr>
          <w:rStyle w:val="normaltextrun"/>
        </w:rPr>
        <w:t>, (2017), </w:t>
      </w:r>
      <w:proofErr w:type="spellStart"/>
      <w:r>
        <w:rPr>
          <w:rStyle w:val="spellingerror"/>
          <w:i/>
          <w:iCs/>
        </w:rPr>
        <w:t>WiseUp</w:t>
      </w:r>
      <w:proofErr w:type="spellEnd"/>
      <w:r>
        <w:rPr>
          <w:rStyle w:val="normaltextrun"/>
          <w:i/>
          <w:iCs/>
        </w:rPr>
        <w:t>, </w:t>
      </w:r>
      <w:r>
        <w:rPr>
          <w:rStyle w:val="normaltextrun"/>
        </w:rPr>
        <w:t>“Prioritising wellbeing in schools”, </w:t>
      </w:r>
      <w:hyperlink r:id="rId20" w:tgtFrame="_blank" w:history="1">
        <w:r>
          <w:rPr>
            <w:rStyle w:val="normaltextrun"/>
            <w:color w:val="0563C1"/>
            <w:u w:val="single"/>
          </w:rPr>
          <w:t>https://youngminds.org.uk/media/1428/wise-up-prioritising-wellbeing-in-schools.pdf</w:t>
        </w:r>
      </w:hyperlink>
      <w:r>
        <w:rPr>
          <w:rStyle w:val="normaltextrun"/>
        </w:rPr>
        <w:t>, (Accessed; 22</w:t>
      </w:r>
      <w:r>
        <w:rPr>
          <w:rStyle w:val="normaltextrun"/>
          <w:sz w:val="19"/>
          <w:szCs w:val="19"/>
          <w:vertAlign w:val="superscript"/>
        </w:rPr>
        <w:t>nd</w:t>
      </w:r>
      <w:r>
        <w:rPr>
          <w:rStyle w:val="normaltextrun"/>
        </w:rPr>
        <w:t> February 2018).</w:t>
      </w:r>
      <w:proofErr w:type="gramEnd"/>
      <w:r>
        <w:rPr>
          <w:rStyle w:val="normaltextrun"/>
        </w:rPr>
        <w:t> </w:t>
      </w:r>
      <w:r>
        <w:rPr>
          <w:rStyle w:val="eop"/>
        </w:rPr>
        <w:t> </w:t>
      </w:r>
    </w:p>
    <w:p w:rsidR="00E23D9A" w:rsidRDefault="00E23D9A" w:rsidP="00E23D9A">
      <w:pPr>
        <w:pStyle w:val="paragraph"/>
        <w:spacing w:before="0" w:beforeAutospacing="0" w:after="0" w:afterAutospacing="0"/>
        <w:textAlignment w:val="baseline"/>
        <w:rPr>
          <w:rFonts w:ascii="Segoe UI" w:hAnsi="Segoe UI" w:cs="Segoe UI"/>
          <w:sz w:val="18"/>
          <w:szCs w:val="18"/>
        </w:rPr>
      </w:pPr>
      <w:r>
        <w:rPr>
          <w:rStyle w:val="normaltextrun"/>
          <w:b/>
          <w:bCs/>
        </w:rPr>
        <w:t> </w:t>
      </w:r>
      <w:r>
        <w:rPr>
          <w:rStyle w:val="eop"/>
        </w:rPr>
        <w:t> </w:t>
      </w:r>
    </w:p>
    <w:p w:rsidR="007E6372" w:rsidRDefault="00CF0185"/>
    <w:sectPr w:rsidR="007E6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3D9A"/>
    <w:rsid w:val="00574B3C"/>
    <w:rsid w:val="005A2027"/>
    <w:rsid w:val="00CF0185"/>
    <w:rsid w:val="00E23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3D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3D9A"/>
  </w:style>
  <w:style w:type="character" w:customStyle="1" w:styleId="eop">
    <w:name w:val="eop"/>
    <w:basedOn w:val="DefaultParagraphFont"/>
    <w:rsid w:val="00E23D9A"/>
  </w:style>
  <w:style w:type="character" w:customStyle="1" w:styleId="spellingerror">
    <w:name w:val="spellingerror"/>
    <w:basedOn w:val="DefaultParagraphFont"/>
    <w:rsid w:val="00E23D9A"/>
  </w:style>
  <w:style w:type="character" w:customStyle="1" w:styleId="contextualspellingandgrammarerror">
    <w:name w:val="contextualspellingandgrammarerror"/>
    <w:basedOn w:val="DefaultParagraphFont"/>
    <w:rsid w:val="00E23D9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3D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3D9A"/>
  </w:style>
  <w:style w:type="character" w:customStyle="1" w:styleId="eop">
    <w:name w:val="eop"/>
    <w:basedOn w:val="DefaultParagraphFont"/>
    <w:rsid w:val="00E23D9A"/>
  </w:style>
  <w:style w:type="character" w:customStyle="1" w:styleId="spellingerror">
    <w:name w:val="spellingerror"/>
    <w:basedOn w:val="DefaultParagraphFont"/>
    <w:rsid w:val="00E23D9A"/>
  </w:style>
  <w:style w:type="character" w:customStyle="1" w:styleId="contextualspellingandgrammarerror">
    <w:name w:val="contextualspellingandgrammarerror"/>
    <w:basedOn w:val="DefaultParagraphFont"/>
    <w:rsid w:val="00E23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0887351">
      <w:bodyDiv w:val="1"/>
      <w:marLeft w:val="0"/>
      <w:marRight w:val="0"/>
      <w:marTop w:val="0"/>
      <w:marBottom w:val="0"/>
      <w:divBdr>
        <w:top w:val="none" w:sz="0" w:space="0" w:color="auto"/>
        <w:left w:val="none" w:sz="0" w:space="0" w:color="auto"/>
        <w:bottom w:val="none" w:sz="0" w:space="0" w:color="auto"/>
        <w:right w:val="none" w:sz="0" w:space="0" w:color="auto"/>
      </w:divBdr>
      <w:divsChild>
        <w:div w:id="339040090">
          <w:marLeft w:val="0"/>
          <w:marRight w:val="0"/>
          <w:marTop w:val="0"/>
          <w:marBottom w:val="0"/>
          <w:divBdr>
            <w:top w:val="none" w:sz="0" w:space="0" w:color="auto"/>
            <w:left w:val="none" w:sz="0" w:space="0" w:color="auto"/>
            <w:bottom w:val="none" w:sz="0" w:space="0" w:color="auto"/>
            <w:right w:val="none" w:sz="0" w:space="0" w:color="auto"/>
          </w:divBdr>
        </w:div>
        <w:div w:id="827744903">
          <w:marLeft w:val="0"/>
          <w:marRight w:val="0"/>
          <w:marTop w:val="0"/>
          <w:marBottom w:val="0"/>
          <w:divBdr>
            <w:top w:val="none" w:sz="0" w:space="0" w:color="auto"/>
            <w:left w:val="none" w:sz="0" w:space="0" w:color="auto"/>
            <w:bottom w:val="none" w:sz="0" w:space="0" w:color="auto"/>
            <w:right w:val="none" w:sz="0" w:space="0" w:color="auto"/>
          </w:divBdr>
        </w:div>
        <w:div w:id="2139175968">
          <w:marLeft w:val="0"/>
          <w:marRight w:val="0"/>
          <w:marTop w:val="0"/>
          <w:marBottom w:val="0"/>
          <w:divBdr>
            <w:top w:val="none" w:sz="0" w:space="0" w:color="auto"/>
            <w:left w:val="none" w:sz="0" w:space="0" w:color="auto"/>
            <w:bottom w:val="none" w:sz="0" w:space="0" w:color="auto"/>
            <w:right w:val="none" w:sz="0" w:space="0" w:color="auto"/>
          </w:divBdr>
        </w:div>
        <w:div w:id="983510060">
          <w:marLeft w:val="0"/>
          <w:marRight w:val="0"/>
          <w:marTop w:val="0"/>
          <w:marBottom w:val="0"/>
          <w:divBdr>
            <w:top w:val="none" w:sz="0" w:space="0" w:color="auto"/>
            <w:left w:val="none" w:sz="0" w:space="0" w:color="auto"/>
            <w:bottom w:val="none" w:sz="0" w:space="0" w:color="auto"/>
            <w:right w:val="none" w:sz="0" w:space="0" w:color="auto"/>
          </w:divBdr>
        </w:div>
        <w:div w:id="781146697">
          <w:marLeft w:val="0"/>
          <w:marRight w:val="0"/>
          <w:marTop w:val="0"/>
          <w:marBottom w:val="0"/>
          <w:divBdr>
            <w:top w:val="none" w:sz="0" w:space="0" w:color="auto"/>
            <w:left w:val="none" w:sz="0" w:space="0" w:color="auto"/>
            <w:bottom w:val="none" w:sz="0" w:space="0" w:color="auto"/>
            <w:right w:val="none" w:sz="0" w:space="0" w:color="auto"/>
          </w:divBdr>
        </w:div>
        <w:div w:id="844242644">
          <w:marLeft w:val="0"/>
          <w:marRight w:val="0"/>
          <w:marTop w:val="0"/>
          <w:marBottom w:val="0"/>
          <w:divBdr>
            <w:top w:val="none" w:sz="0" w:space="0" w:color="auto"/>
            <w:left w:val="none" w:sz="0" w:space="0" w:color="auto"/>
            <w:bottom w:val="none" w:sz="0" w:space="0" w:color="auto"/>
            <w:right w:val="none" w:sz="0" w:space="0" w:color="auto"/>
          </w:divBdr>
        </w:div>
        <w:div w:id="699354475">
          <w:marLeft w:val="0"/>
          <w:marRight w:val="0"/>
          <w:marTop w:val="0"/>
          <w:marBottom w:val="0"/>
          <w:divBdr>
            <w:top w:val="none" w:sz="0" w:space="0" w:color="auto"/>
            <w:left w:val="none" w:sz="0" w:space="0" w:color="auto"/>
            <w:bottom w:val="none" w:sz="0" w:space="0" w:color="auto"/>
            <w:right w:val="none" w:sz="0" w:space="0" w:color="auto"/>
          </w:divBdr>
        </w:div>
        <w:div w:id="520167982">
          <w:marLeft w:val="0"/>
          <w:marRight w:val="0"/>
          <w:marTop w:val="0"/>
          <w:marBottom w:val="0"/>
          <w:divBdr>
            <w:top w:val="none" w:sz="0" w:space="0" w:color="auto"/>
            <w:left w:val="none" w:sz="0" w:space="0" w:color="auto"/>
            <w:bottom w:val="none" w:sz="0" w:space="0" w:color="auto"/>
            <w:right w:val="none" w:sz="0" w:space="0" w:color="auto"/>
          </w:divBdr>
        </w:div>
        <w:div w:id="1067150179">
          <w:marLeft w:val="0"/>
          <w:marRight w:val="0"/>
          <w:marTop w:val="0"/>
          <w:marBottom w:val="0"/>
          <w:divBdr>
            <w:top w:val="none" w:sz="0" w:space="0" w:color="auto"/>
            <w:left w:val="none" w:sz="0" w:space="0" w:color="auto"/>
            <w:bottom w:val="none" w:sz="0" w:space="0" w:color="auto"/>
            <w:right w:val="none" w:sz="0" w:space="0" w:color="auto"/>
          </w:divBdr>
        </w:div>
        <w:div w:id="1555920395">
          <w:marLeft w:val="0"/>
          <w:marRight w:val="0"/>
          <w:marTop w:val="0"/>
          <w:marBottom w:val="0"/>
          <w:divBdr>
            <w:top w:val="none" w:sz="0" w:space="0" w:color="auto"/>
            <w:left w:val="none" w:sz="0" w:space="0" w:color="auto"/>
            <w:bottom w:val="none" w:sz="0" w:space="0" w:color="auto"/>
            <w:right w:val="none" w:sz="0" w:space="0" w:color="auto"/>
          </w:divBdr>
        </w:div>
        <w:div w:id="695733971">
          <w:marLeft w:val="0"/>
          <w:marRight w:val="0"/>
          <w:marTop w:val="0"/>
          <w:marBottom w:val="0"/>
          <w:divBdr>
            <w:top w:val="none" w:sz="0" w:space="0" w:color="auto"/>
            <w:left w:val="none" w:sz="0" w:space="0" w:color="auto"/>
            <w:bottom w:val="none" w:sz="0" w:space="0" w:color="auto"/>
            <w:right w:val="none" w:sz="0" w:space="0" w:color="auto"/>
          </w:divBdr>
        </w:div>
        <w:div w:id="963996375">
          <w:marLeft w:val="0"/>
          <w:marRight w:val="0"/>
          <w:marTop w:val="0"/>
          <w:marBottom w:val="0"/>
          <w:divBdr>
            <w:top w:val="none" w:sz="0" w:space="0" w:color="auto"/>
            <w:left w:val="none" w:sz="0" w:space="0" w:color="auto"/>
            <w:bottom w:val="none" w:sz="0" w:space="0" w:color="auto"/>
            <w:right w:val="none" w:sz="0" w:space="0" w:color="auto"/>
          </w:divBdr>
        </w:div>
        <w:div w:id="1723677811">
          <w:marLeft w:val="0"/>
          <w:marRight w:val="0"/>
          <w:marTop w:val="0"/>
          <w:marBottom w:val="0"/>
          <w:divBdr>
            <w:top w:val="none" w:sz="0" w:space="0" w:color="auto"/>
            <w:left w:val="none" w:sz="0" w:space="0" w:color="auto"/>
            <w:bottom w:val="none" w:sz="0" w:space="0" w:color="auto"/>
            <w:right w:val="none" w:sz="0" w:space="0" w:color="auto"/>
          </w:divBdr>
        </w:div>
        <w:div w:id="500855397">
          <w:marLeft w:val="0"/>
          <w:marRight w:val="0"/>
          <w:marTop w:val="0"/>
          <w:marBottom w:val="0"/>
          <w:divBdr>
            <w:top w:val="none" w:sz="0" w:space="0" w:color="auto"/>
            <w:left w:val="none" w:sz="0" w:space="0" w:color="auto"/>
            <w:bottom w:val="none" w:sz="0" w:space="0" w:color="auto"/>
            <w:right w:val="none" w:sz="0" w:space="0" w:color="auto"/>
          </w:divBdr>
        </w:div>
        <w:div w:id="1036466060">
          <w:marLeft w:val="0"/>
          <w:marRight w:val="0"/>
          <w:marTop w:val="0"/>
          <w:marBottom w:val="0"/>
          <w:divBdr>
            <w:top w:val="none" w:sz="0" w:space="0" w:color="auto"/>
            <w:left w:val="none" w:sz="0" w:space="0" w:color="auto"/>
            <w:bottom w:val="none" w:sz="0" w:space="0" w:color="auto"/>
            <w:right w:val="none" w:sz="0" w:space="0" w:color="auto"/>
          </w:divBdr>
        </w:div>
        <w:div w:id="383067757">
          <w:marLeft w:val="0"/>
          <w:marRight w:val="0"/>
          <w:marTop w:val="0"/>
          <w:marBottom w:val="0"/>
          <w:divBdr>
            <w:top w:val="none" w:sz="0" w:space="0" w:color="auto"/>
            <w:left w:val="none" w:sz="0" w:space="0" w:color="auto"/>
            <w:bottom w:val="none" w:sz="0" w:space="0" w:color="auto"/>
            <w:right w:val="none" w:sz="0" w:space="0" w:color="auto"/>
          </w:divBdr>
        </w:div>
        <w:div w:id="793257700">
          <w:marLeft w:val="0"/>
          <w:marRight w:val="0"/>
          <w:marTop w:val="0"/>
          <w:marBottom w:val="0"/>
          <w:divBdr>
            <w:top w:val="none" w:sz="0" w:space="0" w:color="auto"/>
            <w:left w:val="none" w:sz="0" w:space="0" w:color="auto"/>
            <w:bottom w:val="none" w:sz="0" w:space="0" w:color="auto"/>
            <w:right w:val="none" w:sz="0" w:space="0" w:color="auto"/>
          </w:divBdr>
        </w:div>
        <w:div w:id="2129004065">
          <w:marLeft w:val="0"/>
          <w:marRight w:val="0"/>
          <w:marTop w:val="0"/>
          <w:marBottom w:val="0"/>
          <w:divBdr>
            <w:top w:val="none" w:sz="0" w:space="0" w:color="auto"/>
            <w:left w:val="none" w:sz="0" w:space="0" w:color="auto"/>
            <w:bottom w:val="none" w:sz="0" w:space="0" w:color="auto"/>
            <w:right w:val="none" w:sz="0" w:space="0" w:color="auto"/>
          </w:divBdr>
        </w:div>
        <w:div w:id="675571030">
          <w:marLeft w:val="0"/>
          <w:marRight w:val="0"/>
          <w:marTop w:val="0"/>
          <w:marBottom w:val="0"/>
          <w:divBdr>
            <w:top w:val="none" w:sz="0" w:space="0" w:color="auto"/>
            <w:left w:val="none" w:sz="0" w:space="0" w:color="auto"/>
            <w:bottom w:val="none" w:sz="0" w:space="0" w:color="auto"/>
            <w:right w:val="none" w:sz="0" w:space="0" w:color="auto"/>
          </w:divBdr>
        </w:div>
        <w:div w:id="925505566">
          <w:marLeft w:val="0"/>
          <w:marRight w:val="0"/>
          <w:marTop w:val="0"/>
          <w:marBottom w:val="0"/>
          <w:divBdr>
            <w:top w:val="none" w:sz="0" w:space="0" w:color="auto"/>
            <w:left w:val="none" w:sz="0" w:space="0" w:color="auto"/>
            <w:bottom w:val="none" w:sz="0" w:space="0" w:color="auto"/>
            <w:right w:val="none" w:sz="0" w:space="0" w:color="auto"/>
          </w:divBdr>
        </w:div>
        <w:div w:id="902760973">
          <w:marLeft w:val="0"/>
          <w:marRight w:val="0"/>
          <w:marTop w:val="0"/>
          <w:marBottom w:val="0"/>
          <w:divBdr>
            <w:top w:val="none" w:sz="0" w:space="0" w:color="auto"/>
            <w:left w:val="none" w:sz="0" w:space="0" w:color="auto"/>
            <w:bottom w:val="none" w:sz="0" w:space="0" w:color="auto"/>
            <w:right w:val="none" w:sz="0" w:space="0" w:color="auto"/>
          </w:divBdr>
        </w:div>
        <w:div w:id="542445902">
          <w:marLeft w:val="0"/>
          <w:marRight w:val="0"/>
          <w:marTop w:val="0"/>
          <w:marBottom w:val="0"/>
          <w:divBdr>
            <w:top w:val="none" w:sz="0" w:space="0" w:color="auto"/>
            <w:left w:val="none" w:sz="0" w:space="0" w:color="auto"/>
            <w:bottom w:val="none" w:sz="0" w:space="0" w:color="auto"/>
            <w:right w:val="none" w:sz="0" w:space="0" w:color="auto"/>
          </w:divBdr>
        </w:div>
        <w:div w:id="1910798304">
          <w:marLeft w:val="0"/>
          <w:marRight w:val="0"/>
          <w:marTop w:val="0"/>
          <w:marBottom w:val="0"/>
          <w:divBdr>
            <w:top w:val="none" w:sz="0" w:space="0" w:color="auto"/>
            <w:left w:val="none" w:sz="0" w:space="0" w:color="auto"/>
            <w:bottom w:val="none" w:sz="0" w:space="0" w:color="auto"/>
            <w:right w:val="none" w:sz="0" w:space="0" w:color="auto"/>
          </w:divBdr>
        </w:div>
        <w:div w:id="2075277040">
          <w:marLeft w:val="0"/>
          <w:marRight w:val="0"/>
          <w:marTop w:val="0"/>
          <w:marBottom w:val="0"/>
          <w:divBdr>
            <w:top w:val="none" w:sz="0" w:space="0" w:color="auto"/>
            <w:left w:val="none" w:sz="0" w:space="0" w:color="auto"/>
            <w:bottom w:val="none" w:sz="0" w:space="0" w:color="auto"/>
            <w:right w:val="none" w:sz="0" w:space="0" w:color="auto"/>
          </w:divBdr>
        </w:div>
        <w:div w:id="509415581">
          <w:marLeft w:val="0"/>
          <w:marRight w:val="0"/>
          <w:marTop w:val="0"/>
          <w:marBottom w:val="0"/>
          <w:divBdr>
            <w:top w:val="none" w:sz="0" w:space="0" w:color="auto"/>
            <w:left w:val="none" w:sz="0" w:space="0" w:color="auto"/>
            <w:bottom w:val="none" w:sz="0" w:space="0" w:color="auto"/>
            <w:right w:val="none" w:sz="0" w:space="0" w:color="auto"/>
          </w:divBdr>
        </w:div>
        <w:div w:id="1487821903">
          <w:marLeft w:val="0"/>
          <w:marRight w:val="0"/>
          <w:marTop w:val="0"/>
          <w:marBottom w:val="0"/>
          <w:divBdr>
            <w:top w:val="none" w:sz="0" w:space="0" w:color="auto"/>
            <w:left w:val="none" w:sz="0" w:space="0" w:color="auto"/>
            <w:bottom w:val="none" w:sz="0" w:space="0" w:color="auto"/>
            <w:right w:val="none" w:sz="0" w:space="0" w:color="auto"/>
          </w:divBdr>
        </w:div>
        <w:div w:id="1447195850">
          <w:marLeft w:val="0"/>
          <w:marRight w:val="0"/>
          <w:marTop w:val="0"/>
          <w:marBottom w:val="0"/>
          <w:divBdr>
            <w:top w:val="none" w:sz="0" w:space="0" w:color="auto"/>
            <w:left w:val="none" w:sz="0" w:space="0" w:color="auto"/>
            <w:bottom w:val="none" w:sz="0" w:space="0" w:color="auto"/>
            <w:right w:val="none" w:sz="0" w:space="0" w:color="auto"/>
          </w:divBdr>
        </w:div>
        <w:div w:id="114957406">
          <w:marLeft w:val="0"/>
          <w:marRight w:val="0"/>
          <w:marTop w:val="0"/>
          <w:marBottom w:val="0"/>
          <w:divBdr>
            <w:top w:val="none" w:sz="0" w:space="0" w:color="auto"/>
            <w:left w:val="none" w:sz="0" w:space="0" w:color="auto"/>
            <w:bottom w:val="none" w:sz="0" w:space="0" w:color="auto"/>
            <w:right w:val="none" w:sz="0" w:space="0" w:color="auto"/>
          </w:divBdr>
        </w:div>
        <w:div w:id="1349257688">
          <w:marLeft w:val="0"/>
          <w:marRight w:val="0"/>
          <w:marTop w:val="0"/>
          <w:marBottom w:val="0"/>
          <w:divBdr>
            <w:top w:val="none" w:sz="0" w:space="0" w:color="auto"/>
            <w:left w:val="none" w:sz="0" w:space="0" w:color="auto"/>
            <w:bottom w:val="none" w:sz="0" w:space="0" w:color="auto"/>
            <w:right w:val="none" w:sz="0" w:space="0" w:color="auto"/>
          </w:divBdr>
        </w:div>
        <w:div w:id="777871697">
          <w:marLeft w:val="0"/>
          <w:marRight w:val="0"/>
          <w:marTop w:val="0"/>
          <w:marBottom w:val="0"/>
          <w:divBdr>
            <w:top w:val="none" w:sz="0" w:space="0" w:color="auto"/>
            <w:left w:val="none" w:sz="0" w:space="0" w:color="auto"/>
            <w:bottom w:val="none" w:sz="0" w:space="0" w:color="auto"/>
            <w:right w:val="none" w:sz="0" w:space="0" w:color="auto"/>
          </w:divBdr>
        </w:div>
        <w:div w:id="2067140764">
          <w:marLeft w:val="0"/>
          <w:marRight w:val="0"/>
          <w:marTop w:val="0"/>
          <w:marBottom w:val="0"/>
          <w:divBdr>
            <w:top w:val="none" w:sz="0" w:space="0" w:color="auto"/>
            <w:left w:val="none" w:sz="0" w:space="0" w:color="auto"/>
            <w:bottom w:val="none" w:sz="0" w:space="0" w:color="auto"/>
            <w:right w:val="none" w:sz="0" w:space="0" w:color="auto"/>
          </w:divBdr>
        </w:div>
        <w:div w:id="1105418765">
          <w:marLeft w:val="0"/>
          <w:marRight w:val="0"/>
          <w:marTop w:val="0"/>
          <w:marBottom w:val="0"/>
          <w:divBdr>
            <w:top w:val="none" w:sz="0" w:space="0" w:color="auto"/>
            <w:left w:val="none" w:sz="0" w:space="0" w:color="auto"/>
            <w:bottom w:val="none" w:sz="0" w:space="0" w:color="auto"/>
            <w:right w:val="none" w:sz="0" w:space="0" w:color="auto"/>
          </w:divBdr>
        </w:div>
        <w:div w:id="967124803">
          <w:marLeft w:val="0"/>
          <w:marRight w:val="0"/>
          <w:marTop w:val="0"/>
          <w:marBottom w:val="0"/>
          <w:divBdr>
            <w:top w:val="none" w:sz="0" w:space="0" w:color="auto"/>
            <w:left w:val="none" w:sz="0" w:space="0" w:color="auto"/>
            <w:bottom w:val="none" w:sz="0" w:space="0" w:color="auto"/>
            <w:right w:val="none" w:sz="0" w:space="0" w:color="auto"/>
          </w:divBdr>
        </w:div>
        <w:div w:id="1112287280">
          <w:marLeft w:val="0"/>
          <w:marRight w:val="0"/>
          <w:marTop w:val="0"/>
          <w:marBottom w:val="0"/>
          <w:divBdr>
            <w:top w:val="none" w:sz="0" w:space="0" w:color="auto"/>
            <w:left w:val="none" w:sz="0" w:space="0" w:color="auto"/>
            <w:bottom w:val="none" w:sz="0" w:space="0" w:color="auto"/>
            <w:right w:val="none" w:sz="0" w:space="0" w:color="auto"/>
          </w:divBdr>
        </w:div>
        <w:div w:id="1330986038">
          <w:marLeft w:val="0"/>
          <w:marRight w:val="0"/>
          <w:marTop w:val="0"/>
          <w:marBottom w:val="0"/>
          <w:divBdr>
            <w:top w:val="none" w:sz="0" w:space="0" w:color="auto"/>
            <w:left w:val="none" w:sz="0" w:space="0" w:color="auto"/>
            <w:bottom w:val="none" w:sz="0" w:space="0" w:color="auto"/>
            <w:right w:val="none" w:sz="0" w:space="0" w:color="auto"/>
          </w:divBdr>
        </w:div>
        <w:div w:id="273295810">
          <w:marLeft w:val="0"/>
          <w:marRight w:val="0"/>
          <w:marTop w:val="0"/>
          <w:marBottom w:val="0"/>
          <w:divBdr>
            <w:top w:val="none" w:sz="0" w:space="0" w:color="auto"/>
            <w:left w:val="none" w:sz="0" w:space="0" w:color="auto"/>
            <w:bottom w:val="none" w:sz="0" w:space="0" w:color="auto"/>
            <w:right w:val="none" w:sz="0" w:space="0" w:color="auto"/>
          </w:divBdr>
        </w:div>
        <w:div w:id="2044014161">
          <w:marLeft w:val="0"/>
          <w:marRight w:val="0"/>
          <w:marTop w:val="0"/>
          <w:marBottom w:val="0"/>
          <w:divBdr>
            <w:top w:val="none" w:sz="0" w:space="0" w:color="auto"/>
            <w:left w:val="none" w:sz="0" w:space="0" w:color="auto"/>
            <w:bottom w:val="none" w:sz="0" w:space="0" w:color="auto"/>
            <w:right w:val="none" w:sz="0" w:space="0" w:color="auto"/>
          </w:divBdr>
        </w:div>
        <w:div w:id="9915219">
          <w:marLeft w:val="0"/>
          <w:marRight w:val="0"/>
          <w:marTop w:val="0"/>
          <w:marBottom w:val="0"/>
          <w:divBdr>
            <w:top w:val="none" w:sz="0" w:space="0" w:color="auto"/>
            <w:left w:val="none" w:sz="0" w:space="0" w:color="auto"/>
            <w:bottom w:val="none" w:sz="0" w:space="0" w:color="auto"/>
            <w:right w:val="none" w:sz="0" w:space="0" w:color="auto"/>
          </w:divBdr>
        </w:div>
        <w:div w:id="992417885">
          <w:marLeft w:val="0"/>
          <w:marRight w:val="0"/>
          <w:marTop w:val="0"/>
          <w:marBottom w:val="0"/>
          <w:divBdr>
            <w:top w:val="none" w:sz="0" w:space="0" w:color="auto"/>
            <w:left w:val="none" w:sz="0" w:space="0" w:color="auto"/>
            <w:bottom w:val="none" w:sz="0" w:space="0" w:color="auto"/>
            <w:right w:val="none" w:sz="0" w:space="0" w:color="auto"/>
          </w:divBdr>
        </w:div>
        <w:div w:id="626786886">
          <w:marLeft w:val="0"/>
          <w:marRight w:val="0"/>
          <w:marTop w:val="0"/>
          <w:marBottom w:val="0"/>
          <w:divBdr>
            <w:top w:val="none" w:sz="0" w:space="0" w:color="auto"/>
            <w:left w:val="none" w:sz="0" w:space="0" w:color="auto"/>
            <w:bottom w:val="none" w:sz="0" w:space="0" w:color="auto"/>
            <w:right w:val="none" w:sz="0" w:space="0" w:color="auto"/>
          </w:divBdr>
        </w:div>
        <w:div w:id="12762140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umentcentre.education.tas.gov.au/Documents/Student-Health-Initiative-Facts-and-Research.pdf" TargetMode="External"/><Relationship Id="rId13" Type="http://schemas.openxmlformats.org/officeDocument/2006/relationships/hyperlink" Target="https://www.nhs.uk/conditions/self-harm/" TargetMode="External"/><Relationship Id="rId18" Type="http://schemas.openxmlformats.org/officeDocument/2006/relationships/hyperlink" Target="https://www.childrenssociety.org.uk/what-we-do/research/well-being/publications/promoting-positive-well-being-childre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howtothrive.org/" TargetMode="External"/><Relationship Id="rId12" Type="http://schemas.openxmlformats.org/officeDocument/2006/relationships/hyperlink" Target="https://www.nhs.uk/conditions/clinical-depression/" TargetMode="External"/><Relationship Id="rId17" Type="http://schemas.openxmlformats.org/officeDocument/2006/relationships/hyperlink" Target="https://www.cambridge-news.co.uk/news/uk-world-news/snapchat-facebook-social-media-bullying-13994981" TargetMode="External"/><Relationship Id="rId2" Type="http://schemas.microsoft.com/office/2007/relationships/stylesWithEffects" Target="stylesWithEffects.xml"/><Relationship Id="rId16" Type="http://schemas.openxmlformats.org/officeDocument/2006/relationships/hyperlink" Target="https://www.gov.uk/government/uploads/system/uploads/attachment_data/file/414908/Final_EHWB_draft_20_03_15.pdf" TargetMode="External"/><Relationship Id="rId20" Type="http://schemas.openxmlformats.org/officeDocument/2006/relationships/hyperlink" Target="https://youngminds.org.uk/media/1428/wise-up-prioritising-wellbeing-in-schools.pdf" TargetMode="External"/><Relationship Id="rId1" Type="http://schemas.openxmlformats.org/officeDocument/2006/relationships/styles" Target="styles.xml"/><Relationship Id="rId6" Type="http://schemas.openxmlformats.org/officeDocument/2006/relationships/hyperlink" Target="http://www.dyffryntaf.co.uk/wp-content/uploads/2013/11/Estyn-Report.pdf" TargetMode="External"/><Relationship Id="rId11" Type="http://schemas.openxmlformats.org/officeDocument/2006/relationships/hyperlink" Target="https://www.mentalhealth.org.uk/blog/social-media-and-young-peoples-mental-health" TargetMode="External"/><Relationship Id="rId5" Type="http://schemas.openxmlformats.org/officeDocument/2006/relationships/hyperlink" Target="https://www.jrf.org.uk/report/does-money-affect-children%E2%80%99s-outcomes" TargetMode="External"/><Relationship Id="rId15" Type="http://schemas.openxmlformats.org/officeDocument/2006/relationships/hyperlink" Target="https://pathways.nice.org.uk/pathways/social-and-emotional-wellbeing-for-children-and-young-people" TargetMode="External"/><Relationship Id="rId10" Type="http://schemas.openxmlformats.org/officeDocument/2006/relationships/hyperlink" Target="https://www.mentalhealth.org.uk/a-to-z/c/children-and-young-people" TargetMode="External"/><Relationship Id="rId19" Type="http://schemas.openxmlformats.org/officeDocument/2006/relationships/hyperlink" Target="https://downloads.unicef.org.uk/wp-content/uploads/2010/05/UNCRC_united_nations_convention_on_the_rights_of_the_child.pdf?_ga=2.254332363.258576238.1521555447-911692736.1521555447" TargetMode="External"/><Relationship Id="rId4" Type="http://schemas.openxmlformats.org/officeDocument/2006/relationships/webSettings" Target="webSettings.xml"/><Relationship Id="rId9" Type="http://schemas.openxmlformats.org/officeDocument/2006/relationships/hyperlink" Target="https://simplypsychology.org/maslow.html" TargetMode="External"/><Relationship Id="rId14" Type="http://schemas.openxmlformats.org/officeDocument/2006/relationships/hyperlink" Target="https://www.nhs.uk/conditions/eating-disord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3440</Words>
  <Characters>19611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Gwawr Davies</dc:creator>
  <cp:lastModifiedBy>Gwawr Davies</cp:lastModifiedBy>
  <cp:revision>2</cp:revision>
  <dcterms:created xsi:type="dcterms:W3CDTF">2018-03-23T14:11:00Z</dcterms:created>
  <dcterms:modified xsi:type="dcterms:W3CDTF">2018-03-23T14:12:00Z</dcterms:modified>
</cp:coreProperties>
</file>