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6D72D8" w14:textId="77777777" w:rsidR="00444687" w:rsidRDefault="00444687" w:rsidP="00444687"/>
    <w:p w14:paraId="5B6E01BD" w14:textId="77777777" w:rsidR="00444687" w:rsidRDefault="00444687" w:rsidP="00444687"/>
    <w:p w14:paraId="58509BC9" w14:textId="77777777" w:rsidR="00444687" w:rsidRDefault="00444687" w:rsidP="00444687"/>
    <w:p w14:paraId="5CD92BFC" w14:textId="3477B66F" w:rsidR="00444687" w:rsidRPr="0087682E" w:rsidRDefault="00444687" w:rsidP="00444687">
      <w:pPr>
        <w:rPr>
          <w:sz w:val="40"/>
          <w:szCs w:val="40"/>
        </w:rPr>
      </w:pPr>
      <w:r w:rsidRPr="0087682E">
        <w:rPr>
          <w:sz w:val="40"/>
          <w:szCs w:val="40"/>
        </w:rPr>
        <w:t>Martin Ogadimma</w:t>
      </w:r>
    </w:p>
    <w:p w14:paraId="338FC34B" w14:textId="36491C41" w:rsidR="00444687" w:rsidRPr="0087682E" w:rsidRDefault="00444687" w:rsidP="00444687">
      <w:pPr>
        <w:rPr>
          <w:sz w:val="40"/>
          <w:szCs w:val="40"/>
        </w:rPr>
      </w:pPr>
      <w:r w:rsidRPr="0087682E">
        <w:rPr>
          <w:sz w:val="40"/>
          <w:szCs w:val="40"/>
        </w:rPr>
        <w:t>Student Number: 2435763</w:t>
      </w:r>
    </w:p>
    <w:p w14:paraId="469A06CD" w14:textId="1AE230C5" w:rsidR="00444687" w:rsidRPr="0087682E" w:rsidRDefault="00444687" w:rsidP="00444687">
      <w:pPr>
        <w:rPr>
          <w:sz w:val="40"/>
          <w:szCs w:val="40"/>
        </w:rPr>
      </w:pPr>
      <w:r w:rsidRPr="0087682E">
        <w:rPr>
          <w:sz w:val="40"/>
          <w:szCs w:val="40"/>
        </w:rPr>
        <w:t>Module Code: LCHS4003</w:t>
      </w:r>
    </w:p>
    <w:p w14:paraId="27C8D253" w14:textId="58B0CFB8" w:rsidR="00444687" w:rsidRPr="0087682E" w:rsidRDefault="00444687" w:rsidP="00444687">
      <w:pPr>
        <w:rPr>
          <w:sz w:val="40"/>
          <w:szCs w:val="40"/>
        </w:rPr>
      </w:pPr>
      <w:r w:rsidRPr="0087682E">
        <w:rPr>
          <w:sz w:val="40"/>
          <w:szCs w:val="40"/>
        </w:rPr>
        <w:t>Title: Introduction to Health and Social Care</w:t>
      </w:r>
    </w:p>
    <w:p w14:paraId="13468DFC" w14:textId="40C2F902" w:rsidR="00444687" w:rsidRPr="0087682E" w:rsidRDefault="00444687" w:rsidP="00444687">
      <w:pPr>
        <w:rPr>
          <w:sz w:val="40"/>
          <w:szCs w:val="40"/>
        </w:rPr>
      </w:pPr>
      <w:r w:rsidRPr="0087682E">
        <w:rPr>
          <w:sz w:val="40"/>
          <w:szCs w:val="40"/>
        </w:rPr>
        <w:t>Lecturer:</w:t>
      </w:r>
      <w:r w:rsidR="009B36FD">
        <w:rPr>
          <w:sz w:val="40"/>
          <w:szCs w:val="40"/>
        </w:rPr>
        <w:t xml:space="preserve"> </w:t>
      </w:r>
      <w:r w:rsidRPr="0087682E">
        <w:rPr>
          <w:sz w:val="40"/>
          <w:szCs w:val="40"/>
        </w:rPr>
        <w:t>Azida Zainol</w:t>
      </w:r>
    </w:p>
    <w:p w14:paraId="077F0A30" w14:textId="20034278" w:rsidR="00444687" w:rsidRPr="0087682E" w:rsidRDefault="00444687" w:rsidP="00444687">
      <w:pPr>
        <w:rPr>
          <w:sz w:val="40"/>
          <w:szCs w:val="40"/>
        </w:rPr>
      </w:pPr>
      <w:r w:rsidRPr="0087682E">
        <w:rPr>
          <w:sz w:val="40"/>
          <w:szCs w:val="40"/>
        </w:rPr>
        <w:t>Assignment title Por</w:t>
      </w:r>
      <w:r w:rsidR="0087682E" w:rsidRPr="0087682E">
        <w:rPr>
          <w:sz w:val="40"/>
          <w:szCs w:val="40"/>
        </w:rPr>
        <w:t>tfolio:</w:t>
      </w:r>
    </w:p>
    <w:p w14:paraId="4E4688E1" w14:textId="6285B2FC" w:rsidR="0087682E" w:rsidRPr="0087682E" w:rsidRDefault="0087682E" w:rsidP="00444687">
      <w:pPr>
        <w:rPr>
          <w:sz w:val="40"/>
          <w:szCs w:val="40"/>
        </w:rPr>
      </w:pPr>
      <w:r w:rsidRPr="0087682E">
        <w:rPr>
          <w:sz w:val="40"/>
          <w:szCs w:val="40"/>
        </w:rPr>
        <w:t>Task One-Poster</w:t>
      </w:r>
    </w:p>
    <w:p w14:paraId="604BAED0" w14:textId="3789D878" w:rsidR="0087682E" w:rsidRPr="0087682E" w:rsidRDefault="0087682E" w:rsidP="00444687">
      <w:pPr>
        <w:rPr>
          <w:sz w:val="40"/>
          <w:szCs w:val="40"/>
        </w:rPr>
      </w:pPr>
      <w:r w:rsidRPr="0087682E">
        <w:rPr>
          <w:sz w:val="40"/>
          <w:szCs w:val="40"/>
        </w:rPr>
        <w:t>Task two-Essay</w:t>
      </w:r>
    </w:p>
    <w:p w14:paraId="5189E291" w14:textId="77777777" w:rsidR="00444687" w:rsidRDefault="00444687" w:rsidP="00444687"/>
    <w:p w14:paraId="06AB1C4D" w14:textId="77777777" w:rsidR="00444687" w:rsidRDefault="00444687" w:rsidP="00444687"/>
    <w:p w14:paraId="02F61050" w14:textId="77777777" w:rsidR="00444687" w:rsidRDefault="00444687" w:rsidP="00444687"/>
    <w:p w14:paraId="081F9820" w14:textId="77777777" w:rsidR="00444687" w:rsidRDefault="00444687" w:rsidP="00444687"/>
    <w:p w14:paraId="240D2079" w14:textId="77777777" w:rsidR="00444687" w:rsidRDefault="00444687" w:rsidP="00444687"/>
    <w:p w14:paraId="6D1B5899" w14:textId="77777777" w:rsidR="00444687" w:rsidRDefault="00444687" w:rsidP="00444687"/>
    <w:p w14:paraId="4DD08D76" w14:textId="77777777" w:rsidR="00444687" w:rsidRDefault="00444687" w:rsidP="00444687"/>
    <w:p w14:paraId="3FEB3E13" w14:textId="77777777" w:rsidR="00444687" w:rsidRDefault="00444687" w:rsidP="00444687"/>
    <w:p w14:paraId="62AE8399" w14:textId="77777777" w:rsidR="00444687" w:rsidRDefault="00444687" w:rsidP="00444687"/>
    <w:p w14:paraId="59A395E4" w14:textId="213F47D3" w:rsidR="000500C3" w:rsidRDefault="000500C3">
      <w:r>
        <w:br w:type="page"/>
      </w:r>
    </w:p>
    <w:p w14:paraId="13B32D2A" w14:textId="77777777" w:rsidR="00444687" w:rsidRDefault="00444687" w:rsidP="00444687"/>
    <w:p w14:paraId="48D9308F" w14:textId="77777777" w:rsidR="00444687" w:rsidRDefault="00444687" w:rsidP="00444687"/>
    <w:p w14:paraId="67399C66" w14:textId="77777777" w:rsidR="00444687" w:rsidRDefault="00444687" w:rsidP="00444687"/>
    <w:p w14:paraId="1D339254" w14:textId="77777777" w:rsidR="00444687" w:rsidRDefault="00444687" w:rsidP="00444687"/>
    <w:p w14:paraId="225D8A80" w14:textId="77777777" w:rsidR="00444687" w:rsidRDefault="00444687" w:rsidP="00444687"/>
    <w:p w14:paraId="33188D21" w14:textId="77777777" w:rsidR="00444687" w:rsidRDefault="00444687" w:rsidP="00444687"/>
    <w:p w14:paraId="049E1C48" w14:textId="77777777" w:rsidR="00444687" w:rsidRDefault="00444687" w:rsidP="00444687"/>
    <w:p w14:paraId="62EDF481" w14:textId="77777777" w:rsidR="00444687" w:rsidRDefault="00444687" w:rsidP="00444687"/>
    <w:sdt>
      <w:sdtPr>
        <w:rPr>
          <w:rFonts w:asciiTheme="minorHAnsi" w:eastAsiaTheme="minorHAnsi" w:hAnsiTheme="minorHAnsi" w:cstheme="minorBidi"/>
          <w:color w:val="auto"/>
          <w:kern w:val="2"/>
          <w:sz w:val="22"/>
          <w:szCs w:val="22"/>
          <w:lang w:eastAsia="en-US"/>
          <w14:ligatures w14:val="standardContextual"/>
        </w:rPr>
        <w:id w:val="1218623655"/>
        <w:docPartObj>
          <w:docPartGallery w:val="Table of Contents"/>
          <w:docPartUnique/>
        </w:docPartObj>
      </w:sdtPr>
      <w:sdtEndPr>
        <w:rPr>
          <w:b/>
          <w:bCs/>
        </w:rPr>
      </w:sdtEndPr>
      <w:sdtContent>
        <w:p w14:paraId="17302B35" w14:textId="0175EEA8" w:rsidR="000500C3" w:rsidRDefault="000500C3">
          <w:pPr>
            <w:pStyle w:val="TOCHeading"/>
          </w:pPr>
          <w:r w:rsidRPr="00F357C6">
            <w:t>Contents</w:t>
          </w:r>
        </w:p>
        <w:p w14:paraId="230CDD9D" w14:textId="3C25EC9D" w:rsidR="000500C3" w:rsidRDefault="000500C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1584661" w:history="1">
            <w:r w:rsidRPr="00015931">
              <w:rPr>
                <w:rStyle w:val="Hyperlink"/>
                <w:noProof/>
              </w:rPr>
              <w:t>Task 1 Poster</w:t>
            </w:r>
            <w:r>
              <w:rPr>
                <w:noProof/>
                <w:webHidden/>
              </w:rPr>
              <w:tab/>
            </w:r>
            <w:r>
              <w:rPr>
                <w:noProof/>
                <w:webHidden/>
              </w:rPr>
              <w:fldChar w:fldCharType="begin"/>
            </w:r>
            <w:r>
              <w:rPr>
                <w:noProof/>
                <w:webHidden/>
              </w:rPr>
              <w:instrText xml:space="preserve"> PAGEREF _Toc211584661 \h </w:instrText>
            </w:r>
            <w:r>
              <w:rPr>
                <w:noProof/>
                <w:webHidden/>
              </w:rPr>
            </w:r>
            <w:r>
              <w:rPr>
                <w:noProof/>
                <w:webHidden/>
              </w:rPr>
              <w:fldChar w:fldCharType="separate"/>
            </w:r>
            <w:r w:rsidR="00BB39F1">
              <w:rPr>
                <w:noProof/>
                <w:webHidden/>
              </w:rPr>
              <w:t>2</w:t>
            </w:r>
            <w:r>
              <w:rPr>
                <w:noProof/>
                <w:webHidden/>
              </w:rPr>
              <w:fldChar w:fldCharType="end"/>
            </w:r>
          </w:hyperlink>
        </w:p>
        <w:p w14:paraId="3F9EA5FB" w14:textId="1EAB4587" w:rsidR="000500C3" w:rsidRDefault="000500C3">
          <w:pPr>
            <w:pStyle w:val="TOC1"/>
            <w:tabs>
              <w:tab w:val="right" w:leader="dot" w:pos="9016"/>
            </w:tabs>
            <w:rPr>
              <w:rFonts w:eastAsiaTheme="minorEastAsia"/>
              <w:noProof/>
              <w:sz w:val="24"/>
              <w:szCs w:val="24"/>
              <w:lang w:eastAsia="en-GB"/>
            </w:rPr>
          </w:pPr>
          <w:hyperlink w:anchor="_Toc211584662" w:history="1">
            <w:r w:rsidRPr="00015931">
              <w:rPr>
                <w:rStyle w:val="Hyperlink"/>
                <w:noProof/>
              </w:rPr>
              <w:t>Task 2 Essay</w:t>
            </w:r>
            <w:r>
              <w:rPr>
                <w:noProof/>
                <w:webHidden/>
              </w:rPr>
              <w:tab/>
            </w:r>
            <w:r>
              <w:rPr>
                <w:noProof/>
                <w:webHidden/>
              </w:rPr>
              <w:fldChar w:fldCharType="begin"/>
            </w:r>
            <w:r>
              <w:rPr>
                <w:noProof/>
                <w:webHidden/>
              </w:rPr>
              <w:instrText xml:space="preserve"> PAGEREF _Toc211584662 \h </w:instrText>
            </w:r>
            <w:r>
              <w:rPr>
                <w:noProof/>
                <w:webHidden/>
              </w:rPr>
            </w:r>
            <w:r>
              <w:rPr>
                <w:noProof/>
                <w:webHidden/>
              </w:rPr>
              <w:fldChar w:fldCharType="separate"/>
            </w:r>
            <w:r w:rsidR="00BB39F1">
              <w:rPr>
                <w:noProof/>
                <w:webHidden/>
              </w:rPr>
              <w:t>4</w:t>
            </w:r>
            <w:r>
              <w:rPr>
                <w:noProof/>
                <w:webHidden/>
              </w:rPr>
              <w:fldChar w:fldCharType="end"/>
            </w:r>
          </w:hyperlink>
        </w:p>
        <w:p w14:paraId="445265C6" w14:textId="6E81C817" w:rsidR="000500C3" w:rsidRDefault="000500C3">
          <w:pPr>
            <w:pStyle w:val="TOC1"/>
            <w:tabs>
              <w:tab w:val="right" w:leader="dot" w:pos="9016"/>
            </w:tabs>
            <w:rPr>
              <w:rFonts w:eastAsiaTheme="minorEastAsia"/>
              <w:noProof/>
              <w:sz w:val="24"/>
              <w:szCs w:val="24"/>
              <w:lang w:eastAsia="en-GB"/>
            </w:rPr>
          </w:pPr>
          <w:hyperlink w:anchor="_Toc211584663" w:history="1">
            <w:r w:rsidRPr="00015931">
              <w:rPr>
                <w:rStyle w:val="Hyperlink"/>
                <w:noProof/>
              </w:rPr>
              <w:t>Introduction</w:t>
            </w:r>
            <w:r>
              <w:rPr>
                <w:noProof/>
                <w:webHidden/>
              </w:rPr>
              <w:tab/>
            </w:r>
            <w:r>
              <w:rPr>
                <w:noProof/>
                <w:webHidden/>
              </w:rPr>
              <w:fldChar w:fldCharType="begin"/>
            </w:r>
            <w:r>
              <w:rPr>
                <w:noProof/>
                <w:webHidden/>
              </w:rPr>
              <w:instrText xml:space="preserve"> PAGEREF _Toc211584663 \h </w:instrText>
            </w:r>
            <w:r>
              <w:rPr>
                <w:noProof/>
                <w:webHidden/>
              </w:rPr>
            </w:r>
            <w:r>
              <w:rPr>
                <w:noProof/>
                <w:webHidden/>
              </w:rPr>
              <w:fldChar w:fldCharType="separate"/>
            </w:r>
            <w:r w:rsidR="00BB39F1">
              <w:rPr>
                <w:noProof/>
                <w:webHidden/>
              </w:rPr>
              <w:t>4</w:t>
            </w:r>
            <w:r>
              <w:rPr>
                <w:noProof/>
                <w:webHidden/>
              </w:rPr>
              <w:fldChar w:fldCharType="end"/>
            </w:r>
          </w:hyperlink>
        </w:p>
        <w:p w14:paraId="281743BC" w14:textId="02A13000" w:rsidR="000500C3" w:rsidRDefault="000500C3">
          <w:pPr>
            <w:pStyle w:val="TOC1"/>
            <w:tabs>
              <w:tab w:val="right" w:leader="dot" w:pos="9016"/>
            </w:tabs>
            <w:rPr>
              <w:rFonts w:eastAsiaTheme="minorEastAsia"/>
              <w:noProof/>
              <w:sz w:val="24"/>
              <w:szCs w:val="24"/>
              <w:lang w:eastAsia="en-GB"/>
            </w:rPr>
          </w:pPr>
          <w:hyperlink w:anchor="_Toc211584664" w:history="1">
            <w:r w:rsidRPr="00015931">
              <w:rPr>
                <w:rStyle w:val="Hyperlink"/>
                <w:noProof/>
              </w:rPr>
              <w:t>References</w:t>
            </w:r>
            <w:r>
              <w:rPr>
                <w:noProof/>
                <w:webHidden/>
              </w:rPr>
              <w:tab/>
            </w:r>
            <w:r>
              <w:rPr>
                <w:noProof/>
                <w:webHidden/>
              </w:rPr>
              <w:fldChar w:fldCharType="begin"/>
            </w:r>
            <w:r>
              <w:rPr>
                <w:noProof/>
                <w:webHidden/>
              </w:rPr>
              <w:instrText xml:space="preserve"> PAGEREF _Toc211584664 \h </w:instrText>
            </w:r>
            <w:r>
              <w:rPr>
                <w:noProof/>
                <w:webHidden/>
              </w:rPr>
            </w:r>
            <w:r>
              <w:rPr>
                <w:noProof/>
                <w:webHidden/>
              </w:rPr>
              <w:fldChar w:fldCharType="separate"/>
            </w:r>
            <w:r w:rsidR="00BB39F1">
              <w:rPr>
                <w:noProof/>
                <w:webHidden/>
              </w:rPr>
              <w:t>6</w:t>
            </w:r>
            <w:r>
              <w:rPr>
                <w:noProof/>
                <w:webHidden/>
              </w:rPr>
              <w:fldChar w:fldCharType="end"/>
            </w:r>
          </w:hyperlink>
        </w:p>
        <w:p w14:paraId="2DF66154" w14:textId="60D25E3B" w:rsidR="000500C3" w:rsidRDefault="000500C3">
          <w:r>
            <w:rPr>
              <w:b/>
              <w:bCs/>
            </w:rPr>
            <w:fldChar w:fldCharType="end"/>
          </w:r>
        </w:p>
      </w:sdtContent>
    </w:sdt>
    <w:p w14:paraId="26036E44" w14:textId="77777777" w:rsidR="00444687" w:rsidRDefault="00444687" w:rsidP="00444687"/>
    <w:p w14:paraId="32F4AE05" w14:textId="77777777" w:rsidR="008730D4" w:rsidRDefault="008730D4" w:rsidP="002219F7">
      <w:pPr>
        <w:pStyle w:val="Heading1"/>
      </w:pPr>
      <w:bookmarkStart w:id="0" w:name="_Toc211584661"/>
    </w:p>
    <w:p w14:paraId="6A17B997" w14:textId="77777777" w:rsidR="008730D4" w:rsidRDefault="008730D4" w:rsidP="002219F7">
      <w:pPr>
        <w:pStyle w:val="Heading1"/>
      </w:pPr>
    </w:p>
    <w:p w14:paraId="174718B2" w14:textId="77777777" w:rsidR="008730D4" w:rsidRDefault="008730D4" w:rsidP="002219F7">
      <w:pPr>
        <w:pStyle w:val="Heading1"/>
      </w:pPr>
    </w:p>
    <w:p w14:paraId="7BCDF2E3" w14:textId="77777777" w:rsidR="008730D4" w:rsidRDefault="008730D4" w:rsidP="002219F7">
      <w:pPr>
        <w:pStyle w:val="Heading1"/>
      </w:pPr>
    </w:p>
    <w:p w14:paraId="17D7021A" w14:textId="77777777" w:rsidR="00E24D9F" w:rsidRDefault="00E24D9F">
      <w:pPr>
        <w:rPr>
          <w:rFonts w:asciiTheme="majorHAnsi" w:eastAsiaTheme="majorEastAsia" w:hAnsiTheme="majorHAnsi" w:cstheme="majorBidi"/>
          <w:color w:val="0F4761" w:themeColor="accent1" w:themeShade="BF"/>
          <w:sz w:val="40"/>
          <w:szCs w:val="40"/>
        </w:rPr>
      </w:pPr>
      <w:r>
        <w:br w:type="page"/>
      </w:r>
    </w:p>
    <w:p w14:paraId="423EF1B1" w14:textId="77777777" w:rsidR="002E682C" w:rsidRDefault="002E682C" w:rsidP="002219F7">
      <w:pPr>
        <w:pStyle w:val="Heading1"/>
      </w:pPr>
    </w:p>
    <w:p w14:paraId="4F84F5F2" w14:textId="350CAC68" w:rsidR="00444687" w:rsidRPr="002219F7" w:rsidRDefault="00A8068F" w:rsidP="002219F7">
      <w:pPr>
        <w:pStyle w:val="Heading1"/>
      </w:pPr>
      <w:r w:rsidRPr="002219F7">
        <w:t xml:space="preserve">Task </w:t>
      </w:r>
      <w:r w:rsidR="000A0301" w:rsidRPr="002219F7">
        <w:t>1 Poster</w:t>
      </w:r>
      <w:bookmarkEnd w:id="0"/>
    </w:p>
    <w:p w14:paraId="7D14B543" w14:textId="2E734025" w:rsidR="00444687" w:rsidRDefault="00444687" w:rsidP="00444687"/>
    <w:p w14:paraId="1FD38616" w14:textId="343E1AB7" w:rsidR="00FA0764" w:rsidRDefault="00FA0764" w:rsidP="00444687"/>
    <w:p w14:paraId="2E8A7C38" w14:textId="77777777" w:rsidR="00671493" w:rsidRDefault="00671493" w:rsidP="00444687"/>
    <w:p w14:paraId="63BFD055" w14:textId="3591111B" w:rsidR="00671493" w:rsidRDefault="002A0800" w:rsidP="00444687">
      <w:r>
        <w:rPr>
          <w:noProof/>
        </w:rPr>
        <w:drawing>
          <wp:inline distT="0" distB="0" distL="0" distR="0" wp14:anchorId="194A02C4" wp14:editId="00718DD9">
            <wp:extent cx="5729479" cy="3922294"/>
            <wp:effectExtent l="0" t="0" r="5080" b="2540"/>
            <wp:docPr id="18417817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781795"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46178" cy="3933726"/>
                    </a:xfrm>
                    <a:prstGeom prst="rect">
                      <a:avLst/>
                    </a:prstGeom>
                  </pic:spPr>
                </pic:pic>
              </a:graphicData>
            </a:graphic>
          </wp:inline>
        </w:drawing>
      </w:r>
    </w:p>
    <w:p w14:paraId="31907EC1" w14:textId="77777777" w:rsidR="007A213D" w:rsidRDefault="007A213D" w:rsidP="00444687"/>
    <w:p w14:paraId="45EF82FE" w14:textId="77777777" w:rsidR="007A213D" w:rsidRDefault="007A213D" w:rsidP="00444687"/>
    <w:p w14:paraId="478984BB" w14:textId="77777777" w:rsidR="007A213D" w:rsidRDefault="007A213D" w:rsidP="00444687"/>
    <w:p w14:paraId="086EE941" w14:textId="77777777" w:rsidR="008130EA" w:rsidRDefault="008130EA" w:rsidP="00444687"/>
    <w:p w14:paraId="21F1612E" w14:textId="77777777" w:rsidR="008130EA" w:rsidRDefault="008130EA" w:rsidP="00444687"/>
    <w:p w14:paraId="17EF358E" w14:textId="77777777" w:rsidR="008130EA" w:rsidRDefault="008130EA" w:rsidP="00444687"/>
    <w:p w14:paraId="736CAE88" w14:textId="77777777" w:rsidR="008130EA" w:rsidRDefault="008130EA" w:rsidP="00444687"/>
    <w:p w14:paraId="1713A8D7" w14:textId="77777777" w:rsidR="008130EA" w:rsidRDefault="008130EA" w:rsidP="00444687"/>
    <w:p w14:paraId="1E7A108E" w14:textId="77777777" w:rsidR="008130EA" w:rsidRDefault="008130EA" w:rsidP="00444687"/>
    <w:p w14:paraId="7DE84FA0" w14:textId="77777777" w:rsidR="008130EA" w:rsidRDefault="008130EA" w:rsidP="00444687"/>
    <w:p w14:paraId="6151CAF1" w14:textId="77777777" w:rsidR="00671493" w:rsidRDefault="00671493" w:rsidP="00444687"/>
    <w:p w14:paraId="42959B3E" w14:textId="77777777" w:rsidR="00671493" w:rsidRDefault="00671493" w:rsidP="00444687"/>
    <w:p w14:paraId="6473E62D" w14:textId="77777777" w:rsidR="00E35CE6" w:rsidRDefault="00E35CE6" w:rsidP="00491B25">
      <w:pPr>
        <w:pStyle w:val="Heading1"/>
      </w:pPr>
      <w:bookmarkStart w:id="1" w:name="_Toc211584662"/>
    </w:p>
    <w:p w14:paraId="649B2515" w14:textId="77777777" w:rsidR="00E35CE6" w:rsidRDefault="00E35CE6" w:rsidP="00491B25">
      <w:pPr>
        <w:pStyle w:val="Heading1"/>
      </w:pPr>
    </w:p>
    <w:p w14:paraId="0F116441" w14:textId="4D522D28" w:rsidR="00671493" w:rsidRDefault="000223CA" w:rsidP="00491B25">
      <w:pPr>
        <w:pStyle w:val="Heading1"/>
      </w:pPr>
      <w:r w:rsidRPr="000223CA">
        <w:t>Task 2 Essay</w:t>
      </w:r>
      <w:bookmarkEnd w:id="1"/>
    </w:p>
    <w:p w14:paraId="72E69D64" w14:textId="4978375F" w:rsidR="00E35CE6" w:rsidRPr="00F518EE" w:rsidRDefault="00E22A89" w:rsidP="00CD233F">
      <w:pPr>
        <w:pStyle w:val="Heading1"/>
        <w:rPr>
          <w:u w:val="single"/>
        </w:rPr>
      </w:pPr>
      <w:r w:rsidRPr="00C665EA">
        <w:t xml:space="preserve">                             </w:t>
      </w:r>
      <w:r w:rsidR="00C665EA" w:rsidRPr="00C665EA">
        <w:t xml:space="preserve">  </w:t>
      </w:r>
      <w:r w:rsidR="00992D40" w:rsidRPr="00C665EA">
        <w:t xml:space="preserve"> </w:t>
      </w:r>
      <w:r w:rsidR="00025806" w:rsidRPr="00F518EE">
        <w:rPr>
          <w:u w:val="single"/>
        </w:rPr>
        <w:t>National H</w:t>
      </w:r>
      <w:r w:rsidR="00450A3B" w:rsidRPr="00F518EE">
        <w:rPr>
          <w:u w:val="single"/>
        </w:rPr>
        <w:t xml:space="preserve">ealth </w:t>
      </w:r>
      <w:r w:rsidR="00992D40" w:rsidRPr="00F518EE">
        <w:rPr>
          <w:u w:val="single"/>
        </w:rPr>
        <w:t>Service</w:t>
      </w:r>
    </w:p>
    <w:p w14:paraId="3633194A" w14:textId="77777777" w:rsidR="00671493" w:rsidRPr="000A71C7" w:rsidRDefault="00671493" w:rsidP="00913EB4">
      <w:pPr>
        <w:pStyle w:val="Heading1"/>
      </w:pPr>
      <w:bookmarkStart w:id="2" w:name="_Toc211509507"/>
      <w:bookmarkStart w:id="3" w:name="_Toc211584663"/>
      <w:r w:rsidRPr="000A71C7">
        <w:t>Introduction</w:t>
      </w:r>
      <w:bookmarkEnd w:id="2"/>
      <w:bookmarkEnd w:id="3"/>
    </w:p>
    <w:p w14:paraId="615E07AB" w14:textId="77777777" w:rsidR="00671493" w:rsidRPr="007C62F8" w:rsidRDefault="00671493" w:rsidP="00671493">
      <w:pPr>
        <w:rPr>
          <w:sz w:val="24"/>
          <w:szCs w:val="24"/>
        </w:rPr>
      </w:pPr>
      <w:r>
        <w:rPr>
          <w:sz w:val="24"/>
          <w:szCs w:val="24"/>
        </w:rPr>
        <w:t>The official introduction</w:t>
      </w:r>
      <w:r w:rsidRPr="007C62F8">
        <w:rPr>
          <w:sz w:val="24"/>
          <w:szCs w:val="24"/>
        </w:rPr>
        <w:t xml:space="preserve"> of the National Health Service (NHS) on July 5, 1948. The NHS was created in the wake of World War II with the goal of offering all citizens comprehensive healthcare that is free at the point of use and paid for by general taxes. Considering current issues, this essay critically evaluates the NHS's current structure and operations while also examining its historical background and guiding values.</w:t>
      </w:r>
    </w:p>
    <w:p w14:paraId="6F591884" w14:textId="77777777" w:rsidR="00671493" w:rsidRPr="007C62F8" w:rsidRDefault="00671493" w:rsidP="00671493">
      <w:pPr>
        <w:rPr>
          <w:sz w:val="24"/>
          <w:szCs w:val="24"/>
        </w:rPr>
      </w:pPr>
      <w:r w:rsidRPr="007C62F8">
        <w:rPr>
          <w:sz w:val="24"/>
          <w:szCs w:val="24"/>
        </w:rPr>
        <w:t>The sociopolitical environment of post-war Britain had a significant influence on the NHS's beginnings. The war's destruction revealed glaring disparities in healthcare access, especially for working-class populations. Economist William Beveridge's 1942 Beveridge Report established the theoretical framework for a welfare state that sought to eradicate the "five giants" of Want, Disease, Ignorance, Squalor, and Idleness (Clement, 2023). Public support for systemic change was sparked by this study, which ultimately led to Aneurin Bevan's appointment as Health Minister and the Labour Party's win in the 1945 general election.</w:t>
      </w:r>
    </w:p>
    <w:p w14:paraId="480E6149" w14:textId="77777777" w:rsidR="00671493" w:rsidRPr="007C62F8" w:rsidRDefault="00671493" w:rsidP="00671493">
      <w:pPr>
        <w:rPr>
          <w:sz w:val="24"/>
          <w:szCs w:val="24"/>
        </w:rPr>
      </w:pPr>
      <w:r w:rsidRPr="007C62F8">
        <w:rPr>
          <w:sz w:val="24"/>
          <w:szCs w:val="24"/>
        </w:rPr>
        <w:t>Bevan had a novel idea for the NHS. He aimed to create a single, publicly supported organisation out of a disjointed healthcare system that included private practitioners, municipal services, and voluntary institutions. Universality, comprehensiveness, and free access at the point of delivery were the three guiding principles upon which the NHS was established (Department of Health, 2000). These guidelines were designed to guarantee that clinical necessity, not financial means, would determine the provision of healthcare. Despite resistance from the British Medical Association and many general practitioners, Bevan obtained their cooperation through strategic compromises, memorably stating that he had “stuffed their mouths with gold” (The National Archives, 2023).</w:t>
      </w:r>
    </w:p>
    <w:p w14:paraId="6AB7058F" w14:textId="57EFC22C" w:rsidR="00671493" w:rsidRDefault="00671493" w:rsidP="00671493">
      <w:pPr>
        <w:rPr>
          <w:sz w:val="24"/>
          <w:szCs w:val="24"/>
        </w:rPr>
      </w:pPr>
      <w:r w:rsidRPr="007C62F8">
        <w:rPr>
          <w:sz w:val="24"/>
          <w:szCs w:val="24"/>
        </w:rPr>
        <w:t xml:space="preserve">The National Health Service (NHS) has undergone substantial operational and structural change over the years. A significant change was brought about by the Health and Social Care Act of 2012, which gave Clinical Commissioning Groups (CCGs) more </w:t>
      </w:r>
      <w:r w:rsidRPr="007C62F8">
        <w:rPr>
          <w:sz w:val="24"/>
          <w:szCs w:val="24"/>
        </w:rPr>
        <w:lastRenderedPageBreak/>
        <w:t>authority over commissioning duties. In 2022, Integrated Care Systems (ICSs) took over (House of Commons Library, 2022). ICSs seek to decrease health disparities, enhance population health outcomes, and promote cooperation between social and health care professionals. But the NHS's institutional complexity has sparked worries about accountability and fragmentation (NHS England, 2024).</w:t>
      </w:r>
    </w:p>
    <w:p w14:paraId="0A5D2933" w14:textId="77777777" w:rsidR="00671493" w:rsidRPr="007C62F8" w:rsidRDefault="00671493" w:rsidP="00671493">
      <w:pPr>
        <w:rPr>
          <w:sz w:val="24"/>
          <w:szCs w:val="24"/>
        </w:rPr>
      </w:pPr>
      <w:r w:rsidRPr="007C62F8">
        <w:rPr>
          <w:sz w:val="24"/>
          <w:szCs w:val="24"/>
        </w:rPr>
        <w:t>The NHS is currently dealing with several complex issues. Service delivery has been under tremendous strain due to a lack of funding, a paucity of workers, and growing demand, which has been made worse by an ageing population and the long-term effects of the COVID-19 epidemic. The idea of prompt access to care is being undermined by the historically high wait times for emergency care and elective operations (Royal Society of Medicine, 2024). In addition, there is discussion about how the NHS's original values are being undermined by the growing role of commercial providers in its operations. According to critics, market mechanisms brought about by recent reforms have put efficiency ahead of fairness, which could jeopardise the standard and accessibility of care (Department of Health, 2000).</w:t>
      </w:r>
    </w:p>
    <w:p w14:paraId="330252BC" w14:textId="77777777" w:rsidR="00671493" w:rsidRPr="007C62F8" w:rsidRDefault="00671493" w:rsidP="00671493">
      <w:pPr>
        <w:rPr>
          <w:sz w:val="24"/>
          <w:szCs w:val="24"/>
        </w:rPr>
      </w:pPr>
      <w:r w:rsidRPr="007C62F8">
        <w:rPr>
          <w:sz w:val="24"/>
          <w:szCs w:val="24"/>
        </w:rPr>
        <w:t>Notwithstanding these difficulties, the NHS continues to be a pillar of British society and a representation of shared accountability. Its continued public appeal demonstrates how highly its guiding ideals are regarded. However, maintaining the NHS in its current state necessitates striking a careful balance between practical measures and ideological convictions. To support the NHS's goal in a rapidly evolving healthcare environment, policymakers must address systemic inefficiencies, make investments in staff development, and guarantee enough funding.</w:t>
      </w:r>
    </w:p>
    <w:p w14:paraId="7B2CBB87" w14:textId="77777777" w:rsidR="00671493" w:rsidRPr="00D25260" w:rsidRDefault="00671493" w:rsidP="00671493">
      <w:pPr>
        <w:rPr>
          <w:sz w:val="24"/>
          <w:szCs w:val="24"/>
        </w:rPr>
      </w:pPr>
      <w:r w:rsidRPr="00D25260">
        <w:rPr>
          <w:sz w:val="24"/>
          <w:szCs w:val="24"/>
        </w:rPr>
        <w:t>In summary, a strong dedication to social justice and equality gave rise to the NHS. The system's current form and operation demonstrate conflicts between idealism and practical realities, even though its underlying ideals remain relevant. To make sure the NHS is still functional in the twenty-first century, a thorough review of its financing, governance, and service delivery models is necessary.</w:t>
      </w:r>
    </w:p>
    <w:p w14:paraId="7E2323F3" w14:textId="77777777" w:rsidR="00671493" w:rsidRPr="00D04E83" w:rsidRDefault="00671493" w:rsidP="00671493">
      <w:pPr>
        <w:rPr>
          <w:b/>
          <w:bCs/>
          <w:sz w:val="24"/>
          <w:szCs w:val="24"/>
        </w:rPr>
      </w:pPr>
    </w:p>
    <w:p w14:paraId="25270F80" w14:textId="77777777" w:rsidR="00671493" w:rsidRPr="00D04E83" w:rsidRDefault="00671493" w:rsidP="00671493">
      <w:pPr>
        <w:rPr>
          <w:b/>
          <w:bCs/>
          <w:sz w:val="24"/>
          <w:szCs w:val="24"/>
        </w:rPr>
      </w:pPr>
    </w:p>
    <w:p w14:paraId="668A5C77" w14:textId="77777777" w:rsidR="00671493" w:rsidRPr="00D04E83" w:rsidRDefault="00671493" w:rsidP="00671493">
      <w:pPr>
        <w:rPr>
          <w:b/>
          <w:bCs/>
          <w:sz w:val="24"/>
          <w:szCs w:val="24"/>
        </w:rPr>
      </w:pPr>
    </w:p>
    <w:p w14:paraId="650A3F8F" w14:textId="77777777" w:rsidR="00671493" w:rsidRPr="00D04E83" w:rsidRDefault="00671493" w:rsidP="00671493">
      <w:pPr>
        <w:rPr>
          <w:b/>
          <w:bCs/>
          <w:sz w:val="24"/>
          <w:szCs w:val="24"/>
        </w:rPr>
      </w:pPr>
    </w:p>
    <w:p w14:paraId="5535343A" w14:textId="77777777" w:rsidR="00671493" w:rsidRPr="00D04E83" w:rsidRDefault="00671493" w:rsidP="00671493">
      <w:pPr>
        <w:rPr>
          <w:b/>
          <w:bCs/>
          <w:sz w:val="24"/>
          <w:szCs w:val="24"/>
        </w:rPr>
      </w:pPr>
    </w:p>
    <w:p w14:paraId="752188C2" w14:textId="77777777" w:rsidR="00671493" w:rsidRPr="00D04E83" w:rsidRDefault="00671493" w:rsidP="00671493">
      <w:pPr>
        <w:rPr>
          <w:b/>
          <w:bCs/>
          <w:sz w:val="24"/>
          <w:szCs w:val="24"/>
        </w:rPr>
      </w:pPr>
    </w:p>
    <w:p w14:paraId="228865B3" w14:textId="77777777" w:rsidR="00671493" w:rsidRPr="00D04E83" w:rsidRDefault="00671493" w:rsidP="00671493">
      <w:pPr>
        <w:rPr>
          <w:b/>
          <w:bCs/>
          <w:sz w:val="24"/>
          <w:szCs w:val="24"/>
        </w:rPr>
      </w:pPr>
    </w:p>
    <w:p w14:paraId="65B25B2B" w14:textId="77777777" w:rsidR="00671493" w:rsidRPr="00D04E83" w:rsidRDefault="00671493" w:rsidP="00671493">
      <w:pPr>
        <w:rPr>
          <w:b/>
          <w:bCs/>
          <w:sz w:val="24"/>
          <w:szCs w:val="24"/>
        </w:rPr>
      </w:pPr>
    </w:p>
    <w:p w14:paraId="066063FB" w14:textId="77777777" w:rsidR="00671493" w:rsidRPr="00D04E83" w:rsidRDefault="00671493" w:rsidP="00671493">
      <w:pPr>
        <w:rPr>
          <w:b/>
          <w:bCs/>
          <w:sz w:val="24"/>
          <w:szCs w:val="24"/>
        </w:rPr>
      </w:pPr>
    </w:p>
    <w:p w14:paraId="3AE8421E" w14:textId="77777777" w:rsidR="00671493" w:rsidRPr="00D04E83" w:rsidRDefault="00671493" w:rsidP="00671493">
      <w:pPr>
        <w:rPr>
          <w:b/>
          <w:bCs/>
          <w:sz w:val="24"/>
          <w:szCs w:val="24"/>
        </w:rPr>
      </w:pPr>
    </w:p>
    <w:p w14:paraId="7B3D39A2" w14:textId="77777777" w:rsidR="00671493" w:rsidRPr="00D04E83" w:rsidRDefault="00671493" w:rsidP="00671493">
      <w:pPr>
        <w:rPr>
          <w:b/>
          <w:bCs/>
          <w:sz w:val="24"/>
          <w:szCs w:val="24"/>
        </w:rPr>
      </w:pPr>
    </w:p>
    <w:p w14:paraId="76D8F9A7" w14:textId="77777777" w:rsidR="00671493" w:rsidRPr="00D04E83" w:rsidRDefault="00671493" w:rsidP="00671493">
      <w:pPr>
        <w:rPr>
          <w:b/>
          <w:bCs/>
          <w:sz w:val="24"/>
          <w:szCs w:val="24"/>
        </w:rPr>
      </w:pPr>
    </w:p>
    <w:p w14:paraId="7B1A9D3B" w14:textId="77777777" w:rsidR="00671493" w:rsidRDefault="00671493" w:rsidP="00444687"/>
    <w:p w14:paraId="40384D48" w14:textId="77777777" w:rsidR="002664B1" w:rsidRDefault="002664B1" w:rsidP="00444687"/>
    <w:p w14:paraId="78BA9AA5" w14:textId="77777777" w:rsidR="00D4491B" w:rsidRDefault="00D4491B" w:rsidP="00D4491B"/>
    <w:p w14:paraId="29CB973E" w14:textId="77777777" w:rsidR="00D4491B" w:rsidRDefault="00D4491B" w:rsidP="00D4491B"/>
    <w:p w14:paraId="0275DD33" w14:textId="77777777" w:rsidR="00D4491B" w:rsidRDefault="00D4491B" w:rsidP="00D4491B"/>
    <w:p w14:paraId="7EB39F6D" w14:textId="77777777" w:rsidR="00D4491B" w:rsidRDefault="00D4491B" w:rsidP="00D4491B"/>
    <w:p w14:paraId="64173F2C" w14:textId="77777777" w:rsidR="002664B1" w:rsidRDefault="002664B1" w:rsidP="00444687"/>
    <w:p w14:paraId="14D7338D" w14:textId="77777777" w:rsidR="002664B1" w:rsidRDefault="002664B1" w:rsidP="00444687"/>
    <w:p w14:paraId="2AFC2393" w14:textId="77777777" w:rsidR="00345F77" w:rsidRPr="00D25260" w:rsidRDefault="00345F77" w:rsidP="00913EB4">
      <w:pPr>
        <w:pStyle w:val="Heading1"/>
      </w:pPr>
      <w:bookmarkStart w:id="4" w:name="_Toc211509509"/>
      <w:bookmarkStart w:id="5" w:name="_Toc211584664"/>
      <w:r w:rsidRPr="00D25260">
        <w:t>References</w:t>
      </w:r>
      <w:bookmarkEnd w:id="4"/>
      <w:bookmarkEnd w:id="5"/>
    </w:p>
    <w:p w14:paraId="25ED9984" w14:textId="77777777" w:rsidR="00345F77" w:rsidRPr="00D25260" w:rsidRDefault="00345F77" w:rsidP="00345F77">
      <w:pPr>
        <w:rPr>
          <w:sz w:val="24"/>
          <w:szCs w:val="24"/>
        </w:rPr>
      </w:pPr>
      <w:r w:rsidRPr="00D25260">
        <w:rPr>
          <w:sz w:val="24"/>
          <w:szCs w:val="24"/>
        </w:rPr>
        <w:t xml:space="preserve">Clement, M. (2023) </w:t>
      </w:r>
      <w:r w:rsidRPr="00D25260">
        <w:rPr>
          <w:i/>
          <w:iCs/>
          <w:sz w:val="24"/>
          <w:szCs w:val="24"/>
        </w:rPr>
        <w:t>The founding of the NHS: 75 years on</w:t>
      </w:r>
      <w:r w:rsidRPr="00D25260">
        <w:rPr>
          <w:sz w:val="24"/>
          <w:szCs w:val="24"/>
        </w:rPr>
        <w:t>. History of Government. Available at: https://history.blog.gov.uk/2023/07/13/the-founding-of-the-nhs-75-years-on/ [Accessed 14 Oct. 2025].</w:t>
      </w:r>
    </w:p>
    <w:p w14:paraId="27273200" w14:textId="77777777" w:rsidR="00345F77" w:rsidRPr="00D25260" w:rsidRDefault="00345F77" w:rsidP="00345F77">
      <w:pPr>
        <w:rPr>
          <w:sz w:val="24"/>
          <w:szCs w:val="24"/>
        </w:rPr>
      </w:pPr>
      <w:r w:rsidRPr="00D25260">
        <w:rPr>
          <w:sz w:val="24"/>
          <w:szCs w:val="24"/>
        </w:rPr>
        <w:t xml:space="preserve">Department of Health (2000) </w:t>
      </w:r>
      <w:r w:rsidRPr="00D25260">
        <w:rPr>
          <w:i/>
          <w:iCs/>
          <w:sz w:val="24"/>
          <w:szCs w:val="24"/>
        </w:rPr>
        <w:t>The history and development of the UK National Health Service 1948–1999</w:t>
      </w:r>
      <w:r w:rsidRPr="00D25260">
        <w:rPr>
          <w:sz w:val="24"/>
          <w:szCs w:val="24"/>
        </w:rPr>
        <w:t>. London: HMSO.</w:t>
      </w:r>
    </w:p>
    <w:p w14:paraId="25B5E3B2" w14:textId="77777777" w:rsidR="00345F77" w:rsidRPr="00D25260" w:rsidRDefault="00345F77" w:rsidP="00345F77">
      <w:pPr>
        <w:rPr>
          <w:sz w:val="24"/>
          <w:szCs w:val="24"/>
        </w:rPr>
      </w:pPr>
      <w:r w:rsidRPr="00D25260">
        <w:rPr>
          <w:sz w:val="24"/>
          <w:szCs w:val="24"/>
        </w:rPr>
        <w:t xml:space="preserve">House of Commons Library (2022) </w:t>
      </w:r>
      <w:r w:rsidRPr="00D25260">
        <w:rPr>
          <w:i/>
          <w:iCs/>
          <w:sz w:val="24"/>
          <w:szCs w:val="24"/>
        </w:rPr>
        <w:t>The structure of the NHS in England</w:t>
      </w:r>
      <w:r w:rsidRPr="00D25260">
        <w:rPr>
          <w:sz w:val="24"/>
          <w:szCs w:val="24"/>
        </w:rPr>
        <w:t>. Available at: https://researchbriefings.files.parliament.uk/documents/CBP-7206/CBP-7206.pdf [Accessed 14 Oct. 2025].</w:t>
      </w:r>
    </w:p>
    <w:p w14:paraId="4DECF842" w14:textId="77777777" w:rsidR="00345F77" w:rsidRPr="00D25260" w:rsidRDefault="00345F77" w:rsidP="00345F77">
      <w:pPr>
        <w:rPr>
          <w:sz w:val="24"/>
          <w:szCs w:val="24"/>
        </w:rPr>
      </w:pPr>
      <w:r w:rsidRPr="00D25260">
        <w:rPr>
          <w:sz w:val="24"/>
          <w:szCs w:val="24"/>
        </w:rPr>
        <w:t xml:space="preserve">NHS England (2024) </w:t>
      </w:r>
      <w:r w:rsidRPr="00D25260">
        <w:rPr>
          <w:i/>
          <w:iCs/>
          <w:sz w:val="24"/>
          <w:szCs w:val="24"/>
        </w:rPr>
        <w:t>Structure of the NHS</w:t>
      </w:r>
      <w:r w:rsidRPr="00D25260">
        <w:rPr>
          <w:sz w:val="24"/>
          <w:szCs w:val="24"/>
        </w:rPr>
        <w:t>. Available at: https://www.england.nhs.uk/long-read/structure-of-the-nhs/ [Accessed 14 Oct. 2025].</w:t>
      </w:r>
    </w:p>
    <w:p w14:paraId="16FCD897" w14:textId="77777777" w:rsidR="00345F77" w:rsidRPr="00D25260" w:rsidRDefault="00345F77" w:rsidP="00345F77">
      <w:pPr>
        <w:rPr>
          <w:sz w:val="24"/>
          <w:szCs w:val="24"/>
        </w:rPr>
      </w:pPr>
      <w:r w:rsidRPr="00D25260">
        <w:rPr>
          <w:sz w:val="24"/>
          <w:szCs w:val="24"/>
        </w:rPr>
        <w:t xml:space="preserve">Royal Society of Medicine (2024) </w:t>
      </w:r>
      <w:r w:rsidRPr="00D25260">
        <w:rPr>
          <w:i/>
          <w:iCs/>
          <w:sz w:val="24"/>
          <w:szCs w:val="24"/>
        </w:rPr>
        <w:t>A history of the NHS workforce in England – a timeline 1948–2023</w:t>
      </w:r>
      <w:r w:rsidRPr="00D25260">
        <w:rPr>
          <w:sz w:val="24"/>
          <w:szCs w:val="24"/>
        </w:rPr>
        <w:t>. Available at: https://www.rsm.ac.uk/media/5480027/a-history-of-the-nhs-workforce-in-england-a-timeline-1948-2023-digital-nov2024.pdf [Accessed 14 Oct. 2025].</w:t>
      </w:r>
    </w:p>
    <w:p w14:paraId="7D0DDFCF" w14:textId="77777777" w:rsidR="00345F77" w:rsidRPr="00D25260" w:rsidRDefault="00345F77" w:rsidP="00345F77">
      <w:pPr>
        <w:rPr>
          <w:sz w:val="24"/>
          <w:szCs w:val="24"/>
        </w:rPr>
      </w:pPr>
      <w:r w:rsidRPr="00D25260">
        <w:rPr>
          <w:sz w:val="24"/>
          <w:szCs w:val="24"/>
        </w:rPr>
        <w:t xml:space="preserve">The National Archives (2023) </w:t>
      </w:r>
      <w:r w:rsidRPr="00D25260">
        <w:rPr>
          <w:i/>
          <w:iCs/>
          <w:sz w:val="24"/>
          <w:szCs w:val="24"/>
        </w:rPr>
        <w:t>National Health Service leaflet, 1948</w:t>
      </w:r>
      <w:r w:rsidRPr="00D25260">
        <w:rPr>
          <w:sz w:val="24"/>
          <w:szCs w:val="24"/>
        </w:rPr>
        <w:t>. Available at: https://www.nationalarchives.gov.uk/education/resources/health-and-housing/nhs-leaflet-1948/ [Accessed 14 Oct. 2025].</w:t>
      </w:r>
    </w:p>
    <w:p w14:paraId="185008EE" w14:textId="77777777" w:rsidR="00345F77" w:rsidRDefault="00345F77" w:rsidP="00345F77">
      <w:pPr>
        <w:rPr>
          <w:sz w:val="24"/>
          <w:szCs w:val="24"/>
        </w:rPr>
      </w:pPr>
    </w:p>
    <w:p w14:paraId="51734855" w14:textId="590DD019" w:rsidR="00345F77" w:rsidRPr="00D04E83" w:rsidRDefault="00345F77" w:rsidP="00345F77">
      <w:pPr>
        <w:rPr>
          <w:sz w:val="24"/>
          <w:szCs w:val="24"/>
        </w:rPr>
      </w:pPr>
    </w:p>
    <w:p w14:paraId="4EAAD5B8" w14:textId="77777777" w:rsidR="00345F77" w:rsidRPr="00D04E83" w:rsidRDefault="00345F77" w:rsidP="00345F77">
      <w:pPr>
        <w:numPr>
          <w:ilvl w:val="0"/>
          <w:numId w:val="1"/>
        </w:numPr>
        <w:rPr>
          <w:sz w:val="24"/>
          <w:szCs w:val="24"/>
        </w:rPr>
      </w:pPr>
      <w:r w:rsidRPr="00D04E83">
        <w:rPr>
          <w:sz w:val="24"/>
          <w:szCs w:val="24"/>
        </w:rPr>
        <w:t xml:space="preserve">Connelly, D. (2018). </w:t>
      </w:r>
      <w:r w:rsidRPr="00D04E83">
        <w:rPr>
          <w:i/>
          <w:iCs/>
          <w:sz w:val="24"/>
          <w:szCs w:val="24"/>
        </w:rPr>
        <w:t>NHS70: major moments in pharmacy 1948–2018</w:t>
      </w:r>
      <w:r w:rsidRPr="00D04E83">
        <w:rPr>
          <w:sz w:val="24"/>
          <w:szCs w:val="24"/>
        </w:rPr>
        <w:t xml:space="preserve">. The Pharmaceutical Journal. Available at: </w:t>
      </w:r>
      <w:hyperlink r:id="rId8" w:history="1">
        <w:r w:rsidRPr="00D04E83">
          <w:rPr>
            <w:rStyle w:val="Hyperlink"/>
            <w:sz w:val="24"/>
            <w:szCs w:val="24"/>
          </w:rPr>
          <w:t>https://pharmaceutical-journal.com/article/infographics/nhs70-major-moments-in-pharmacy-1948-2018</w:t>
        </w:r>
      </w:hyperlink>
      <w:r w:rsidRPr="00D04E83">
        <w:rPr>
          <w:sz w:val="24"/>
          <w:szCs w:val="24"/>
        </w:rPr>
        <w:t xml:space="preserve"> [Accessed 24 Sep. 2025].</w:t>
      </w:r>
    </w:p>
    <w:p w14:paraId="481A9D26" w14:textId="77777777" w:rsidR="00A2283E" w:rsidRPr="00D04E83" w:rsidRDefault="00A2283E" w:rsidP="00A2283E">
      <w:pPr>
        <w:numPr>
          <w:ilvl w:val="0"/>
          <w:numId w:val="1"/>
        </w:numPr>
        <w:rPr>
          <w:sz w:val="24"/>
          <w:szCs w:val="24"/>
        </w:rPr>
      </w:pPr>
      <w:r w:rsidRPr="00D04E83">
        <w:rPr>
          <w:sz w:val="24"/>
          <w:szCs w:val="24"/>
        </w:rPr>
        <w:lastRenderedPageBreak/>
        <w:t xml:space="preserve">General Pharmaceutical. Smith &amp; Jones, (2020). </w:t>
      </w:r>
      <w:r w:rsidRPr="00D04E83">
        <w:rPr>
          <w:i/>
          <w:iCs/>
          <w:sz w:val="24"/>
          <w:szCs w:val="24"/>
        </w:rPr>
        <w:t>Annual Report and Accounts</w:t>
      </w:r>
      <w:r w:rsidRPr="00D04E83">
        <w:rPr>
          <w:sz w:val="24"/>
          <w:szCs w:val="24"/>
        </w:rPr>
        <w:t xml:space="preserve">. Available at: </w:t>
      </w:r>
      <w:hyperlink r:id="rId9" w:history="1">
        <w:r w:rsidRPr="00D04E83">
          <w:rPr>
            <w:rStyle w:val="Hyperlink"/>
            <w:sz w:val="24"/>
            <w:szCs w:val="24"/>
          </w:rPr>
          <w:t>https://www.pharmacyregulation.org/publications/annual-report-and-accounts-2020</w:t>
        </w:r>
      </w:hyperlink>
      <w:r w:rsidRPr="00D04E83">
        <w:rPr>
          <w:sz w:val="24"/>
          <w:szCs w:val="24"/>
        </w:rPr>
        <w:t xml:space="preserve"> [Accessed 24 Sep. 2025].</w:t>
      </w:r>
    </w:p>
    <w:p w14:paraId="19DE15F2" w14:textId="77777777" w:rsidR="00C1509B" w:rsidRPr="00D04E83" w:rsidRDefault="00C1509B" w:rsidP="00C1509B">
      <w:pPr>
        <w:numPr>
          <w:ilvl w:val="0"/>
          <w:numId w:val="1"/>
        </w:numPr>
        <w:rPr>
          <w:sz w:val="24"/>
          <w:szCs w:val="24"/>
        </w:rPr>
      </w:pPr>
      <w:r w:rsidRPr="00D04E83">
        <w:rPr>
          <w:sz w:val="24"/>
          <w:szCs w:val="24"/>
        </w:rPr>
        <w:t xml:space="preserve">NHS England. (2023). </w:t>
      </w:r>
      <w:r w:rsidRPr="00D04E83">
        <w:rPr>
          <w:i/>
          <w:iCs/>
          <w:sz w:val="24"/>
          <w:szCs w:val="24"/>
        </w:rPr>
        <w:t>Community Pharmacy Contractual Framework</w:t>
      </w:r>
      <w:r w:rsidRPr="00D04E83">
        <w:rPr>
          <w:sz w:val="24"/>
          <w:szCs w:val="24"/>
        </w:rPr>
        <w:t xml:space="preserve">. Available at: </w:t>
      </w:r>
      <w:hyperlink r:id="rId10" w:history="1">
        <w:r w:rsidRPr="00D04E83">
          <w:rPr>
            <w:rStyle w:val="Hyperlink"/>
            <w:sz w:val="24"/>
            <w:szCs w:val="24"/>
          </w:rPr>
          <w:t>https://www.england.nhs.uk/publication/community-pharmacy-contractual-framework-2023-24/</w:t>
        </w:r>
      </w:hyperlink>
      <w:r w:rsidRPr="00D04E83">
        <w:rPr>
          <w:sz w:val="24"/>
          <w:szCs w:val="24"/>
        </w:rPr>
        <w:t xml:space="preserve"> [Accessed 24 Sep. 2025].</w:t>
      </w:r>
    </w:p>
    <w:p w14:paraId="0ED3A7B8" w14:textId="77777777" w:rsidR="00696852" w:rsidRPr="00D04E83" w:rsidRDefault="00696852" w:rsidP="00696852">
      <w:pPr>
        <w:numPr>
          <w:ilvl w:val="0"/>
          <w:numId w:val="1"/>
        </w:numPr>
        <w:rPr>
          <w:sz w:val="24"/>
          <w:szCs w:val="24"/>
        </w:rPr>
      </w:pPr>
      <w:r w:rsidRPr="00D04E83">
        <w:rPr>
          <w:sz w:val="24"/>
          <w:szCs w:val="24"/>
        </w:rPr>
        <w:t xml:space="preserve">Royal Pharmaceutical Society. (2022). </w:t>
      </w:r>
      <w:r w:rsidRPr="00D04E83">
        <w:rPr>
          <w:i/>
          <w:iCs/>
          <w:sz w:val="24"/>
          <w:szCs w:val="24"/>
        </w:rPr>
        <w:t>Pharmacy Workforce Review</w:t>
      </w:r>
      <w:r w:rsidRPr="00D04E83">
        <w:rPr>
          <w:sz w:val="24"/>
          <w:szCs w:val="24"/>
        </w:rPr>
        <w:t xml:space="preserve">. Available at: </w:t>
      </w:r>
      <w:hyperlink r:id="rId11" w:history="1">
        <w:r w:rsidRPr="00D04E83">
          <w:rPr>
            <w:rStyle w:val="Hyperlink"/>
            <w:sz w:val="24"/>
            <w:szCs w:val="24"/>
          </w:rPr>
          <w:t>https://www.rpharms.com/resources/reports/pharmacy-workforce-review</w:t>
        </w:r>
      </w:hyperlink>
      <w:r w:rsidRPr="00D04E83">
        <w:rPr>
          <w:sz w:val="24"/>
          <w:szCs w:val="24"/>
        </w:rPr>
        <w:t xml:space="preserve"> [Accessed 24 Sep. 2025].</w:t>
      </w:r>
    </w:p>
    <w:p w14:paraId="4E4FCAE9" w14:textId="77777777" w:rsidR="00A53320" w:rsidRPr="00D04E83" w:rsidRDefault="00A53320" w:rsidP="00A53320">
      <w:pPr>
        <w:numPr>
          <w:ilvl w:val="0"/>
          <w:numId w:val="1"/>
        </w:numPr>
        <w:rPr>
          <w:sz w:val="24"/>
          <w:szCs w:val="24"/>
        </w:rPr>
      </w:pPr>
      <w:r w:rsidRPr="00D04E83">
        <w:rPr>
          <w:sz w:val="24"/>
          <w:szCs w:val="24"/>
        </w:rPr>
        <w:t xml:space="preserve">The King’s Fund. (2025). </w:t>
      </w:r>
      <w:r w:rsidRPr="00D04E83">
        <w:rPr>
          <w:i/>
          <w:iCs/>
          <w:sz w:val="24"/>
          <w:szCs w:val="24"/>
        </w:rPr>
        <w:t>Community pharmacy explained</w:t>
      </w:r>
      <w:r w:rsidRPr="00D04E83">
        <w:rPr>
          <w:sz w:val="24"/>
          <w:szCs w:val="24"/>
        </w:rPr>
        <w:t xml:space="preserve">. Available at: </w:t>
      </w:r>
      <w:hyperlink r:id="rId12" w:history="1">
        <w:r w:rsidRPr="00D04E83">
          <w:rPr>
            <w:rStyle w:val="Hyperlink"/>
            <w:sz w:val="24"/>
            <w:szCs w:val="24"/>
          </w:rPr>
          <w:t>https://www.kingsfund.org.uk/insight-and-analysis/long-reads/community-pharmacy-explained</w:t>
        </w:r>
      </w:hyperlink>
      <w:r w:rsidRPr="00D04E83">
        <w:rPr>
          <w:sz w:val="24"/>
          <w:szCs w:val="24"/>
        </w:rPr>
        <w:t xml:space="preserve"> [Accessed 24 Sep. 2025].</w:t>
      </w:r>
    </w:p>
    <w:p w14:paraId="62FF76D7" w14:textId="77777777" w:rsidR="005E0384" w:rsidRPr="005E0384" w:rsidRDefault="005E0384" w:rsidP="005E0384">
      <w:pPr>
        <w:pStyle w:val="ListParagraph"/>
        <w:numPr>
          <w:ilvl w:val="0"/>
          <w:numId w:val="1"/>
        </w:numPr>
        <w:rPr>
          <w:sz w:val="24"/>
          <w:szCs w:val="24"/>
        </w:rPr>
      </w:pPr>
      <w:r w:rsidRPr="005E0384">
        <w:rPr>
          <w:sz w:val="24"/>
          <w:szCs w:val="24"/>
        </w:rPr>
        <w:t xml:space="preserve">  Your Health Your Pharmacy. (n.d.). </w:t>
      </w:r>
      <w:r w:rsidRPr="005E0384">
        <w:rPr>
          <w:i/>
          <w:iCs/>
          <w:sz w:val="24"/>
          <w:szCs w:val="24"/>
        </w:rPr>
        <w:t>Community pharmacy – past, present and future</w:t>
      </w:r>
      <w:r w:rsidRPr="005E0384">
        <w:rPr>
          <w:sz w:val="24"/>
          <w:szCs w:val="24"/>
        </w:rPr>
        <w:t xml:space="preserve">. Available at: </w:t>
      </w:r>
      <w:hyperlink r:id="rId13" w:history="1">
        <w:r w:rsidRPr="005E0384">
          <w:rPr>
            <w:rStyle w:val="Hyperlink"/>
            <w:sz w:val="24"/>
            <w:szCs w:val="24"/>
          </w:rPr>
          <w:t>https://www.yourhealthyourpharmacy.co.uk/community-pharmacy-past-present-and-future-3/</w:t>
        </w:r>
      </w:hyperlink>
      <w:r w:rsidRPr="005E0384">
        <w:rPr>
          <w:sz w:val="24"/>
          <w:szCs w:val="24"/>
        </w:rPr>
        <w:t xml:space="preserve"> [Accessed 24 Sep. 2025].</w:t>
      </w:r>
    </w:p>
    <w:p w14:paraId="2DCC714E" w14:textId="77777777" w:rsidR="006C146E" w:rsidRDefault="006C146E" w:rsidP="005A1C9C">
      <w:pPr>
        <w:ind w:left="720"/>
        <w:rPr>
          <w:sz w:val="24"/>
          <w:szCs w:val="24"/>
        </w:rPr>
      </w:pPr>
    </w:p>
    <w:p w14:paraId="569BD9C3" w14:textId="77777777" w:rsidR="00345F77" w:rsidRDefault="00345F77" w:rsidP="00345F77">
      <w:pPr>
        <w:rPr>
          <w:sz w:val="24"/>
          <w:szCs w:val="24"/>
        </w:rPr>
      </w:pPr>
    </w:p>
    <w:p w14:paraId="33FDF3F8" w14:textId="77777777" w:rsidR="00345F77" w:rsidRDefault="00345F77" w:rsidP="00345F77">
      <w:pPr>
        <w:rPr>
          <w:sz w:val="24"/>
          <w:szCs w:val="24"/>
        </w:rPr>
      </w:pPr>
    </w:p>
    <w:p w14:paraId="30853AAD" w14:textId="77777777" w:rsidR="00345F77" w:rsidRDefault="00345F77" w:rsidP="00345F77">
      <w:pPr>
        <w:rPr>
          <w:sz w:val="24"/>
          <w:szCs w:val="24"/>
        </w:rPr>
      </w:pPr>
    </w:p>
    <w:p w14:paraId="0228C090" w14:textId="77777777" w:rsidR="00345F77" w:rsidRDefault="00345F77" w:rsidP="00345F77">
      <w:pPr>
        <w:rPr>
          <w:sz w:val="24"/>
          <w:szCs w:val="24"/>
        </w:rPr>
      </w:pPr>
    </w:p>
    <w:p w14:paraId="70701340" w14:textId="77777777" w:rsidR="00345F77" w:rsidRDefault="00345F77" w:rsidP="00345F77">
      <w:pPr>
        <w:rPr>
          <w:sz w:val="24"/>
          <w:szCs w:val="24"/>
        </w:rPr>
      </w:pPr>
    </w:p>
    <w:p w14:paraId="169F6E46" w14:textId="77777777" w:rsidR="00345F77" w:rsidRDefault="00345F77" w:rsidP="00345F77">
      <w:pPr>
        <w:rPr>
          <w:sz w:val="24"/>
          <w:szCs w:val="24"/>
        </w:rPr>
      </w:pPr>
    </w:p>
    <w:p w14:paraId="7D562CBF" w14:textId="77777777" w:rsidR="00345F77" w:rsidRDefault="00345F77" w:rsidP="00345F77">
      <w:pPr>
        <w:rPr>
          <w:sz w:val="24"/>
          <w:szCs w:val="24"/>
        </w:rPr>
      </w:pPr>
    </w:p>
    <w:p w14:paraId="6DFF99DD" w14:textId="77777777" w:rsidR="00345F77" w:rsidRDefault="00345F77" w:rsidP="00345F77">
      <w:pPr>
        <w:rPr>
          <w:sz w:val="24"/>
          <w:szCs w:val="24"/>
        </w:rPr>
      </w:pPr>
    </w:p>
    <w:p w14:paraId="01BEA482" w14:textId="77777777" w:rsidR="00345F77" w:rsidRDefault="00345F77" w:rsidP="00345F77">
      <w:pPr>
        <w:rPr>
          <w:sz w:val="24"/>
          <w:szCs w:val="24"/>
        </w:rPr>
      </w:pPr>
    </w:p>
    <w:p w14:paraId="09B9AE07" w14:textId="77777777" w:rsidR="00345F77" w:rsidRDefault="00345F77" w:rsidP="00345F77">
      <w:pPr>
        <w:rPr>
          <w:sz w:val="24"/>
          <w:szCs w:val="24"/>
        </w:rPr>
      </w:pPr>
    </w:p>
    <w:p w14:paraId="3355E8C3" w14:textId="77777777" w:rsidR="00345F77" w:rsidRDefault="00345F77" w:rsidP="00345F77">
      <w:pPr>
        <w:rPr>
          <w:sz w:val="24"/>
          <w:szCs w:val="24"/>
        </w:rPr>
      </w:pPr>
    </w:p>
    <w:p w14:paraId="01CF3D60" w14:textId="77777777" w:rsidR="00345F77" w:rsidRDefault="00345F77" w:rsidP="00345F77">
      <w:pPr>
        <w:rPr>
          <w:sz w:val="24"/>
          <w:szCs w:val="24"/>
        </w:rPr>
      </w:pPr>
    </w:p>
    <w:p w14:paraId="48819CF0" w14:textId="77777777" w:rsidR="002664B1" w:rsidRDefault="002664B1" w:rsidP="00444687"/>
    <w:p w14:paraId="1F9BECAC" w14:textId="77777777" w:rsidR="00671493" w:rsidRPr="00444687" w:rsidRDefault="00671493" w:rsidP="00444687"/>
    <w:p w14:paraId="65ED7B96" w14:textId="77777777" w:rsidR="0053763A" w:rsidRPr="00444687" w:rsidRDefault="0053763A"/>
    <w:sectPr w:rsidR="0053763A" w:rsidRPr="004446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524EAF"/>
    <w:multiLevelType w:val="multilevel"/>
    <w:tmpl w:val="B6F8C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8870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687"/>
    <w:rsid w:val="00006992"/>
    <w:rsid w:val="000223CA"/>
    <w:rsid w:val="00025806"/>
    <w:rsid w:val="000500C3"/>
    <w:rsid w:val="000A0301"/>
    <w:rsid w:val="002219F7"/>
    <w:rsid w:val="00254152"/>
    <w:rsid w:val="002664B1"/>
    <w:rsid w:val="002A0800"/>
    <w:rsid w:val="002B3446"/>
    <w:rsid w:val="002E682C"/>
    <w:rsid w:val="00345F77"/>
    <w:rsid w:val="00394949"/>
    <w:rsid w:val="003F6357"/>
    <w:rsid w:val="00444687"/>
    <w:rsid w:val="00450A3B"/>
    <w:rsid w:val="00491B25"/>
    <w:rsid w:val="004C2B6C"/>
    <w:rsid w:val="004D5501"/>
    <w:rsid w:val="004E4F8B"/>
    <w:rsid w:val="0053763A"/>
    <w:rsid w:val="0056068B"/>
    <w:rsid w:val="005721A6"/>
    <w:rsid w:val="00576EA3"/>
    <w:rsid w:val="005A1C9C"/>
    <w:rsid w:val="005D0453"/>
    <w:rsid w:val="005E0384"/>
    <w:rsid w:val="00606618"/>
    <w:rsid w:val="00671493"/>
    <w:rsid w:val="00696852"/>
    <w:rsid w:val="006A18C1"/>
    <w:rsid w:val="006C146E"/>
    <w:rsid w:val="007078A9"/>
    <w:rsid w:val="007311EF"/>
    <w:rsid w:val="00733AB0"/>
    <w:rsid w:val="0075264B"/>
    <w:rsid w:val="00773F23"/>
    <w:rsid w:val="00786E6F"/>
    <w:rsid w:val="007A213D"/>
    <w:rsid w:val="007E59E6"/>
    <w:rsid w:val="008130EA"/>
    <w:rsid w:val="00833246"/>
    <w:rsid w:val="008730D4"/>
    <w:rsid w:val="0087682E"/>
    <w:rsid w:val="0089246C"/>
    <w:rsid w:val="00893050"/>
    <w:rsid w:val="008C0C19"/>
    <w:rsid w:val="008E60CA"/>
    <w:rsid w:val="00913EB4"/>
    <w:rsid w:val="00976AAC"/>
    <w:rsid w:val="00992D40"/>
    <w:rsid w:val="009966B1"/>
    <w:rsid w:val="009B36FD"/>
    <w:rsid w:val="00A16FA2"/>
    <w:rsid w:val="00A2283E"/>
    <w:rsid w:val="00A44630"/>
    <w:rsid w:val="00A53320"/>
    <w:rsid w:val="00A717CC"/>
    <w:rsid w:val="00A8068F"/>
    <w:rsid w:val="00B07DB2"/>
    <w:rsid w:val="00B67880"/>
    <w:rsid w:val="00BB39F1"/>
    <w:rsid w:val="00C030A8"/>
    <w:rsid w:val="00C13102"/>
    <w:rsid w:val="00C1509B"/>
    <w:rsid w:val="00C665EA"/>
    <w:rsid w:val="00CD233F"/>
    <w:rsid w:val="00D136D4"/>
    <w:rsid w:val="00D4491B"/>
    <w:rsid w:val="00D96320"/>
    <w:rsid w:val="00DA5D8B"/>
    <w:rsid w:val="00DB5440"/>
    <w:rsid w:val="00DE3A04"/>
    <w:rsid w:val="00E22A89"/>
    <w:rsid w:val="00E24D9F"/>
    <w:rsid w:val="00E30AA2"/>
    <w:rsid w:val="00E35CE6"/>
    <w:rsid w:val="00E406DC"/>
    <w:rsid w:val="00E44E18"/>
    <w:rsid w:val="00E66807"/>
    <w:rsid w:val="00E86EDC"/>
    <w:rsid w:val="00EF19D5"/>
    <w:rsid w:val="00F357C6"/>
    <w:rsid w:val="00F518EE"/>
    <w:rsid w:val="00FA0764"/>
    <w:rsid w:val="00FD1F28"/>
    <w:rsid w:val="00FE6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28BF1"/>
  <w15:chartTrackingRefBased/>
  <w15:docId w15:val="{1803E8D8-84DC-4303-A146-906F6E4F3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46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46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46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46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46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46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46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46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46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46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46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46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46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46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46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46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46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4687"/>
    <w:rPr>
      <w:rFonts w:eastAsiaTheme="majorEastAsia" w:cstheme="majorBidi"/>
      <w:color w:val="272727" w:themeColor="text1" w:themeTint="D8"/>
    </w:rPr>
  </w:style>
  <w:style w:type="paragraph" w:styleId="Title">
    <w:name w:val="Title"/>
    <w:basedOn w:val="Normal"/>
    <w:next w:val="Normal"/>
    <w:link w:val="TitleChar"/>
    <w:uiPriority w:val="10"/>
    <w:qFormat/>
    <w:rsid w:val="004446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46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46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46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4687"/>
    <w:pPr>
      <w:spacing w:before="160"/>
      <w:jc w:val="center"/>
    </w:pPr>
    <w:rPr>
      <w:i/>
      <w:iCs/>
      <w:color w:val="404040" w:themeColor="text1" w:themeTint="BF"/>
    </w:rPr>
  </w:style>
  <w:style w:type="character" w:customStyle="1" w:styleId="QuoteChar">
    <w:name w:val="Quote Char"/>
    <w:basedOn w:val="DefaultParagraphFont"/>
    <w:link w:val="Quote"/>
    <w:uiPriority w:val="29"/>
    <w:rsid w:val="00444687"/>
    <w:rPr>
      <w:i/>
      <w:iCs/>
      <w:color w:val="404040" w:themeColor="text1" w:themeTint="BF"/>
    </w:rPr>
  </w:style>
  <w:style w:type="paragraph" w:styleId="ListParagraph">
    <w:name w:val="List Paragraph"/>
    <w:basedOn w:val="Normal"/>
    <w:uiPriority w:val="34"/>
    <w:qFormat/>
    <w:rsid w:val="00444687"/>
    <w:pPr>
      <w:ind w:left="720"/>
      <w:contextualSpacing/>
    </w:pPr>
  </w:style>
  <w:style w:type="character" w:styleId="IntenseEmphasis">
    <w:name w:val="Intense Emphasis"/>
    <w:basedOn w:val="DefaultParagraphFont"/>
    <w:uiPriority w:val="21"/>
    <w:qFormat/>
    <w:rsid w:val="00444687"/>
    <w:rPr>
      <w:i/>
      <w:iCs/>
      <w:color w:val="0F4761" w:themeColor="accent1" w:themeShade="BF"/>
    </w:rPr>
  </w:style>
  <w:style w:type="paragraph" w:styleId="IntenseQuote">
    <w:name w:val="Intense Quote"/>
    <w:basedOn w:val="Normal"/>
    <w:next w:val="Normal"/>
    <w:link w:val="IntenseQuoteChar"/>
    <w:uiPriority w:val="30"/>
    <w:qFormat/>
    <w:rsid w:val="004446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4687"/>
    <w:rPr>
      <w:i/>
      <w:iCs/>
      <w:color w:val="0F4761" w:themeColor="accent1" w:themeShade="BF"/>
    </w:rPr>
  </w:style>
  <w:style w:type="character" w:styleId="IntenseReference">
    <w:name w:val="Intense Reference"/>
    <w:basedOn w:val="DefaultParagraphFont"/>
    <w:uiPriority w:val="32"/>
    <w:qFormat/>
    <w:rsid w:val="00444687"/>
    <w:rPr>
      <w:b/>
      <w:bCs/>
      <w:smallCaps/>
      <w:color w:val="0F4761" w:themeColor="accent1" w:themeShade="BF"/>
      <w:spacing w:val="5"/>
    </w:rPr>
  </w:style>
  <w:style w:type="character" w:styleId="Hyperlink">
    <w:name w:val="Hyperlink"/>
    <w:basedOn w:val="DefaultParagraphFont"/>
    <w:uiPriority w:val="99"/>
    <w:unhideWhenUsed/>
    <w:rsid w:val="00345F77"/>
    <w:rPr>
      <w:color w:val="467886" w:themeColor="hyperlink"/>
      <w:u w:val="single"/>
    </w:rPr>
  </w:style>
  <w:style w:type="paragraph" w:styleId="TOCHeading">
    <w:name w:val="TOC Heading"/>
    <w:basedOn w:val="Heading1"/>
    <w:next w:val="Normal"/>
    <w:uiPriority w:val="39"/>
    <w:unhideWhenUsed/>
    <w:qFormat/>
    <w:rsid w:val="008E60CA"/>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E60C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harmaceutical-journal.com/article/infographics/nhs70-major-moments-in-pharmacy-1948-2018" TargetMode="External"/><Relationship Id="rId13" Type="http://schemas.openxmlformats.org/officeDocument/2006/relationships/hyperlink" Target="https://www.yourhealthyourpharmacy.co.uk/community-pharmacy-past-present-and-future-3/" TargetMode="External"/><Relationship Id="rId3" Type="http://schemas.openxmlformats.org/officeDocument/2006/relationships/styles" Target="styles.xml"/><Relationship Id="rId7" Type="http://schemas.openxmlformats.org/officeDocument/2006/relationships/image" Target="media/image2.svg"/><Relationship Id="rId12" Type="http://schemas.openxmlformats.org/officeDocument/2006/relationships/hyperlink" Target="https://www.kingsfund.org.uk/insight-and-analysis/long-reads/community-pharmacy-explaine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rpharms.com/resources/reports/pharmacy-workforce-review"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ngland.nhs.uk/publication/community-pharmacy-contractual-framework-2023-24/" TargetMode="External"/><Relationship Id="rId4" Type="http://schemas.openxmlformats.org/officeDocument/2006/relationships/settings" Target="settings.xml"/><Relationship Id="rId9" Type="http://schemas.openxmlformats.org/officeDocument/2006/relationships/hyperlink" Target="https://www.pharmacyregulation.org/publications/annual-report-and-accounts-202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342F8C-4803-4C1A-A7A7-7A9F2B89F9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7</Pages>
  <Words>997</Words>
  <Characters>6830</Characters>
  <Application>Microsoft Office Word</Application>
  <DocSecurity>0</DocSecurity>
  <Lines>213</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Ogadimma (2435763)</dc:creator>
  <cp:keywords/>
  <dc:description/>
  <cp:lastModifiedBy>Martin Ogadimma (2435763)</cp:lastModifiedBy>
  <cp:revision>79</cp:revision>
  <dcterms:created xsi:type="dcterms:W3CDTF">2025-10-16T10:20:00Z</dcterms:created>
  <dcterms:modified xsi:type="dcterms:W3CDTF">2025-10-17T12:16:00Z</dcterms:modified>
</cp:coreProperties>
</file>