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Ex1.xml" ContentType="application/vnd.ms-office.chartex+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2E6E7" w14:textId="6F17A98C" w:rsidR="00DA0ABD" w:rsidRDefault="00DA0ABD" w:rsidP="00582E7F">
      <w:pPr>
        <w:pStyle w:val="NoSpacing"/>
        <w:rPr>
          <w:rFonts w:cs="Arial"/>
          <w:b/>
          <w:bCs/>
          <w:u w:val="single"/>
        </w:rPr>
      </w:pPr>
      <w:bookmarkStart w:id="0" w:name="_Hlk188895726"/>
      <w:bookmarkEnd w:id="0"/>
    </w:p>
    <w:p w14:paraId="500C7953" w14:textId="77777777" w:rsidR="00582E7F" w:rsidRPr="00DD69E8" w:rsidRDefault="00582E7F" w:rsidP="00582E7F">
      <w:pPr>
        <w:jc w:val="center"/>
        <w:rPr>
          <w:b/>
          <w:bCs/>
          <w:sz w:val="32"/>
          <w:szCs w:val="32"/>
          <w:u w:val="single"/>
        </w:rPr>
      </w:pPr>
      <w:r w:rsidRPr="00DD69E8">
        <w:rPr>
          <w:b/>
          <w:bCs/>
          <w:sz w:val="32"/>
          <w:szCs w:val="32"/>
          <w:u w:val="single"/>
        </w:rPr>
        <w:t>Briefing Paper</w:t>
      </w:r>
      <w:r>
        <w:rPr>
          <w:b/>
          <w:bCs/>
          <w:sz w:val="32"/>
          <w:szCs w:val="32"/>
          <w:u w:val="single"/>
        </w:rPr>
        <w:t xml:space="preserve"> – Evidence-Based Practice</w:t>
      </w:r>
    </w:p>
    <w:p w14:paraId="0FEE964D" w14:textId="77777777" w:rsidR="00582E7F" w:rsidRDefault="00582E7F">
      <w:pPr>
        <w:rPr>
          <w:rFonts w:cs="Arial"/>
          <w:b/>
          <w:bCs/>
          <w:u w:val="single"/>
        </w:rPr>
      </w:pPr>
    </w:p>
    <w:sdt>
      <w:sdtPr>
        <w:rPr>
          <w:rFonts w:ascii="Arial" w:eastAsiaTheme="minorHAnsi" w:hAnsi="Arial" w:cs="Arial"/>
          <w:b w:val="0"/>
          <w:bCs w:val="0"/>
          <w:color w:val="000000" w:themeColor="text1"/>
          <w:kern w:val="2"/>
          <w:sz w:val="24"/>
          <w:szCs w:val="24"/>
          <w:lang w:val="en-GB"/>
          <w14:ligatures w14:val="standardContextual"/>
        </w:rPr>
        <w:id w:val="-1776555566"/>
        <w:docPartObj>
          <w:docPartGallery w:val="Table of Contents"/>
          <w:docPartUnique/>
        </w:docPartObj>
      </w:sdtPr>
      <w:sdtEndPr>
        <w:rPr>
          <w:noProof/>
        </w:rPr>
      </w:sdtEndPr>
      <w:sdtContent>
        <w:p w14:paraId="3FD4A603" w14:textId="71865F97" w:rsidR="00582E7F" w:rsidRPr="00582E7F" w:rsidRDefault="00582E7F">
          <w:pPr>
            <w:pStyle w:val="TOCHeading"/>
            <w:rPr>
              <w:rFonts w:ascii="Arial" w:hAnsi="Arial" w:cs="Arial"/>
              <w:color w:val="000000" w:themeColor="text1"/>
            </w:rPr>
          </w:pPr>
          <w:r w:rsidRPr="00582E7F">
            <w:rPr>
              <w:rFonts w:ascii="Arial" w:hAnsi="Arial" w:cs="Arial"/>
              <w:color w:val="000000" w:themeColor="text1"/>
            </w:rPr>
            <w:t>Table of Contents</w:t>
          </w:r>
        </w:p>
        <w:p w14:paraId="758A50C6" w14:textId="6A810DA5"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r w:rsidRPr="00582E7F">
            <w:rPr>
              <w:rFonts w:ascii="Arial" w:hAnsi="Arial" w:cs="Arial"/>
              <w:b w:val="0"/>
              <w:bCs w:val="0"/>
              <w:color w:val="000000" w:themeColor="text1"/>
            </w:rPr>
            <w:fldChar w:fldCharType="begin"/>
          </w:r>
          <w:r w:rsidRPr="00582E7F">
            <w:rPr>
              <w:rFonts w:ascii="Arial" w:hAnsi="Arial" w:cs="Arial"/>
              <w:color w:val="000000" w:themeColor="text1"/>
            </w:rPr>
            <w:instrText xml:space="preserve"> TOC \o "1-3" \h \z \u </w:instrText>
          </w:r>
          <w:r w:rsidRPr="00582E7F">
            <w:rPr>
              <w:rFonts w:ascii="Arial" w:hAnsi="Arial" w:cs="Arial"/>
              <w:b w:val="0"/>
              <w:bCs w:val="0"/>
              <w:color w:val="000000" w:themeColor="text1"/>
            </w:rPr>
            <w:fldChar w:fldCharType="separate"/>
          </w:r>
          <w:hyperlink w:anchor="_Toc184048305" w:history="1">
            <w:r w:rsidRPr="00582E7F">
              <w:rPr>
                <w:rStyle w:val="Hyperlink"/>
                <w:rFonts w:ascii="Arial" w:hAnsi="Arial" w:cs="Arial"/>
                <w:noProof/>
                <w:color w:val="000000" w:themeColor="text1"/>
              </w:rPr>
              <w:t>Evidence-Based Practice (AC1.1)</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_Toc184048305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2</w:t>
            </w:r>
            <w:r w:rsidRPr="00582E7F">
              <w:rPr>
                <w:rFonts w:ascii="Arial" w:hAnsi="Arial" w:cs="Arial"/>
                <w:noProof/>
                <w:webHidden/>
                <w:color w:val="000000" w:themeColor="text1"/>
              </w:rPr>
              <w:fldChar w:fldCharType="end"/>
            </w:r>
          </w:hyperlink>
        </w:p>
        <w:p w14:paraId="5649C306" w14:textId="28CDF572"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hyperlink w:anchor="_Toc184048306" w:history="1">
            <w:r w:rsidRPr="00582E7F">
              <w:rPr>
                <w:rStyle w:val="Hyperlink"/>
                <w:rFonts w:ascii="Arial" w:hAnsi="Arial" w:cs="Arial"/>
                <w:noProof/>
                <w:color w:val="000000" w:themeColor="text1"/>
              </w:rPr>
              <w:t>Analysis Tools &amp; Methods (AC1.2)</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_Toc184048306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5</w:t>
            </w:r>
            <w:r w:rsidRPr="00582E7F">
              <w:rPr>
                <w:rFonts w:ascii="Arial" w:hAnsi="Arial" w:cs="Arial"/>
                <w:noProof/>
                <w:webHidden/>
                <w:color w:val="000000" w:themeColor="text1"/>
              </w:rPr>
              <w:fldChar w:fldCharType="end"/>
            </w:r>
          </w:hyperlink>
        </w:p>
        <w:p w14:paraId="66CBAA33" w14:textId="457A6827"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hyperlink w:anchor="_Toc184048307" w:history="1">
            <w:r w:rsidRPr="00582E7F">
              <w:rPr>
                <w:rStyle w:val="Hyperlink"/>
                <w:rFonts w:ascii="Arial" w:hAnsi="Arial" w:cs="Arial"/>
                <w:noProof/>
                <w:color w:val="000000" w:themeColor="text1"/>
              </w:rPr>
              <w:t>Critical Thinking (AC1.3)</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_Toc184048307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8</w:t>
            </w:r>
            <w:r w:rsidRPr="00582E7F">
              <w:rPr>
                <w:rFonts w:ascii="Arial" w:hAnsi="Arial" w:cs="Arial"/>
                <w:noProof/>
                <w:webHidden/>
                <w:color w:val="000000" w:themeColor="text1"/>
              </w:rPr>
              <w:fldChar w:fldCharType="end"/>
            </w:r>
          </w:hyperlink>
        </w:p>
        <w:p w14:paraId="2E4D4B62" w14:textId="3AC5C32F"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hyperlink w:anchor="_Toc184048308" w:history="1">
            <w:r w:rsidRPr="00582E7F">
              <w:rPr>
                <w:rStyle w:val="Hyperlink"/>
                <w:rFonts w:ascii="Arial" w:hAnsi="Arial" w:cs="Arial"/>
                <w:noProof/>
                <w:color w:val="000000" w:themeColor="text1"/>
              </w:rPr>
              <w:t>Decision-Making Processes (AC1.4)</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_Toc184048308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10</w:t>
            </w:r>
            <w:r w:rsidRPr="00582E7F">
              <w:rPr>
                <w:rFonts w:ascii="Arial" w:hAnsi="Arial" w:cs="Arial"/>
                <w:noProof/>
                <w:webHidden/>
                <w:color w:val="000000" w:themeColor="text1"/>
              </w:rPr>
              <w:fldChar w:fldCharType="end"/>
            </w:r>
          </w:hyperlink>
        </w:p>
        <w:p w14:paraId="6651B4CF" w14:textId="05B5F1C2"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hyperlink w:anchor="_Toc184048309" w:history="1">
            <w:r w:rsidRPr="00582E7F">
              <w:rPr>
                <w:rStyle w:val="Hyperlink"/>
                <w:rFonts w:ascii="Arial" w:hAnsi="Arial" w:cs="Arial"/>
                <w:noProof/>
                <w:color w:val="000000" w:themeColor="text1"/>
              </w:rPr>
              <w:t>Ethics (AC1.5)</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_Toc184048309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13</w:t>
            </w:r>
            <w:r w:rsidRPr="00582E7F">
              <w:rPr>
                <w:rFonts w:ascii="Arial" w:hAnsi="Arial" w:cs="Arial"/>
                <w:noProof/>
                <w:webHidden/>
                <w:color w:val="000000" w:themeColor="text1"/>
              </w:rPr>
              <w:fldChar w:fldCharType="end"/>
            </w:r>
          </w:hyperlink>
        </w:p>
        <w:p w14:paraId="67924A9B" w14:textId="484104E2"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hyperlink w:anchor="_Toc184048310" w:history="1">
            <w:r w:rsidRPr="00582E7F">
              <w:rPr>
                <w:rStyle w:val="Hyperlink"/>
                <w:rFonts w:ascii="Arial" w:hAnsi="Arial" w:cs="Arial"/>
                <w:noProof/>
                <w:color w:val="000000" w:themeColor="text1"/>
              </w:rPr>
              <w:t>Measuring Financial &amp; Non-Financial Performance (AC3.1)</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_Toc184048310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15</w:t>
            </w:r>
            <w:r w:rsidRPr="00582E7F">
              <w:rPr>
                <w:rFonts w:ascii="Arial" w:hAnsi="Arial" w:cs="Arial"/>
                <w:noProof/>
                <w:webHidden/>
                <w:color w:val="000000" w:themeColor="text1"/>
              </w:rPr>
              <w:fldChar w:fldCharType="end"/>
            </w:r>
          </w:hyperlink>
        </w:p>
        <w:p w14:paraId="7244FB3D" w14:textId="239DF3D8"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hyperlink w:anchor="_Toc184048311" w:history="1">
            <w:r w:rsidRPr="00582E7F">
              <w:rPr>
                <w:rStyle w:val="Hyperlink"/>
                <w:rFonts w:ascii="Arial" w:hAnsi="Arial" w:cs="Arial"/>
                <w:noProof/>
                <w:color w:val="000000" w:themeColor="text1"/>
              </w:rPr>
              <w:t>The Value of People Practice (AC3.2)</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_Toc184048311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19</w:t>
            </w:r>
            <w:r w:rsidRPr="00582E7F">
              <w:rPr>
                <w:rFonts w:ascii="Arial" w:hAnsi="Arial" w:cs="Arial"/>
                <w:noProof/>
                <w:webHidden/>
                <w:color w:val="000000" w:themeColor="text1"/>
              </w:rPr>
              <w:fldChar w:fldCharType="end"/>
            </w:r>
          </w:hyperlink>
        </w:p>
        <w:p w14:paraId="5B6758AE" w14:textId="0BEE542D"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hyperlink w:anchor="_Toc184048312" w:history="1">
            <w:r w:rsidRPr="00582E7F">
              <w:rPr>
                <w:rStyle w:val="Hyperlink"/>
                <w:rFonts w:ascii="Arial" w:hAnsi="Arial" w:cs="Arial"/>
                <w:noProof/>
                <w:color w:val="000000" w:themeColor="text1"/>
              </w:rPr>
              <w:t>Performance Data</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_Toc184048312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21</w:t>
            </w:r>
            <w:r w:rsidRPr="00582E7F">
              <w:rPr>
                <w:rFonts w:ascii="Arial" w:hAnsi="Arial" w:cs="Arial"/>
                <w:noProof/>
                <w:webHidden/>
                <w:color w:val="000000" w:themeColor="text1"/>
              </w:rPr>
              <w:fldChar w:fldCharType="end"/>
            </w:r>
          </w:hyperlink>
        </w:p>
        <w:p w14:paraId="26C1FF47" w14:textId="53CFDE2F"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hyperlink w:anchor="_Toc184048313" w:history="1">
            <w:r w:rsidRPr="00582E7F">
              <w:rPr>
                <w:rStyle w:val="Hyperlink"/>
                <w:rFonts w:ascii="Arial" w:hAnsi="Arial" w:cs="Arial"/>
                <w:noProof/>
                <w:color w:val="000000" w:themeColor="text1"/>
              </w:rPr>
              <w:t>Bonuses</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_Toc184048313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25</w:t>
            </w:r>
            <w:r w:rsidRPr="00582E7F">
              <w:rPr>
                <w:rFonts w:ascii="Arial" w:hAnsi="Arial" w:cs="Arial"/>
                <w:noProof/>
                <w:webHidden/>
                <w:color w:val="000000" w:themeColor="text1"/>
              </w:rPr>
              <w:fldChar w:fldCharType="end"/>
            </w:r>
          </w:hyperlink>
        </w:p>
        <w:p w14:paraId="7B6B0821" w14:textId="4CE13EBB" w:rsidR="00582E7F" w:rsidRPr="00582E7F" w:rsidRDefault="00582E7F">
          <w:pPr>
            <w:pStyle w:val="TOC1"/>
            <w:tabs>
              <w:tab w:val="right" w:leader="dot" w:pos="9010"/>
            </w:tabs>
            <w:rPr>
              <w:rFonts w:ascii="Arial" w:eastAsiaTheme="minorEastAsia" w:hAnsi="Arial" w:cs="Arial"/>
              <w:b w:val="0"/>
              <w:bCs w:val="0"/>
              <w:i w:val="0"/>
              <w:iCs w:val="0"/>
              <w:noProof/>
              <w:color w:val="000000" w:themeColor="text1"/>
              <w:lang w:eastAsia="en-GB"/>
            </w:rPr>
          </w:pPr>
          <w:hyperlink w:anchor="_Toc184048314" w:history="1">
            <w:r w:rsidRPr="00582E7F">
              <w:rPr>
                <w:rStyle w:val="Hyperlink"/>
                <w:rFonts w:ascii="Arial" w:hAnsi="Arial" w:cs="Arial"/>
                <w:noProof/>
                <w:color w:val="000000" w:themeColor="text1"/>
              </w:rPr>
              <w:t>Bibliography</w:t>
            </w:r>
            <w:r w:rsidRPr="00582E7F">
              <w:rPr>
                <w:rFonts w:ascii="Arial" w:hAnsi="Arial" w:cs="Arial"/>
                <w:noProof/>
                <w:webHidden/>
                <w:color w:val="000000" w:themeColor="text1"/>
              </w:rPr>
              <w:tab/>
            </w:r>
            <w:r w:rsidRPr="00582E7F">
              <w:rPr>
                <w:rFonts w:ascii="Arial" w:hAnsi="Arial" w:cs="Arial"/>
                <w:noProof/>
                <w:webHidden/>
                <w:color w:val="000000" w:themeColor="text1"/>
              </w:rPr>
              <w:fldChar w:fldCharType="begin"/>
            </w:r>
            <w:r w:rsidRPr="00582E7F">
              <w:rPr>
                <w:rFonts w:ascii="Arial" w:hAnsi="Arial" w:cs="Arial"/>
                <w:noProof/>
                <w:webHidden/>
                <w:color w:val="000000" w:themeColor="text1"/>
              </w:rPr>
              <w:instrText xml:space="preserve"> PAGEREF _Toc184048314 \h </w:instrText>
            </w:r>
            <w:r w:rsidRPr="00582E7F">
              <w:rPr>
                <w:rFonts w:ascii="Arial" w:hAnsi="Arial" w:cs="Arial"/>
                <w:noProof/>
                <w:webHidden/>
                <w:color w:val="000000" w:themeColor="text1"/>
              </w:rPr>
            </w:r>
            <w:r w:rsidRPr="00582E7F">
              <w:rPr>
                <w:rFonts w:ascii="Arial" w:hAnsi="Arial" w:cs="Arial"/>
                <w:noProof/>
                <w:webHidden/>
                <w:color w:val="000000" w:themeColor="text1"/>
              </w:rPr>
              <w:fldChar w:fldCharType="separate"/>
            </w:r>
            <w:r w:rsidR="00483222">
              <w:rPr>
                <w:rFonts w:ascii="Arial" w:hAnsi="Arial" w:cs="Arial"/>
                <w:noProof/>
                <w:webHidden/>
                <w:color w:val="000000" w:themeColor="text1"/>
              </w:rPr>
              <w:t>32</w:t>
            </w:r>
            <w:r w:rsidRPr="00582E7F">
              <w:rPr>
                <w:rFonts w:ascii="Arial" w:hAnsi="Arial" w:cs="Arial"/>
                <w:noProof/>
                <w:webHidden/>
                <w:color w:val="000000" w:themeColor="text1"/>
              </w:rPr>
              <w:fldChar w:fldCharType="end"/>
            </w:r>
          </w:hyperlink>
        </w:p>
        <w:p w14:paraId="5BF1A2B8" w14:textId="5423C2D0" w:rsidR="00582E7F" w:rsidRPr="00582E7F" w:rsidRDefault="00582E7F">
          <w:pPr>
            <w:rPr>
              <w:rFonts w:cs="Arial"/>
              <w:color w:val="000000" w:themeColor="text1"/>
            </w:rPr>
          </w:pPr>
          <w:r w:rsidRPr="00582E7F">
            <w:rPr>
              <w:rFonts w:cs="Arial"/>
              <w:b/>
              <w:bCs/>
              <w:noProof/>
              <w:color w:val="000000" w:themeColor="text1"/>
            </w:rPr>
            <w:fldChar w:fldCharType="end"/>
          </w:r>
        </w:p>
      </w:sdtContent>
    </w:sdt>
    <w:p w14:paraId="6EE368E3" w14:textId="74022B7F" w:rsidR="00582E7F" w:rsidRPr="00582E7F" w:rsidRDefault="00DA0ABD">
      <w:pPr>
        <w:pStyle w:val="TableofFigures"/>
        <w:tabs>
          <w:tab w:val="right" w:leader="dot" w:pos="9010"/>
        </w:tabs>
        <w:rPr>
          <w:rFonts w:eastAsiaTheme="minorEastAsia" w:cs="Arial"/>
          <w:b w:val="0"/>
          <w:bCs w:val="0"/>
          <w:noProof/>
          <w:color w:val="000000" w:themeColor="text1"/>
          <w:sz w:val="24"/>
          <w:szCs w:val="24"/>
          <w:lang w:eastAsia="en-GB"/>
        </w:rPr>
      </w:pPr>
      <w:r w:rsidRPr="00582E7F">
        <w:rPr>
          <w:rFonts w:cs="Arial"/>
          <w:b w:val="0"/>
          <w:bCs w:val="0"/>
          <w:color w:val="000000" w:themeColor="text1"/>
          <w:u w:val="single"/>
        </w:rPr>
        <w:fldChar w:fldCharType="begin"/>
      </w:r>
      <w:r w:rsidRPr="00582E7F">
        <w:rPr>
          <w:rFonts w:cs="Arial"/>
          <w:color w:val="000000" w:themeColor="text1"/>
          <w:u w:val="single"/>
        </w:rPr>
        <w:instrText xml:space="preserve"> TOC \h \z \c "Figure" </w:instrText>
      </w:r>
      <w:r w:rsidRPr="00582E7F">
        <w:rPr>
          <w:rFonts w:cs="Arial"/>
          <w:b w:val="0"/>
          <w:bCs w:val="0"/>
          <w:color w:val="000000" w:themeColor="text1"/>
          <w:u w:val="single"/>
        </w:rPr>
        <w:fldChar w:fldCharType="separate"/>
      </w:r>
      <w:hyperlink w:anchor="_Toc184048350" w:history="1">
        <w:r w:rsidR="00582E7F" w:rsidRPr="00582E7F">
          <w:rPr>
            <w:rStyle w:val="Hyperlink"/>
            <w:rFonts w:cs="Arial"/>
            <w:noProof/>
            <w:color w:val="000000" w:themeColor="text1"/>
          </w:rPr>
          <w:t>Figure 1 - Average Performance per Department (Quarter 1)</w:t>
        </w:r>
        <w:r w:rsidR="00582E7F" w:rsidRPr="00582E7F">
          <w:rPr>
            <w:rFonts w:cs="Arial"/>
            <w:noProof/>
            <w:webHidden/>
            <w:color w:val="000000" w:themeColor="text1"/>
          </w:rPr>
          <w:tab/>
        </w:r>
        <w:r w:rsidR="00582E7F" w:rsidRPr="00582E7F">
          <w:rPr>
            <w:rFonts w:cs="Arial"/>
            <w:noProof/>
            <w:webHidden/>
            <w:color w:val="000000" w:themeColor="text1"/>
          </w:rPr>
          <w:fldChar w:fldCharType="begin"/>
        </w:r>
        <w:r w:rsidR="00582E7F" w:rsidRPr="00582E7F">
          <w:rPr>
            <w:rFonts w:cs="Arial"/>
            <w:noProof/>
            <w:webHidden/>
            <w:color w:val="000000" w:themeColor="text1"/>
          </w:rPr>
          <w:instrText xml:space="preserve"> PAGEREF _Toc184048350 \h </w:instrText>
        </w:r>
        <w:r w:rsidR="00582E7F" w:rsidRPr="00582E7F">
          <w:rPr>
            <w:rFonts w:cs="Arial"/>
            <w:noProof/>
            <w:webHidden/>
            <w:color w:val="000000" w:themeColor="text1"/>
          </w:rPr>
        </w:r>
        <w:r w:rsidR="00582E7F" w:rsidRPr="00582E7F">
          <w:rPr>
            <w:rFonts w:cs="Arial"/>
            <w:noProof/>
            <w:webHidden/>
            <w:color w:val="000000" w:themeColor="text1"/>
          </w:rPr>
          <w:fldChar w:fldCharType="separate"/>
        </w:r>
        <w:r w:rsidR="00483222">
          <w:rPr>
            <w:rFonts w:cs="Arial"/>
            <w:noProof/>
            <w:webHidden/>
            <w:color w:val="000000" w:themeColor="text1"/>
          </w:rPr>
          <w:t>21</w:t>
        </w:r>
        <w:r w:rsidR="00582E7F" w:rsidRPr="00582E7F">
          <w:rPr>
            <w:rFonts w:cs="Arial"/>
            <w:noProof/>
            <w:webHidden/>
            <w:color w:val="000000" w:themeColor="text1"/>
          </w:rPr>
          <w:fldChar w:fldCharType="end"/>
        </w:r>
      </w:hyperlink>
    </w:p>
    <w:p w14:paraId="253BB391" w14:textId="78012D26" w:rsidR="00582E7F" w:rsidRPr="00582E7F" w:rsidRDefault="00582E7F">
      <w:pPr>
        <w:pStyle w:val="TableofFigures"/>
        <w:tabs>
          <w:tab w:val="right" w:leader="dot" w:pos="9010"/>
        </w:tabs>
        <w:rPr>
          <w:rFonts w:eastAsiaTheme="minorEastAsia" w:cs="Arial"/>
          <w:b w:val="0"/>
          <w:bCs w:val="0"/>
          <w:noProof/>
          <w:color w:val="000000" w:themeColor="text1"/>
          <w:sz w:val="24"/>
          <w:szCs w:val="24"/>
          <w:lang w:eastAsia="en-GB"/>
        </w:rPr>
      </w:pPr>
      <w:hyperlink w:anchor="_Toc184048351" w:history="1">
        <w:r w:rsidRPr="00582E7F">
          <w:rPr>
            <w:rStyle w:val="Hyperlink"/>
            <w:rFonts w:cs="Arial"/>
            <w:noProof/>
            <w:color w:val="000000" w:themeColor="text1"/>
          </w:rPr>
          <w:t>Figure 2 - Average Performance per Department (Quarter 2)</w:t>
        </w:r>
        <w:r w:rsidRPr="00582E7F">
          <w:rPr>
            <w:rFonts w:cs="Arial"/>
            <w:noProof/>
            <w:webHidden/>
            <w:color w:val="000000" w:themeColor="text1"/>
          </w:rPr>
          <w:tab/>
        </w:r>
        <w:r w:rsidRPr="00582E7F">
          <w:rPr>
            <w:rFonts w:cs="Arial"/>
            <w:noProof/>
            <w:webHidden/>
            <w:color w:val="000000" w:themeColor="text1"/>
          </w:rPr>
          <w:fldChar w:fldCharType="begin"/>
        </w:r>
        <w:r w:rsidRPr="00582E7F">
          <w:rPr>
            <w:rFonts w:cs="Arial"/>
            <w:noProof/>
            <w:webHidden/>
            <w:color w:val="000000" w:themeColor="text1"/>
          </w:rPr>
          <w:instrText xml:space="preserve"> PAGEREF _Toc184048351 \h </w:instrText>
        </w:r>
        <w:r w:rsidRPr="00582E7F">
          <w:rPr>
            <w:rFonts w:cs="Arial"/>
            <w:noProof/>
            <w:webHidden/>
            <w:color w:val="000000" w:themeColor="text1"/>
          </w:rPr>
        </w:r>
        <w:r w:rsidRPr="00582E7F">
          <w:rPr>
            <w:rFonts w:cs="Arial"/>
            <w:noProof/>
            <w:webHidden/>
            <w:color w:val="000000" w:themeColor="text1"/>
          </w:rPr>
          <w:fldChar w:fldCharType="separate"/>
        </w:r>
        <w:r w:rsidR="00483222">
          <w:rPr>
            <w:rFonts w:cs="Arial"/>
            <w:noProof/>
            <w:webHidden/>
            <w:color w:val="000000" w:themeColor="text1"/>
          </w:rPr>
          <w:t>21</w:t>
        </w:r>
        <w:r w:rsidRPr="00582E7F">
          <w:rPr>
            <w:rFonts w:cs="Arial"/>
            <w:noProof/>
            <w:webHidden/>
            <w:color w:val="000000" w:themeColor="text1"/>
          </w:rPr>
          <w:fldChar w:fldCharType="end"/>
        </w:r>
      </w:hyperlink>
    </w:p>
    <w:p w14:paraId="7E64991D" w14:textId="5DF0E582" w:rsidR="00582E7F" w:rsidRPr="00582E7F" w:rsidRDefault="00582E7F">
      <w:pPr>
        <w:pStyle w:val="TableofFigures"/>
        <w:tabs>
          <w:tab w:val="right" w:leader="dot" w:pos="9010"/>
        </w:tabs>
        <w:rPr>
          <w:rFonts w:eastAsiaTheme="minorEastAsia" w:cs="Arial"/>
          <w:b w:val="0"/>
          <w:bCs w:val="0"/>
          <w:noProof/>
          <w:color w:val="000000" w:themeColor="text1"/>
          <w:sz w:val="24"/>
          <w:szCs w:val="24"/>
          <w:lang w:eastAsia="en-GB"/>
        </w:rPr>
      </w:pPr>
      <w:hyperlink w:anchor="_Toc184048352" w:history="1">
        <w:r w:rsidRPr="00582E7F">
          <w:rPr>
            <w:rStyle w:val="Hyperlink"/>
            <w:rFonts w:cs="Arial"/>
            <w:noProof/>
            <w:color w:val="000000" w:themeColor="text1"/>
          </w:rPr>
          <w:t>Figure 3 - Average Company Performance over Two Quarters</w:t>
        </w:r>
        <w:r w:rsidRPr="00582E7F">
          <w:rPr>
            <w:rFonts w:cs="Arial"/>
            <w:noProof/>
            <w:webHidden/>
            <w:color w:val="000000" w:themeColor="text1"/>
          </w:rPr>
          <w:tab/>
        </w:r>
        <w:r w:rsidRPr="00582E7F">
          <w:rPr>
            <w:rFonts w:cs="Arial"/>
            <w:noProof/>
            <w:webHidden/>
            <w:color w:val="000000" w:themeColor="text1"/>
          </w:rPr>
          <w:fldChar w:fldCharType="begin"/>
        </w:r>
        <w:r w:rsidRPr="00582E7F">
          <w:rPr>
            <w:rFonts w:cs="Arial"/>
            <w:noProof/>
            <w:webHidden/>
            <w:color w:val="000000" w:themeColor="text1"/>
          </w:rPr>
          <w:instrText xml:space="preserve"> PAGEREF _Toc184048352 \h </w:instrText>
        </w:r>
        <w:r w:rsidRPr="00582E7F">
          <w:rPr>
            <w:rFonts w:cs="Arial"/>
            <w:noProof/>
            <w:webHidden/>
            <w:color w:val="000000" w:themeColor="text1"/>
          </w:rPr>
        </w:r>
        <w:r w:rsidRPr="00582E7F">
          <w:rPr>
            <w:rFonts w:cs="Arial"/>
            <w:noProof/>
            <w:webHidden/>
            <w:color w:val="000000" w:themeColor="text1"/>
          </w:rPr>
          <w:fldChar w:fldCharType="separate"/>
        </w:r>
        <w:r w:rsidR="00483222">
          <w:rPr>
            <w:rFonts w:cs="Arial"/>
            <w:noProof/>
            <w:webHidden/>
            <w:color w:val="000000" w:themeColor="text1"/>
          </w:rPr>
          <w:t>23</w:t>
        </w:r>
        <w:r w:rsidRPr="00582E7F">
          <w:rPr>
            <w:rFonts w:cs="Arial"/>
            <w:noProof/>
            <w:webHidden/>
            <w:color w:val="000000" w:themeColor="text1"/>
          </w:rPr>
          <w:fldChar w:fldCharType="end"/>
        </w:r>
      </w:hyperlink>
    </w:p>
    <w:p w14:paraId="7452ECC3" w14:textId="3BC307C4" w:rsidR="00582E7F" w:rsidRPr="00582E7F" w:rsidRDefault="00582E7F">
      <w:pPr>
        <w:pStyle w:val="TableofFigures"/>
        <w:tabs>
          <w:tab w:val="right" w:leader="dot" w:pos="9010"/>
        </w:tabs>
        <w:rPr>
          <w:rFonts w:eastAsiaTheme="minorEastAsia" w:cs="Arial"/>
          <w:b w:val="0"/>
          <w:bCs w:val="0"/>
          <w:noProof/>
          <w:color w:val="000000" w:themeColor="text1"/>
          <w:sz w:val="24"/>
          <w:szCs w:val="24"/>
          <w:lang w:eastAsia="en-GB"/>
        </w:rPr>
      </w:pPr>
      <w:hyperlink w:anchor="_Toc184048353" w:history="1">
        <w:r w:rsidRPr="00582E7F">
          <w:rPr>
            <w:rStyle w:val="Hyperlink"/>
            <w:rFonts w:cs="Arial"/>
            <w:noProof/>
            <w:color w:val="000000" w:themeColor="text1"/>
          </w:rPr>
          <w:t>Figure 4 - Cost of Bonuses per Department, per Quarter</w:t>
        </w:r>
        <w:r w:rsidRPr="00582E7F">
          <w:rPr>
            <w:rFonts w:cs="Arial"/>
            <w:noProof/>
            <w:webHidden/>
            <w:color w:val="000000" w:themeColor="text1"/>
          </w:rPr>
          <w:tab/>
        </w:r>
        <w:r w:rsidRPr="00582E7F">
          <w:rPr>
            <w:rFonts w:cs="Arial"/>
            <w:noProof/>
            <w:webHidden/>
            <w:color w:val="000000" w:themeColor="text1"/>
          </w:rPr>
          <w:fldChar w:fldCharType="begin"/>
        </w:r>
        <w:r w:rsidRPr="00582E7F">
          <w:rPr>
            <w:rFonts w:cs="Arial"/>
            <w:noProof/>
            <w:webHidden/>
            <w:color w:val="000000" w:themeColor="text1"/>
          </w:rPr>
          <w:instrText xml:space="preserve"> PAGEREF _Toc184048353 \h </w:instrText>
        </w:r>
        <w:r w:rsidRPr="00582E7F">
          <w:rPr>
            <w:rFonts w:cs="Arial"/>
            <w:noProof/>
            <w:webHidden/>
            <w:color w:val="000000" w:themeColor="text1"/>
          </w:rPr>
        </w:r>
        <w:r w:rsidRPr="00582E7F">
          <w:rPr>
            <w:rFonts w:cs="Arial"/>
            <w:noProof/>
            <w:webHidden/>
            <w:color w:val="000000" w:themeColor="text1"/>
          </w:rPr>
          <w:fldChar w:fldCharType="separate"/>
        </w:r>
        <w:r w:rsidR="00483222">
          <w:rPr>
            <w:rFonts w:cs="Arial"/>
            <w:noProof/>
            <w:webHidden/>
            <w:color w:val="000000" w:themeColor="text1"/>
          </w:rPr>
          <w:t>25</w:t>
        </w:r>
        <w:r w:rsidRPr="00582E7F">
          <w:rPr>
            <w:rFonts w:cs="Arial"/>
            <w:noProof/>
            <w:webHidden/>
            <w:color w:val="000000" w:themeColor="text1"/>
          </w:rPr>
          <w:fldChar w:fldCharType="end"/>
        </w:r>
      </w:hyperlink>
    </w:p>
    <w:p w14:paraId="2C51DF04" w14:textId="5F436A60" w:rsidR="00582E7F" w:rsidRPr="00582E7F" w:rsidRDefault="00582E7F">
      <w:pPr>
        <w:pStyle w:val="TableofFigures"/>
        <w:tabs>
          <w:tab w:val="right" w:leader="dot" w:pos="9010"/>
        </w:tabs>
        <w:rPr>
          <w:rFonts w:eastAsiaTheme="minorEastAsia" w:cs="Arial"/>
          <w:b w:val="0"/>
          <w:bCs w:val="0"/>
          <w:noProof/>
          <w:color w:val="000000" w:themeColor="text1"/>
          <w:sz w:val="24"/>
          <w:szCs w:val="24"/>
          <w:lang w:eastAsia="en-GB"/>
        </w:rPr>
      </w:pPr>
      <w:hyperlink w:anchor="_Toc184048354" w:history="1">
        <w:r w:rsidRPr="00582E7F">
          <w:rPr>
            <w:rStyle w:val="Hyperlink"/>
            <w:rFonts w:cs="Arial"/>
            <w:noProof/>
            <w:color w:val="000000" w:themeColor="text1"/>
          </w:rPr>
          <w:t>Figure 5 - Total Cost of Bonuses</w:t>
        </w:r>
        <w:r w:rsidRPr="00582E7F">
          <w:rPr>
            <w:rFonts w:cs="Arial"/>
            <w:noProof/>
            <w:webHidden/>
            <w:color w:val="000000" w:themeColor="text1"/>
          </w:rPr>
          <w:tab/>
        </w:r>
        <w:r w:rsidRPr="00582E7F">
          <w:rPr>
            <w:rFonts w:cs="Arial"/>
            <w:noProof/>
            <w:webHidden/>
            <w:color w:val="000000" w:themeColor="text1"/>
          </w:rPr>
          <w:fldChar w:fldCharType="begin"/>
        </w:r>
        <w:r w:rsidRPr="00582E7F">
          <w:rPr>
            <w:rFonts w:cs="Arial"/>
            <w:noProof/>
            <w:webHidden/>
            <w:color w:val="000000" w:themeColor="text1"/>
          </w:rPr>
          <w:instrText xml:space="preserve"> PAGEREF _Toc184048354 \h </w:instrText>
        </w:r>
        <w:r w:rsidRPr="00582E7F">
          <w:rPr>
            <w:rFonts w:cs="Arial"/>
            <w:noProof/>
            <w:webHidden/>
            <w:color w:val="000000" w:themeColor="text1"/>
          </w:rPr>
        </w:r>
        <w:r w:rsidRPr="00582E7F">
          <w:rPr>
            <w:rFonts w:cs="Arial"/>
            <w:noProof/>
            <w:webHidden/>
            <w:color w:val="000000" w:themeColor="text1"/>
          </w:rPr>
          <w:fldChar w:fldCharType="separate"/>
        </w:r>
        <w:r w:rsidR="00483222">
          <w:rPr>
            <w:rFonts w:cs="Arial"/>
            <w:noProof/>
            <w:webHidden/>
            <w:color w:val="000000" w:themeColor="text1"/>
          </w:rPr>
          <w:t>26</w:t>
        </w:r>
        <w:r w:rsidRPr="00582E7F">
          <w:rPr>
            <w:rFonts w:cs="Arial"/>
            <w:noProof/>
            <w:webHidden/>
            <w:color w:val="000000" w:themeColor="text1"/>
          </w:rPr>
          <w:fldChar w:fldCharType="end"/>
        </w:r>
      </w:hyperlink>
    </w:p>
    <w:p w14:paraId="6614F0E2" w14:textId="5BE55EC3" w:rsidR="00DA0ABD" w:rsidRPr="00582E7F" w:rsidRDefault="00DA0ABD">
      <w:pPr>
        <w:rPr>
          <w:rFonts w:cs="Arial"/>
          <w:b/>
          <w:bCs/>
          <w:color w:val="000000" w:themeColor="text1"/>
          <w:u w:val="single"/>
        </w:rPr>
      </w:pPr>
      <w:r w:rsidRPr="00582E7F">
        <w:rPr>
          <w:rFonts w:cs="Arial"/>
          <w:b/>
          <w:bCs/>
          <w:color w:val="000000" w:themeColor="text1"/>
          <w:u w:val="single"/>
        </w:rPr>
        <w:fldChar w:fldCharType="end"/>
      </w:r>
    </w:p>
    <w:p w14:paraId="1B016007" w14:textId="77777777" w:rsidR="00DA0ABD" w:rsidRPr="00582E7F" w:rsidRDefault="00DA0ABD">
      <w:pPr>
        <w:rPr>
          <w:rFonts w:cs="Arial"/>
          <w:b/>
          <w:bCs/>
          <w:color w:val="000000" w:themeColor="text1"/>
          <w:u w:val="single"/>
        </w:rPr>
      </w:pPr>
    </w:p>
    <w:p w14:paraId="3C4F4D96" w14:textId="25A6C9D8" w:rsidR="00582E7F" w:rsidRPr="00582E7F" w:rsidRDefault="00DA0ABD" w:rsidP="00582E7F">
      <w:pPr>
        <w:pStyle w:val="TableofFigures"/>
        <w:tabs>
          <w:tab w:val="right" w:leader="dot" w:pos="9010"/>
        </w:tabs>
        <w:ind w:left="0" w:firstLine="0"/>
        <w:rPr>
          <w:rFonts w:eastAsiaTheme="minorEastAsia" w:cs="Arial"/>
          <w:b w:val="0"/>
          <w:bCs w:val="0"/>
          <w:noProof/>
          <w:color w:val="000000" w:themeColor="text1"/>
          <w:sz w:val="24"/>
          <w:szCs w:val="24"/>
          <w:lang w:eastAsia="en-GB"/>
        </w:rPr>
      </w:pPr>
      <w:r w:rsidRPr="00582E7F">
        <w:rPr>
          <w:rFonts w:cs="Arial"/>
          <w:b w:val="0"/>
          <w:bCs w:val="0"/>
          <w:color w:val="000000" w:themeColor="text1"/>
          <w:u w:val="single"/>
        </w:rPr>
        <w:fldChar w:fldCharType="begin"/>
      </w:r>
      <w:r w:rsidRPr="00582E7F">
        <w:rPr>
          <w:rFonts w:cs="Arial"/>
          <w:color w:val="000000" w:themeColor="text1"/>
          <w:u w:val="single"/>
        </w:rPr>
        <w:instrText xml:space="preserve"> TOC \h \z \c "Table" </w:instrText>
      </w:r>
      <w:r w:rsidRPr="00582E7F">
        <w:rPr>
          <w:rFonts w:cs="Arial"/>
          <w:b w:val="0"/>
          <w:bCs w:val="0"/>
          <w:color w:val="000000" w:themeColor="text1"/>
          <w:u w:val="single"/>
        </w:rPr>
        <w:fldChar w:fldCharType="separate"/>
      </w:r>
      <w:hyperlink w:anchor="_Toc184048320" w:history="1">
        <w:r w:rsidR="00582E7F" w:rsidRPr="00582E7F">
          <w:rPr>
            <w:rStyle w:val="Hyperlink"/>
            <w:rFonts w:cs="Arial"/>
            <w:noProof/>
            <w:color w:val="000000" w:themeColor="text1"/>
          </w:rPr>
          <w:t>Table 1 - Bonuses per Employee</w:t>
        </w:r>
        <w:r w:rsidR="00582E7F" w:rsidRPr="00582E7F">
          <w:rPr>
            <w:rFonts w:cs="Arial"/>
            <w:noProof/>
            <w:webHidden/>
            <w:color w:val="000000" w:themeColor="text1"/>
          </w:rPr>
          <w:tab/>
        </w:r>
        <w:r w:rsidR="00582E7F" w:rsidRPr="00582E7F">
          <w:rPr>
            <w:rFonts w:cs="Arial"/>
            <w:noProof/>
            <w:webHidden/>
            <w:color w:val="000000" w:themeColor="text1"/>
          </w:rPr>
          <w:fldChar w:fldCharType="begin"/>
        </w:r>
        <w:r w:rsidR="00582E7F" w:rsidRPr="00582E7F">
          <w:rPr>
            <w:rFonts w:cs="Arial"/>
            <w:noProof/>
            <w:webHidden/>
            <w:color w:val="000000" w:themeColor="text1"/>
          </w:rPr>
          <w:instrText xml:space="preserve"> PAGEREF _Toc184048320 \h </w:instrText>
        </w:r>
        <w:r w:rsidR="00582E7F" w:rsidRPr="00582E7F">
          <w:rPr>
            <w:rFonts w:cs="Arial"/>
            <w:noProof/>
            <w:webHidden/>
            <w:color w:val="000000" w:themeColor="text1"/>
          </w:rPr>
        </w:r>
        <w:r w:rsidR="00582E7F" w:rsidRPr="00582E7F">
          <w:rPr>
            <w:rFonts w:cs="Arial"/>
            <w:noProof/>
            <w:webHidden/>
            <w:color w:val="000000" w:themeColor="text1"/>
          </w:rPr>
          <w:fldChar w:fldCharType="separate"/>
        </w:r>
        <w:r w:rsidR="00483222">
          <w:rPr>
            <w:rFonts w:cs="Arial"/>
            <w:noProof/>
            <w:webHidden/>
            <w:color w:val="000000" w:themeColor="text1"/>
          </w:rPr>
          <w:t>25</w:t>
        </w:r>
        <w:r w:rsidR="00582E7F" w:rsidRPr="00582E7F">
          <w:rPr>
            <w:rFonts w:cs="Arial"/>
            <w:noProof/>
            <w:webHidden/>
            <w:color w:val="000000" w:themeColor="text1"/>
          </w:rPr>
          <w:fldChar w:fldCharType="end"/>
        </w:r>
      </w:hyperlink>
    </w:p>
    <w:p w14:paraId="31ED05D3" w14:textId="49603787" w:rsidR="00DA0ABD" w:rsidRDefault="00DA0ABD">
      <w:pPr>
        <w:rPr>
          <w:rFonts w:cs="Arial"/>
          <w:b/>
          <w:bCs/>
          <w:u w:val="single"/>
        </w:rPr>
      </w:pPr>
      <w:r w:rsidRPr="00582E7F">
        <w:rPr>
          <w:rFonts w:cs="Arial"/>
          <w:b/>
          <w:bCs/>
          <w:color w:val="000000" w:themeColor="text1"/>
          <w:u w:val="single"/>
        </w:rPr>
        <w:fldChar w:fldCharType="end"/>
      </w:r>
      <w:r>
        <w:rPr>
          <w:rFonts w:cs="Arial"/>
          <w:b/>
          <w:bCs/>
          <w:u w:val="single"/>
        </w:rPr>
        <w:br w:type="page"/>
      </w:r>
    </w:p>
    <w:p w14:paraId="411977D6" w14:textId="1722FB3C" w:rsidR="00B11322" w:rsidRPr="00CB4E28" w:rsidRDefault="00CB4E28" w:rsidP="0039627B">
      <w:pPr>
        <w:pStyle w:val="AssignmentHeading1"/>
      </w:pPr>
      <w:bookmarkStart w:id="1" w:name="_Toc183358562"/>
      <w:bookmarkStart w:id="2" w:name="_Toc184048305"/>
      <w:r w:rsidRPr="00CB4E28">
        <w:lastRenderedPageBreak/>
        <w:t>Evidence-Based Practice (AC1.1)</w:t>
      </w:r>
      <w:bookmarkEnd w:id="1"/>
      <w:bookmarkEnd w:id="2"/>
    </w:p>
    <w:p w14:paraId="770FE039" w14:textId="77777777" w:rsidR="00CB4E28" w:rsidRDefault="00CB4E28" w:rsidP="00234A71">
      <w:pPr>
        <w:spacing w:line="360" w:lineRule="auto"/>
        <w:rPr>
          <w:rFonts w:cs="Arial"/>
          <w:b/>
          <w:bCs/>
          <w:u w:val="single"/>
        </w:rPr>
      </w:pPr>
    </w:p>
    <w:p w14:paraId="431D2CAB" w14:textId="2367A188" w:rsidR="00BE170B" w:rsidRDefault="00582E7F" w:rsidP="00234A71">
      <w:pPr>
        <w:spacing w:line="360" w:lineRule="auto"/>
        <w:rPr>
          <w:rFonts w:cs="Arial"/>
        </w:rPr>
      </w:pPr>
      <w:r w:rsidRPr="001A52D5">
        <w:rPr>
          <w:rFonts w:cs="Arial"/>
          <w:strike/>
        </w:rPr>
        <w:t>Naturally, as humans we are prone to bias.</w:t>
      </w:r>
      <w:r>
        <w:rPr>
          <w:rFonts w:cs="Arial"/>
        </w:rPr>
        <w:t xml:space="preserve"> Evidence-based practice is a systematic approach to </w:t>
      </w:r>
      <w:r w:rsidR="00402551">
        <w:rPr>
          <w:rFonts w:cs="Arial"/>
        </w:rPr>
        <w:t xml:space="preserve">making </w:t>
      </w:r>
      <w:r>
        <w:rPr>
          <w:rFonts w:cs="Arial"/>
        </w:rPr>
        <w:t>practical decisions</w:t>
      </w:r>
      <w:r w:rsidR="00402551">
        <w:rPr>
          <w:rFonts w:cs="Arial"/>
        </w:rPr>
        <w:t xml:space="preserve"> based on the best available evidence is fundamental for effective outcomes,</w:t>
      </w:r>
      <w:r>
        <w:rPr>
          <w:rFonts w:cs="Arial"/>
        </w:rPr>
        <w:t xml:space="preserve"> which helps to avoid </w:t>
      </w:r>
      <w:r w:rsidRPr="001A52D5">
        <w:rPr>
          <w:rFonts w:cs="Arial"/>
          <w:strike/>
        </w:rPr>
        <w:t>such</w:t>
      </w:r>
      <w:r>
        <w:rPr>
          <w:rFonts w:cs="Arial"/>
        </w:rPr>
        <w:t xml:space="preserve"> bias</w:t>
      </w:r>
      <w:r w:rsidR="00402551">
        <w:rPr>
          <w:rFonts w:cs="Arial"/>
        </w:rPr>
        <w:t xml:space="preserve"> (</w:t>
      </w:r>
      <w:r w:rsidR="00AB3BE4">
        <w:rPr>
          <w:rFonts w:cs="Arial"/>
        </w:rPr>
        <w:t>Young, 2024</w:t>
      </w:r>
      <w:r w:rsidR="00402551">
        <w:rPr>
          <w:rFonts w:cs="Arial"/>
        </w:rPr>
        <w:t xml:space="preserve">). </w:t>
      </w:r>
      <w:r w:rsidR="00402551" w:rsidRPr="00EC7D7D">
        <w:rPr>
          <w:rFonts w:cs="Arial"/>
          <w:strike/>
        </w:rPr>
        <w:t>Decision making can be uncomfortable, therefore approaching it methodically can help ease the personal</w:t>
      </w:r>
      <w:r w:rsidR="00BE170B" w:rsidRPr="00EC7D7D">
        <w:rPr>
          <w:rFonts w:cs="Arial"/>
          <w:strike/>
        </w:rPr>
        <w:t>, unconscious bias.</w:t>
      </w:r>
      <w:r w:rsidR="00BC6F01">
        <w:rPr>
          <w:rFonts w:cs="Arial"/>
          <w:strike/>
        </w:rPr>
        <w:t xml:space="preserve"> </w:t>
      </w:r>
      <w:r w:rsidR="00402551">
        <w:rPr>
          <w:rFonts w:cs="Arial"/>
        </w:rPr>
        <w:t xml:space="preserve">The term evidence-based practice often comes with a stigma of it being a </w:t>
      </w:r>
      <w:r w:rsidR="00402551" w:rsidRPr="00AC217E">
        <w:rPr>
          <w:rFonts w:cs="Arial"/>
          <w:strike/>
        </w:rPr>
        <w:t>complicated,</w:t>
      </w:r>
      <w:r w:rsidR="00402551">
        <w:rPr>
          <w:rFonts w:cs="Arial"/>
        </w:rPr>
        <w:t xml:space="preserve"> longwinded </w:t>
      </w:r>
      <w:r w:rsidR="00402551" w:rsidRPr="00693C09">
        <w:rPr>
          <w:rFonts w:cs="Arial"/>
          <w:strike/>
        </w:rPr>
        <w:t>box ticking</w:t>
      </w:r>
      <w:r w:rsidR="00402551">
        <w:rPr>
          <w:rFonts w:cs="Arial"/>
        </w:rPr>
        <w:t xml:space="preserve"> exercise, but if it’s practiced effectively, evidence-based practice will help generate an organisations’ desired outcomes</w:t>
      </w:r>
      <w:r w:rsidR="00693C09">
        <w:rPr>
          <w:rFonts w:cs="Arial"/>
        </w:rPr>
        <w:t xml:space="preserve"> </w:t>
      </w:r>
      <w:r w:rsidR="00693C09" w:rsidRPr="00693C09">
        <w:rPr>
          <w:rFonts w:cs="Arial"/>
          <w:color w:val="FF0000"/>
        </w:rPr>
        <w:t>(Young, 2024)</w:t>
      </w:r>
      <w:r w:rsidR="00402551" w:rsidRPr="00693C09">
        <w:rPr>
          <w:rFonts w:cs="Arial"/>
          <w:color w:val="FF0000"/>
        </w:rPr>
        <w:t>.</w:t>
      </w:r>
      <w:r w:rsidR="00402551" w:rsidRPr="00693C09">
        <w:rPr>
          <w:rFonts w:cs="Arial"/>
          <w:strike/>
          <w:color w:val="FF0000"/>
        </w:rPr>
        <w:t xml:space="preserve"> </w:t>
      </w:r>
      <w:r w:rsidR="00402551" w:rsidRPr="00693C09">
        <w:rPr>
          <w:rFonts w:cs="Arial"/>
          <w:strike/>
        </w:rPr>
        <w:t>In fact,</w:t>
      </w:r>
      <w:r w:rsidR="00B11A69" w:rsidRPr="00693C09">
        <w:rPr>
          <w:rFonts w:cs="Arial"/>
          <w:strike/>
        </w:rPr>
        <w:t xml:space="preserve"> Rob Briner </w:t>
      </w:r>
      <w:r w:rsidR="00DE33E2" w:rsidRPr="00693C09">
        <w:rPr>
          <w:rFonts w:cs="Arial"/>
          <w:strike/>
        </w:rPr>
        <w:t>highlighted that after advising organisations or people professionals on evidence-based practice, they’re often surprised at how straightforward the process is</w:t>
      </w:r>
      <w:r w:rsidR="00B11A69" w:rsidRPr="00693C09">
        <w:rPr>
          <w:rFonts w:cs="Arial"/>
          <w:strike/>
        </w:rPr>
        <w:t xml:space="preserve"> (Green, 2024)</w:t>
      </w:r>
      <w:r w:rsidR="00DE33E2" w:rsidRPr="00693C09">
        <w:rPr>
          <w:rFonts w:cs="Arial"/>
          <w:strike/>
        </w:rPr>
        <w:t>.</w:t>
      </w:r>
    </w:p>
    <w:p w14:paraId="681A0FA2" w14:textId="77777777" w:rsidR="00037B0D" w:rsidRDefault="00037B0D" w:rsidP="00234A71">
      <w:pPr>
        <w:spacing w:line="360" w:lineRule="auto"/>
        <w:rPr>
          <w:rFonts w:cs="Arial"/>
        </w:rPr>
      </w:pPr>
    </w:p>
    <w:p w14:paraId="4E0041DA" w14:textId="6196D149" w:rsidR="00BB4641" w:rsidRDefault="00F57421" w:rsidP="006E7271">
      <w:pPr>
        <w:spacing w:line="360" w:lineRule="auto"/>
        <w:rPr>
          <w:rFonts w:cs="Arial"/>
          <w:color w:val="FF0000"/>
        </w:rPr>
      </w:pPr>
      <w:r>
        <w:rPr>
          <w:rFonts w:cs="Arial"/>
          <w:color w:val="FF0000"/>
        </w:rPr>
        <w:t>Naturally, h</w:t>
      </w:r>
      <w:r w:rsidR="00AD05B7">
        <w:rPr>
          <w:rFonts w:cs="Arial"/>
          <w:color w:val="FF0000"/>
        </w:rPr>
        <w:t xml:space="preserve">umans are </w:t>
      </w:r>
      <w:r w:rsidR="00037B0D">
        <w:rPr>
          <w:rFonts w:cs="Arial"/>
          <w:color w:val="FF0000"/>
        </w:rPr>
        <w:t>prone to bias and heuristic</w:t>
      </w:r>
      <w:r>
        <w:rPr>
          <w:rFonts w:cs="Arial"/>
          <w:color w:val="FF0000"/>
        </w:rPr>
        <w:t>s</w:t>
      </w:r>
      <w:r w:rsidR="001A50AE">
        <w:rPr>
          <w:rFonts w:cs="Arial"/>
          <w:color w:val="FF0000"/>
        </w:rPr>
        <w:t>. In fact, a</w:t>
      </w:r>
      <w:r w:rsidR="00D3150F">
        <w:rPr>
          <w:rFonts w:cs="Arial"/>
          <w:color w:val="FF0000"/>
        </w:rPr>
        <w:t xml:space="preserve"> report conducted by the CIPD found that </w:t>
      </w:r>
      <w:r w:rsidR="001A50AE">
        <w:rPr>
          <w:rFonts w:cs="Arial"/>
          <w:color w:val="FF0000"/>
        </w:rPr>
        <w:t>humans</w:t>
      </w:r>
      <w:r w:rsidR="00D3150F">
        <w:rPr>
          <w:rFonts w:cs="Arial"/>
          <w:color w:val="FF0000"/>
        </w:rPr>
        <w:t xml:space="preserve"> rely on </w:t>
      </w:r>
      <w:r w:rsidR="004418E4">
        <w:rPr>
          <w:rFonts w:cs="Arial"/>
          <w:color w:val="FF0000"/>
        </w:rPr>
        <w:t>“automatic intuitive thinking for efficiency”</w:t>
      </w:r>
      <w:r w:rsidR="000E0F1A">
        <w:rPr>
          <w:rFonts w:cs="Arial"/>
          <w:color w:val="FF0000"/>
        </w:rPr>
        <w:t xml:space="preserve"> (Gifford, 2014 p.9)</w:t>
      </w:r>
      <w:r w:rsidR="00995A45">
        <w:rPr>
          <w:rFonts w:cs="Arial"/>
          <w:color w:val="FF0000"/>
        </w:rPr>
        <w:t xml:space="preserve"> which supports Rob Briners argument on solutioneering, whereby </w:t>
      </w:r>
      <w:r w:rsidR="00011397">
        <w:rPr>
          <w:rFonts w:cs="Arial"/>
          <w:color w:val="FF0000"/>
        </w:rPr>
        <w:t>humans</w:t>
      </w:r>
      <w:r w:rsidR="00995A45">
        <w:rPr>
          <w:rFonts w:cs="Arial"/>
          <w:color w:val="FF0000"/>
        </w:rPr>
        <w:t xml:space="preserve"> create a solution before fully understanding the problem (Green, 2024). This is problematic for a multitude of reasons, ma</w:t>
      </w:r>
      <w:r w:rsidR="00C7729B">
        <w:rPr>
          <w:rFonts w:cs="Arial"/>
          <w:color w:val="FF0000"/>
        </w:rPr>
        <w:t>inly that the issue can be revealed as more complicated than initially thought, or alternatively not even an issue (Green, 2024).</w:t>
      </w:r>
      <w:r w:rsidR="00E24707">
        <w:rPr>
          <w:rFonts w:cs="Arial"/>
          <w:color w:val="FF0000"/>
        </w:rPr>
        <w:t xml:space="preserve"> </w:t>
      </w:r>
    </w:p>
    <w:p w14:paraId="2534229C" w14:textId="77777777" w:rsidR="00037B0D" w:rsidRDefault="00037B0D" w:rsidP="00234A71">
      <w:pPr>
        <w:spacing w:line="360" w:lineRule="auto"/>
        <w:rPr>
          <w:rFonts w:cs="Arial"/>
          <w:color w:val="FF0000"/>
        </w:rPr>
      </w:pPr>
    </w:p>
    <w:p w14:paraId="6561E020" w14:textId="16AAFD39" w:rsidR="00037B0D" w:rsidRDefault="003C2C33" w:rsidP="00234A71">
      <w:pPr>
        <w:spacing w:line="360" w:lineRule="auto"/>
        <w:rPr>
          <w:rFonts w:cs="Arial"/>
          <w:color w:val="FF0000"/>
        </w:rPr>
      </w:pPr>
      <w:r>
        <w:rPr>
          <w:rFonts w:cs="Arial"/>
          <w:color w:val="FF0000"/>
        </w:rPr>
        <w:t xml:space="preserve">The </w:t>
      </w:r>
      <w:r w:rsidR="00037B0D">
        <w:rPr>
          <w:rFonts w:cs="Arial"/>
          <w:color w:val="FF0000"/>
        </w:rPr>
        <w:t>CIPD suggest 4 sources of evidence to help embody</w:t>
      </w:r>
      <w:r w:rsidR="00012418">
        <w:rPr>
          <w:rFonts w:cs="Arial"/>
          <w:color w:val="FF0000"/>
        </w:rPr>
        <w:t xml:space="preserve"> evidence-based practice</w:t>
      </w:r>
      <w:r w:rsidR="001213EA">
        <w:rPr>
          <w:rFonts w:cs="Arial"/>
          <w:color w:val="FF0000"/>
        </w:rPr>
        <w:t xml:space="preserve">, and </w:t>
      </w:r>
      <w:r w:rsidR="00785BF5">
        <w:rPr>
          <w:rFonts w:cs="Arial"/>
          <w:color w:val="FF0000"/>
        </w:rPr>
        <w:t xml:space="preserve">Briner highlights the cruciality of this </w:t>
      </w:r>
      <w:r w:rsidR="00424258">
        <w:rPr>
          <w:rFonts w:cs="Arial"/>
          <w:color w:val="FF0000"/>
        </w:rPr>
        <w:t>for the purposes of triangulation and contextualisation (Green, 2024)</w:t>
      </w:r>
      <w:r w:rsidR="00037B0D">
        <w:rPr>
          <w:rFonts w:cs="Arial"/>
          <w:color w:val="FF0000"/>
        </w:rPr>
        <w:t>:</w:t>
      </w:r>
    </w:p>
    <w:p w14:paraId="64B6FAB6" w14:textId="77777777" w:rsidR="00546D88" w:rsidRDefault="00546D88" w:rsidP="00234A71">
      <w:pPr>
        <w:spacing w:line="360" w:lineRule="auto"/>
        <w:rPr>
          <w:rFonts w:cs="Arial"/>
          <w:color w:val="FF0000"/>
        </w:rPr>
      </w:pPr>
    </w:p>
    <w:p w14:paraId="20C2D156" w14:textId="3AE84C58" w:rsidR="00546D88" w:rsidRDefault="00546D88" w:rsidP="00546D88">
      <w:pPr>
        <w:pStyle w:val="ListParagraph"/>
        <w:numPr>
          <w:ilvl w:val="0"/>
          <w:numId w:val="8"/>
        </w:numPr>
        <w:spacing w:line="360" w:lineRule="auto"/>
        <w:rPr>
          <w:rFonts w:cs="Arial"/>
          <w:color w:val="FF0000"/>
        </w:rPr>
      </w:pPr>
      <w:r>
        <w:rPr>
          <w:rFonts w:cs="Arial"/>
          <w:color w:val="FF0000"/>
        </w:rPr>
        <w:t>Scientific Literature</w:t>
      </w:r>
    </w:p>
    <w:p w14:paraId="45208BC0" w14:textId="20652D3C" w:rsidR="00546D88" w:rsidRDefault="00546D88" w:rsidP="00546D88">
      <w:pPr>
        <w:pStyle w:val="ListParagraph"/>
        <w:numPr>
          <w:ilvl w:val="0"/>
          <w:numId w:val="8"/>
        </w:numPr>
        <w:spacing w:line="360" w:lineRule="auto"/>
        <w:rPr>
          <w:rFonts w:cs="Arial"/>
          <w:color w:val="FF0000"/>
        </w:rPr>
      </w:pPr>
      <w:r>
        <w:rPr>
          <w:rFonts w:cs="Arial"/>
          <w:color w:val="FF0000"/>
        </w:rPr>
        <w:t>Organisational Data (External and Internal)</w:t>
      </w:r>
    </w:p>
    <w:p w14:paraId="1F64AEED" w14:textId="2BE4E30C" w:rsidR="00546D88" w:rsidRDefault="00546D88" w:rsidP="00546D88">
      <w:pPr>
        <w:pStyle w:val="ListParagraph"/>
        <w:numPr>
          <w:ilvl w:val="0"/>
          <w:numId w:val="8"/>
        </w:numPr>
        <w:spacing w:line="360" w:lineRule="auto"/>
        <w:rPr>
          <w:rFonts w:cs="Arial"/>
          <w:color w:val="FF0000"/>
        </w:rPr>
      </w:pPr>
      <w:r>
        <w:rPr>
          <w:rFonts w:cs="Arial"/>
          <w:color w:val="FF0000"/>
        </w:rPr>
        <w:t>Evidence from Professionals</w:t>
      </w:r>
    </w:p>
    <w:p w14:paraId="675E6CFA" w14:textId="2A657EE4" w:rsidR="00546D88" w:rsidRDefault="00546D88" w:rsidP="00546D88">
      <w:pPr>
        <w:pStyle w:val="ListParagraph"/>
        <w:numPr>
          <w:ilvl w:val="0"/>
          <w:numId w:val="8"/>
        </w:numPr>
        <w:spacing w:line="360" w:lineRule="auto"/>
        <w:rPr>
          <w:rFonts w:cs="Arial"/>
          <w:color w:val="FF0000"/>
        </w:rPr>
      </w:pPr>
      <w:r>
        <w:rPr>
          <w:rFonts w:cs="Arial"/>
          <w:color w:val="FF0000"/>
        </w:rPr>
        <w:t>Evidence from Stakeholders (External – suppliers, investors, shareholders and Internal – employees, managers, board managers)</w:t>
      </w:r>
    </w:p>
    <w:p w14:paraId="2A9DCC70" w14:textId="5F79C398" w:rsidR="00546D88" w:rsidRDefault="00546D88" w:rsidP="00546D88">
      <w:pPr>
        <w:spacing w:line="360" w:lineRule="auto"/>
        <w:rPr>
          <w:rFonts w:cs="Arial"/>
          <w:color w:val="FF0000"/>
        </w:rPr>
      </w:pPr>
    </w:p>
    <w:p w14:paraId="468C1640" w14:textId="422FE5D2" w:rsidR="002E3B5A" w:rsidRDefault="00546D88" w:rsidP="00546D88">
      <w:pPr>
        <w:spacing w:line="360" w:lineRule="auto"/>
        <w:rPr>
          <w:rFonts w:cs="Arial"/>
          <w:color w:val="FF0000"/>
        </w:rPr>
      </w:pPr>
      <w:r>
        <w:rPr>
          <w:rFonts w:cs="Arial"/>
          <w:color w:val="FF0000"/>
        </w:rPr>
        <w:t xml:space="preserve">According to </w:t>
      </w:r>
      <w:r w:rsidR="00AB3BE4">
        <w:rPr>
          <w:rFonts w:cs="Arial"/>
          <w:color w:val="FF0000"/>
        </w:rPr>
        <w:t>Young</w:t>
      </w:r>
      <w:r>
        <w:rPr>
          <w:rFonts w:cs="Arial"/>
          <w:color w:val="FF0000"/>
        </w:rPr>
        <w:t xml:space="preserve"> (2024) and Gifford, Barends and Young (2023)</w:t>
      </w:r>
      <w:r w:rsidR="00AB5517">
        <w:rPr>
          <w:rFonts w:cs="Arial"/>
          <w:color w:val="FF0000"/>
        </w:rPr>
        <w:t>, these sources</w:t>
      </w:r>
      <w:r>
        <w:rPr>
          <w:rFonts w:cs="Arial"/>
          <w:color w:val="FF0000"/>
        </w:rPr>
        <w:t xml:space="preserve"> aren’t </w:t>
      </w:r>
      <w:r w:rsidR="00AB5517">
        <w:rPr>
          <w:rFonts w:cs="Arial"/>
          <w:color w:val="FF0000"/>
        </w:rPr>
        <w:t xml:space="preserve">sufficient </w:t>
      </w:r>
      <w:r w:rsidR="00A32E0F">
        <w:rPr>
          <w:rFonts w:cs="Arial"/>
          <w:color w:val="FF0000"/>
        </w:rPr>
        <w:t>individually and</w:t>
      </w:r>
      <w:r w:rsidR="00AB5517">
        <w:rPr>
          <w:rFonts w:cs="Arial"/>
          <w:color w:val="FF0000"/>
        </w:rPr>
        <w:t xml:space="preserve"> should instead be used in conjunction. It’s recognised that it</w:t>
      </w:r>
      <w:r>
        <w:rPr>
          <w:rFonts w:cs="Arial"/>
          <w:color w:val="FF0000"/>
        </w:rPr>
        <w:t xml:space="preserve"> </w:t>
      </w:r>
      <w:r w:rsidR="00AB5517">
        <w:rPr>
          <w:rFonts w:cs="Arial"/>
          <w:color w:val="FF0000"/>
        </w:rPr>
        <w:t>m</w:t>
      </w:r>
      <w:r>
        <w:rPr>
          <w:rFonts w:cs="Arial"/>
          <w:color w:val="FF0000"/>
        </w:rPr>
        <w:t xml:space="preserve">ay not always be practical to draw on all </w:t>
      </w:r>
      <w:r w:rsidR="00EA17A1">
        <w:rPr>
          <w:rFonts w:cs="Arial"/>
          <w:color w:val="FF0000"/>
        </w:rPr>
        <w:t>4</w:t>
      </w:r>
      <w:r>
        <w:rPr>
          <w:rFonts w:cs="Arial"/>
          <w:color w:val="FF0000"/>
        </w:rPr>
        <w:t xml:space="preserve"> </w:t>
      </w:r>
      <w:r w:rsidR="00AB5517">
        <w:rPr>
          <w:rFonts w:cs="Arial"/>
          <w:color w:val="FF0000"/>
        </w:rPr>
        <w:t>sources</w:t>
      </w:r>
      <w:r>
        <w:rPr>
          <w:rFonts w:cs="Arial"/>
          <w:color w:val="FF0000"/>
        </w:rPr>
        <w:t xml:space="preserve"> or to cover all thoroughly</w:t>
      </w:r>
      <w:r w:rsidR="00A32E0F">
        <w:rPr>
          <w:rFonts w:cs="Arial"/>
          <w:color w:val="FF0000"/>
        </w:rPr>
        <w:t xml:space="preserve">, </w:t>
      </w:r>
      <w:r w:rsidR="00A32E0F">
        <w:rPr>
          <w:rFonts w:cs="Arial"/>
          <w:color w:val="FF0000"/>
        </w:rPr>
        <w:lastRenderedPageBreak/>
        <w:t xml:space="preserve">however, being mindful of these </w:t>
      </w:r>
      <w:r w:rsidR="00EA17A1">
        <w:rPr>
          <w:rFonts w:cs="Arial"/>
          <w:color w:val="FF0000"/>
        </w:rPr>
        <w:t>sour</w:t>
      </w:r>
      <w:r w:rsidR="00A32E0F">
        <w:rPr>
          <w:rFonts w:cs="Arial"/>
          <w:color w:val="FF0000"/>
        </w:rPr>
        <w:t>ces helps assist</w:t>
      </w:r>
      <w:r>
        <w:rPr>
          <w:rFonts w:cs="Arial"/>
          <w:color w:val="FF0000"/>
        </w:rPr>
        <w:t xml:space="preserve"> </w:t>
      </w:r>
      <w:r w:rsidR="00F63E02">
        <w:rPr>
          <w:rFonts w:cs="Arial"/>
          <w:color w:val="FF0000"/>
        </w:rPr>
        <w:t>better intentions and approach to organisational issues (</w:t>
      </w:r>
      <w:r w:rsidR="00AB3BE4">
        <w:rPr>
          <w:rFonts w:cs="Arial"/>
          <w:color w:val="FF0000"/>
        </w:rPr>
        <w:t>Young, 2024).</w:t>
      </w:r>
    </w:p>
    <w:p w14:paraId="3F2B41D4" w14:textId="77777777" w:rsidR="00B75FDE" w:rsidRDefault="00B75FDE" w:rsidP="00546D88">
      <w:pPr>
        <w:spacing w:line="360" w:lineRule="auto"/>
        <w:rPr>
          <w:rFonts w:cs="Arial"/>
          <w:color w:val="FF0000"/>
        </w:rPr>
      </w:pPr>
    </w:p>
    <w:p w14:paraId="042C9505" w14:textId="23E081EE" w:rsidR="002E3B5A" w:rsidRPr="002E3B5A" w:rsidRDefault="002E3B5A" w:rsidP="002E3B5A">
      <w:pPr>
        <w:pStyle w:val="Caption"/>
        <w:ind w:firstLine="720"/>
        <w:rPr>
          <w:rFonts w:cs="Arial"/>
          <w:color w:val="auto"/>
        </w:rPr>
      </w:pPr>
      <w:r w:rsidRPr="002E3B5A">
        <w:rPr>
          <w:color w:val="auto"/>
        </w:rPr>
        <w:t xml:space="preserve">Figure </w:t>
      </w:r>
      <w:r w:rsidRPr="002E3B5A">
        <w:rPr>
          <w:color w:val="auto"/>
        </w:rPr>
        <w:fldChar w:fldCharType="begin"/>
      </w:r>
      <w:r w:rsidRPr="002E3B5A">
        <w:rPr>
          <w:color w:val="auto"/>
        </w:rPr>
        <w:instrText xml:space="preserve"> SEQ Figure \* ARABIC </w:instrText>
      </w:r>
      <w:r w:rsidRPr="002E3B5A">
        <w:rPr>
          <w:color w:val="auto"/>
        </w:rPr>
        <w:fldChar w:fldCharType="separate"/>
      </w:r>
      <w:r w:rsidRPr="002E3B5A">
        <w:rPr>
          <w:noProof/>
          <w:color w:val="auto"/>
        </w:rPr>
        <w:t>1</w:t>
      </w:r>
      <w:r w:rsidRPr="002E3B5A">
        <w:rPr>
          <w:color w:val="auto"/>
        </w:rPr>
        <w:fldChar w:fldCharType="end"/>
      </w:r>
      <w:r w:rsidRPr="002E3B5A">
        <w:rPr>
          <w:color w:val="auto"/>
        </w:rPr>
        <w:t xml:space="preserve"> - 'The 6 A's' framework developed by CIPD for evidence-based practice (</w:t>
      </w:r>
      <w:r w:rsidR="00AB3BE4">
        <w:rPr>
          <w:color w:val="auto"/>
        </w:rPr>
        <w:t>Young, 2024</w:t>
      </w:r>
      <w:r w:rsidRPr="002E3B5A">
        <w:rPr>
          <w:color w:val="auto"/>
        </w:rPr>
        <w:t>)</w:t>
      </w:r>
      <w:r w:rsidRPr="002E3B5A">
        <w:rPr>
          <w:noProof/>
          <w:color w:val="auto"/>
        </w:rPr>
        <w:drawing>
          <wp:anchor distT="0" distB="0" distL="114300" distR="114300" simplePos="0" relativeHeight="251667456" behindDoc="0" locked="0" layoutInCell="1" allowOverlap="1" wp14:anchorId="3F880456" wp14:editId="2C8EAAC9">
            <wp:simplePos x="0" y="0"/>
            <wp:positionH relativeFrom="margin">
              <wp:align>center</wp:align>
            </wp:positionH>
            <wp:positionV relativeFrom="paragraph">
              <wp:posOffset>76200</wp:posOffset>
            </wp:positionV>
            <wp:extent cx="4037846" cy="4045008"/>
            <wp:effectExtent l="0" t="0" r="1270" b="0"/>
            <wp:wrapTopAndBottom/>
            <wp:docPr id="1000082320" name="Picture 7" descr="A diagram of steps to a probl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82320" name="Picture 7" descr="A diagram of steps to a problem&#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4037846" cy="4045008"/>
                    </a:xfrm>
                    <a:prstGeom prst="rect">
                      <a:avLst/>
                    </a:prstGeom>
                  </pic:spPr>
                </pic:pic>
              </a:graphicData>
            </a:graphic>
            <wp14:sizeRelH relativeFrom="page">
              <wp14:pctWidth>0</wp14:pctWidth>
            </wp14:sizeRelH>
            <wp14:sizeRelV relativeFrom="page">
              <wp14:pctHeight>0</wp14:pctHeight>
            </wp14:sizeRelV>
          </wp:anchor>
        </w:drawing>
      </w:r>
    </w:p>
    <w:p w14:paraId="286AC913" w14:textId="77777777" w:rsidR="00F666A1" w:rsidRDefault="00F666A1" w:rsidP="00546D88">
      <w:pPr>
        <w:spacing w:line="360" w:lineRule="auto"/>
        <w:rPr>
          <w:rFonts w:cs="Arial"/>
          <w:color w:val="FF0000"/>
        </w:rPr>
      </w:pPr>
    </w:p>
    <w:p w14:paraId="4DCEAA4B" w14:textId="2D52EFB3" w:rsidR="00105B7A" w:rsidRDefault="00F666A1" w:rsidP="00546D88">
      <w:pPr>
        <w:spacing w:line="360" w:lineRule="auto"/>
        <w:rPr>
          <w:rFonts w:cs="Arial"/>
          <w:color w:val="FF0000"/>
        </w:rPr>
      </w:pPr>
      <w:r>
        <w:rPr>
          <w:rFonts w:cs="Arial"/>
          <w:color w:val="FF0000"/>
        </w:rPr>
        <w:t>Once all relevant information has been collected from the respective sources, the evidence should be combined</w:t>
      </w:r>
      <w:r w:rsidR="00EA17A1">
        <w:rPr>
          <w:rFonts w:cs="Arial"/>
          <w:color w:val="FF0000"/>
        </w:rPr>
        <w:t xml:space="preserve"> before </w:t>
      </w:r>
      <w:r w:rsidR="00B75FDE">
        <w:rPr>
          <w:rFonts w:cs="Arial"/>
          <w:color w:val="FF0000"/>
        </w:rPr>
        <w:t>deciding an outcome</w:t>
      </w:r>
      <w:r w:rsidR="00EA17A1">
        <w:rPr>
          <w:rFonts w:cs="Arial"/>
          <w:color w:val="FF0000"/>
        </w:rPr>
        <w:t>.</w:t>
      </w:r>
      <w:r w:rsidR="00040216">
        <w:rPr>
          <w:rFonts w:cs="Arial"/>
          <w:color w:val="FF0000"/>
        </w:rPr>
        <w:t xml:space="preserve"> Figure 1 is an infographic from the CIPD </w:t>
      </w:r>
      <w:r w:rsidR="00E23B8D">
        <w:rPr>
          <w:rFonts w:cs="Arial"/>
          <w:color w:val="FF0000"/>
        </w:rPr>
        <w:t>highlighting</w:t>
      </w:r>
      <w:r w:rsidR="00081B3C">
        <w:rPr>
          <w:rFonts w:cs="Arial"/>
          <w:color w:val="FF0000"/>
        </w:rPr>
        <w:t xml:space="preserve"> 6 ways of collating evidence, ensuring that </w:t>
      </w:r>
      <w:r w:rsidR="00E31E6A">
        <w:rPr>
          <w:rFonts w:cs="Arial"/>
          <w:color w:val="FF0000"/>
        </w:rPr>
        <w:t xml:space="preserve">the quality of evidence is not ignored (Young, 2024). </w:t>
      </w:r>
      <w:r w:rsidR="00654AE9">
        <w:rPr>
          <w:rFonts w:cs="Arial"/>
          <w:color w:val="FF0000"/>
        </w:rPr>
        <w:t>Step 3, Appraising, varies depending on the source of evidence</w:t>
      </w:r>
      <w:r w:rsidR="00D1667C">
        <w:rPr>
          <w:rFonts w:cs="Arial"/>
          <w:color w:val="FF0000"/>
        </w:rPr>
        <w:t xml:space="preserve">, however the same analysis is used to assess whether it’s credible, such as </w:t>
      </w:r>
      <w:r w:rsidR="00390FAB">
        <w:rPr>
          <w:rFonts w:cs="Arial"/>
          <w:color w:val="FF0000"/>
        </w:rPr>
        <w:t>asking how it’s been gathered and if it’s biased in any way (Young, 2024).</w:t>
      </w:r>
    </w:p>
    <w:p w14:paraId="2CA576DD" w14:textId="05723353" w:rsidR="00123ADD" w:rsidRDefault="00181284" w:rsidP="00123ADD">
      <w:pPr>
        <w:spacing w:line="360" w:lineRule="auto"/>
        <w:rPr>
          <w:rFonts w:cs="Arial"/>
          <w:color w:val="FF0000"/>
        </w:rPr>
      </w:pPr>
      <w:r>
        <w:rPr>
          <w:rFonts w:cs="Arial"/>
          <w:color w:val="FF0000"/>
        </w:rPr>
        <w:t xml:space="preserve"> </w:t>
      </w:r>
    </w:p>
    <w:p w14:paraId="767B2343" w14:textId="77777777" w:rsidR="0034018A" w:rsidRDefault="00123ADD" w:rsidP="00123ADD">
      <w:pPr>
        <w:spacing w:line="360" w:lineRule="auto"/>
        <w:rPr>
          <w:rFonts w:cs="Arial"/>
          <w:color w:val="FF0000"/>
        </w:rPr>
      </w:pPr>
      <w:r>
        <w:rPr>
          <w:rFonts w:cs="Arial"/>
          <w:color w:val="FF0000"/>
        </w:rPr>
        <w:t xml:space="preserve">Evidence-based practice ensures that decision making is based on fact which creates a stronger body of knowledge within HR, creating a more trusted </w:t>
      </w:r>
      <w:r w:rsidR="00490F73">
        <w:rPr>
          <w:rFonts w:cs="Arial"/>
          <w:color w:val="FF0000"/>
        </w:rPr>
        <w:t xml:space="preserve">function and </w:t>
      </w:r>
      <w:r>
        <w:rPr>
          <w:rFonts w:cs="Arial"/>
          <w:color w:val="FF0000"/>
        </w:rPr>
        <w:t xml:space="preserve">profession and </w:t>
      </w:r>
      <w:r w:rsidR="00490F73">
        <w:rPr>
          <w:rFonts w:cs="Arial"/>
          <w:color w:val="FF0000"/>
        </w:rPr>
        <w:t>strengthens the credibility of</w:t>
      </w:r>
      <w:r>
        <w:rPr>
          <w:rFonts w:cs="Arial"/>
          <w:color w:val="FF0000"/>
        </w:rPr>
        <w:t xml:space="preserve"> professionals (Gifford, Barends and Young, 2023). </w:t>
      </w:r>
    </w:p>
    <w:p w14:paraId="67A913FD" w14:textId="77777777" w:rsidR="0034018A" w:rsidRDefault="0034018A" w:rsidP="00123ADD">
      <w:pPr>
        <w:spacing w:line="360" w:lineRule="auto"/>
        <w:rPr>
          <w:rFonts w:cs="Arial"/>
          <w:color w:val="FF0000"/>
        </w:rPr>
      </w:pPr>
    </w:p>
    <w:p w14:paraId="498C705C" w14:textId="5D9AF1E1" w:rsidR="0034018A" w:rsidRDefault="00123ADD" w:rsidP="0034018A">
      <w:pPr>
        <w:spacing w:line="360" w:lineRule="auto"/>
        <w:rPr>
          <w:rFonts w:cs="Arial"/>
          <w:color w:val="FF0000"/>
        </w:rPr>
      </w:pPr>
      <w:r>
        <w:rPr>
          <w:rFonts w:cs="Arial"/>
          <w:color w:val="FF0000"/>
        </w:rPr>
        <w:lastRenderedPageBreak/>
        <w:t>A common misconception is that utilising evidence-based practice will force an outcome</w:t>
      </w:r>
      <w:r w:rsidR="000B5E1E">
        <w:rPr>
          <w:rFonts w:cs="Arial"/>
          <w:color w:val="FF0000"/>
        </w:rPr>
        <w:t>, instead it</w:t>
      </w:r>
      <w:r>
        <w:rPr>
          <w:rFonts w:cs="Arial"/>
          <w:color w:val="FF0000"/>
        </w:rPr>
        <w:t xml:space="preserve"> assists in making a better informed decision (Gifford, Barends and Young, 2023</w:t>
      </w:r>
      <w:r w:rsidR="00B22132">
        <w:rPr>
          <w:rFonts w:cs="Arial"/>
          <w:color w:val="FF0000"/>
        </w:rPr>
        <w:t>)</w:t>
      </w:r>
      <w:r>
        <w:rPr>
          <w:rFonts w:cs="Arial"/>
          <w:color w:val="FF0000"/>
        </w:rPr>
        <w:t xml:space="preserve">. </w:t>
      </w:r>
      <w:r w:rsidR="000256E5">
        <w:rPr>
          <w:rFonts w:cs="Arial"/>
          <w:color w:val="FF0000"/>
        </w:rPr>
        <w:t xml:space="preserve">Fundamentally, </w:t>
      </w:r>
      <w:r w:rsidR="0034018A" w:rsidRPr="00661921">
        <w:rPr>
          <w:rFonts w:cs="Arial"/>
          <w:color w:val="FF0000"/>
        </w:rPr>
        <w:t xml:space="preserve">HR exist </w:t>
      </w:r>
      <w:r w:rsidR="0034018A">
        <w:rPr>
          <w:rFonts w:cs="Arial"/>
          <w:color w:val="FF0000"/>
        </w:rPr>
        <w:t>to safeguard the organisation and assist in solving complex organisational issues</w:t>
      </w:r>
      <w:r w:rsidR="000256E5">
        <w:rPr>
          <w:rFonts w:cs="Arial"/>
          <w:color w:val="FF0000"/>
        </w:rPr>
        <w:t xml:space="preserve"> when they arise</w:t>
      </w:r>
      <w:r w:rsidR="0034018A">
        <w:rPr>
          <w:rFonts w:cs="Arial"/>
          <w:color w:val="FF0000"/>
        </w:rPr>
        <w:t>,</w:t>
      </w:r>
      <w:r w:rsidR="0034018A" w:rsidRPr="00661921">
        <w:rPr>
          <w:rFonts w:cs="Arial"/>
          <w:color w:val="FF0000"/>
        </w:rPr>
        <w:t xml:space="preserve"> while being conscientious, </w:t>
      </w:r>
      <w:r w:rsidR="00E23B8D" w:rsidRPr="00661921">
        <w:rPr>
          <w:rFonts w:cs="Arial"/>
          <w:color w:val="FF0000"/>
        </w:rPr>
        <w:t>explicit,</w:t>
      </w:r>
      <w:r w:rsidR="0034018A" w:rsidRPr="00661921">
        <w:rPr>
          <w:rFonts w:cs="Arial"/>
          <w:color w:val="FF0000"/>
        </w:rPr>
        <w:t xml:space="preserve"> and judicious (Young, 2024 &amp; Green, 2024).</w:t>
      </w:r>
    </w:p>
    <w:p w14:paraId="1D5C80D4" w14:textId="77777777" w:rsidR="003E398C" w:rsidRDefault="003E398C" w:rsidP="0034741E">
      <w:pPr>
        <w:spacing w:line="360" w:lineRule="auto"/>
        <w:rPr>
          <w:rFonts w:cs="Arial"/>
          <w:color w:val="FF0000"/>
        </w:rPr>
      </w:pPr>
    </w:p>
    <w:p w14:paraId="4AC9C606" w14:textId="32848887" w:rsidR="0042637A" w:rsidRDefault="00E23B8D" w:rsidP="0034741E">
      <w:pPr>
        <w:spacing w:line="360" w:lineRule="auto"/>
        <w:rPr>
          <w:rFonts w:cs="Arial"/>
          <w:color w:val="FF0000"/>
        </w:rPr>
      </w:pPr>
      <w:r>
        <w:rPr>
          <w:rFonts w:cs="Arial"/>
          <w:color w:val="FF0000"/>
        </w:rPr>
        <w:t>Evidence-based</w:t>
      </w:r>
      <w:r w:rsidR="00BF2E49">
        <w:rPr>
          <w:rFonts w:cs="Arial"/>
          <w:color w:val="FF0000"/>
        </w:rPr>
        <w:t xml:space="preserve"> practice is essential for informed decision making</w:t>
      </w:r>
      <w:r w:rsidR="00A126A0">
        <w:rPr>
          <w:rFonts w:cs="Arial"/>
          <w:color w:val="FF0000"/>
        </w:rPr>
        <w:t xml:space="preserve"> as it relies on research, data and professional expertise</w:t>
      </w:r>
      <w:r w:rsidR="00F719AC">
        <w:rPr>
          <w:rFonts w:cs="Arial"/>
          <w:color w:val="FF0000"/>
        </w:rPr>
        <w:t xml:space="preserve"> to address organisational issues, particularly in a HR context. </w:t>
      </w:r>
      <w:r w:rsidR="00A47E28">
        <w:rPr>
          <w:rFonts w:cs="Arial"/>
          <w:color w:val="FF0000"/>
        </w:rPr>
        <w:t>When implemented</w:t>
      </w:r>
      <w:r w:rsidR="005527A3">
        <w:rPr>
          <w:rFonts w:cs="Arial"/>
          <w:color w:val="FF0000"/>
        </w:rPr>
        <w:t xml:space="preserve">, organisations use reliable evidence which </w:t>
      </w:r>
      <w:r w:rsidR="00F61162">
        <w:rPr>
          <w:rFonts w:cs="Arial"/>
          <w:color w:val="FF0000"/>
        </w:rPr>
        <w:t>ensures fairness and improves outcomes</w:t>
      </w:r>
      <w:r w:rsidR="005050B6">
        <w:rPr>
          <w:rFonts w:cs="Arial"/>
          <w:color w:val="FF0000"/>
        </w:rPr>
        <w:t>, which helps foster a</w:t>
      </w:r>
      <w:r w:rsidR="00C033C4">
        <w:rPr>
          <w:rFonts w:cs="Arial"/>
          <w:color w:val="FF0000"/>
        </w:rPr>
        <w:t xml:space="preserve"> better reputation as an organisation</w:t>
      </w:r>
      <w:r w:rsidR="0042637A">
        <w:rPr>
          <w:rFonts w:cs="Arial"/>
          <w:color w:val="FF0000"/>
        </w:rPr>
        <w:t xml:space="preserve">. To achieve </w:t>
      </w:r>
      <w:r w:rsidR="00BA7FBB">
        <w:rPr>
          <w:rFonts w:cs="Arial"/>
          <w:color w:val="FF0000"/>
        </w:rPr>
        <w:t>optimal results</w:t>
      </w:r>
      <w:r w:rsidR="0042637A">
        <w:rPr>
          <w:rFonts w:cs="Arial"/>
          <w:color w:val="FF0000"/>
        </w:rPr>
        <w:t xml:space="preserve">, it’s crucial for HR professionals to understand and facilitate </w:t>
      </w:r>
      <w:r w:rsidR="00BA7FBB">
        <w:rPr>
          <w:rFonts w:cs="Arial"/>
          <w:color w:val="FF0000"/>
        </w:rPr>
        <w:t>evidence-based practice</w:t>
      </w:r>
      <w:r w:rsidR="0042637A">
        <w:rPr>
          <w:rFonts w:cs="Arial"/>
          <w:color w:val="FF0000"/>
        </w:rPr>
        <w:t xml:space="preserve"> (Gifford, Barends and Young, 2023).</w:t>
      </w:r>
    </w:p>
    <w:p w14:paraId="72C2B635" w14:textId="77777777" w:rsidR="0070025E" w:rsidRDefault="0070025E" w:rsidP="00234A71">
      <w:pPr>
        <w:spacing w:line="360" w:lineRule="auto"/>
        <w:rPr>
          <w:rFonts w:cs="Arial"/>
        </w:rPr>
      </w:pPr>
    </w:p>
    <w:p w14:paraId="162CBC1F" w14:textId="35ACF860" w:rsidR="0070025E" w:rsidRPr="00037B0D" w:rsidRDefault="0070025E" w:rsidP="00234A71">
      <w:pPr>
        <w:spacing w:line="360" w:lineRule="auto"/>
        <w:rPr>
          <w:rFonts w:cs="Arial"/>
          <w:strike/>
        </w:rPr>
      </w:pPr>
      <w:r w:rsidRPr="00037B0D">
        <w:rPr>
          <w:rFonts w:cs="Arial"/>
          <w:strike/>
        </w:rPr>
        <w:t>4 sources of information and the 6 A’s. Leading organisation with its data.</w:t>
      </w:r>
    </w:p>
    <w:p w14:paraId="3BB32751" w14:textId="4F035B34" w:rsidR="0070025E" w:rsidRPr="00037B0D" w:rsidRDefault="0070025E" w:rsidP="00234A71">
      <w:pPr>
        <w:spacing w:line="360" w:lineRule="auto"/>
        <w:rPr>
          <w:rFonts w:cs="Arial"/>
          <w:strike/>
        </w:rPr>
      </w:pPr>
      <w:r w:rsidRPr="00037B0D">
        <w:rPr>
          <w:rFonts w:cs="Arial"/>
          <w:strike/>
        </w:rPr>
        <w:t>Use Gifford, Barends and Young (2023)</w:t>
      </w:r>
    </w:p>
    <w:p w14:paraId="60ADF558" w14:textId="7F6A5ECA" w:rsidR="00BE170B" w:rsidRDefault="00BE170B" w:rsidP="00234A71">
      <w:pPr>
        <w:spacing w:line="360" w:lineRule="auto"/>
        <w:rPr>
          <w:rFonts w:cs="Arial"/>
        </w:rPr>
      </w:pPr>
    </w:p>
    <w:p w14:paraId="18C139BA" w14:textId="22E11D03" w:rsidR="00BE170B" w:rsidRPr="003E398C" w:rsidRDefault="00BE170B" w:rsidP="00234A71">
      <w:pPr>
        <w:spacing w:line="360" w:lineRule="auto"/>
        <w:rPr>
          <w:rFonts w:cs="Arial"/>
          <w:strike/>
        </w:rPr>
      </w:pPr>
      <w:r w:rsidRPr="003E398C">
        <w:rPr>
          <w:rFonts w:cs="Arial"/>
          <w:strike/>
        </w:rPr>
        <w:t xml:space="preserve">Ultimately, evidence-based practice shouldn’t be limited to a few individuals to focus </w:t>
      </w:r>
      <w:r w:rsidR="006C493C" w:rsidRPr="003E398C">
        <w:rPr>
          <w:rFonts w:cs="Arial"/>
          <w:strike/>
        </w:rPr>
        <w:t>on but</w:t>
      </w:r>
      <w:r w:rsidRPr="003E398C">
        <w:rPr>
          <w:rFonts w:cs="Arial"/>
          <w:strike/>
        </w:rPr>
        <w:t xml:space="preserve"> should be embedded into all people-practice professionals as a way of thinking.</w:t>
      </w:r>
      <w:r w:rsidR="006C493C" w:rsidRPr="003E398C">
        <w:rPr>
          <w:rFonts w:cs="Arial"/>
          <w:strike/>
        </w:rPr>
        <w:t xml:space="preserve"> </w:t>
      </w:r>
      <w:r w:rsidR="003E398C" w:rsidRPr="003E398C">
        <w:rPr>
          <w:rFonts w:cs="Arial"/>
          <w:strike/>
        </w:rPr>
        <w:t>Briner reiterates that the purpose of Human Resources in any organisation is to help the business achieve their desired outcomes, and evidently, the best approach is through evidence-based practice (Green, 2024).</w:t>
      </w:r>
    </w:p>
    <w:p w14:paraId="07E43A28" w14:textId="77777777" w:rsidR="006C493C" w:rsidRDefault="006C493C" w:rsidP="00234A71">
      <w:pPr>
        <w:spacing w:line="360" w:lineRule="auto"/>
        <w:rPr>
          <w:rFonts w:cs="Arial"/>
        </w:rPr>
      </w:pPr>
    </w:p>
    <w:p w14:paraId="2D3B97BE" w14:textId="77777777" w:rsidR="006C493C" w:rsidRDefault="006C493C" w:rsidP="00234A71">
      <w:pPr>
        <w:spacing w:line="360" w:lineRule="auto"/>
        <w:rPr>
          <w:rFonts w:cs="Arial"/>
        </w:rPr>
      </w:pPr>
    </w:p>
    <w:p w14:paraId="077856E7" w14:textId="77777777" w:rsidR="002F4AA3" w:rsidRDefault="002F4AA3" w:rsidP="00234A71">
      <w:pPr>
        <w:spacing w:line="360" w:lineRule="auto"/>
        <w:rPr>
          <w:rFonts w:cs="Arial"/>
        </w:rPr>
      </w:pPr>
    </w:p>
    <w:p w14:paraId="26338CC5" w14:textId="77777777" w:rsidR="00726D60" w:rsidRDefault="00726D60" w:rsidP="00234A71">
      <w:pPr>
        <w:spacing w:line="360" w:lineRule="auto"/>
        <w:rPr>
          <w:rFonts w:cs="Arial"/>
        </w:rPr>
      </w:pPr>
    </w:p>
    <w:p w14:paraId="42A3F988" w14:textId="77777777" w:rsidR="00726D60" w:rsidRDefault="00726D60" w:rsidP="00234A71">
      <w:pPr>
        <w:spacing w:line="360" w:lineRule="auto"/>
        <w:rPr>
          <w:rFonts w:cs="Arial"/>
        </w:rPr>
      </w:pPr>
    </w:p>
    <w:p w14:paraId="1BAB6AE1" w14:textId="77777777" w:rsidR="00726D60" w:rsidRDefault="00726D60" w:rsidP="00234A71">
      <w:pPr>
        <w:spacing w:line="360" w:lineRule="auto"/>
        <w:rPr>
          <w:rFonts w:cs="Arial"/>
        </w:rPr>
      </w:pPr>
    </w:p>
    <w:p w14:paraId="38D6ECFB" w14:textId="77777777" w:rsidR="00726D60" w:rsidRDefault="00726D60" w:rsidP="00234A71">
      <w:pPr>
        <w:spacing w:line="360" w:lineRule="auto"/>
        <w:rPr>
          <w:rFonts w:cs="Arial"/>
        </w:rPr>
      </w:pPr>
    </w:p>
    <w:p w14:paraId="1326CA0B" w14:textId="77777777" w:rsidR="00726D60" w:rsidRDefault="00726D60" w:rsidP="00234A71">
      <w:pPr>
        <w:spacing w:line="360" w:lineRule="auto"/>
        <w:rPr>
          <w:rFonts w:cs="Arial"/>
        </w:rPr>
      </w:pPr>
    </w:p>
    <w:p w14:paraId="71B7FCD7" w14:textId="77777777" w:rsidR="00C033C4" w:rsidRDefault="00C033C4" w:rsidP="00234A71">
      <w:pPr>
        <w:spacing w:line="360" w:lineRule="auto"/>
        <w:rPr>
          <w:rFonts w:cs="Arial"/>
        </w:rPr>
      </w:pPr>
    </w:p>
    <w:p w14:paraId="7EFA9C4B" w14:textId="77777777" w:rsidR="00B6138C" w:rsidRPr="00BE170B" w:rsidRDefault="00B6138C" w:rsidP="00234A71">
      <w:pPr>
        <w:spacing w:line="360" w:lineRule="auto"/>
        <w:rPr>
          <w:rFonts w:cs="Arial"/>
        </w:rPr>
      </w:pPr>
    </w:p>
    <w:p w14:paraId="77084D64" w14:textId="2D17EF78" w:rsidR="00CB4E28" w:rsidRDefault="00CB4E28" w:rsidP="0039627B">
      <w:pPr>
        <w:pStyle w:val="AssignmentHeading1"/>
      </w:pPr>
      <w:bookmarkStart w:id="3" w:name="_Toc183358563"/>
      <w:bookmarkStart w:id="4" w:name="_Toc184048306"/>
      <w:r w:rsidRPr="00CB4E28">
        <w:lastRenderedPageBreak/>
        <w:t>Analysis Tools &amp; Methods (AC1.2)</w:t>
      </w:r>
      <w:bookmarkEnd w:id="3"/>
      <w:bookmarkEnd w:id="4"/>
    </w:p>
    <w:p w14:paraId="363D7019" w14:textId="77777777" w:rsidR="00234A71" w:rsidRDefault="00234A71" w:rsidP="00234A71">
      <w:pPr>
        <w:spacing w:line="360" w:lineRule="auto"/>
        <w:rPr>
          <w:rFonts w:cs="Arial"/>
          <w:b/>
          <w:bCs/>
          <w:u w:val="single"/>
        </w:rPr>
      </w:pPr>
    </w:p>
    <w:p w14:paraId="2A91EC7A" w14:textId="77777777" w:rsidR="006C493C" w:rsidRDefault="006C493C" w:rsidP="006C493C">
      <w:pPr>
        <w:spacing w:line="360" w:lineRule="auto"/>
        <w:rPr>
          <w:rFonts w:cs="Arial"/>
        </w:rPr>
      </w:pPr>
      <w:r>
        <w:rPr>
          <w:rFonts w:cs="Arial"/>
        </w:rPr>
        <w:t>Analysis within any organisation is a fundamental process for its successful operation. There are several analysis tools and methods that can be used to obtain accurate internal or external data, however it’s crucial for an organisation to recognise that not all tools will be the best fit for what’s needed.</w:t>
      </w:r>
    </w:p>
    <w:p w14:paraId="4F6AC602" w14:textId="77777777" w:rsidR="006C493C" w:rsidRDefault="006C493C" w:rsidP="006C493C">
      <w:pPr>
        <w:spacing w:line="360" w:lineRule="auto"/>
        <w:rPr>
          <w:rFonts w:cs="Arial"/>
        </w:rPr>
      </w:pPr>
    </w:p>
    <w:p w14:paraId="69C84AFD" w14:textId="68F4F530" w:rsidR="00234A71" w:rsidRDefault="006C493C" w:rsidP="006C493C">
      <w:pPr>
        <w:spacing w:line="360" w:lineRule="auto"/>
        <w:rPr>
          <w:rFonts w:cs="Arial"/>
        </w:rPr>
      </w:pPr>
      <w:r>
        <w:rPr>
          <w:rFonts w:cs="Arial"/>
        </w:rPr>
        <w:t xml:space="preserve">One of the most popular analysis tools is SWOT (Strengths, Weaknesses, Opportunities and Threats) due to being straightforward, whilst not sacrificing on rich data. </w:t>
      </w:r>
      <w:r w:rsidR="001737E1">
        <w:rPr>
          <w:rFonts w:cs="Arial"/>
        </w:rPr>
        <w:t xml:space="preserve">SWOT analysis is a planning tool which helps understand key internal </w:t>
      </w:r>
      <w:r w:rsidR="0027263A">
        <w:rPr>
          <w:rFonts w:cs="Arial"/>
          <w:color w:val="FF0000"/>
        </w:rPr>
        <w:t xml:space="preserve">factors </w:t>
      </w:r>
      <w:r w:rsidR="00586030">
        <w:rPr>
          <w:rFonts w:cs="Arial"/>
          <w:color w:val="FF0000"/>
        </w:rPr>
        <w:t xml:space="preserve">(strengths and weaknesses) </w:t>
      </w:r>
      <w:r w:rsidR="001737E1">
        <w:rPr>
          <w:rFonts w:cs="Arial"/>
        </w:rPr>
        <w:t xml:space="preserve">or external </w:t>
      </w:r>
      <w:r w:rsidR="0027263A">
        <w:rPr>
          <w:rFonts w:cs="Arial"/>
          <w:color w:val="FF0000"/>
        </w:rPr>
        <w:t xml:space="preserve">environmental </w:t>
      </w:r>
      <w:r w:rsidR="001737E1">
        <w:rPr>
          <w:rFonts w:cs="Arial"/>
        </w:rPr>
        <w:t>factors</w:t>
      </w:r>
      <w:r w:rsidR="00586030">
        <w:rPr>
          <w:rFonts w:cs="Arial"/>
        </w:rPr>
        <w:t xml:space="preserve"> </w:t>
      </w:r>
      <w:r w:rsidR="00586030">
        <w:rPr>
          <w:rFonts w:cs="Arial"/>
          <w:color w:val="FF0000"/>
        </w:rPr>
        <w:t>(opportunities and threats) affecting an organisation</w:t>
      </w:r>
      <w:r w:rsidR="001737E1">
        <w:rPr>
          <w:rFonts w:cs="Arial"/>
        </w:rPr>
        <w:t xml:space="preserve"> </w:t>
      </w:r>
      <w:r w:rsidR="001737E1" w:rsidRPr="00587E04">
        <w:rPr>
          <w:rFonts w:cs="Arial"/>
          <w:strike/>
        </w:rPr>
        <w:t xml:space="preserve">within an </w:t>
      </w:r>
      <w:r w:rsidR="00587E04" w:rsidRPr="00587E04">
        <w:rPr>
          <w:rFonts w:cs="Arial"/>
          <w:strike/>
        </w:rPr>
        <w:t xml:space="preserve">organisation, </w:t>
      </w:r>
      <w:r w:rsidR="00587E04" w:rsidRPr="00587E04">
        <w:rPr>
          <w:rFonts w:cs="Arial"/>
        </w:rPr>
        <w:t>(</w:t>
      </w:r>
      <w:r w:rsidR="001737E1" w:rsidRPr="00393ABB">
        <w:rPr>
          <w:rFonts w:cs="Arial"/>
          <w:strike/>
        </w:rPr>
        <w:t>CIPD, 2024</w:t>
      </w:r>
      <w:r w:rsidR="003F531F" w:rsidRPr="00393ABB">
        <w:rPr>
          <w:rFonts w:cs="Arial"/>
          <w:strike/>
        </w:rPr>
        <w:t>b</w:t>
      </w:r>
      <w:r w:rsidR="00393ABB">
        <w:rPr>
          <w:rFonts w:cs="Arial"/>
        </w:rPr>
        <w:t xml:space="preserve"> </w:t>
      </w:r>
      <w:r w:rsidR="00393ABB" w:rsidRPr="00393ABB">
        <w:rPr>
          <w:rFonts w:cs="Arial"/>
          <w:color w:val="FF0000"/>
        </w:rPr>
        <w:t>Haan, 2024</w:t>
      </w:r>
      <w:r w:rsidR="001737E1">
        <w:rPr>
          <w:rFonts w:cs="Arial"/>
        </w:rPr>
        <w:t xml:space="preserve">). </w:t>
      </w:r>
      <w:r w:rsidRPr="001E598F">
        <w:rPr>
          <w:rFonts w:cs="Arial"/>
          <w:strike/>
        </w:rPr>
        <w:t xml:space="preserve">Whilst SWOT is often used as part of a strategic or planning process, SWOT can also prove useful to decision-making </w:t>
      </w:r>
      <w:r w:rsidR="00393ABB" w:rsidRPr="001E598F">
        <w:rPr>
          <w:rFonts w:cs="Arial"/>
          <w:strike/>
        </w:rPr>
        <w:t>(CIPD, 2024b).</w:t>
      </w:r>
    </w:p>
    <w:p w14:paraId="50276B48" w14:textId="77777777" w:rsidR="006C493C" w:rsidRDefault="006C493C" w:rsidP="006C493C">
      <w:pPr>
        <w:spacing w:line="360" w:lineRule="auto"/>
        <w:rPr>
          <w:rFonts w:cs="Arial"/>
        </w:rPr>
      </w:pPr>
    </w:p>
    <w:p w14:paraId="51CDD2CA" w14:textId="36CB18EC" w:rsidR="00472371" w:rsidRDefault="006C493C" w:rsidP="00234A71">
      <w:pPr>
        <w:spacing w:line="360" w:lineRule="auto"/>
        <w:rPr>
          <w:rFonts w:cs="Arial"/>
          <w:strike/>
        </w:rPr>
      </w:pPr>
      <w:r w:rsidRPr="00B26771">
        <w:rPr>
          <w:rFonts w:cs="Arial"/>
          <w:strike/>
        </w:rPr>
        <w:t>Advantages – popular for a reason, i</w:t>
      </w:r>
      <w:r w:rsidR="00472371" w:rsidRPr="00B26771">
        <w:rPr>
          <w:rFonts w:cs="Arial"/>
          <w:strike/>
        </w:rPr>
        <w:t xml:space="preserve">t can be used as a quick or comprehensive management tool </w:t>
      </w:r>
      <w:r w:rsidR="00472371" w:rsidRPr="00B26771">
        <w:rPr>
          <w:rFonts w:cs="Arial"/>
          <w:strike/>
        </w:rPr>
        <w:sym w:font="Wingdings" w:char="F0E0"/>
      </w:r>
      <w:r w:rsidR="00472371" w:rsidRPr="00B26771">
        <w:rPr>
          <w:rFonts w:cs="Arial"/>
          <w:strike/>
        </w:rPr>
        <w:t xml:space="preserve"> Flexibility (CIPD, 2024</w:t>
      </w:r>
      <w:r w:rsidR="003F531F" w:rsidRPr="00B26771">
        <w:rPr>
          <w:rFonts w:cs="Arial"/>
          <w:strike/>
        </w:rPr>
        <w:t>b</w:t>
      </w:r>
      <w:r w:rsidR="00472371" w:rsidRPr="00B26771">
        <w:rPr>
          <w:rFonts w:cs="Arial"/>
          <w:strike/>
        </w:rPr>
        <w:t>).</w:t>
      </w:r>
    </w:p>
    <w:p w14:paraId="1D7E2B98" w14:textId="77777777" w:rsidR="00B26771" w:rsidRDefault="00B26771" w:rsidP="00234A71">
      <w:pPr>
        <w:spacing w:line="360" w:lineRule="auto"/>
        <w:rPr>
          <w:rFonts w:cs="Arial"/>
          <w:strike/>
        </w:rPr>
      </w:pPr>
    </w:p>
    <w:p w14:paraId="1E79CD64" w14:textId="02965120" w:rsidR="00B26771" w:rsidRDefault="00B26771" w:rsidP="00234A71">
      <w:pPr>
        <w:spacing w:line="360" w:lineRule="auto"/>
        <w:rPr>
          <w:rFonts w:cs="Arial"/>
          <w:color w:val="FF0000"/>
        </w:rPr>
      </w:pPr>
      <w:r>
        <w:rPr>
          <w:rFonts w:cs="Arial"/>
          <w:color w:val="FF0000"/>
        </w:rPr>
        <w:t xml:space="preserve">Flexibility is one of the many attributes that makes SWOT </w:t>
      </w:r>
      <w:r w:rsidR="00DF02D9">
        <w:rPr>
          <w:rFonts w:cs="Arial"/>
          <w:color w:val="FF0000"/>
        </w:rPr>
        <w:t>popular</w:t>
      </w:r>
      <w:r w:rsidR="001E598F">
        <w:rPr>
          <w:rFonts w:cs="Arial"/>
          <w:color w:val="FF0000"/>
        </w:rPr>
        <w:t>, as it can be used in many scenarios such as strategic planning or decision making</w:t>
      </w:r>
      <w:r>
        <w:rPr>
          <w:rFonts w:cs="Arial"/>
          <w:color w:val="FF0000"/>
        </w:rPr>
        <w:t xml:space="preserve"> (</w:t>
      </w:r>
      <w:r w:rsidR="00393ABB">
        <w:rPr>
          <w:rFonts w:cs="Arial"/>
          <w:color w:val="FF0000"/>
        </w:rPr>
        <w:t>Haan, 2024</w:t>
      </w:r>
      <w:r>
        <w:rPr>
          <w:rFonts w:cs="Arial"/>
          <w:color w:val="FF0000"/>
        </w:rPr>
        <w:t xml:space="preserve">). </w:t>
      </w:r>
      <w:r w:rsidR="00140991">
        <w:rPr>
          <w:rFonts w:cs="Arial"/>
          <w:color w:val="FF0000"/>
        </w:rPr>
        <w:t>The value of SWOT is noted by Haan (2024) in that it offers self-assessment and management for an organisatio</w:t>
      </w:r>
      <w:r w:rsidR="0082656A">
        <w:rPr>
          <w:rFonts w:cs="Arial"/>
          <w:color w:val="FF0000"/>
        </w:rPr>
        <w:t>n. The suggested process for SWOT by CIPD</w:t>
      </w:r>
      <w:r w:rsidR="00420449">
        <w:rPr>
          <w:rFonts w:cs="Arial"/>
          <w:color w:val="FF0000"/>
        </w:rPr>
        <w:t xml:space="preserve"> (Haan, 2024)</w:t>
      </w:r>
      <w:r w:rsidR="0082656A">
        <w:rPr>
          <w:rFonts w:cs="Arial"/>
          <w:color w:val="FF0000"/>
        </w:rPr>
        <w:t xml:space="preserve"> </w:t>
      </w:r>
      <w:r w:rsidR="002E4400">
        <w:rPr>
          <w:rFonts w:cs="Arial"/>
          <w:color w:val="FF0000"/>
        </w:rPr>
        <w:t>is:</w:t>
      </w:r>
    </w:p>
    <w:p w14:paraId="04BAB311" w14:textId="77777777" w:rsidR="002E4400" w:rsidRDefault="002E4400" w:rsidP="00234A71">
      <w:pPr>
        <w:spacing w:line="360" w:lineRule="auto"/>
        <w:rPr>
          <w:rFonts w:cs="Arial"/>
          <w:color w:val="FF0000"/>
        </w:rPr>
      </w:pPr>
    </w:p>
    <w:p w14:paraId="4B576DE3" w14:textId="43FEF678" w:rsidR="002E4400" w:rsidRDefault="002E4400" w:rsidP="002E4400">
      <w:pPr>
        <w:pStyle w:val="ListParagraph"/>
        <w:numPr>
          <w:ilvl w:val="0"/>
          <w:numId w:val="12"/>
        </w:numPr>
        <w:spacing w:line="360" w:lineRule="auto"/>
        <w:rPr>
          <w:rFonts w:cs="Arial"/>
          <w:color w:val="FF0000"/>
        </w:rPr>
      </w:pPr>
      <w:r>
        <w:rPr>
          <w:rFonts w:cs="Arial"/>
          <w:color w:val="FF0000"/>
        </w:rPr>
        <w:t>Describe how the information is to be collected and by whom.</w:t>
      </w:r>
    </w:p>
    <w:p w14:paraId="73117AAB" w14:textId="5C1F9E0B" w:rsidR="002E4400" w:rsidRDefault="002E4400" w:rsidP="002E4400">
      <w:pPr>
        <w:pStyle w:val="ListParagraph"/>
        <w:numPr>
          <w:ilvl w:val="0"/>
          <w:numId w:val="12"/>
        </w:numPr>
        <w:spacing w:line="360" w:lineRule="auto"/>
        <w:rPr>
          <w:rFonts w:cs="Arial"/>
          <w:color w:val="FF0000"/>
        </w:rPr>
      </w:pPr>
      <w:r>
        <w:rPr>
          <w:rFonts w:cs="Arial"/>
          <w:color w:val="FF0000"/>
        </w:rPr>
        <w:t>Identify appropriate sources of information.</w:t>
      </w:r>
    </w:p>
    <w:p w14:paraId="325FD3A0" w14:textId="78B1DB00" w:rsidR="002E4400" w:rsidRDefault="002E4400" w:rsidP="002E4400">
      <w:pPr>
        <w:pStyle w:val="ListParagraph"/>
        <w:numPr>
          <w:ilvl w:val="0"/>
          <w:numId w:val="12"/>
        </w:numPr>
        <w:spacing w:line="360" w:lineRule="auto"/>
        <w:rPr>
          <w:rFonts w:cs="Arial"/>
          <w:color w:val="FF0000"/>
        </w:rPr>
      </w:pPr>
      <w:r>
        <w:rPr>
          <w:rFonts w:cs="Arial"/>
          <w:color w:val="FF0000"/>
        </w:rPr>
        <w:t>Gather the information.</w:t>
      </w:r>
    </w:p>
    <w:p w14:paraId="53249B04" w14:textId="6231F6B1" w:rsidR="002E4400" w:rsidRDefault="002E4400" w:rsidP="002E4400">
      <w:pPr>
        <w:pStyle w:val="ListParagraph"/>
        <w:numPr>
          <w:ilvl w:val="0"/>
          <w:numId w:val="12"/>
        </w:numPr>
        <w:spacing w:line="360" w:lineRule="auto"/>
        <w:rPr>
          <w:rFonts w:cs="Arial"/>
          <w:color w:val="FF0000"/>
        </w:rPr>
      </w:pPr>
      <w:r>
        <w:rPr>
          <w:rFonts w:cs="Arial"/>
          <w:color w:val="FF0000"/>
        </w:rPr>
        <w:t>Plot the findings.</w:t>
      </w:r>
    </w:p>
    <w:p w14:paraId="5A12F33C" w14:textId="5BBC7A24" w:rsidR="002E4400" w:rsidRDefault="002E4400" w:rsidP="002E4400">
      <w:pPr>
        <w:pStyle w:val="ListParagraph"/>
        <w:numPr>
          <w:ilvl w:val="0"/>
          <w:numId w:val="12"/>
        </w:numPr>
        <w:spacing w:line="360" w:lineRule="auto"/>
        <w:rPr>
          <w:rFonts w:cs="Arial"/>
          <w:color w:val="FF0000"/>
        </w:rPr>
      </w:pPr>
      <w:r>
        <w:rPr>
          <w:rFonts w:cs="Arial"/>
          <w:color w:val="FF0000"/>
        </w:rPr>
        <w:t>Identify the most important issues.</w:t>
      </w:r>
    </w:p>
    <w:p w14:paraId="5DAFC3E3" w14:textId="2367E304" w:rsidR="002E4400" w:rsidRDefault="002E4400" w:rsidP="002E4400">
      <w:pPr>
        <w:pStyle w:val="ListParagraph"/>
        <w:numPr>
          <w:ilvl w:val="0"/>
          <w:numId w:val="12"/>
        </w:numPr>
        <w:spacing w:line="360" w:lineRule="auto"/>
        <w:rPr>
          <w:rFonts w:cs="Arial"/>
          <w:color w:val="FF0000"/>
        </w:rPr>
      </w:pPr>
      <w:r>
        <w:rPr>
          <w:rFonts w:cs="Arial"/>
          <w:color w:val="FF0000"/>
        </w:rPr>
        <w:t>Identify strategic options.</w:t>
      </w:r>
    </w:p>
    <w:p w14:paraId="48E1EBAE" w14:textId="48195BDF" w:rsidR="002E4400" w:rsidRDefault="002E4400" w:rsidP="002E4400">
      <w:pPr>
        <w:pStyle w:val="ListParagraph"/>
        <w:numPr>
          <w:ilvl w:val="0"/>
          <w:numId w:val="12"/>
        </w:numPr>
        <w:spacing w:line="360" w:lineRule="auto"/>
        <w:rPr>
          <w:rFonts w:cs="Arial"/>
          <w:color w:val="FF0000"/>
        </w:rPr>
      </w:pPr>
      <w:r>
        <w:rPr>
          <w:rFonts w:cs="Arial"/>
          <w:color w:val="FF0000"/>
        </w:rPr>
        <w:t>Create a discussion document.</w:t>
      </w:r>
    </w:p>
    <w:p w14:paraId="149B67CE" w14:textId="47D166FB" w:rsidR="002E4400" w:rsidRDefault="002E4400" w:rsidP="002E4400">
      <w:pPr>
        <w:pStyle w:val="ListParagraph"/>
        <w:numPr>
          <w:ilvl w:val="0"/>
          <w:numId w:val="12"/>
        </w:numPr>
        <w:spacing w:line="360" w:lineRule="auto"/>
        <w:rPr>
          <w:rFonts w:cs="Arial"/>
          <w:color w:val="FF0000"/>
        </w:rPr>
      </w:pPr>
      <w:r>
        <w:rPr>
          <w:rFonts w:cs="Arial"/>
          <w:color w:val="FF0000"/>
        </w:rPr>
        <w:t>Discuss the findings.</w:t>
      </w:r>
    </w:p>
    <w:p w14:paraId="38F5AA03" w14:textId="3BAE39DD" w:rsidR="00B26771" w:rsidRPr="00420449" w:rsidRDefault="002E4400" w:rsidP="00234A71">
      <w:pPr>
        <w:pStyle w:val="ListParagraph"/>
        <w:numPr>
          <w:ilvl w:val="0"/>
          <w:numId w:val="12"/>
        </w:numPr>
        <w:spacing w:line="360" w:lineRule="auto"/>
        <w:rPr>
          <w:rFonts w:cs="Arial"/>
          <w:color w:val="FF0000"/>
        </w:rPr>
      </w:pPr>
      <w:r>
        <w:rPr>
          <w:rFonts w:cs="Arial"/>
          <w:color w:val="FF0000"/>
        </w:rPr>
        <w:t xml:space="preserve">Decide which activities are a priority in </w:t>
      </w:r>
      <w:r w:rsidR="00420449">
        <w:rPr>
          <w:rFonts w:cs="Arial"/>
          <w:color w:val="FF0000"/>
        </w:rPr>
        <w:t>an organisational context.</w:t>
      </w:r>
    </w:p>
    <w:p w14:paraId="2C526965" w14:textId="77777777" w:rsidR="009412B8" w:rsidRDefault="009412B8" w:rsidP="00234A71">
      <w:pPr>
        <w:spacing w:line="360" w:lineRule="auto"/>
        <w:rPr>
          <w:rFonts w:cs="Arial"/>
          <w:color w:val="FF0000"/>
        </w:rPr>
      </w:pPr>
    </w:p>
    <w:p w14:paraId="328450ED" w14:textId="1C53AF87" w:rsidR="009412B8" w:rsidRDefault="00420449" w:rsidP="009412B8">
      <w:pPr>
        <w:spacing w:line="360" w:lineRule="auto"/>
        <w:rPr>
          <w:rFonts w:cs="Arial"/>
          <w:color w:val="FF0000"/>
        </w:rPr>
      </w:pPr>
      <w:r>
        <w:rPr>
          <w:rFonts w:cs="Arial"/>
          <w:color w:val="FF0000"/>
        </w:rPr>
        <w:lastRenderedPageBreak/>
        <w:t xml:space="preserve">This process itself is a data capturing </w:t>
      </w:r>
      <w:r w:rsidR="00E7223C">
        <w:rPr>
          <w:rFonts w:cs="Arial"/>
          <w:color w:val="FF0000"/>
        </w:rPr>
        <w:t>exercise</w:t>
      </w:r>
      <w:r w:rsidR="00DA318D">
        <w:rPr>
          <w:rFonts w:cs="Arial"/>
          <w:color w:val="FF0000"/>
        </w:rPr>
        <w:t>,</w:t>
      </w:r>
      <w:r w:rsidR="003E52E1">
        <w:rPr>
          <w:rFonts w:cs="Arial"/>
          <w:color w:val="FF0000"/>
        </w:rPr>
        <w:t xml:space="preserve"> </w:t>
      </w:r>
      <w:r w:rsidR="00DA318D">
        <w:rPr>
          <w:rFonts w:cs="Arial"/>
          <w:color w:val="FF0000"/>
        </w:rPr>
        <w:t>therefore,</w:t>
      </w:r>
      <w:r w:rsidR="003E52E1">
        <w:rPr>
          <w:rFonts w:cs="Arial"/>
          <w:color w:val="FF0000"/>
        </w:rPr>
        <w:t xml:space="preserve"> analysis must </w:t>
      </w:r>
      <w:proofErr w:type="gramStart"/>
      <w:r w:rsidR="003E52E1">
        <w:rPr>
          <w:rFonts w:cs="Arial"/>
          <w:color w:val="FF0000"/>
        </w:rPr>
        <w:t>follow after</w:t>
      </w:r>
      <w:proofErr w:type="gramEnd"/>
      <w:r w:rsidR="003E52E1">
        <w:rPr>
          <w:rFonts w:cs="Arial"/>
          <w:color w:val="FF0000"/>
        </w:rPr>
        <w:t>. Haan (2024) notes that whilst analysis can be straightforward,</w:t>
      </w:r>
      <w:r w:rsidR="00CB38FB">
        <w:rPr>
          <w:rFonts w:cs="Arial"/>
          <w:color w:val="FF0000"/>
        </w:rPr>
        <w:t xml:space="preserve"> the strength of SWOT is exacerbated by experienced application, therefore involving experts such as HR professionals in </w:t>
      </w:r>
      <w:r w:rsidR="00E7223C">
        <w:rPr>
          <w:rFonts w:cs="Arial"/>
          <w:color w:val="FF0000"/>
        </w:rPr>
        <w:t>certain contexts</w:t>
      </w:r>
      <w:r w:rsidR="00CB38FB">
        <w:rPr>
          <w:rFonts w:cs="Arial"/>
          <w:color w:val="FF0000"/>
        </w:rPr>
        <w:t xml:space="preserve">, would prove </w:t>
      </w:r>
      <w:r w:rsidR="00E7223C">
        <w:rPr>
          <w:rFonts w:cs="Arial"/>
          <w:color w:val="FF0000"/>
        </w:rPr>
        <w:t>favourable</w:t>
      </w:r>
      <w:r w:rsidR="00CB38FB">
        <w:rPr>
          <w:rFonts w:cs="Arial"/>
          <w:color w:val="FF0000"/>
        </w:rPr>
        <w:t xml:space="preserve">. </w:t>
      </w:r>
    </w:p>
    <w:p w14:paraId="120A9E0E" w14:textId="77777777" w:rsidR="00E7223C" w:rsidRDefault="00E7223C" w:rsidP="009412B8">
      <w:pPr>
        <w:spacing w:line="360" w:lineRule="auto"/>
        <w:rPr>
          <w:rFonts w:cs="Arial"/>
          <w:color w:val="FF0000"/>
        </w:rPr>
      </w:pPr>
    </w:p>
    <w:p w14:paraId="09D721A8" w14:textId="2E76DFA1" w:rsidR="007E0886" w:rsidRDefault="00E7223C" w:rsidP="007E0886">
      <w:pPr>
        <w:spacing w:line="360" w:lineRule="auto"/>
        <w:rPr>
          <w:rFonts w:cs="Arial"/>
          <w:color w:val="FF0000"/>
        </w:rPr>
      </w:pPr>
      <w:r>
        <w:rPr>
          <w:rFonts w:cs="Arial"/>
          <w:color w:val="FF0000"/>
        </w:rPr>
        <w:t xml:space="preserve">SWOT analysis could be used by an organisation to help better understand </w:t>
      </w:r>
      <w:r w:rsidR="00E13756">
        <w:rPr>
          <w:rFonts w:cs="Arial"/>
          <w:color w:val="FF0000"/>
        </w:rPr>
        <w:t xml:space="preserve">retention issues in a particular department through the method of exit interviews. </w:t>
      </w:r>
      <w:r w:rsidR="007E0886">
        <w:rPr>
          <w:rFonts w:cs="Arial"/>
          <w:color w:val="FF0000"/>
        </w:rPr>
        <w:t>Research conducted by Gallup (2024), found that higher rates of employee engagement correlates to less turnover in both larger and smaller organisations</w:t>
      </w:r>
      <w:r w:rsidR="005329DF">
        <w:rPr>
          <w:rFonts w:cs="Arial"/>
          <w:color w:val="FF0000"/>
        </w:rPr>
        <w:t>, therefore monitoring retention rates is imperative.</w:t>
      </w:r>
    </w:p>
    <w:p w14:paraId="6D5C9366" w14:textId="77777777" w:rsidR="001C43A9" w:rsidRDefault="001C43A9" w:rsidP="001C43A9">
      <w:pPr>
        <w:spacing w:line="360" w:lineRule="auto"/>
        <w:rPr>
          <w:rFonts w:cs="Arial"/>
          <w:color w:val="FF0000"/>
        </w:rPr>
      </w:pPr>
    </w:p>
    <w:p w14:paraId="71E9FF6C" w14:textId="2A0F56BE" w:rsidR="00F9386D" w:rsidRDefault="001C43A9" w:rsidP="00234A71">
      <w:pPr>
        <w:spacing w:line="360" w:lineRule="auto"/>
        <w:rPr>
          <w:rFonts w:cs="Arial"/>
          <w:color w:val="FF0000"/>
        </w:rPr>
      </w:pPr>
      <w:r>
        <w:rPr>
          <w:rFonts w:cs="Arial"/>
          <w:color w:val="FF0000"/>
        </w:rPr>
        <w:t>Interviews are particularly useful when researchers need to investigate a small number of issues in a significant amount of detail</w:t>
      </w:r>
      <w:r w:rsidR="005D444C">
        <w:rPr>
          <w:rFonts w:cs="Arial"/>
          <w:color w:val="FF0000"/>
        </w:rPr>
        <w:t xml:space="preserve"> (Woodhams and Perkins, 2022a).</w:t>
      </w:r>
      <w:r>
        <w:rPr>
          <w:rFonts w:cs="Arial"/>
          <w:color w:val="FF0000"/>
        </w:rPr>
        <w:t xml:space="preserve"> For </w:t>
      </w:r>
      <w:r w:rsidR="005D444C">
        <w:rPr>
          <w:rFonts w:cs="Arial"/>
          <w:color w:val="FF0000"/>
        </w:rPr>
        <w:t>example,</w:t>
      </w:r>
      <w:r>
        <w:rPr>
          <w:rFonts w:cs="Arial"/>
          <w:color w:val="FF0000"/>
        </w:rPr>
        <w:t xml:space="preserve"> allowing HR professionals to gain insight into complex issues such as employee engage</w:t>
      </w:r>
      <w:r w:rsidR="005D444C">
        <w:rPr>
          <w:rFonts w:cs="Arial"/>
          <w:color w:val="FF0000"/>
        </w:rPr>
        <w:t>ment or retention. Interviews as a method can be incredibly time consuming, therefore an analysis tool such as SWOT allows the process to be concise (Woodhams and Perkins, 2022a).</w:t>
      </w:r>
    </w:p>
    <w:p w14:paraId="19A990B7" w14:textId="77777777" w:rsidR="00443A36" w:rsidRPr="00F9386D" w:rsidRDefault="00443A36" w:rsidP="00234A71">
      <w:pPr>
        <w:spacing w:line="360" w:lineRule="auto"/>
        <w:rPr>
          <w:rFonts w:cs="Arial"/>
          <w:color w:val="FF0000"/>
        </w:rPr>
      </w:pPr>
    </w:p>
    <w:p w14:paraId="43C82DF4" w14:textId="3E577A8F" w:rsidR="00472371" w:rsidRPr="00BE2C7D" w:rsidRDefault="001737E1" w:rsidP="00234A71">
      <w:pPr>
        <w:spacing w:line="360" w:lineRule="auto"/>
        <w:rPr>
          <w:rFonts w:cs="Arial"/>
          <w:color w:val="FF0000"/>
        </w:rPr>
      </w:pPr>
      <w:r>
        <w:rPr>
          <w:rFonts w:cs="Arial"/>
        </w:rPr>
        <w:t xml:space="preserve">It’s argued that SWOT is deceptive in </w:t>
      </w:r>
      <w:r w:rsidR="00D16C27">
        <w:rPr>
          <w:rFonts w:cs="Arial"/>
        </w:rPr>
        <w:t>its</w:t>
      </w:r>
      <w:r>
        <w:rPr>
          <w:rFonts w:cs="Arial"/>
        </w:rPr>
        <w:t xml:space="preserve"> simplicity (</w:t>
      </w:r>
      <w:r w:rsidRPr="00393ABB">
        <w:rPr>
          <w:rFonts w:cs="Arial"/>
          <w:strike/>
        </w:rPr>
        <w:t>CIPD, 2024</w:t>
      </w:r>
      <w:r w:rsidR="003F531F" w:rsidRPr="00393ABB">
        <w:rPr>
          <w:rFonts w:cs="Arial"/>
          <w:strike/>
        </w:rPr>
        <w:t>b</w:t>
      </w:r>
      <w:r w:rsidR="00393ABB">
        <w:rPr>
          <w:rFonts w:cs="Arial"/>
          <w:strike/>
        </w:rPr>
        <w:t xml:space="preserve"> </w:t>
      </w:r>
      <w:r w:rsidR="00393ABB" w:rsidRPr="00393ABB">
        <w:rPr>
          <w:rFonts w:cs="Arial"/>
          <w:color w:val="FF0000"/>
        </w:rPr>
        <w:t>Haan, 2024</w:t>
      </w:r>
      <w:r>
        <w:rPr>
          <w:rFonts w:cs="Arial"/>
        </w:rPr>
        <w:t xml:space="preserve">). To achieve a SWOT that proves beneficial and meaningful to the organisation, </w:t>
      </w:r>
      <w:r w:rsidR="00D16C27">
        <w:rPr>
          <w:rFonts w:cs="Arial"/>
        </w:rPr>
        <w:t>time and experience is required due to the possibility of deepened complexity. SWOT analysis can sometimes take an unexpected turn which</w:t>
      </w:r>
      <w:r w:rsidR="00BE2C7D">
        <w:rPr>
          <w:rFonts w:cs="Arial"/>
        </w:rPr>
        <w:t xml:space="preserve"> </w:t>
      </w:r>
      <w:r w:rsidR="00BE2C7D">
        <w:rPr>
          <w:rFonts w:cs="Arial"/>
          <w:color w:val="FF0000"/>
        </w:rPr>
        <w:t xml:space="preserve">can lead to </w:t>
      </w:r>
      <w:r w:rsidR="00631D7F">
        <w:rPr>
          <w:rFonts w:cs="Arial"/>
          <w:color w:val="FF0000"/>
        </w:rPr>
        <w:t xml:space="preserve">an overwhelming amount of information, </w:t>
      </w:r>
      <w:r w:rsidR="00082ED8">
        <w:rPr>
          <w:rFonts w:cs="Arial"/>
          <w:color w:val="FF0000"/>
        </w:rPr>
        <w:t>requiring a significant amount of time</w:t>
      </w:r>
      <w:r w:rsidR="00BF6AC6">
        <w:rPr>
          <w:rFonts w:cs="Arial"/>
          <w:color w:val="FF0000"/>
        </w:rPr>
        <w:t xml:space="preserve"> and effort to dissect (Haan, 2024). </w:t>
      </w:r>
      <w:r w:rsidR="005A4A49">
        <w:rPr>
          <w:rFonts w:cs="Arial"/>
          <w:color w:val="FF0000"/>
        </w:rPr>
        <w:t xml:space="preserve">As a result, there’s an increased risk of </w:t>
      </w:r>
      <w:r w:rsidR="007A219B">
        <w:rPr>
          <w:rFonts w:cs="Arial"/>
          <w:color w:val="FF0000"/>
        </w:rPr>
        <w:t xml:space="preserve">getting impeded </w:t>
      </w:r>
      <w:r w:rsidR="007753D3">
        <w:rPr>
          <w:rFonts w:cs="Arial"/>
          <w:color w:val="FF0000"/>
        </w:rPr>
        <w:t xml:space="preserve">by this information which </w:t>
      </w:r>
      <w:r w:rsidR="00D65BF4">
        <w:rPr>
          <w:rFonts w:cs="Arial"/>
          <w:color w:val="FF0000"/>
        </w:rPr>
        <w:t xml:space="preserve">heightens the risk of improper analysis which leads to incorrect assumptions and/or </w:t>
      </w:r>
      <w:r w:rsidR="00B2685F">
        <w:rPr>
          <w:rFonts w:cs="Arial"/>
          <w:color w:val="FF0000"/>
        </w:rPr>
        <w:t>outcomes</w:t>
      </w:r>
      <w:r w:rsidR="00D65BF4">
        <w:rPr>
          <w:rFonts w:cs="Arial"/>
          <w:color w:val="FF0000"/>
        </w:rPr>
        <w:t>.</w:t>
      </w:r>
      <w:r w:rsidR="00B2685F">
        <w:rPr>
          <w:rFonts w:cs="Arial"/>
          <w:color w:val="FF0000"/>
        </w:rPr>
        <w:t xml:space="preserve"> Making decisions based on these results could have severe consequences, this is why the CIPD encourage </w:t>
      </w:r>
      <w:r w:rsidR="00B95700">
        <w:rPr>
          <w:rFonts w:cs="Arial"/>
          <w:color w:val="FF0000"/>
        </w:rPr>
        <w:t>a collaborative effort with experienced individuals</w:t>
      </w:r>
      <w:r w:rsidR="0010081C">
        <w:rPr>
          <w:rFonts w:cs="Arial"/>
          <w:color w:val="FF0000"/>
        </w:rPr>
        <w:t xml:space="preserve"> and advise to use SWOT in conjunction with other techniques (Haan, 2024).</w:t>
      </w:r>
      <w:r w:rsidR="00B2685F">
        <w:rPr>
          <w:rFonts w:cs="Arial"/>
          <w:color w:val="FF0000"/>
        </w:rPr>
        <w:t xml:space="preserve"> </w:t>
      </w:r>
      <w:r w:rsidR="005D444C">
        <w:rPr>
          <w:rFonts w:cs="Arial"/>
          <w:color w:val="FF0000"/>
        </w:rPr>
        <w:t>Nevertheless,</w:t>
      </w:r>
      <w:r w:rsidR="00E84375">
        <w:rPr>
          <w:rFonts w:cs="Arial"/>
          <w:color w:val="FF0000"/>
        </w:rPr>
        <w:t xml:space="preserve"> the</w:t>
      </w:r>
      <w:r w:rsidR="005D444C">
        <w:rPr>
          <w:rFonts w:cs="Arial"/>
          <w:color w:val="FF0000"/>
        </w:rPr>
        <w:t xml:space="preserve"> strength</w:t>
      </w:r>
      <w:r w:rsidR="00E84375">
        <w:rPr>
          <w:rFonts w:cs="Arial"/>
          <w:color w:val="FF0000"/>
        </w:rPr>
        <w:t xml:space="preserve"> of SWOT</w:t>
      </w:r>
      <w:r w:rsidR="005D444C">
        <w:rPr>
          <w:rFonts w:cs="Arial"/>
          <w:color w:val="FF0000"/>
        </w:rPr>
        <w:t xml:space="preserve"> as an analysis tool has been proven </w:t>
      </w:r>
      <w:r w:rsidR="00941A9B">
        <w:rPr>
          <w:rFonts w:cs="Arial"/>
          <w:color w:val="FF0000"/>
        </w:rPr>
        <w:t xml:space="preserve">by research </w:t>
      </w:r>
      <w:r w:rsidR="00502EF5">
        <w:rPr>
          <w:rFonts w:cs="Arial"/>
          <w:color w:val="FF0000"/>
        </w:rPr>
        <w:t>and in a suitable context, SWOT analysis can help organisations achieve a competitive advantage (</w:t>
      </w:r>
      <w:r w:rsidR="00CC33A4">
        <w:rPr>
          <w:rFonts w:cs="Arial"/>
          <w:color w:val="FF0000"/>
        </w:rPr>
        <w:t xml:space="preserve">Challinor, 2003 &amp; </w:t>
      </w:r>
      <w:r w:rsidR="00502EF5">
        <w:rPr>
          <w:rFonts w:cs="Arial"/>
          <w:color w:val="FF0000"/>
        </w:rPr>
        <w:t>Gallup, 2024).</w:t>
      </w:r>
    </w:p>
    <w:p w14:paraId="3B916458" w14:textId="77777777" w:rsidR="001737E1" w:rsidRDefault="001737E1" w:rsidP="00234A71">
      <w:pPr>
        <w:spacing w:line="360" w:lineRule="auto"/>
        <w:rPr>
          <w:rFonts w:cs="Arial"/>
        </w:rPr>
      </w:pPr>
    </w:p>
    <w:p w14:paraId="07A52EE0" w14:textId="4E87790D" w:rsidR="001737E1" w:rsidRPr="00B26771" w:rsidRDefault="001737E1" w:rsidP="00234A71">
      <w:pPr>
        <w:spacing w:line="360" w:lineRule="auto"/>
        <w:rPr>
          <w:rFonts w:cs="Arial"/>
          <w:strike/>
        </w:rPr>
      </w:pPr>
      <w:r w:rsidRPr="00B26771">
        <w:rPr>
          <w:rFonts w:cs="Arial"/>
          <w:strike/>
        </w:rPr>
        <w:t xml:space="preserve">Capturing SWOT is </w:t>
      </w:r>
      <w:r w:rsidR="00D16C27" w:rsidRPr="00B26771">
        <w:rPr>
          <w:rFonts w:cs="Arial"/>
          <w:strike/>
        </w:rPr>
        <w:t>just</w:t>
      </w:r>
      <w:r w:rsidRPr="00B26771">
        <w:rPr>
          <w:rFonts w:cs="Arial"/>
          <w:strike/>
        </w:rPr>
        <w:t xml:space="preserve"> the beginning of the process, data capturing. Strengths &amp; weaknesses </w:t>
      </w:r>
      <w:r w:rsidR="00D16C27" w:rsidRPr="00B26771">
        <w:rPr>
          <w:rFonts w:cs="Arial"/>
          <w:strike/>
        </w:rPr>
        <w:t>internal</w:t>
      </w:r>
      <w:r w:rsidRPr="00B26771">
        <w:rPr>
          <w:rFonts w:cs="Arial"/>
          <w:strike/>
        </w:rPr>
        <w:t xml:space="preserve">, opportunities and threats external. A collaborative approach to </w:t>
      </w:r>
      <w:r w:rsidRPr="00B26771">
        <w:rPr>
          <w:rFonts w:cs="Arial"/>
          <w:strike/>
        </w:rPr>
        <w:lastRenderedPageBreak/>
        <w:t xml:space="preserve">SWOT is recommended, as it can </w:t>
      </w:r>
      <w:r w:rsidR="00D93378" w:rsidRPr="00B26771">
        <w:rPr>
          <w:rFonts w:cs="Arial"/>
          <w:strike/>
        </w:rPr>
        <w:t xml:space="preserve">easily escalate into something much larger. Designating specific areas/information to team members not only captures a more powerful approach but helps to reduce the risk of  an intricate, and possibly endless inquiry. </w:t>
      </w:r>
    </w:p>
    <w:p w14:paraId="1DE6EB42" w14:textId="77777777" w:rsidR="00472371" w:rsidRDefault="00472371" w:rsidP="00234A71">
      <w:pPr>
        <w:spacing w:line="360" w:lineRule="auto"/>
        <w:rPr>
          <w:rFonts w:cs="Arial"/>
        </w:rPr>
      </w:pPr>
    </w:p>
    <w:p w14:paraId="1AE32B47" w14:textId="73DE5ED1" w:rsidR="00472371" w:rsidRPr="00613FAD" w:rsidRDefault="00472371" w:rsidP="00234A71">
      <w:pPr>
        <w:spacing w:line="360" w:lineRule="auto"/>
        <w:rPr>
          <w:rFonts w:cs="Arial"/>
          <w:strike/>
        </w:rPr>
      </w:pPr>
      <w:r w:rsidRPr="00613FAD">
        <w:rPr>
          <w:rFonts w:cs="Arial"/>
          <w:strike/>
        </w:rPr>
        <w:t xml:space="preserve">Nevertheless, all tools have their strengths and weaknesses, and it’s often recommended for </w:t>
      </w:r>
      <w:r w:rsidR="001737E1" w:rsidRPr="00613FAD">
        <w:rPr>
          <w:rFonts w:cs="Arial"/>
          <w:strike/>
        </w:rPr>
        <w:t xml:space="preserve">a </w:t>
      </w:r>
      <w:r w:rsidRPr="00613FAD">
        <w:rPr>
          <w:rFonts w:cs="Arial"/>
          <w:strike/>
        </w:rPr>
        <w:t>more complex analysis</w:t>
      </w:r>
      <w:r w:rsidR="001737E1" w:rsidRPr="00613FAD">
        <w:rPr>
          <w:rFonts w:cs="Arial"/>
          <w:strike/>
        </w:rPr>
        <w:t>,</w:t>
      </w:r>
      <w:r w:rsidRPr="00613FAD">
        <w:rPr>
          <w:rFonts w:cs="Arial"/>
          <w:strike/>
        </w:rPr>
        <w:t xml:space="preserve"> such as strategic planning</w:t>
      </w:r>
      <w:r w:rsidR="001737E1" w:rsidRPr="00613FAD">
        <w:rPr>
          <w:rFonts w:cs="Arial"/>
          <w:strike/>
        </w:rPr>
        <w:t>,</w:t>
      </w:r>
      <w:r w:rsidRPr="00613FAD">
        <w:rPr>
          <w:rFonts w:cs="Arial"/>
          <w:strike/>
        </w:rPr>
        <w:t xml:space="preserve"> to use a combination of two tools, such as SWOT and PESTLE.</w:t>
      </w:r>
    </w:p>
    <w:p w14:paraId="73B244D5" w14:textId="77777777" w:rsidR="007A095E" w:rsidRDefault="007A095E" w:rsidP="00234A71">
      <w:pPr>
        <w:spacing w:line="360" w:lineRule="auto"/>
        <w:rPr>
          <w:rFonts w:cs="Arial"/>
        </w:rPr>
      </w:pPr>
    </w:p>
    <w:p w14:paraId="53AB3447" w14:textId="77777777" w:rsidR="00CB5FAA" w:rsidRDefault="007A095E" w:rsidP="00234A71">
      <w:pPr>
        <w:spacing w:line="360" w:lineRule="auto"/>
        <w:rPr>
          <w:rFonts w:cs="Arial"/>
          <w:strike/>
        </w:rPr>
      </w:pPr>
      <w:r w:rsidRPr="00790CC3">
        <w:rPr>
          <w:rFonts w:cs="Arial"/>
          <w:strike/>
        </w:rPr>
        <w:t xml:space="preserve">Talent management is integral to ensuring that the organisation can successfully acquire and retain essential talent and ensuring that these employees are engaged. </w:t>
      </w:r>
      <w:r w:rsidR="001737E1" w:rsidRPr="00790CC3">
        <w:rPr>
          <w:rFonts w:cs="Arial"/>
          <w:strike/>
        </w:rPr>
        <w:t>Ability</w:t>
      </w:r>
      <w:r w:rsidRPr="00790CC3">
        <w:rPr>
          <w:rFonts w:cs="Arial"/>
          <w:strike/>
        </w:rPr>
        <w:t xml:space="preserve"> to effectively address </w:t>
      </w:r>
      <w:r w:rsidR="00D16C27" w:rsidRPr="00790CC3">
        <w:rPr>
          <w:rFonts w:cs="Arial"/>
          <w:strike/>
        </w:rPr>
        <w:t>both</w:t>
      </w:r>
      <w:r w:rsidRPr="00790CC3">
        <w:rPr>
          <w:rFonts w:cs="Arial"/>
          <w:strike/>
        </w:rPr>
        <w:t xml:space="preserve"> issues is a fundamental determinant of organisational success (Christensen Hughes and Rog, 2008).</w:t>
      </w:r>
    </w:p>
    <w:p w14:paraId="7FB61DCF" w14:textId="77777777" w:rsidR="00351E53" w:rsidRDefault="00351E53" w:rsidP="0039627B">
      <w:pPr>
        <w:pStyle w:val="AssignmentHeading1"/>
      </w:pPr>
      <w:bookmarkStart w:id="5" w:name="_Toc183358564"/>
      <w:bookmarkStart w:id="6" w:name="_Toc184048307"/>
    </w:p>
    <w:p w14:paraId="5DFBE5A6" w14:textId="77777777" w:rsidR="00351E53" w:rsidRDefault="00351E53" w:rsidP="0039627B">
      <w:pPr>
        <w:pStyle w:val="AssignmentHeading1"/>
      </w:pPr>
    </w:p>
    <w:p w14:paraId="3062CECB" w14:textId="77777777" w:rsidR="00351E53" w:rsidRDefault="00351E53" w:rsidP="0039627B">
      <w:pPr>
        <w:pStyle w:val="AssignmentHeading1"/>
      </w:pPr>
    </w:p>
    <w:p w14:paraId="07530036" w14:textId="77777777" w:rsidR="00351E53" w:rsidRDefault="00351E53" w:rsidP="0039627B">
      <w:pPr>
        <w:pStyle w:val="AssignmentHeading1"/>
      </w:pPr>
    </w:p>
    <w:p w14:paraId="2CEB7586" w14:textId="77777777" w:rsidR="00351E53" w:rsidRDefault="00351E53" w:rsidP="0039627B">
      <w:pPr>
        <w:pStyle w:val="AssignmentHeading1"/>
      </w:pPr>
    </w:p>
    <w:p w14:paraId="271D0A81" w14:textId="77777777" w:rsidR="00351E53" w:rsidRPr="00351E53" w:rsidRDefault="00351E53" w:rsidP="00351E53"/>
    <w:p w14:paraId="32F31DB1" w14:textId="77777777" w:rsidR="00351E53" w:rsidRDefault="00351E53" w:rsidP="0039627B">
      <w:pPr>
        <w:pStyle w:val="AssignmentHeading1"/>
      </w:pPr>
    </w:p>
    <w:p w14:paraId="69BB19F8" w14:textId="77777777" w:rsidR="00351E53" w:rsidRDefault="00351E53" w:rsidP="00351E53"/>
    <w:p w14:paraId="3A8A3C8D" w14:textId="77777777" w:rsidR="00351E53" w:rsidRDefault="00351E53" w:rsidP="00351E53"/>
    <w:p w14:paraId="6F145B13" w14:textId="77777777" w:rsidR="00B6138C" w:rsidRDefault="00B6138C" w:rsidP="00351E53"/>
    <w:p w14:paraId="75B6A25A" w14:textId="77777777" w:rsidR="00B6138C" w:rsidRDefault="00B6138C" w:rsidP="00351E53"/>
    <w:p w14:paraId="7F6407AF" w14:textId="77777777" w:rsidR="00B6138C" w:rsidRDefault="00B6138C" w:rsidP="00351E53"/>
    <w:p w14:paraId="624FDB24" w14:textId="77777777" w:rsidR="00B6138C" w:rsidRDefault="00B6138C" w:rsidP="00351E53"/>
    <w:p w14:paraId="34B37083" w14:textId="77777777" w:rsidR="00B6138C" w:rsidRDefault="00B6138C" w:rsidP="00351E53"/>
    <w:p w14:paraId="31DBD6DA" w14:textId="77777777" w:rsidR="00B6138C" w:rsidRDefault="00B6138C" w:rsidP="00351E53"/>
    <w:p w14:paraId="55E944BB" w14:textId="77777777" w:rsidR="00B6138C" w:rsidRDefault="00B6138C" w:rsidP="00351E53"/>
    <w:p w14:paraId="70CE4C3B" w14:textId="77777777" w:rsidR="00B6138C" w:rsidRDefault="00B6138C" w:rsidP="00351E53"/>
    <w:p w14:paraId="40373273" w14:textId="77777777" w:rsidR="00B6138C" w:rsidRPr="00351E53" w:rsidRDefault="00B6138C" w:rsidP="00351E53"/>
    <w:p w14:paraId="4B1FEAA5" w14:textId="6A72033D" w:rsidR="00CB4E28" w:rsidRDefault="00CB4E28" w:rsidP="0039627B">
      <w:pPr>
        <w:pStyle w:val="AssignmentHeading1"/>
      </w:pPr>
      <w:r w:rsidRPr="00CB4E28">
        <w:lastRenderedPageBreak/>
        <w:t>C</w:t>
      </w:r>
      <w:r w:rsidR="001D4C13">
        <w:t>r</w:t>
      </w:r>
      <w:r w:rsidRPr="00CB4E28">
        <w:t>itical Thinking (AC1.3)</w:t>
      </w:r>
      <w:bookmarkEnd w:id="5"/>
      <w:bookmarkEnd w:id="6"/>
    </w:p>
    <w:p w14:paraId="2C531BAD" w14:textId="77777777" w:rsidR="00234A71" w:rsidRDefault="00234A71" w:rsidP="00234A71">
      <w:pPr>
        <w:spacing w:line="360" w:lineRule="auto"/>
        <w:rPr>
          <w:rFonts w:cs="Arial"/>
          <w:b/>
          <w:bCs/>
          <w:u w:val="single"/>
        </w:rPr>
      </w:pPr>
    </w:p>
    <w:p w14:paraId="41E523FA" w14:textId="4C25C374" w:rsidR="008D10F5" w:rsidRDefault="003B1992" w:rsidP="00234A71">
      <w:pPr>
        <w:spacing w:line="360" w:lineRule="auto"/>
        <w:rPr>
          <w:rFonts w:cs="Arial"/>
        </w:rPr>
      </w:pPr>
      <w:r>
        <w:rPr>
          <w:rFonts w:cs="Arial"/>
        </w:rPr>
        <w:t>Critical thinking is a cognitive process which involves analysing and evaluating information objectively, to form a well-reasoned judgement.</w:t>
      </w:r>
      <w:r w:rsidR="00430318">
        <w:rPr>
          <w:rFonts w:cs="Arial"/>
        </w:rPr>
        <w:t xml:space="preserve"> </w:t>
      </w:r>
      <w:r w:rsidR="00516171">
        <w:rPr>
          <w:rFonts w:cs="Arial"/>
          <w:color w:val="FF0000"/>
        </w:rPr>
        <w:t xml:space="preserve">As a process, critical thinking is vital to </w:t>
      </w:r>
      <w:r w:rsidR="0071075F">
        <w:rPr>
          <w:rFonts w:cs="Arial"/>
          <w:color w:val="FF0000"/>
        </w:rPr>
        <w:t>HR</w:t>
      </w:r>
      <w:r w:rsidR="00516171">
        <w:rPr>
          <w:rFonts w:cs="Arial"/>
          <w:color w:val="FF0000"/>
        </w:rPr>
        <w:t xml:space="preserve"> and should be embedded in </w:t>
      </w:r>
      <w:r w:rsidR="008D10F5">
        <w:rPr>
          <w:rFonts w:cs="Arial"/>
          <w:color w:val="FF0000"/>
        </w:rPr>
        <w:t xml:space="preserve">professional practice. </w:t>
      </w:r>
      <w:r w:rsidR="00430318">
        <w:rPr>
          <w:rFonts w:cs="Arial"/>
          <w:color w:val="FF0000"/>
        </w:rPr>
        <w:t xml:space="preserve">The </w:t>
      </w:r>
      <w:r w:rsidR="00430318">
        <w:rPr>
          <w:rFonts w:cs="Arial"/>
        </w:rPr>
        <w:t>m</w:t>
      </w:r>
      <w:r>
        <w:rPr>
          <w:rFonts w:cs="Arial"/>
        </w:rPr>
        <w:t xml:space="preserve">ain </w:t>
      </w:r>
      <w:r w:rsidR="00974E55">
        <w:rPr>
          <w:rFonts w:cs="Arial"/>
        </w:rPr>
        <w:t>principals</w:t>
      </w:r>
      <w:r>
        <w:rPr>
          <w:rFonts w:cs="Arial"/>
        </w:rPr>
        <w:t xml:space="preserve"> are</w:t>
      </w:r>
      <w:r w:rsidR="006826E2">
        <w:rPr>
          <w:rFonts w:cs="Arial"/>
        </w:rPr>
        <w:t xml:space="preserve"> (</w:t>
      </w:r>
      <w:r w:rsidR="006826E2">
        <w:rPr>
          <w:rFonts w:cs="Arial"/>
          <w:color w:val="FF0000"/>
        </w:rPr>
        <w:t>Lamb, 2019)</w:t>
      </w:r>
      <w:r w:rsidR="008D10F5" w:rsidRPr="008D10F5">
        <w:rPr>
          <w:rFonts w:cs="Arial"/>
          <w:color w:val="FF0000"/>
        </w:rPr>
        <w:t>:</w:t>
      </w:r>
      <w:r>
        <w:rPr>
          <w:rFonts w:cs="Arial"/>
        </w:rPr>
        <w:t xml:space="preserve"> </w:t>
      </w:r>
      <w:r w:rsidRPr="008D10F5">
        <w:rPr>
          <w:rFonts w:cs="Arial"/>
          <w:strike/>
        </w:rPr>
        <w:t>accuracy, relevance, depth, logic and fairness.</w:t>
      </w:r>
      <w:r>
        <w:rPr>
          <w:rFonts w:cs="Arial"/>
        </w:rPr>
        <w:t xml:space="preserve"> </w:t>
      </w:r>
    </w:p>
    <w:p w14:paraId="61346690" w14:textId="77777777" w:rsidR="008D10F5" w:rsidRDefault="008D10F5" w:rsidP="00234A71">
      <w:pPr>
        <w:spacing w:line="360" w:lineRule="auto"/>
        <w:rPr>
          <w:rFonts w:cs="Arial"/>
        </w:rPr>
      </w:pPr>
    </w:p>
    <w:p w14:paraId="2D7693BB" w14:textId="77777777" w:rsidR="006826E2" w:rsidRPr="00FA4155" w:rsidRDefault="006826E2" w:rsidP="006826E2">
      <w:pPr>
        <w:pStyle w:val="ListParagraph"/>
        <w:numPr>
          <w:ilvl w:val="0"/>
          <w:numId w:val="9"/>
        </w:numPr>
        <w:spacing w:line="360" w:lineRule="auto"/>
        <w:rPr>
          <w:rFonts w:cs="Arial"/>
          <w:color w:val="FF0000"/>
        </w:rPr>
      </w:pPr>
      <w:r w:rsidRPr="00FA4155">
        <w:rPr>
          <w:rFonts w:cs="Arial"/>
          <w:color w:val="FF0000"/>
        </w:rPr>
        <w:t>Clarity</w:t>
      </w:r>
    </w:p>
    <w:p w14:paraId="390E2B6D" w14:textId="77777777" w:rsidR="006826E2" w:rsidRPr="00FA4155" w:rsidRDefault="006826E2" w:rsidP="006826E2">
      <w:pPr>
        <w:pStyle w:val="ListParagraph"/>
        <w:numPr>
          <w:ilvl w:val="0"/>
          <w:numId w:val="9"/>
        </w:numPr>
        <w:spacing w:line="360" w:lineRule="auto"/>
        <w:rPr>
          <w:rFonts w:cs="Arial"/>
          <w:color w:val="FF0000"/>
        </w:rPr>
      </w:pPr>
      <w:r w:rsidRPr="00FA4155">
        <w:rPr>
          <w:rFonts w:cs="Arial"/>
          <w:color w:val="FF0000"/>
        </w:rPr>
        <w:t>Accuracy</w:t>
      </w:r>
    </w:p>
    <w:p w14:paraId="6FA4BACE" w14:textId="77777777" w:rsidR="006826E2" w:rsidRPr="00FA4155" w:rsidRDefault="006826E2" w:rsidP="006826E2">
      <w:pPr>
        <w:pStyle w:val="ListParagraph"/>
        <w:numPr>
          <w:ilvl w:val="0"/>
          <w:numId w:val="9"/>
        </w:numPr>
        <w:spacing w:line="360" w:lineRule="auto"/>
        <w:rPr>
          <w:rFonts w:cs="Arial"/>
          <w:color w:val="FF0000"/>
        </w:rPr>
      </w:pPr>
      <w:r w:rsidRPr="00FA4155">
        <w:rPr>
          <w:rFonts w:cs="Arial"/>
          <w:color w:val="FF0000"/>
        </w:rPr>
        <w:t>Precision</w:t>
      </w:r>
    </w:p>
    <w:p w14:paraId="1D9F523F" w14:textId="77777777" w:rsidR="006826E2" w:rsidRPr="00FA4155" w:rsidRDefault="006826E2" w:rsidP="006826E2">
      <w:pPr>
        <w:pStyle w:val="ListParagraph"/>
        <w:numPr>
          <w:ilvl w:val="0"/>
          <w:numId w:val="9"/>
        </w:numPr>
        <w:spacing w:line="360" w:lineRule="auto"/>
        <w:rPr>
          <w:rFonts w:cs="Arial"/>
          <w:color w:val="FF0000"/>
        </w:rPr>
      </w:pPr>
      <w:r w:rsidRPr="00FA4155">
        <w:rPr>
          <w:rFonts w:cs="Arial"/>
          <w:color w:val="FF0000"/>
        </w:rPr>
        <w:t>Relevant</w:t>
      </w:r>
    </w:p>
    <w:p w14:paraId="0422F376" w14:textId="77777777" w:rsidR="006826E2" w:rsidRPr="00FA4155" w:rsidRDefault="006826E2" w:rsidP="006826E2">
      <w:pPr>
        <w:pStyle w:val="ListParagraph"/>
        <w:numPr>
          <w:ilvl w:val="0"/>
          <w:numId w:val="9"/>
        </w:numPr>
        <w:spacing w:line="360" w:lineRule="auto"/>
        <w:rPr>
          <w:rFonts w:cs="Arial"/>
          <w:color w:val="FF0000"/>
        </w:rPr>
      </w:pPr>
      <w:r w:rsidRPr="00FA4155">
        <w:rPr>
          <w:rFonts w:cs="Arial"/>
          <w:color w:val="FF0000"/>
        </w:rPr>
        <w:t>Depth</w:t>
      </w:r>
    </w:p>
    <w:p w14:paraId="4BE2AEAA" w14:textId="77777777" w:rsidR="006826E2" w:rsidRPr="00FA4155" w:rsidRDefault="006826E2" w:rsidP="006826E2">
      <w:pPr>
        <w:pStyle w:val="ListParagraph"/>
        <w:numPr>
          <w:ilvl w:val="0"/>
          <w:numId w:val="9"/>
        </w:numPr>
        <w:spacing w:line="360" w:lineRule="auto"/>
        <w:rPr>
          <w:rFonts w:cs="Arial"/>
          <w:color w:val="FF0000"/>
        </w:rPr>
      </w:pPr>
      <w:r w:rsidRPr="00FA4155">
        <w:rPr>
          <w:rFonts w:cs="Arial"/>
          <w:color w:val="FF0000"/>
        </w:rPr>
        <w:t>Breadth</w:t>
      </w:r>
    </w:p>
    <w:p w14:paraId="52537D75" w14:textId="77777777" w:rsidR="006826E2" w:rsidRPr="00FA4155" w:rsidRDefault="006826E2" w:rsidP="006826E2">
      <w:pPr>
        <w:pStyle w:val="ListParagraph"/>
        <w:numPr>
          <w:ilvl w:val="0"/>
          <w:numId w:val="9"/>
        </w:numPr>
        <w:spacing w:line="360" w:lineRule="auto"/>
        <w:rPr>
          <w:rFonts w:cs="Arial"/>
          <w:color w:val="FF0000"/>
        </w:rPr>
      </w:pPr>
      <w:r w:rsidRPr="00FA4155">
        <w:rPr>
          <w:rFonts w:cs="Arial"/>
          <w:color w:val="FF0000"/>
        </w:rPr>
        <w:t>Logic</w:t>
      </w:r>
    </w:p>
    <w:p w14:paraId="6800D934" w14:textId="77777777" w:rsidR="006826E2" w:rsidRPr="00FA4155" w:rsidRDefault="006826E2" w:rsidP="006826E2">
      <w:pPr>
        <w:pStyle w:val="ListParagraph"/>
        <w:numPr>
          <w:ilvl w:val="0"/>
          <w:numId w:val="9"/>
        </w:numPr>
        <w:spacing w:line="360" w:lineRule="auto"/>
        <w:rPr>
          <w:rFonts w:cs="Arial"/>
          <w:color w:val="FF0000"/>
        </w:rPr>
      </w:pPr>
      <w:r w:rsidRPr="00FA4155">
        <w:rPr>
          <w:rFonts w:cs="Arial"/>
          <w:color w:val="FF0000"/>
        </w:rPr>
        <w:t>Fairness</w:t>
      </w:r>
    </w:p>
    <w:p w14:paraId="7979EB26" w14:textId="77777777" w:rsidR="008D10F5" w:rsidRDefault="008D10F5" w:rsidP="00234A71">
      <w:pPr>
        <w:spacing w:line="360" w:lineRule="auto"/>
        <w:rPr>
          <w:rFonts w:cs="Arial"/>
        </w:rPr>
      </w:pPr>
    </w:p>
    <w:p w14:paraId="6CF03F82" w14:textId="48987C90" w:rsidR="001616E1" w:rsidRDefault="006826E2" w:rsidP="00234A71">
      <w:pPr>
        <w:spacing w:line="360" w:lineRule="auto"/>
        <w:rPr>
          <w:rFonts w:cs="Arial"/>
          <w:color w:val="FF0000"/>
        </w:rPr>
      </w:pPr>
      <w:r w:rsidRPr="006826E2">
        <w:rPr>
          <w:rFonts w:cs="Arial"/>
          <w:color w:val="FF0000"/>
        </w:rPr>
        <w:t xml:space="preserve">Inevitably, </w:t>
      </w:r>
      <w:r>
        <w:rPr>
          <w:rFonts w:cs="Arial"/>
        </w:rPr>
        <w:t>t</w:t>
      </w:r>
      <w:r w:rsidR="003B1992" w:rsidRPr="006826E2">
        <w:rPr>
          <w:rFonts w:cs="Arial"/>
        </w:rPr>
        <w:t>hese principals will help individuals develop a systematic approach to analysing information and making informed decisions.</w:t>
      </w:r>
      <w:r>
        <w:rPr>
          <w:rFonts w:cs="Arial"/>
        </w:rPr>
        <w:t xml:space="preserve"> </w:t>
      </w:r>
      <w:r w:rsidR="001616E1" w:rsidRPr="00374B70">
        <w:rPr>
          <w:rFonts w:cs="Arial"/>
          <w:strike/>
        </w:rPr>
        <w:t xml:space="preserve">Within </w:t>
      </w:r>
      <w:r w:rsidR="0071075F" w:rsidRPr="00374B70">
        <w:rPr>
          <w:rFonts w:cs="Arial"/>
          <w:strike/>
        </w:rPr>
        <w:t>HR,</w:t>
      </w:r>
      <w:r w:rsidR="001616E1" w:rsidRPr="00374B70">
        <w:rPr>
          <w:rFonts w:cs="Arial"/>
          <w:strike/>
        </w:rPr>
        <w:t xml:space="preserve"> critical thinking is crucial to all employee relations.</w:t>
      </w:r>
      <w:r w:rsidR="001616E1">
        <w:rPr>
          <w:rFonts w:cs="Arial"/>
        </w:rPr>
        <w:t xml:space="preserve"> </w:t>
      </w:r>
      <w:r w:rsidR="00374B70">
        <w:rPr>
          <w:rFonts w:cs="Arial"/>
          <w:color w:val="FF0000"/>
        </w:rPr>
        <w:t xml:space="preserve">Tim Coburn highlighted in a discussion with Lamb (2019) that critical thinking is a fundamental skill and should be at the forefront of HR professionals mind as it helps </w:t>
      </w:r>
      <w:r w:rsidR="005E1280">
        <w:rPr>
          <w:rFonts w:cs="Arial"/>
          <w:color w:val="FF0000"/>
        </w:rPr>
        <w:t xml:space="preserve">identify </w:t>
      </w:r>
      <w:r w:rsidR="00D71CC9">
        <w:rPr>
          <w:rFonts w:cs="Arial"/>
          <w:color w:val="FF0000"/>
        </w:rPr>
        <w:t>errors in reasoning</w:t>
      </w:r>
      <w:r w:rsidR="00374B70">
        <w:rPr>
          <w:rFonts w:cs="Arial"/>
          <w:color w:val="FF0000"/>
        </w:rPr>
        <w:t>, linking to evidence-based practice (</w:t>
      </w:r>
      <w:r w:rsidR="00AB3BE4">
        <w:rPr>
          <w:rFonts w:cs="Arial"/>
          <w:color w:val="FF0000"/>
        </w:rPr>
        <w:t>Young, 2024</w:t>
      </w:r>
      <w:r w:rsidR="00374B70">
        <w:rPr>
          <w:rFonts w:cs="Arial"/>
          <w:color w:val="FF0000"/>
        </w:rPr>
        <w:t>).</w:t>
      </w:r>
      <w:r w:rsidR="00EF2F2F">
        <w:rPr>
          <w:rFonts w:cs="Arial"/>
          <w:color w:val="FF0000"/>
        </w:rPr>
        <w:t xml:space="preserve"> Critical thinking is particularly important when managing employee relations, f</w:t>
      </w:r>
      <w:r w:rsidR="001616E1" w:rsidRPr="00A10A9A">
        <w:rPr>
          <w:rFonts w:cs="Arial"/>
          <w:color w:val="FF0000"/>
        </w:rPr>
        <w:t xml:space="preserve">or example, </w:t>
      </w:r>
      <w:r w:rsidR="00A10A9A" w:rsidRPr="00A10A9A">
        <w:rPr>
          <w:rFonts w:cs="Arial"/>
          <w:color w:val="FF0000"/>
        </w:rPr>
        <w:t>investigating a grievance.</w:t>
      </w:r>
    </w:p>
    <w:p w14:paraId="4AECD5AE" w14:textId="77777777" w:rsidR="00A65DE1" w:rsidRDefault="00A65DE1" w:rsidP="00234A71">
      <w:pPr>
        <w:spacing w:line="360" w:lineRule="auto"/>
        <w:rPr>
          <w:rFonts w:cs="Arial"/>
          <w:color w:val="FF0000"/>
        </w:rPr>
      </w:pPr>
    </w:p>
    <w:p w14:paraId="11D1192E" w14:textId="77777777" w:rsidR="00A65DE1" w:rsidRPr="00A10A9A" w:rsidRDefault="00A65DE1" w:rsidP="00A65DE1">
      <w:pPr>
        <w:spacing w:line="360" w:lineRule="auto"/>
        <w:rPr>
          <w:rFonts w:cs="Arial"/>
          <w:strike/>
        </w:rPr>
      </w:pPr>
      <w:r w:rsidRPr="00A10A9A">
        <w:rPr>
          <w:rFonts w:cs="Arial"/>
          <w:strike/>
        </w:rPr>
        <w:t>For example, investigating a grievance or flexible working request.</w:t>
      </w:r>
    </w:p>
    <w:p w14:paraId="1DBFB582" w14:textId="77777777" w:rsidR="00A65DE1" w:rsidRPr="00A10A9A" w:rsidRDefault="00A65DE1" w:rsidP="00A65DE1">
      <w:pPr>
        <w:spacing w:line="360" w:lineRule="auto"/>
        <w:rPr>
          <w:rFonts w:cs="Arial"/>
          <w:strike/>
        </w:rPr>
      </w:pPr>
      <w:r w:rsidRPr="00A10A9A">
        <w:rPr>
          <w:rFonts w:cs="Arial"/>
          <w:strike/>
        </w:rPr>
        <w:t xml:space="preserve">Recruitment </w:t>
      </w:r>
      <w:r w:rsidRPr="00A10A9A">
        <w:rPr>
          <w:rFonts w:cs="Arial"/>
          <w:strike/>
        </w:rPr>
        <w:sym w:font="Wingdings" w:char="F0E0"/>
      </w:r>
      <w:r w:rsidRPr="00A10A9A">
        <w:rPr>
          <w:rFonts w:cs="Arial"/>
          <w:strike/>
        </w:rPr>
        <w:t xml:space="preserve"> ensuring decisions are made based on legitimate metrics rather than opinion of the candidate.</w:t>
      </w:r>
    </w:p>
    <w:p w14:paraId="5EA2EDC1" w14:textId="77777777" w:rsidR="00A65DE1" w:rsidRDefault="00A65DE1" w:rsidP="00A65DE1">
      <w:pPr>
        <w:spacing w:line="360" w:lineRule="auto"/>
        <w:rPr>
          <w:rFonts w:cs="Arial"/>
        </w:rPr>
      </w:pPr>
    </w:p>
    <w:p w14:paraId="591EE8AD" w14:textId="6DD448E0" w:rsidR="00A65DE1" w:rsidRPr="00A65DE1" w:rsidRDefault="00A65DE1" w:rsidP="00234A71">
      <w:pPr>
        <w:spacing w:line="360" w:lineRule="auto"/>
        <w:rPr>
          <w:rFonts w:cs="Arial"/>
          <w:strike/>
        </w:rPr>
      </w:pPr>
      <w:r w:rsidRPr="00AE6DDC">
        <w:rPr>
          <w:rFonts w:cs="Arial"/>
          <w:strike/>
        </w:rPr>
        <w:t xml:space="preserve">Critical thinking is constructive and not negative. Helps manage ambiguity </w:t>
      </w:r>
      <w:r w:rsidRPr="00AE6DDC">
        <w:rPr>
          <w:rFonts w:cs="Arial"/>
          <w:strike/>
        </w:rPr>
        <w:sym w:font="Wingdings" w:char="F0E0"/>
      </w:r>
      <w:r w:rsidRPr="00AE6DDC">
        <w:rPr>
          <w:rFonts w:cs="Arial"/>
          <w:strike/>
        </w:rPr>
        <w:t xml:space="preserve"> Facione (2011) critical thinking is being sceptical without being cynical. </w:t>
      </w:r>
      <w:r w:rsidRPr="00AE6DDC">
        <w:rPr>
          <w:rFonts w:cs="Arial"/>
          <w:strike/>
        </w:rPr>
        <w:sym w:font="Wingdings" w:char="F0E0"/>
      </w:r>
      <w:r w:rsidRPr="00AE6DDC">
        <w:rPr>
          <w:rFonts w:cs="Arial"/>
          <w:strike/>
        </w:rPr>
        <w:t xml:space="preserve"> it’s ok to be cautious. VUCA World (volatile, uncertain, complex and ambiguous)</w:t>
      </w:r>
    </w:p>
    <w:p w14:paraId="2114D2A4" w14:textId="77777777" w:rsidR="003701B6" w:rsidRDefault="003701B6" w:rsidP="00234A71">
      <w:pPr>
        <w:spacing w:line="360" w:lineRule="auto"/>
        <w:rPr>
          <w:rFonts w:cs="Arial"/>
          <w:color w:val="FF0000"/>
        </w:rPr>
      </w:pPr>
    </w:p>
    <w:p w14:paraId="00157AA5" w14:textId="0726BD05" w:rsidR="003701B6" w:rsidRDefault="003701B6" w:rsidP="003701B6">
      <w:pPr>
        <w:spacing w:line="360" w:lineRule="auto"/>
        <w:rPr>
          <w:rFonts w:cs="Arial"/>
        </w:rPr>
      </w:pPr>
      <w:r w:rsidRPr="00FD24A2">
        <w:rPr>
          <w:rFonts w:cs="Arial"/>
          <w:strike/>
        </w:rPr>
        <w:t>Triangulation is a method that can be used to help better understand or embed the principals of critical thinking.</w:t>
      </w:r>
      <w:r>
        <w:rPr>
          <w:rFonts w:cs="Arial"/>
        </w:rPr>
        <w:t xml:space="preserve"> Triangulation is a method whereby one uses multiple </w:t>
      </w:r>
      <w:r>
        <w:rPr>
          <w:rFonts w:cs="Arial"/>
        </w:rPr>
        <w:lastRenderedPageBreak/>
        <w:t>sources or perspectives to evaluate and validate information and arguments, ensuring the conclusions are well founded</w:t>
      </w:r>
      <w:r w:rsidR="00FD24A2">
        <w:rPr>
          <w:rFonts w:cs="Arial"/>
          <w:color w:val="FF0000"/>
        </w:rPr>
        <w:t>, embedding the principals of critical thinking</w:t>
      </w:r>
      <w:r w:rsidR="00FC2873">
        <w:rPr>
          <w:rFonts w:cs="Arial"/>
        </w:rPr>
        <w:t xml:space="preserve"> </w:t>
      </w:r>
      <w:r w:rsidR="00FC2873" w:rsidRPr="00FC2873">
        <w:rPr>
          <w:rFonts w:cs="Arial"/>
          <w:color w:val="FF0000"/>
        </w:rPr>
        <w:t>(Lamb, 2019).</w:t>
      </w:r>
    </w:p>
    <w:p w14:paraId="4E909935" w14:textId="77777777" w:rsidR="001266D5" w:rsidRDefault="001266D5" w:rsidP="00234A71">
      <w:pPr>
        <w:spacing w:line="360" w:lineRule="auto"/>
        <w:rPr>
          <w:rFonts w:cs="Arial"/>
          <w:color w:val="FF0000"/>
        </w:rPr>
      </w:pPr>
    </w:p>
    <w:p w14:paraId="6E3EFA54" w14:textId="09FF63EB" w:rsidR="000B6231" w:rsidRDefault="001266D5" w:rsidP="003A283E">
      <w:pPr>
        <w:spacing w:line="360" w:lineRule="auto"/>
        <w:rPr>
          <w:rFonts w:cs="Arial"/>
          <w:color w:val="FF0000"/>
        </w:rPr>
      </w:pPr>
      <w:r>
        <w:rPr>
          <w:rFonts w:cs="Arial"/>
          <w:color w:val="FF0000"/>
        </w:rPr>
        <w:t>During a grievance investigation</w:t>
      </w:r>
      <w:r w:rsidR="00291486">
        <w:rPr>
          <w:rFonts w:cs="Arial"/>
          <w:color w:val="FF0000"/>
        </w:rPr>
        <w:t>,</w:t>
      </w:r>
      <w:r w:rsidR="00CA2E77">
        <w:rPr>
          <w:rFonts w:cs="Arial"/>
          <w:color w:val="FF0000"/>
        </w:rPr>
        <w:t xml:space="preserve"> the principals of critical thinking</w:t>
      </w:r>
      <w:r w:rsidR="00791E30">
        <w:rPr>
          <w:rFonts w:cs="Arial"/>
          <w:color w:val="FF0000"/>
        </w:rPr>
        <w:t xml:space="preserve"> and method of triangulation</w:t>
      </w:r>
      <w:r w:rsidR="00CA2E77">
        <w:rPr>
          <w:rFonts w:cs="Arial"/>
          <w:color w:val="FF0000"/>
        </w:rPr>
        <w:t xml:space="preserve"> </w:t>
      </w:r>
      <w:r w:rsidR="00791E30">
        <w:rPr>
          <w:rFonts w:cs="Arial"/>
          <w:color w:val="FF0000"/>
        </w:rPr>
        <w:t>should be used to form</w:t>
      </w:r>
      <w:r w:rsidR="00092629">
        <w:rPr>
          <w:rFonts w:cs="Arial"/>
          <w:color w:val="FF0000"/>
        </w:rPr>
        <w:t xml:space="preserve"> the process and </w:t>
      </w:r>
      <w:r w:rsidR="00CA2E77">
        <w:rPr>
          <w:rFonts w:cs="Arial"/>
          <w:color w:val="FF0000"/>
        </w:rPr>
        <w:t xml:space="preserve">ensure a </w:t>
      </w:r>
      <w:r w:rsidR="0043776F">
        <w:rPr>
          <w:rFonts w:cs="Arial"/>
          <w:color w:val="FF0000"/>
        </w:rPr>
        <w:t>balanced debate, where outcomes and ideas are based on specific merits rather than opinions</w:t>
      </w:r>
      <w:r w:rsidR="008403DC">
        <w:rPr>
          <w:rFonts w:cs="Arial"/>
          <w:color w:val="FF0000"/>
        </w:rPr>
        <w:t xml:space="preserve">. When a grievance has been raised, tensions are </w:t>
      </w:r>
      <w:r w:rsidR="00900FAA">
        <w:rPr>
          <w:rFonts w:cs="Arial"/>
          <w:color w:val="FF0000"/>
        </w:rPr>
        <w:t>high</w:t>
      </w:r>
      <w:r w:rsidR="008403DC">
        <w:rPr>
          <w:rFonts w:cs="Arial"/>
          <w:color w:val="FF0000"/>
        </w:rPr>
        <w:t xml:space="preserve">, therefore it’s crucial to approach the situation in a timely manner, acknowledging any emotions or feelings that may be involved. </w:t>
      </w:r>
      <w:r w:rsidR="006459AF">
        <w:rPr>
          <w:rFonts w:cs="Arial"/>
          <w:color w:val="FF0000"/>
        </w:rPr>
        <w:t xml:space="preserve">HR need to </w:t>
      </w:r>
      <w:r w:rsidR="006A7103">
        <w:rPr>
          <w:rFonts w:cs="Arial"/>
          <w:color w:val="FF0000"/>
        </w:rPr>
        <w:t>ensure that</w:t>
      </w:r>
      <w:r w:rsidR="006459AF">
        <w:rPr>
          <w:rFonts w:cs="Arial"/>
          <w:color w:val="FF0000"/>
        </w:rPr>
        <w:t xml:space="preserve"> </w:t>
      </w:r>
      <w:r w:rsidR="006A7103">
        <w:rPr>
          <w:rFonts w:cs="Arial"/>
          <w:color w:val="FF0000"/>
        </w:rPr>
        <w:t xml:space="preserve">grievances are approached </w:t>
      </w:r>
      <w:r w:rsidR="006459AF">
        <w:rPr>
          <w:rFonts w:cs="Arial"/>
          <w:color w:val="FF0000"/>
        </w:rPr>
        <w:t xml:space="preserve">impartially, ensuring that the grievance itself is clear to understand. During the investigation, </w:t>
      </w:r>
      <w:r w:rsidR="008B0917">
        <w:rPr>
          <w:rFonts w:cs="Arial"/>
          <w:color w:val="FF0000"/>
        </w:rPr>
        <w:t xml:space="preserve">information should be noted accurately and precisely, whilst ensuring that </w:t>
      </w:r>
      <w:r w:rsidR="0002752D">
        <w:rPr>
          <w:rFonts w:cs="Arial"/>
          <w:color w:val="FF0000"/>
        </w:rPr>
        <w:t>it’s</w:t>
      </w:r>
      <w:r w:rsidR="008B0917">
        <w:rPr>
          <w:rFonts w:cs="Arial"/>
          <w:color w:val="FF0000"/>
        </w:rPr>
        <w:t xml:space="preserve"> relevant to the context. </w:t>
      </w:r>
      <w:r w:rsidR="006A7103">
        <w:rPr>
          <w:rFonts w:cs="Arial"/>
          <w:color w:val="FF0000"/>
        </w:rPr>
        <w:t>Then, the</w:t>
      </w:r>
      <w:r w:rsidR="00191B89">
        <w:rPr>
          <w:rFonts w:cs="Arial"/>
          <w:color w:val="FF0000"/>
        </w:rPr>
        <w:t xml:space="preserve"> information should be reviewed with the investigating officer considering the depth and breadth </w:t>
      </w:r>
      <w:r w:rsidR="006A7103">
        <w:rPr>
          <w:rFonts w:cs="Arial"/>
          <w:color w:val="FF0000"/>
        </w:rPr>
        <w:t xml:space="preserve">of what’s been collated. When considering an outcome, </w:t>
      </w:r>
      <w:r w:rsidR="00291486">
        <w:rPr>
          <w:rFonts w:cs="Arial"/>
          <w:color w:val="FF0000"/>
        </w:rPr>
        <w:t xml:space="preserve">HR should remind the investigator to </w:t>
      </w:r>
      <w:r w:rsidR="00D27955">
        <w:rPr>
          <w:rFonts w:cs="Arial"/>
          <w:color w:val="FF0000"/>
        </w:rPr>
        <w:t xml:space="preserve">focus on facts and </w:t>
      </w:r>
      <w:r w:rsidR="00291486">
        <w:rPr>
          <w:rFonts w:cs="Arial"/>
          <w:color w:val="FF0000"/>
        </w:rPr>
        <w:t>consider logic and fairness.</w:t>
      </w:r>
      <w:r w:rsidR="000B6231">
        <w:rPr>
          <w:rFonts w:cs="Arial"/>
          <w:color w:val="FF0000"/>
        </w:rPr>
        <w:t xml:space="preserve"> </w:t>
      </w:r>
    </w:p>
    <w:p w14:paraId="48AB629E" w14:textId="77777777" w:rsidR="00EF2F2F" w:rsidRDefault="00EF2F2F" w:rsidP="00234A71">
      <w:pPr>
        <w:spacing w:line="360" w:lineRule="auto"/>
        <w:rPr>
          <w:rFonts w:cs="Arial"/>
          <w:color w:val="FF0000"/>
        </w:rPr>
      </w:pPr>
    </w:p>
    <w:p w14:paraId="4703343F" w14:textId="07FE06B0" w:rsidR="00A65DE1" w:rsidRDefault="00EF2F2F" w:rsidP="00EF2F2F">
      <w:pPr>
        <w:spacing w:line="360" w:lineRule="auto"/>
        <w:rPr>
          <w:rFonts w:cs="Arial"/>
          <w:color w:val="FF0000"/>
        </w:rPr>
      </w:pPr>
      <w:r>
        <w:rPr>
          <w:rFonts w:cs="Arial"/>
          <w:color w:val="FF0000"/>
        </w:rPr>
        <w:t>It's important for people professionals to acknowledge that critical thinking is often perceived as negative, rather than constructive.</w:t>
      </w:r>
      <w:r w:rsidR="00626CF4">
        <w:rPr>
          <w:rFonts w:cs="Arial"/>
          <w:color w:val="FF0000"/>
        </w:rPr>
        <w:t xml:space="preserve"> Being cautious is understandable, however critical thinking helps manage ambiguity often yielding a better outcome for all involved</w:t>
      </w:r>
      <w:r>
        <w:rPr>
          <w:rFonts w:cs="Arial"/>
          <w:color w:val="FF0000"/>
        </w:rPr>
        <w:t xml:space="preserve"> </w:t>
      </w:r>
      <w:r w:rsidR="00626CF4">
        <w:rPr>
          <w:rFonts w:cs="Arial"/>
          <w:color w:val="FF0000"/>
        </w:rPr>
        <w:t>(</w:t>
      </w:r>
      <w:r>
        <w:rPr>
          <w:rFonts w:cs="Arial"/>
          <w:color w:val="FF0000"/>
        </w:rPr>
        <w:t>Facione</w:t>
      </w:r>
      <w:r w:rsidR="00626CF4">
        <w:rPr>
          <w:rFonts w:cs="Arial"/>
          <w:color w:val="FF0000"/>
        </w:rPr>
        <w:t>,</w:t>
      </w:r>
      <w:r>
        <w:rPr>
          <w:rFonts w:cs="Arial"/>
          <w:color w:val="FF0000"/>
        </w:rPr>
        <w:t xml:space="preserve"> 2011)</w:t>
      </w:r>
      <w:r w:rsidR="00626CF4">
        <w:rPr>
          <w:rFonts w:cs="Arial"/>
          <w:color w:val="FF0000"/>
        </w:rPr>
        <w:t>.</w:t>
      </w:r>
    </w:p>
    <w:p w14:paraId="0EC792C7" w14:textId="77777777" w:rsidR="00A65DE1" w:rsidRDefault="00A65DE1" w:rsidP="00EF2F2F">
      <w:pPr>
        <w:spacing w:line="360" w:lineRule="auto"/>
        <w:rPr>
          <w:rFonts w:cs="Arial"/>
          <w:color w:val="FF0000"/>
        </w:rPr>
      </w:pPr>
    </w:p>
    <w:p w14:paraId="507746D3" w14:textId="5CE91C0D" w:rsidR="00A65DE1" w:rsidRDefault="00574174" w:rsidP="00A65DE1">
      <w:pPr>
        <w:spacing w:line="360" w:lineRule="auto"/>
        <w:rPr>
          <w:rFonts w:cs="Arial"/>
          <w:color w:val="FF0000"/>
        </w:rPr>
      </w:pPr>
      <w:r>
        <w:rPr>
          <w:rFonts w:cs="Arial"/>
          <w:color w:val="FF0000"/>
        </w:rPr>
        <w:t>As humans, we have the tendency to appeal to history or popularity</w:t>
      </w:r>
      <w:r w:rsidR="00987958">
        <w:rPr>
          <w:rFonts w:cs="Arial"/>
          <w:color w:val="FF0000"/>
        </w:rPr>
        <w:t xml:space="preserve">. </w:t>
      </w:r>
      <w:r w:rsidR="00A65DE1">
        <w:rPr>
          <w:rFonts w:cs="Arial"/>
          <w:color w:val="FF0000"/>
        </w:rPr>
        <w:t xml:space="preserve">Practicing </w:t>
      </w:r>
      <w:r w:rsidR="00600239">
        <w:rPr>
          <w:rFonts w:cs="Arial"/>
          <w:color w:val="FF0000"/>
        </w:rPr>
        <w:t>c</w:t>
      </w:r>
      <w:r w:rsidR="00987958">
        <w:rPr>
          <w:rFonts w:cs="Arial"/>
          <w:color w:val="FF0000"/>
        </w:rPr>
        <w:t>ritical thinking is the key to making informed decisions</w:t>
      </w:r>
      <w:r w:rsidR="00CC7F1B">
        <w:rPr>
          <w:rFonts w:cs="Arial"/>
          <w:color w:val="FF0000"/>
        </w:rPr>
        <w:t xml:space="preserve"> and engaging in debates that are free from bias and solely based on</w:t>
      </w:r>
      <w:r w:rsidR="000B6231">
        <w:rPr>
          <w:rFonts w:cs="Arial"/>
          <w:color w:val="FF0000"/>
        </w:rPr>
        <w:t xml:space="preserve"> evidence</w:t>
      </w:r>
      <w:r w:rsidR="00A65DE1">
        <w:rPr>
          <w:rFonts w:cs="Arial"/>
          <w:color w:val="FF0000"/>
        </w:rPr>
        <w:t>. Ultimately, this helps reinforce the role and contribution of HR in an organisation (Lamb, 2019).</w:t>
      </w:r>
    </w:p>
    <w:p w14:paraId="55F2142B" w14:textId="77777777" w:rsidR="00430318" w:rsidRDefault="00430318" w:rsidP="00234A71">
      <w:pPr>
        <w:spacing w:line="360" w:lineRule="auto"/>
        <w:rPr>
          <w:rFonts w:cs="Arial"/>
        </w:rPr>
      </w:pPr>
    </w:p>
    <w:p w14:paraId="233D96EE" w14:textId="77777777" w:rsidR="00974E55" w:rsidRPr="00FA4155" w:rsidRDefault="00974E55" w:rsidP="00234A71">
      <w:pPr>
        <w:spacing w:line="360" w:lineRule="auto"/>
        <w:rPr>
          <w:rFonts w:cs="Arial"/>
          <w:color w:val="FF0000"/>
        </w:rPr>
      </w:pPr>
    </w:p>
    <w:p w14:paraId="07876105" w14:textId="77777777" w:rsidR="008177CD" w:rsidRPr="00FA4155" w:rsidRDefault="008177CD" w:rsidP="00234A71">
      <w:pPr>
        <w:spacing w:line="360" w:lineRule="auto"/>
        <w:rPr>
          <w:rFonts w:cs="Arial"/>
          <w:color w:val="FF0000"/>
        </w:rPr>
      </w:pPr>
    </w:p>
    <w:p w14:paraId="7E237671" w14:textId="77777777" w:rsidR="008177CD" w:rsidRDefault="008177CD" w:rsidP="008177CD">
      <w:pPr>
        <w:spacing w:line="360" w:lineRule="auto"/>
        <w:rPr>
          <w:rFonts w:cs="Arial"/>
        </w:rPr>
      </w:pPr>
    </w:p>
    <w:p w14:paraId="02A212E6" w14:textId="77777777" w:rsidR="00C7218C" w:rsidRDefault="00C7218C" w:rsidP="008177CD">
      <w:pPr>
        <w:spacing w:line="360" w:lineRule="auto"/>
        <w:rPr>
          <w:rFonts w:cs="Arial"/>
        </w:rPr>
      </w:pPr>
    </w:p>
    <w:p w14:paraId="7EBB5438" w14:textId="77777777" w:rsidR="00D27955" w:rsidRDefault="00D27955" w:rsidP="008177CD">
      <w:pPr>
        <w:spacing w:line="360" w:lineRule="auto"/>
        <w:rPr>
          <w:rFonts w:cs="Arial"/>
        </w:rPr>
      </w:pPr>
    </w:p>
    <w:p w14:paraId="07F7EE41" w14:textId="77777777" w:rsidR="00D27955" w:rsidRDefault="00D27955" w:rsidP="008177CD">
      <w:pPr>
        <w:spacing w:line="360" w:lineRule="auto"/>
        <w:rPr>
          <w:rFonts w:cs="Arial"/>
        </w:rPr>
      </w:pPr>
    </w:p>
    <w:p w14:paraId="28EF9CC9" w14:textId="3A4F1138" w:rsidR="00CB4E28" w:rsidRDefault="00CB4E28" w:rsidP="0039627B">
      <w:pPr>
        <w:pStyle w:val="AssignmentHeading1"/>
      </w:pPr>
      <w:bookmarkStart w:id="7" w:name="_Toc183358565"/>
      <w:bookmarkStart w:id="8" w:name="_Toc184048308"/>
      <w:r w:rsidRPr="00CB4E28">
        <w:lastRenderedPageBreak/>
        <w:t>Decision-Making Processes (AC1.4)</w:t>
      </w:r>
      <w:bookmarkEnd w:id="7"/>
      <w:bookmarkEnd w:id="8"/>
    </w:p>
    <w:p w14:paraId="1218BDA1" w14:textId="77777777" w:rsidR="00234A71" w:rsidRDefault="00234A71" w:rsidP="00234A71">
      <w:pPr>
        <w:spacing w:line="360" w:lineRule="auto"/>
        <w:rPr>
          <w:rFonts w:cs="Arial"/>
          <w:b/>
          <w:bCs/>
          <w:u w:val="single"/>
        </w:rPr>
      </w:pPr>
    </w:p>
    <w:p w14:paraId="460ED5FE" w14:textId="23C2BC9C" w:rsidR="00912480" w:rsidRDefault="00653E85" w:rsidP="001509EC">
      <w:pPr>
        <w:spacing w:line="360" w:lineRule="auto"/>
        <w:rPr>
          <w:rFonts w:cs="Arial"/>
        </w:rPr>
      </w:pPr>
      <w:r>
        <w:rPr>
          <w:rFonts w:cs="Arial"/>
        </w:rPr>
        <w:t xml:space="preserve">Efficient </w:t>
      </w:r>
      <w:r w:rsidR="006E65CD">
        <w:rPr>
          <w:rFonts w:cs="Arial"/>
        </w:rPr>
        <w:t xml:space="preserve">decision-making is essential for achieving </w:t>
      </w:r>
      <w:r>
        <w:rPr>
          <w:rFonts w:cs="Arial"/>
        </w:rPr>
        <w:t>effective outcomes in both professional and personal contexts.</w:t>
      </w:r>
      <w:r w:rsidR="006E65CD">
        <w:rPr>
          <w:rFonts w:cs="Arial"/>
        </w:rPr>
        <w:t xml:space="preserve"> </w:t>
      </w:r>
      <w:r w:rsidR="00B440CE">
        <w:rPr>
          <w:rFonts w:cs="Arial"/>
        </w:rPr>
        <w:t>Decision-making is crucial within the context of people-practice</w:t>
      </w:r>
      <w:r w:rsidR="00912480">
        <w:rPr>
          <w:rFonts w:cs="Arial"/>
        </w:rPr>
        <w:t xml:space="preserve">, considering that people professionals are involved with major organisational decisions such as recruitment and terminating employment. Humans are inherently exposed to heuristics and cognitive biases, therefore being equipped with tools and methods to combat these initial ways of decision-making will help these values become embedded into the professional. </w:t>
      </w:r>
    </w:p>
    <w:p w14:paraId="6F056168" w14:textId="77777777" w:rsidR="00912480" w:rsidRDefault="00912480" w:rsidP="001509EC">
      <w:pPr>
        <w:spacing w:line="360" w:lineRule="auto"/>
        <w:rPr>
          <w:rFonts w:cs="Arial"/>
        </w:rPr>
      </w:pPr>
    </w:p>
    <w:p w14:paraId="05CBFB64" w14:textId="2789763A" w:rsidR="00653E85" w:rsidRDefault="00912480" w:rsidP="001509EC">
      <w:pPr>
        <w:spacing w:line="360" w:lineRule="auto"/>
        <w:rPr>
          <w:rFonts w:cs="Arial"/>
        </w:rPr>
      </w:pPr>
      <w:r>
        <w:rPr>
          <w:rFonts w:cs="Arial"/>
        </w:rPr>
        <w:t xml:space="preserve">Heuristics are mental shortcuts, which are acknowledged as common errors within the key elements of critical thinking. Thinking critically and effective, evidence-based decision-making </w:t>
      </w:r>
      <w:r w:rsidR="00E81332">
        <w:rPr>
          <w:rFonts w:cs="Arial"/>
        </w:rPr>
        <w:t>work in tandem to aid the best possible outcome. A common heuristic is the appeal to history,</w:t>
      </w:r>
      <w:r w:rsidR="00F64C48">
        <w:rPr>
          <w:rFonts w:cs="Arial"/>
        </w:rPr>
        <w:t xml:space="preserve"> explained by Tim Coburn, (Lamb, 2019),</w:t>
      </w:r>
      <w:r w:rsidR="00E81332">
        <w:rPr>
          <w:rFonts w:cs="Arial"/>
        </w:rPr>
        <w:t xml:space="preserve"> whereby an organisation has always done a process one way, therefore that is involuntarily the solution, without considering if it’s practical or effective for the organisation. Therefore, decision-making models help professionals shape outcomes that are ethical and free from bias. </w:t>
      </w:r>
      <w:r w:rsidR="00653E85">
        <w:rPr>
          <w:rFonts w:cs="Arial"/>
        </w:rPr>
        <w:t>Two widely recognised decision-making processes are the Six Thinking Hats model and the Kepner-Tregoe model.</w:t>
      </w:r>
    </w:p>
    <w:p w14:paraId="20F9BB36" w14:textId="77777777" w:rsidR="00653E85" w:rsidRDefault="00653E85" w:rsidP="001509EC">
      <w:pPr>
        <w:spacing w:line="360" w:lineRule="auto"/>
        <w:rPr>
          <w:rFonts w:cs="Arial"/>
        </w:rPr>
      </w:pPr>
    </w:p>
    <w:p w14:paraId="4FC63DAF" w14:textId="6286E8DE" w:rsidR="00653E85" w:rsidRDefault="00653E85" w:rsidP="001509EC">
      <w:pPr>
        <w:spacing w:line="360" w:lineRule="auto"/>
        <w:rPr>
          <w:rFonts w:cs="Arial"/>
        </w:rPr>
      </w:pPr>
      <w:r>
        <w:rPr>
          <w:rFonts w:cs="Arial"/>
        </w:rPr>
        <w:t xml:space="preserve">Edward de Bono’s Six Thinking Hats model encourages a multifaceted </w:t>
      </w:r>
      <w:r w:rsidR="001509EC">
        <w:rPr>
          <w:rFonts w:cs="Arial"/>
        </w:rPr>
        <w:t xml:space="preserve">thinking </w:t>
      </w:r>
      <w:r>
        <w:rPr>
          <w:rFonts w:cs="Arial"/>
        </w:rPr>
        <w:t>approach to decision-making. De Bono (2017) stresses that thinking is the “ultimate human resource”. Ironically, the mind and thinking can be our greatest and weakest asset. Especially within the context of people-practice, trying to think of too many factors at one time can often create a clouded judgement, usually resulting in an undesired outcome. De Bono’s model helps eliminate this by encouraging one to put on different ‘hats’, i.e. perspectives,</w:t>
      </w:r>
      <w:r w:rsidR="001509EC">
        <w:rPr>
          <w:rFonts w:cs="Arial"/>
        </w:rPr>
        <w:t xml:space="preserve"> which results in an all-encompassing understanding of the subject/focus point.</w:t>
      </w:r>
    </w:p>
    <w:p w14:paraId="26BF0C45" w14:textId="3437EA7C" w:rsidR="001509EC" w:rsidRDefault="001509EC" w:rsidP="001509EC">
      <w:pPr>
        <w:spacing w:line="360" w:lineRule="auto"/>
        <w:rPr>
          <w:rFonts w:cs="Arial"/>
        </w:rPr>
      </w:pPr>
    </w:p>
    <w:p w14:paraId="79637680" w14:textId="6CF10EBF" w:rsidR="001509EC" w:rsidRDefault="001509EC" w:rsidP="001509EC">
      <w:pPr>
        <w:spacing w:line="360" w:lineRule="auto"/>
        <w:rPr>
          <w:rFonts w:cs="Arial"/>
        </w:rPr>
      </w:pPr>
      <w:r>
        <w:rPr>
          <w:rFonts w:cs="Arial"/>
        </w:rPr>
        <w:t>The Six Thinking Hats are broken down as follows:</w:t>
      </w:r>
    </w:p>
    <w:p w14:paraId="185100CC" w14:textId="77777777" w:rsidR="001509EC" w:rsidRDefault="001509EC" w:rsidP="001509EC">
      <w:pPr>
        <w:spacing w:line="360" w:lineRule="auto"/>
        <w:rPr>
          <w:rFonts w:cs="Arial"/>
        </w:rPr>
      </w:pPr>
    </w:p>
    <w:p w14:paraId="4B7014A1" w14:textId="5ADDD6F5" w:rsidR="001509EC" w:rsidRDefault="001509EC" w:rsidP="001509EC">
      <w:pPr>
        <w:pStyle w:val="ListParagraph"/>
        <w:numPr>
          <w:ilvl w:val="0"/>
          <w:numId w:val="1"/>
        </w:numPr>
        <w:spacing w:line="360" w:lineRule="auto"/>
        <w:rPr>
          <w:rFonts w:cs="Arial"/>
        </w:rPr>
      </w:pPr>
      <w:r>
        <w:rPr>
          <w:rFonts w:cs="Arial"/>
        </w:rPr>
        <w:t xml:space="preserve">Blue Hat </w:t>
      </w:r>
      <w:r w:rsidRPr="001509EC">
        <w:rPr>
          <w:rFonts w:cs="Arial"/>
        </w:rPr>
        <w:sym w:font="Wingdings" w:char="F0E0"/>
      </w:r>
      <w:r>
        <w:rPr>
          <w:rFonts w:cs="Arial"/>
        </w:rPr>
        <w:t xml:space="preserve"> Organisation and Planning.</w:t>
      </w:r>
    </w:p>
    <w:p w14:paraId="25768F91" w14:textId="46774F6E" w:rsidR="001509EC" w:rsidRDefault="001509EC" w:rsidP="001509EC">
      <w:pPr>
        <w:pStyle w:val="ListParagraph"/>
        <w:numPr>
          <w:ilvl w:val="0"/>
          <w:numId w:val="1"/>
        </w:numPr>
        <w:spacing w:line="360" w:lineRule="auto"/>
        <w:rPr>
          <w:rFonts w:cs="Arial"/>
        </w:rPr>
      </w:pPr>
      <w:r>
        <w:rPr>
          <w:rFonts w:cs="Arial"/>
        </w:rPr>
        <w:t xml:space="preserve">Green Hat </w:t>
      </w:r>
      <w:r w:rsidRPr="001509EC">
        <w:rPr>
          <w:rFonts w:cs="Arial"/>
        </w:rPr>
        <w:sym w:font="Wingdings" w:char="F0E0"/>
      </w:r>
      <w:r>
        <w:rPr>
          <w:rFonts w:cs="Arial"/>
        </w:rPr>
        <w:t xml:space="preserve"> Creative Thinking.</w:t>
      </w:r>
    </w:p>
    <w:p w14:paraId="2A23AA21" w14:textId="147C387A" w:rsidR="001509EC" w:rsidRDefault="001509EC" w:rsidP="001509EC">
      <w:pPr>
        <w:pStyle w:val="ListParagraph"/>
        <w:numPr>
          <w:ilvl w:val="0"/>
          <w:numId w:val="1"/>
        </w:numPr>
        <w:spacing w:line="360" w:lineRule="auto"/>
        <w:rPr>
          <w:rFonts w:cs="Arial"/>
        </w:rPr>
      </w:pPr>
      <w:r>
        <w:rPr>
          <w:rFonts w:cs="Arial"/>
        </w:rPr>
        <w:t xml:space="preserve">Red Hat </w:t>
      </w:r>
      <w:r w:rsidRPr="001509EC">
        <w:rPr>
          <w:rFonts w:cs="Arial"/>
        </w:rPr>
        <w:sym w:font="Wingdings" w:char="F0E0"/>
      </w:r>
      <w:r>
        <w:rPr>
          <w:rFonts w:cs="Arial"/>
        </w:rPr>
        <w:t xml:space="preserve"> Feelings and Instincts.</w:t>
      </w:r>
    </w:p>
    <w:p w14:paraId="1747C11D" w14:textId="5F40D4D0" w:rsidR="001509EC" w:rsidRDefault="001509EC" w:rsidP="001509EC">
      <w:pPr>
        <w:pStyle w:val="ListParagraph"/>
        <w:numPr>
          <w:ilvl w:val="0"/>
          <w:numId w:val="1"/>
        </w:numPr>
        <w:spacing w:line="360" w:lineRule="auto"/>
        <w:rPr>
          <w:rFonts w:cs="Arial"/>
        </w:rPr>
      </w:pPr>
      <w:r>
        <w:rPr>
          <w:rFonts w:cs="Arial"/>
        </w:rPr>
        <w:lastRenderedPageBreak/>
        <w:t xml:space="preserve">Yellow Hat </w:t>
      </w:r>
      <w:r w:rsidRPr="001509EC">
        <w:rPr>
          <w:rFonts w:cs="Arial"/>
        </w:rPr>
        <w:sym w:font="Wingdings" w:char="F0E0"/>
      </w:r>
      <w:r>
        <w:rPr>
          <w:rFonts w:cs="Arial"/>
        </w:rPr>
        <w:t xml:space="preserve"> Benefits and Values.</w:t>
      </w:r>
    </w:p>
    <w:p w14:paraId="2D1F12A9" w14:textId="03F89260" w:rsidR="001509EC" w:rsidRDefault="001509EC" w:rsidP="001509EC">
      <w:pPr>
        <w:pStyle w:val="ListParagraph"/>
        <w:numPr>
          <w:ilvl w:val="0"/>
          <w:numId w:val="1"/>
        </w:numPr>
        <w:spacing w:line="360" w:lineRule="auto"/>
        <w:rPr>
          <w:rFonts w:cs="Arial"/>
        </w:rPr>
      </w:pPr>
      <w:r>
        <w:rPr>
          <w:rFonts w:cs="Arial"/>
        </w:rPr>
        <w:t xml:space="preserve">Black Hat </w:t>
      </w:r>
      <w:r w:rsidRPr="001509EC">
        <w:rPr>
          <w:rFonts w:cs="Arial"/>
        </w:rPr>
        <w:sym w:font="Wingdings" w:char="F0E0"/>
      </w:r>
      <w:r>
        <w:rPr>
          <w:rFonts w:cs="Arial"/>
        </w:rPr>
        <w:t xml:space="preserve"> Difficulties and Dangers.</w:t>
      </w:r>
    </w:p>
    <w:p w14:paraId="4CB9DE3B" w14:textId="5B67D299" w:rsidR="001509EC" w:rsidRDefault="001509EC" w:rsidP="00234A71">
      <w:pPr>
        <w:pStyle w:val="ListParagraph"/>
        <w:numPr>
          <w:ilvl w:val="0"/>
          <w:numId w:val="1"/>
        </w:numPr>
        <w:spacing w:line="360" w:lineRule="auto"/>
        <w:rPr>
          <w:rFonts w:cs="Arial"/>
        </w:rPr>
      </w:pPr>
      <w:r>
        <w:rPr>
          <w:rFonts w:cs="Arial"/>
        </w:rPr>
        <w:t xml:space="preserve">White Hat </w:t>
      </w:r>
      <w:r w:rsidRPr="001509EC">
        <w:rPr>
          <w:rFonts w:cs="Arial"/>
        </w:rPr>
        <w:sym w:font="Wingdings" w:char="F0E0"/>
      </w:r>
      <w:r>
        <w:rPr>
          <w:rFonts w:cs="Arial"/>
        </w:rPr>
        <w:t xml:space="preserve"> Information and Data.</w:t>
      </w:r>
    </w:p>
    <w:p w14:paraId="60CC5B8A" w14:textId="77777777" w:rsidR="001509EC" w:rsidRDefault="001509EC" w:rsidP="001509EC">
      <w:pPr>
        <w:spacing w:line="360" w:lineRule="auto"/>
        <w:rPr>
          <w:rFonts w:cs="Arial"/>
        </w:rPr>
      </w:pPr>
    </w:p>
    <w:p w14:paraId="48552C25" w14:textId="4E948865" w:rsidR="001509EC" w:rsidRDefault="001509EC" w:rsidP="001509EC">
      <w:pPr>
        <w:spacing w:line="360" w:lineRule="auto"/>
        <w:rPr>
          <w:rFonts w:cs="Arial"/>
        </w:rPr>
      </w:pPr>
      <w:r>
        <w:rPr>
          <w:rFonts w:cs="Arial"/>
        </w:rPr>
        <w:t>This model is desirable as it can be used individually or collaboratively whilst both yielding an effective outcome.</w:t>
      </w:r>
      <w:r w:rsidR="00B440CE">
        <w:rPr>
          <w:rFonts w:cs="Arial"/>
        </w:rPr>
        <w:t xml:space="preserve"> De Bono’s method </w:t>
      </w:r>
      <w:r w:rsidR="0036426C">
        <w:rPr>
          <w:rFonts w:cs="Arial"/>
        </w:rPr>
        <w:t>helps avoid conflict as every viewpoint and criticism are considered (Stoilkov, 2023). An example of applying this model in a HR context would be implementing a new policy. A new policy that’s applicable to everyone within the organisation needs to be meticulously planned out to ensure its sustainable, effective and aligned with the goals the implementation set to achieve.</w:t>
      </w:r>
    </w:p>
    <w:p w14:paraId="6ED1860A" w14:textId="77777777" w:rsidR="0036426C" w:rsidRDefault="0036426C" w:rsidP="001509EC">
      <w:pPr>
        <w:spacing w:line="360" w:lineRule="auto"/>
        <w:rPr>
          <w:rFonts w:cs="Arial"/>
        </w:rPr>
      </w:pPr>
    </w:p>
    <w:p w14:paraId="4378F3F4" w14:textId="39DDF133" w:rsidR="0036426C" w:rsidRDefault="0036426C" w:rsidP="001509EC">
      <w:pPr>
        <w:spacing w:line="360" w:lineRule="auto"/>
        <w:rPr>
          <w:rFonts w:cs="Arial"/>
        </w:rPr>
      </w:pPr>
      <w:r>
        <w:rPr>
          <w:rFonts w:cs="Arial"/>
        </w:rPr>
        <w:t xml:space="preserve">The Kepner-Tregoe model is another systematic decision-making methodology which is particularly useful in a situation where various </w:t>
      </w:r>
      <w:r w:rsidR="0053106D">
        <w:rPr>
          <w:rFonts w:cs="Arial"/>
        </w:rPr>
        <w:t>factors</w:t>
      </w:r>
      <w:r>
        <w:rPr>
          <w:rFonts w:cs="Arial"/>
        </w:rPr>
        <w:t xml:space="preserve"> need to be considered.</w:t>
      </w:r>
      <w:r w:rsidR="0053106D">
        <w:rPr>
          <w:rFonts w:cs="Arial"/>
        </w:rPr>
        <w:t xml:space="preserve"> Majority of organisations want to know how to be effective, and to be effective, organisations need to adopt thinking processes to avoid bias (Markopoulos et al., 2022). Often, different needs require different approaches to solve them effectively, therefore this model consists of a four stage, holistic process to help solve this:</w:t>
      </w:r>
    </w:p>
    <w:p w14:paraId="12118D9F" w14:textId="77777777" w:rsidR="0053106D" w:rsidRDefault="0053106D" w:rsidP="001509EC">
      <w:pPr>
        <w:spacing w:line="360" w:lineRule="auto"/>
        <w:rPr>
          <w:rFonts w:cs="Arial"/>
        </w:rPr>
      </w:pPr>
    </w:p>
    <w:p w14:paraId="3B897EFD" w14:textId="70BED80E" w:rsidR="0053106D" w:rsidRDefault="0053106D" w:rsidP="0053106D">
      <w:pPr>
        <w:pStyle w:val="ListParagraph"/>
        <w:numPr>
          <w:ilvl w:val="0"/>
          <w:numId w:val="2"/>
        </w:numPr>
        <w:spacing w:line="360" w:lineRule="auto"/>
        <w:rPr>
          <w:rFonts w:cs="Arial"/>
        </w:rPr>
      </w:pPr>
      <w:r>
        <w:rPr>
          <w:rFonts w:cs="Arial"/>
        </w:rPr>
        <w:t>Situation Appraisal.</w:t>
      </w:r>
    </w:p>
    <w:p w14:paraId="3C81E79B" w14:textId="2CE07F89" w:rsidR="0053106D" w:rsidRDefault="0053106D" w:rsidP="0053106D">
      <w:pPr>
        <w:pStyle w:val="ListParagraph"/>
        <w:numPr>
          <w:ilvl w:val="0"/>
          <w:numId w:val="2"/>
        </w:numPr>
        <w:spacing w:line="360" w:lineRule="auto"/>
        <w:rPr>
          <w:rFonts w:cs="Arial"/>
        </w:rPr>
      </w:pPr>
      <w:r>
        <w:rPr>
          <w:rFonts w:cs="Arial"/>
        </w:rPr>
        <w:t>Problem Analysis.</w:t>
      </w:r>
    </w:p>
    <w:p w14:paraId="3B56BF59" w14:textId="397026A7" w:rsidR="0053106D" w:rsidRDefault="0053106D" w:rsidP="0053106D">
      <w:pPr>
        <w:pStyle w:val="ListParagraph"/>
        <w:numPr>
          <w:ilvl w:val="0"/>
          <w:numId w:val="2"/>
        </w:numPr>
        <w:spacing w:line="360" w:lineRule="auto"/>
        <w:rPr>
          <w:rFonts w:cs="Arial"/>
        </w:rPr>
      </w:pPr>
      <w:r>
        <w:rPr>
          <w:rFonts w:cs="Arial"/>
        </w:rPr>
        <w:t>Decision Analysis.</w:t>
      </w:r>
    </w:p>
    <w:p w14:paraId="0E0964F4" w14:textId="2E1A3BB5" w:rsidR="0053106D" w:rsidRPr="0053106D" w:rsidRDefault="0053106D" w:rsidP="0053106D">
      <w:pPr>
        <w:pStyle w:val="ListParagraph"/>
        <w:numPr>
          <w:ilvl w:val="0"/>
          <w:numId w:val="2"/>
        </w:numPr>
        <w:spacing w:line="360" w:lineRule="auto"/>
        <w:rPr>
          <w:rFonts w:cs="Arial"/>
        </w:rPr>
      </w:pPr>
      <w:r>
        <w:rPr>
          <w:rFonts w:cs="Arial"/>
        </w:rPr>
        <w:t>Potential Problem Analysis.</w:t>
      </w:r>
    </w:p>
    <w:p w14:paraId="6D81BEE4" w14:textId="77777777" w:rsidR="0036426C" w:rsidRDefault="0036426C" w:rsidP="001509EC">
      <w:pPr>
        <w:spacing w:line="360" w:lineRule="auto"/>
        <w:rPr>
          <w:rFonts w:cs="Arial"/>
        </w:rPr>
      </w:pPr>
    </w:p>
    <w:p w14:paraId="26CBE52F" w14:textId="645EDB84" w:rsidR="00B207D7" w:rsidRDefault="00B207D7" w:rsidP="001509EC">
      <w:pPr>
        <w:spacing w:line="360" w:lineRule="auto"/>
        <w:rPr>
          <w:rFonts w:cs="Arial"/>
        </w:rPr>
      </w:pPr>
      <w:r>
        <w:rPr>
          <w:rFonts w:cs="Arial"/>
        </w:rPr>
        <w:t xml:space="preserve">Explain </w:t>
      </w:r>
      <w:r w:rsidRPr="00B207D7">
        <w:rPr>
          <w:rFonts w:cs="Arial"/>
        </w:rPr>
        <w:sym w:font="Wingdings" w:char="F0E0"/>
      </w:r>
      <w:r>
        <w:rPr>
          <w:rFonts w:cs="Arial"/>
        </w:rPr>
        <w:t xml:space="preserve"> context of a grievance.</w:t>
      </w:r>
    </w:p>
    <w:p w14:paraId="24CBFEFC" w14:textId="7E553777" w:rsidR="00BC3D2F" w:rsidRDefault="00BC3D2F" w:rsidP="001509EC">
      <w:pPr>
        <w:spacing w:line="360" w:lineRule="auto"/>
        <w:rPr>
          <w:rFonts w:cs="Arial"/>
        </w:rPr>
      </w:pPr>
    </w:p>
    <w:p w14:paraId="2A38DDAE" w14:textId="5D06A1DA" w:rsidR="00BC3D2F" w:rsidRDefault="00BC3D2F" w:rsidP="001509EC">
      <w:pPr>
        <w:spacing w:line="360" w:lineRule="auto"/>
        <w:rPr>
          <w:rFonts w:cs="Arial"/>
        </w:rPr>
      </w:pPr>
      <w:r>
        <w:rPr>
          <w:rFonts w:cs="Arial"/>
        </w:rPr>
        <w:t>Asking the right questions in the correct order stimulates the collection of information which is needed to understand the problem and subsequently find a solution (Markopoulos et al., 2022)</w:t>
      </w:r>
    </w:p>
    <w:p w14:paraId="3E300644" w14:textId="77777777" w:rsidR="00B207D7" w:rsidRDefault="00B207D7" w:rsidP="001509EC">
      <w:pPr>
        <w:spacing w:line="360" w:lineRule="auto"/>
        <w:rPr>
          <w:rFonts w:cs="Arial"/>
        </w:rPr>
      </w:pPr>
    </w:p>
    <w:p w14:paraId="7F808B0D" w14:textId="77241469" w:rsidR="0036426C" w:rsidRDefault="0036426C" w:rsidP="001509EC">
      <w:pPr>
        <w:spacing w:line="360" w:lineRule="auto"/>
        <w:rPr>
          <w:rFonts w:cs="Arial"/>
        </w:rPr>
      </w:pPr>
      <w:r>
        <w:rPr>
          <w:rFonts w:cs="Arial"/>
        </w:rPr>
        <w:t xml:space="preserve">The efficacy of Kepner-Tregoe can be dependent on employee engagement and trust, therefore in some circumstances it may not be the best approach </w:t>
      </w:r>
      <w:r w:rsidR="0053106D">
        <w:rPr>
          <w:rFonts w:cs="Arial"/>
        </w:rPr>
        <w:t>as the outcome could be inaccurate (Markopoulos et al., 2022).</w:t>
      </w:r>
    </w:p>
    <w:p w14:paraId="0914B64D" w14:textId="77777777" w:rsidR="00B440CE" w:rsidRDefault="00B440CE" w:rsidP="001509EC">
      <w:pPr>
        <w:spacing w:line="360" w:lineRule="auto"/>
        <w:rPr>
          <w:rFonts w:cs="Arial"/>
        </w:rPr>
      </w:pPr>
    </w:p>
    <w:p w14:paraId="5F2E918B" w14:textId="796AC9EF" w:rsidR="00B440CE" w:rsidRDefault="00F64C48" w:rsidP="001509EC">
      <w:pPr>
        <w:spacing w:line="360" w:lineRule="auto"/>
        <w:rPr>
          <w:rFonts w:cs="Arial"/>
        </w:rPr>
      </w:pPr>
      <w:r>
        <w:rPr>
          <w:rFonts w:cs="Arial"/>
        </w:rPr>
        <w:lastRenderedPageBreak/>
        <w:t xml:space="preserve">Decision-making models such as Edward de Bono’s Six Thinking Hats and Kepner-Tregoe help improve critical, unbiased decision-making from people professionals, ultimately increasing their validity within an organisation. </w:t>
      </w:r>
      <w:r w:rsidR="0036426C">
        <w:rPr>
          <w:rFonts w:cs="Arial"/>
        </w:rPr>
        <w:t>Ensuring</w:t>
      </w:r>
      <w:r>
        <w:rPr>
          <w:rFonts w:cs="Arial"/>
        </w:rPr>
        <w:t xml:space="preserve"> that people professionals are equipped with these tools, </w:t>
      </w:r>
      <w:r w:rsidR="00CB2F04">
        <w:rPr>
          <w:rFonts w:cs="Arial"/>
        </w:rPr>
        <w:t>helps promote self-sufficiency and professional development in stakeholders, particularly within a HR context</w:t>
      </w:r>
      <w:r w:rsidR="0036426C">
        <w:rPr>
          <w:rFonts w:cs="Arial"/>
        </w:rPr>
        <w:t xml:space="preserve"> (Stoilkov, 2023)</w:t>
      </w:r>
      <w:r w:rsidR="00CB2F04">
        <w:rPr>
          <w:rFonts w:cs="Arial"/>
        </w:rPr>
        <w:t>.</w:t>
      </w:r>
    </w:p>
    <w:p w14:paraId="4276C9E9" w14:textId="77777777" w:rsidR="00351E53" w:rsidRDefault="00351E53" w:rsidP="001509EC">
      <w:pPr>
        <w:spacing w:line="360" w:lineRule="auto"/>
        <w:rPr>
          <w:rFonts w:cs="Arial"/>
        </w:rPr>
      </w:pPr>
    </w:p>
    <w:p w14:paraId="6A0130D1" w14:textId="77777777" w:rsidR="00351E53" w:rsidRDefault="00351E53" w:rsidP="001509EC">
      <w:pPr>
        <w:spacing w:line="360" w:lineRule="auto"/>
        <w:rPr>
          <w:rFonts w:cs="Arial"/>
        </w:rPr>
      </w:pPr>
    </w:p>
    <w:p w14:paraId="0E22C0BF" w14:textId="77777777" w:rsidR="00351E53" w:rsidRDefault="00351E53" w:rsidP="001509EC">
      <w:pPr>
        <w:spacing w:line="360" w:lineRule="auto"/>
        <w:rPr>
          <w:rFonts w:cs="Arial"/>
        </w:rPr>
      </w:pPr>
    </w:p>
    <w:p w14:paraId="724046A2" w14:textId="77777777" w:rsidR="00351E53" w:rsidRDefault="00351E53" w:rsidP="001509EC">
      <w:pPr>
        <w:spacing w:line="360" w:lineRule="auto"/>
        <w:rPr>
          <w:rFonts w:cs="Arial"/>
        </w:rPr>
      </w:pPr>
    </w:p>
    <w:p w14:paraId="77CBB3DA" w14:textId="77777777" w:rsidR="00351E53" w:rsidRDefault="00351E53" w:rsidP="001509EC">
      <w:pPr>
        <w:spacing w:line="360" w:lineRule="auto"/>
        <w:rPr>
          <w:rFonts w:cs="Arial"/>
        </w:rPr>
      </w:pPr>
    </w:p>
    <w:p w14:paraId="02A5109D" w14:textId="77777777" w:rsidR="00351E53" w:rsidRDefault="00351E53" w:rsidP="001509EC">
      <w:pPr>
        <w:spacing w:line="360" w:lineRule="auto"/>
        <w:rPr>
          <w:rFonts w:cs="Arial"/>
        </w:rPr>
      </w:pPr>
    </w:p>
    <w:p w14:paraId="7364488C" w14:textId="77777777" w:rsidR="00351E53" w:rsidRDefault="00351E53" w:rsidP="001509EC">
      <w:pPr>
        <w:spacing w:line="360" w:lineRule="auto"/>
        <w:rPr>
          <w:rFonts w:cs="Arial"/>
        </w:rPr>
      </w:pPr>
    </w:p>
    <w:p w14:paraId="65175001" w14:textId="77777777" w:rsidR="00351E53" w:rsidRDefault="00351E53" w:rsidP="001509EC">
      <w:pPr>
        <w:spacing w:line="360" w:lineRule="auto"/>
        <w:rPr>
          <w:rFonts w:cs="Arial"/>
        </w:rPr>
      </w:pPr>
    </w:p>
    <w:p w14:paraId="1B52BBAF" w14:textId="77777777" w:rsidR="00351E53" w:rsidRDefault="00351E53" w:rsidP="001509EC">
      <w:pPr>
        <w:spacing w:line="360" w:lineRule="auto"/>
        <w:rPr>
          <w:rFonts w:cs="Arial"/>
        </w:rPr>
      </w:pPr>
    </w:p>
    <w:p w14:paraId="43FFA5F8" w14:textId="77777777" w:rsidR="00351E53" w:rsidRDefault="00351E53" w:rsidP="001509EC">
      <w:pPr>
        <w:spacing w:line="360" w:lineRule="auto"/>
        <w:rPr>
          <w:rFonts w:cs="Arial"/>
        </w:rPr>
      </w:pPr>
    </w:p>
    <w:p w14:paraId="1A43F4AF" w14:textId="77777777" w:rsidR="00351E53" w:rsidRDefault="00351E53" w:rsidP="001509EC">
      <w:pPr>
        <w:spacing w:line="360" w:lineRule="auto"/>
        <w:rPr>
          <w:rFonts w:cs="Arial"/>
        </w:rPr>
      </w:pPr>
    </w:p>
    <w:p w14:paraId="1B5AE8EE" w14:textId="77777777" w:rsidR="00351E53" w:rsidRDefault="00351E53" w:rsidP="001509EC">
      <w:pPr>
        <w:spacing w:line="360" w:lineRule="auto"/>
        <w:rPr>
          <w:rFonts w:cs="Arial"/>
        </w:rPr>
      </w:pPr>
    </w:p>
    <w:p w14:paraId="2FD20621" w14:textId="77777777" w:rsidR="00351E53" w:rsidRDefault="00351E53" w:rsidP="001509EC">
      <w:pPr>
        <w:spacing w:line="360" w:lineRule="auto"/>
        <w:rPr>
          <w:rFonts w:cs="Arial"/>
        </w:rPr>
      </w:pPr>
    </w:p>
    <w:p w14:paraId="5E35D09A" w14:textId="77777777" w:rsidR="00351E53" w:rsidRDefault="00351E53" w:rsidP="001509EC">
      <w:pPr>
        <w:spacing w:line="360" w:lineRule="auto"/>
        <w:rPr>
          <w:rFonts w:cs="Arial"/>
        </w:rPr>
      </w:pPr>
    </w:p>
    <w:p w14:paraId="3FC460AB" w14:textId="77777777" w:rsidR="00351E53" w:rsidRDefault="00351E53" w:rsidP="001509EC">
      <w:pPr>
        <w:spacing w:line="360" w:lineRule="auto"/>
        <w:rPr>
          <w:rFonts w:cs="Arial"/>
        </w:rPr>
      </w:pPr>
    </w:p>
    <w:p w14:paraId="0D8A5855" w14:textId="77777777" w:rsidR="00351E53" w:rsidRDefault="00351E53" w:rsidP="001509EC">
      <w:pPr>
        <w:spacing w:line="360" w:lineRule="auto"/>
        <w:rPr>
          <w:rFonts w:cs="Arial"/>
        </w:rPr>
      </w:pPr>
    </w:p>
    <w:p w14:paraId="73AA5725" w14:textId="77777777" w:rsidR="00351E53" w:rsidRDefault="00351E53" w:rsidP="001509EC">
      <w:pPr>
        <w:spacing w:line="360" w:lineRule="auto"/>
        <w:rPr>
          <w:rFonts w:cs="Arial"/>
        </w:rPr>
      </w:pPr>
    </w:p>
    <w:p w14:paraId="2E14DEE2" w14:textId="77777777" w:rsidR="00351E53" w:rsidRDefault="00351E53" w:rsidP="001509EC">
      <w:pPr>
        <w:spacing w:line="360" w:lineRule="auto"/>
        <w:rPr>
          <w:rFonts w:cs="Arial"/>
        </w:rPr>
      </w:pPr>
    </w:p>
    <w:p w14:paraId="2FA83049" w14:textId="77777777" w:rsidR="00351E53" w:rsidRDefault="00351E53" w:rsidP="001509EC">
      <w:pPr>
        <w:spacing w:line="360" w:lineRule="auto"/>
        <w:rPr>
          <w:rFonts w:cs="Arial"/>
        </w:rPr>
      </w:pPr>
    </w:p>
    <w:p w14:paraId="45841CB2" w14:textId="77777777" w:rsidR="00351E53" w:rsidRDefault="00351E53" w:rsidP="001509EC">
      <w:pPr>
        <w:spacing w:line="360" w:lineRule="auto"/>
        <w:rPr>
          <w:rFonts w:cs="Arial"/>
        </w:rPr>
      </w:pPr>
    </w:p>
    <w:p w14:paraId="627AF9E3" w14:textId="77777777" w:rsidR="00351E53" w:rsidRDefault="00351E53" w:rsidP="001509EC">
      <w:pPr>
        <w:spacing w:line="360" w:lineRule="auto"/>
        <w:rPr>
          <w:rFonts w:cs="Arial"/>
        </w:rPr>
      </w:pPr>
    </w:p>
    <w:p w14:paraId="76789734" w14:textId="77777777" w:rsidR="00351E53" w:rsidRDefault="00351E53" w:rsidP="001509EC">
      <w:pPr>
        <w:spacing w:line="360" w:lineRule="auto"/>
        <w:rPr>
          <w:rFonts w:cs="Arial"/>
        </w:rPr>
      </w:pPr>
    </w:p>
    <w:p w14:paraId="32BE3B1E" w14:textId="77777777" w:rsidR="00351E53" w:rsidRDefault="00351E53" w:rsidP="001509EC">
      <w:pPr>
        <w:spacing w:line="360" w:lineRule="auto"/>
        <w:rPr>
          <w:rFonts w:cs="Arial"/>
        </w:rPr>
      </w:pPr>
    </w:p>
    <w:p w14:paraId="141CB74A" w14:textId="77777777" w:rsidR="00351E53" w:rsidRDefault="00351E53" w:rsidP="001509EC">
      <w:pPr>
        <w:spacing w:line="360" w:lineRule="auto"/>
        <w:rPr>
          <w:rFonts w:cs="Arial"/>
        </w:rPr>
      </w:pPr>
    </w:p>
    <w:p w14:paraId="24686BBE" w14:textId="77777777" w:rsidR="00351E53" w:rsidRDefault="00351E53" w:rsidP="001509EC">
      <w:pPr>
        <w:spacing w:line="360" w:lineRule="auto"/>
        <w:rPr>
          <w:rFonts w:cs="Arial"/>
        </w:rPr>
      </w:pPr>
    </w:p>
    <w:p w14:paraId="02C3B190" w14:textId="77777777" w:rsidR="00351E53" w:rsidRDefault="00351E53" w:rsidP="001509EC">
      <w:pPr>
        <w:spacing w:line="360" w:lineRule="auto"/>
        <w:rPr>
          <w:rFonts w:cs="Arial"/>
        </w:rPr>
      </w:pPr>
    </w:p>
    <w:p w14:paraId="6A52E3C1" w14:textId="500E1A93" w:rsidR="00CB4E28" w:rsidRDefault="00CB4E28" w:rsidP="0039627B">
      <w:pPr>
        <w:pStyle w:val="AssignmentHeading1"/>
      </w:pPr>
      <w:bookmarkStart w:id="9" w:name="_Toc183358566"/>
      <w:bookmarkStart w:id="10" w:name="_Toc184048309"/>
      <w:r w:rsidRPr="00CB4E28">
        <w:lastRenderedPageBreak/>
        <w:t>Ethics (AC1.5)</w:t>
      </w:r>
      <w:bookmarkEnd w:id="9"/>
      <w:bookmarkEnd w:id="10"/>
    </w:p>
    <w:p w14:paraId="6FF0473E" w14:textId="77777777" w:rsidR="00234A71" w:rsidRDefault="00234A71" w:rsidP="00234A71">
      <w:pPr>
        <w:spacing w:line="360" w:lineRule="auto"/>
        <w:rPr>
          <w:rFonts w:cs="Arial"/>
          <w:b/>
          <w:bCs/>
          <w:u w:val="single"/>
        </w:rPr>
      </w:pPr>
    </w:p>
    <w:p w14:paraId="3B886B1B" w14:textId="6D5187A2" w:rsidR="005E3B5E" w:rsidRDefault="005E3B5E" w:rsidP="00234A71">
      <w:pPr>
        <w:spacing w:line="360" w:lineRule="auto"/>
        <w:rPr>
          <w:rFonts w:cs="Arial"/>
        </w:rPr>
      </w:pPr>
      <w:r>
        <w:rPr>
          <w:rFonts w:cs="Arial"/>
        </w:rPr>
        <w:t>Ethica</w:t>
      </w:r>
      <w:r w:rsidR="002F4AA3">
        <w:rPr>
          <w:rFonts w:cs="Arial"/>
        </w:rPr>
        <w:t xml:space="preserve">l practice within organisations is crucial, not only from a moral viewpoint but also, it’s what the emerging workforce desire. Minahan (2021) found that 86% of employees want to work within a diverse team and work for an organisation that prioritises outcomes over output. Ethics within </w:t>
      </w:r>
      <w:r w:rsidR="003F531F">
        <w:rPr>
          <w:rFonts w:cs="Arial"/>
        </w:rPr>
        <w:t>people practice</w:t>
      </w:r>
      <w:r w:rsidR="002F4AA3">
        <w:rPr>
          <w:rFonts w:cs="Arial"/>
        </w:rPr>
        <w:t xml:space="preserve"> include safeguarding the wellbeing of employees and ensuring that </w:t>
      </w:r>
      <w:r w:rsidR="003F531F">
        <w:rPr>
          <w:rFonts w:cs="Arial"/>
        </w:rPr>
        <w:t>values such as transparency, accountability and equity are implemented in all areas of the organisation, especially within processes such as recruitment, performance management and employee relations (CIPD, 2024c).</w:t>
      </w:r>
    </w:p>
    <w:p w14:paraId="2AF83D6A" w14:textId="77777777" w:rsidR="001323A8" w:rsidRDefault="001323A8" w:rsidP="00234A71">
      <w:pPr>
        <w:spacing w:line="360" w:lineRule="auto"/>
        <w:rPr>
          <w:rFonts w:cs="Arial"/>
        </w:rPr>
      </w:pPr>
    </w:p>
    <w:p w14:paraId="3A49FCB3" w14:textId="28C1758E" w:rsidR="001323A8" w:rsidRDefault="001323A8" w:rsidP="00234A71">
      <w:pPr>
        <w:spacing w:line="360" w:lineRule="auto"/>
        <w:rPr>
          <w:rFonts w:cs="Arial"/>
        </w:rPr>
      </w:pPr>
      <w:r>
        <w:rPr>
          <w:rFonts w:cs="Arial"/>
        </w:rPr>
        <w:t>The CIPD have distinguished Eight Ethical Lenses (2015) to help aid people professionals to assess and navigate ethical dilemmas. Whilst these lenses aren’t created to represent a ‘right’ or ‘wrong’</w:t>
      </w:r>
      <w:r w:rsidR="00DD6FF8">
        <w:rPr>
          <w:rFonts w:cs="Arial"/>
        </w:rPr>
        <w:t>, they are imperative to understand to ensure that when needed, a decision can be made ethically and sensitively (CIPD, 2015).</w:t>
      </w:r>
    </w:p>
    <w:p w14:paraId="3D2B1CED" w14:textId="77777777" w:rsidR="005E3B5E" w:rsidRDefault="005E3B5E" w:rsidP="00234A71">
      <w:pPr>
        <w:spacing w:line="360" w:lineRule="auto"/>
        <w:rPr>
          <w:rFonts w:cs="Arial"/>
        </w:rPr>
      </w:pPr>
    </w:p>
    <w:p w14:paraId="701886CB" w14:textId="77777777" w:rsidR="00F60F37" w:rsidRDefault="005E3B5E" w:rsidP="00234A71">
      <w:pPr>
        <w:spacing w:line="360" w:lineRule="auto"/>
        <w:rPr>
          <w:rFonts w:cs="Arial"/>
        </w:rPr>
      </w:pPr>
      <w:r>
        <w:rPr>
          <w:rFonts w:cs="Arial"/>
        </w:rPr>
        <w:t>Different ethical perspectives provide clear frameworks for evaluating and guiding moral decision-making, which dictates how individuals and organisations act in specific scenarios.</w:t>
      </w:r>
      <w:r w:rsidR="00493964">
        <w:rPr>
          <w:rFonts w:cs="Arial"/>
        </w:rPr>
        <w:t xml:space="preserve"> Adopting an ethical ideology is a conscious process, however it can sometimes develop overtime subconsciously. Although, most organisations wouldn’t explicitly adopt </w:t>
      </w:r>
      <w:r w:rsidR="002F4AA3">
        <w:rPr>
          <w:rFonts w:cs="Arial"/>
        </w:rPr>
        <w:t>one ideology and rather make decisions based on situational factors.</w:t>
      </w:r>
      <w:r w:rsidR="001323A8">
        <w:rPr>
          <w:rFonts w:cs="Arial"/>
        </w:rPr>
        <w:t xml:space="preserve"> </w:t>
      </w:r>
      <w:r w:rsidR="00CA6117">
        <w:rPr>
          <w:rFonts w:cs="Arial"/>
        </w:rPr>
        <w:t xml:space="preserve">Two largely recognised ethical perspectives are Deontology and Utilitarianism. </w:t>
      </w:r>
    </w:p>
    <w:p w14:paraId="01BB0B77" w14:textId="77777777" w:rsidR="00F60F37" w:rsidRDefault="00F60F37" w:rsidP="00234A71">
      <w:pPr>
        <w:spacing w:line="360" w:lineRule="auto"/>
        <w:rPr>
          <w:rFonts w:cs="Arial"/>
        </w:rPr>
      </w:pPr>
    </w:p>
    <w:p w14:paraId="595F8118" w14:textId="57C63BE5" w:rsidR="001323A8" w:rsidRDefault="00CA6117" w:rsidP="00234A71">
      <w:pPr>
        <w:spacing w:line="360" w:lineRule="auto"/>
        <w:rPr>
          <w:rFonts w:cs="Arial"/>
        </w:rPr>
      </w:pPr>
      <w:r>
        <w:rPr>
          <w:rFonts w:cs="Arial"/>
        </w:rPr>
        <w:t>Within Deontology, the ‘right’ supersedes the ‘good’, as there is an emphasis on adhering to moral principles</w:t>
      </w:r>
      <w:r w:rsidR="00F60F37">
        <w:rPr>
          <w:rFonts w:cs="Arial"/>
        </w:rPr>
        <w:t xml:space="preserve"> regardless of the consequences</w:t>
      </w:r>
      <w:r>
        <w:rPr>
          <w:rFonts w:cs="Arial"/>
        </w:rPr>
        <w:t xml:space="preserve"> (Alexander and Moore, 2020).</w:t>
      </w:r>
      <w:r w:rsidR="00F60F37">
        <w:rPr>
          <w:rFonts w:cs="Arial"/>
        </w:rPr>
        <w:t xml:space="preserve"> However, Utilitarianism is a consequentialist theory, focusing on the consequences of actions, prioritising a decision that will maximise the overall happiness or wellbeing of those involved. This indicates that the morally ‘right’ choices are the ones that increase the ‘good’ (Alexander and Moore, 2020). Superficially, both ideologies sound extremist, but applying them in context helps one understand how common they are.</w:t>
      </w:r>
      <w:r w:rsidR="004029C3">
        <w:rPr>
          <w:rFonts w:cs="Arial"/>
        </w:rPr>
        <w:t xml:space="preserve"> </w:t>
      </w:r>
    </w:p>
    <w:p w14:paraId="454A30A1" w14:textId="77777777" w:rsidR="004029C3" w:rsidRDefault="004029C3" w:rsidP="00234A71">
      <w:pPr>
        <w:spacing w:line="360" w:lineRule="auto"/>
        <w:rPr>
          <w:rFonts w:cs="Arial"/>
        </w:rPr>
      </w:pPr>
    </w:p>
    <w:p w14:paraId="7198E715" w14:textId="6DD72B47" w:rsidR="004029C3" w:rsidRDefault="00A7517C" w:rsidP="00234A71">
      <w:pPr>
        <w:spacing w:line="360" w:lineRule="auto"/>
        <w:rPr>
          <w:rFonts w:cs="Arial"/>
        </w:rPr>
      </w:pPr>
      <w:r>
        <w:rPr>
          <w:rFonts w:cs="Arial"/>
        </w:rPr>
        <w:t xml:space="preserve">For example, if an organisation was needing to make savings, a Utilitarian approach may consider redundancies as the first and best option. Despite unsettling some </w:t>
      </w:r>
      <w:r>
        <w:rPr>
          <w:rFonts w:cs="Arial"/>
        </w:rPr>
        <w:lastRenderedPageBreak/>
        <w:t xml:space="preserve">people, a small </w:t>
      </w:r>
      <w:r w:rsidR="00B2384A">
        <w:rPr>
          <w:rFonts w:cs="Arial"/>
        </w:rPr>
        <w:t>number</w:t>
      </w:r>
      <w:r>
        <w:rPr>
          <w:rFonts w:cs="Arial"/>
        </w:rPr>
        <w:t xml:space="preserve"> of redundancies would mean the organisation could potentially survive, achieving the greatest good for the largest number of people. In contract, a Deontological approach would focus on individual rights rather than consider the organisation as a </w:t>
      </w:r>
      <w:r w:rsidR="00B2384A">
        <w:rPr>
          <w:rFonts w:cs="Arial"/>
        </w:rPr>
        <w:t>whole and</w:t>
      </w:r>
      <w:r>
        <w:rPr>
          <w:rFonts w:cs="Arial"/>
        </w:rPr>
        <w:t xml:space="preserve"> ensure that </w:t>
      </w:r>
      <w:r w:rsidR="00B2384A">
        <w:rPr>
          <w:rFonts w:cs="Arial"/>
        </w:rPr>
        <w:t>everyone</w:t>
      </w:r>
      <w:r w:rsidR="00053EF7">
        <w:rPr>
          <w:rFonts w:cs="Arial"/>
        </w:rPr>
        <w:t xml:space="preserve"> was treated with humility and given clear, transparent communication. Within Deontology, philosopher Kant advises that one should never treat people “merely as means”, therefore employees should not be treated </w:t>
      </w:r>
      <w:proofErr w:type="gramStart"/>
      <w:r w:rsidR="00053EF7">
        <w:rPr>
          <w:rFonts w:cs="Arial"/>
        </w:rPr>
        <w:t>as a means to</w:t>
      </w:r>
      <w:proofErr w:type="gramEnd"/>
      <w:r w:rsidR="00053EF7">
        <w:rPr>
          <w:rFonts w:cs="Arial"/>
        </w:rPr>
        <w:t xml:space="preserve"> the organisations economic benefit (Kranak, 2019).</w:t>
      </w:r>
    </w:p>
    <w:p w14:paraId="552626D2" w14:textId="77777777" w:rsidR="00F60F37" w:rsidRDefault="00F60F37" w:rsidP="00234A71">
      <w:pPr>
        <w:spacing w:line="360" w:lineRule="auto"/>
        <w:rPr>
          <w:rFonts w:cs="Arial"/>
        </w:rPr>
      </w:pPr>
    </w:p>
    <w:p w14:paraId="20032CBB" w14:textId="7276C269" w:rsidR="00CB4E28" w:rsidRDefault="00F60F37" w:rsidP="00234A71">
      <w:pPr>
        <w:spacing w:line="360" w:lineRule="auto"/>
        <w:rPr>
          <w:rFonts w:cs="Arial"/>
        </w:rPr>
      </w:pPr>
      <w:r>
        <w:rPr>
          <w:rFonts w:cs="Arial"/>
        </w:rPr>
        <w:t>Ultimately, both Deontology and Utilitarianism are designed to aid ethical decision-making</w:t>
      </w:r>
      <w:r w:rsidR="00E533CE">
        <w:rPr>
          <w:rFonts w:cs="Arial"/>
        </w:rPr>
        <w:t xml:space="preserve"> with objective guidelines and principles, however, their differences outweigh their similarities. Integrating the two is a solution suggested by Alexander and Moore (2020) which can help achieve a balanced approach</w:t>
      </w:r>
      <w:r w:rsidR="00CC6D7D">
        <w:rPr>
          <w:rFonts w:cs="Arial"/>
        </w:rPr>
        <w:t xml:space="preserve"> to aid decision-making. For example, implementing a policy within an organisation </w:t>
      </w:r>
      <w:r w:rsidR="00443734">
        <w:rPr>
          <w:rFonts w:cs="Arial"/>
        </w:rPr>
        <w:t>is not without its challenges.</w:t>
      </w:r>
      <w:r w:rsidR="00CC6D7D">
        <w:rPr>
          <w:rFonts w:cs="Arial"/>
        </w:rPr>
        <w:t xml:space="preserve"> </w:t>
      </w:r>
      <w:r w:rsidR="00443734">
        <w:rPr>
          <w:rFonts w:cs="Arial"/>
        </w:rPr>
        <w:t xml:space="preserve">A combined ethical perspective would help decision-makers consider the outcomes of their actions </w:t>
      </w:r>
      <w:r w:rsidR="004029C3">
        <w:rPr>
          <w:rFonts w:cs="Arial"/>
        </w:rPr>
        <w:t xml:space="preserve">on happiness and wellbeing, </w:t>
      </w:r>
      <w:r w:rsidR="00443734">
        <w:rPr>
          <w:rFonts w:cs="Arial"/>
        </w:rPr>
        <w:t>while respecting the moral principles and duties of everyone involved, which yields more thoughtful and comprehensive decision-making (Alexander and Moore, 2020).</w:t>
      </w:r>
    </w:p>
    <w:p w14:paraId="3F2DE17E" w14:textId="77777777" w:rsidR="004E61D7" w:rsidRDefault="004E61D7" w:rsidP="00234A71">
      <w:pPr>
        <w:spacing w:line="360" w:lineRule="auto"/>
        <w:rPr>
          <w:rFonts w:cs="Arial"/>
        </w:rPr>
      </w:pPr>
    </w:p>
    <w:p w14:paraId="044AF3D1" w14:textId="77777777" w:rsidR="004E61D7" w:rsidRDefault="004E61D7" w:rsidP="00234A71">
      <w:pPr>
        <w:spacing w:line="360" w:lineRule="auto"/>
        <w:rPr>
          <w:rFonts w:cs="Arial"/>
        </w:rPr>
      </w:pPr>
    </w:p>
    <w:p w14:paraId="7C2D675E" w14:textId="77777777" w:rsidR="004E61D7" w:rsidRDefault="004E61D7" w:rsidP="00234A71">
      <w:pPr>
        <w:spacing w:line="360" w:lineRule="auto"/>
        <w:rPr>
          <w:rFonts w:cs="Arial"/>
        </w:rPr>
      </w:pPr>
    </w:p>
    <w:p w14:paraId="4F9C7710" w14:textId="77777777" w:rsidR="004E61D7" w:rsidRDefault="004E61D7" w:rsidP="00234A71">
      <w:pPr>
        <w:spacing w:line="360" w:lineRule="auto"/>
        <w:rPr>
          <w:rFonts w:cs="Arial"/>
        </w:rPr>
      </w:pPr>
    </w:p>
    <w:p w14:paraId="76679C9F" w14:textId="77777777" w:rsidR="004E61D7" w:rsidRDefault="004E61D7" w:rsidP="00234A71">
      <w:pPr>
        <w:spacing w:line="360" w:lineRule="auto"/>
        <w:rPr>
          <w:rFonts w:cs="Arial"/>
        </w:rPr>
      </w:pPr>
    </w:p>
    <w:p w14:paraId="34C2C54A" w14:textId="77777777" w:rsidR="004E61D7" w:rsidRDefault="004E61D7" w:rsidP="00234A71">
      <w:pPr>
        <w:spacing w:line="360" w:lineRule="auto"/>
        <w:rPr>
          <w:rFonts w:cs="Arial"/>
        </w:rPr>
      </w:pPr>
    </w:p>
    <w:p w14:paraId="4F8DAC7A" w14:textId="77777777" w:rsidR="004E61D7" w:rsidRDefault="004E61D7" w:rsidP="00234A71">
      <w:pPr>
        <w:spacing w:line="360" w:lineRule="auto"/>
        <w:rPr>
          <w:rFonts w:cs="Arial"/>
        </w:rPr>
      </w:pPr>
    </w:p>
    <w:p w14:paraId="7956BB4C" w14:textId="77777777" w:rsidR="004E61D7" w:rsidRDefault="004E61D7" w:rsidP="00234A71">
      <w:pPr>
        <w:spacing w:line="360" w:lineRule="auto"/>
        <w:rPr>
          <w:rFonts w:cs="Arial"/>
        </w:rPr>
      </w:pPr>
    </w:p>
    <w:p w14:paraId="3D16F701" w14:textId="77777777" w:rsidR="004E61D7" w:rsidRDefault="004E61D7" w:rsidP="00234A71">
      <w:pPr>
        <w:spacing w:line="360" w:lineRule="auto"/>
        <w:rPr>
          <w:rFonts w:cs="Arial"/>
        </w:rPr>
      </w:pPr>
    </w:p>
    <w:p w14:paraId="377894EA" w14:textId="77777777" w:rsidR="000715A2" w:rsidRDefault="000715A2" w:rsidP="00234A71">
      <w:pPr>
        <w:spacing w:line="360" w:lineRule="auto"/>
        <w:rPr>
          <w:rFonts w:cs="Arial"/>
        </w:rPr>
      </w:pPr>
    </w:p>
    <w:p w14:paraId="5DA347DB" w14:textId="77777777" w:rsidR="00351E53" w:rsidRDefault="00351E53" w:rsidP="00234A71">
      <w:pPr>
        <w:spacing w:line="360" w:lineRule="auto"/>
        <w:rPr>
          <w:rFonts w:cs="Arial"/>
        </w:rPr>
      </w:pPr>
    </w:p>
    <w:p w14:paraId="5BC436D1" w14:textId="77777777" w:rsidR="00351E53" w:rsidRDefault="00351E53" w:rsidP="00234A71">
      <w:pPr>
        <w:spacing w:line="360" w:lineRule="auto"/>
        <w:rPr>
          <w:rFonts w:cs="Arial"/>
        </w:rPr>
      </w:pPr>
    </w:p>
    <w:p w14:paraId="70B9B2DB" w14:textId="77777777" w:rsidR="00351E53" w:rsidRDefault="00351E53" w:rsidP="00234A71">
      <w:pPr>
        <w:spacing w:line="360" w:lineRule="auto"/>
        <w:rPr>
          <w:rFonts w:cs="Arial"/>
        </w:rPr>
      </w:pPr>
    </w:p>
    <w:p w14:paraId="2526359E" w14:textId="77777777" w:rsidR="00351E53" w:rsidRDefault="00351E53" w:rsidP="00234A71">
      <w:pPr>
        <w:spacing w:line="360" w:lineRule="auto"/>
        <w:rPr>
          <w:rFonts w:cs="Arial"/>
        </w:rPr>
      </w:pPr>
    </w:p>
    <w:p w14:paraId="5B7E017F" w14:textId="77777777" w:rsidR="00351E53" w:rsidRPr="001D4C13" w:rsidRDefault="00351E53" w:rsidP="00234A71">
      <w:pPr>
        <w:spacing w:line="360" w:lineRule="auto"/>
        <w:rPr>
          <w:rFonts w:cs="Arial"/>
        </w:rPr>
      </w:pPr>
    </w:p>
    <w:p w14:paraId="06A26D23" w14:textId="20418712" w:rsidR="00CB4E28" w:rsidRDefault="00CB4E28" w:rsidP="0039627B">
      <w:pPr>
        <w:pStyle w:val="AssignmentHeading1"/>
      </w:pPr>
      <w:bookmarkStart w:id="11" w:name="_Toc183358567"/>
      <w:bookmarkStart w:id="12" w:name="_Toc184048310"/>
      <w:r w:rsidRPr="00CB4E28">
        <w:lastRenderedPageBreak/>
        <w:t xml:space="preserve">Measuring </w:t>
      </w:r>
      <w:r w:rsidRPr="002D0FE0">
        <w:rPr>
          <w:strike/>
        </w:rPr>
        <w:t>Financial &amp; Non-Financial</w:t>
      </w:r>
      <w:r w:rsidRPr="00CB4E28">
        <w:t xml:space="preserve"> Performance (AC3.1)</w:t>
      </w:r>
      <w:bookmarkEnd w:id="11"/>
      <w:bookmarkEnd w:id="12"/>
    </w:p>
    <w:p w14:paraId="62ED9E89" w14:textId="77777777" w:rsidR="00234A71" w:rsidRDefault="00234A71" w:rsidP="00234A71">
      <w:pPr>
        <w:spacing w:line="360" w:lineRule="auto"/>
        <w:rPr>
          <w:rFonts w:cs="Arial"/>
          <w:b/>
          <w:bCs/>
          <w:u w:val="single"/>
        </w:rPr>
      </w:pPr>
    </w:p>
    <w:p w14:paraId="6AEE76B5" w14:textId="2CE9F540" w:rsidR="00234A71" w:rsidRPr="00EE2764" w:rsidRDefault="005B4ADE" w:rsidP="00234A71">
      <w:pPr>
        <w:spacing w:line="360" w:lineRule="auto"/>
        <w:rPr>
          <w:rFonts w:cs="Arial"/>
          <w:strike/>
        </w:rPr>
      </w:pPr>
      <w:r w:rsidRPr="00EE2764">
        <w:rPr>
          <w:rFonts w:cs="Arial"/>
          <w:strike/>
        </w:rPr>
        <w:t xml:space="preserve">To </w:t>
      </w:r>
      <w:r w:rsidR="000F289D" w:rsidRPr="00EE2764">
        <w:rPr>
          <w:rFonts w:cs="Arial"/>
          <w:strike/>
        </w:rPr>
        <w:t>monitor an organisations success, they must measure their financial and non-financial performance using various indicators. Financial performance can be measured by calculating Return on Investment (ROI), which allows an organisation to compare the financial benefits gained from employee training against the costs that were incurred. ROI is calculated by the following formula:</w:t>
      </w:r>
    </w:p>
    <w:p w14:paraId="0A9C1291" w14:textId="77777777" w:rsidR="000F289D" w:rsidRPr="00EE2764" w:rsidRDefault="000F289D" w:rsidP="00234A71">
      <w:pPr>
        <w:spacing w:line="360" w:lineRule="auto"/>
        <w:rPr>
          <w:rFonts w:cs="Arial"/>
          <w:strike/>
        </w:rPr>
      </w:pPr>
    </w:p>
    <w:p w14:paraId="44811161" w14:textId="44111725" w:rsidR="000F289D" w:rsidRPr="00EE2764" w:rsidRDefault="00000000" w:rsidP="000F289D">
      <w:pPr>
        <w:spacing w:line="360" w:lineRule="auto"/>
        <w:rPr>
          <w:rFonts w:eastAsiaTheme="minorEastAsia" w:cs="Arial"/>
          <w:strike/>
        </w:rPr>
      </w:pPr>
      <m:oMathPara>
        <m:oMath>
          <m:f>
            <m:fPr>
              <m:ctrlPr>
                <w:rPr>
                  <w:rFonts w:ascii="Cambria Math" w:hAnsi="Cambria Math" w:cs="Arial"/>
                  <w:i/>
                  <w:strike/>
                </w:rPr>
              </m:ctrlPr>
            </m:fPr>
            <m:num>
              <m:r>
                <m:rPr>
                  <m:sty m:val="p"/>
                </m:rPr>
                <w:rPr>
                  <w:rFonts w:ascii="Cambria Math" w:hAnsi="Cambria Math" w:cs="Arial"/>
                  <w:strike/>
                </w:rPr>
                <m:t xml:space="preserve">(Net Profit from Training – Cost of Training) </m:t>
              </m:r>
            </m:num>
            <m:den>
              <m:r>
                <w:rPr>
                  <w:rFonts w:ascii="Cambria Math" w:hAnsi="Cambria Math" w:cs="Arial"/>
                  <w:strike/>
                </w:rPr>
                <m:t>Cost of Training</m:t>
              </m:r>
            </m:den>
          </m:f>
          <m:r>
            <w:rPr>
              <w:rFonts w:ascii="Cambria Math" w:hAnsi="Cambria Math" w:cs="Arial"/>
              <w:strike/>
            </w:rPr>
            <m:t xml:space="preserve"> X 100</m:t>
          </m:r>
        </m:oMath>
      </m:oMathPara>
    </w:p>
    <w:p w14:paraId="00AE2CA4" w14:textId="77777777" w:rsidR="00302BD5" w:rsidRPr="00EE2764" w:rsidRDefault="00302BD5" w:rsidP="000F289D">
      <w:pPr>
        <w:spacing w:line="360" w:lineRule="auto"/>
        <w:rPr>
          <w:rFonts w:eastAsiaTheme="minorEastAsia" w:cs="Arial"/>
          <w:strike/>
        </w:rPr>
      </w:pPr>
    </w:p>
    <w:p w14:paraId="645859C2" w14:textId="7516E858" w:rsidR="000F289D" w:rsidRPr="00EE2764" w:rsidRDefault="00302BD5" w:rsidP="000F289D">
      <w:pPr>
        <w:spacing w:line="360" w:lineRule="auto"/>
        <w:rPr>
          <w:rFonts w:eastAsiaTheme="minorEastAsia" w:cs="Arial"/>
          <w:strike/>
        </w:rPr>
      </w:pPr>
      <w:r w:rsidRPr="00EE2764">
        <w:rPr>
          <w:rFonts w:eastAsiaTheme="minorEastAsia" w:cs="Arial"/>
          <w:strike/>
        </w:rPr>
        <w:t xml:space="preserve">A good outcome from this calculation varies depending on the industry and specific goals of the organisation, therefore any positive figure would suggest that training investment is yielding benefits (Phillips, 2012). </w:t>
      </w:r>
      <w:r w:rsidR="000F289D" w:rsidRPr="00EE2764">
        <w:rPr>
          <w:rFonts w:eastAsiaTheme="minorEastAsia" w:cs="Arial"/>
          <w:strike/>
        </w:rPr>
        <w:t xml:space="preserve">The net profit from training should include measuring increased productivity or revenue that can be attributed to the training. It’s important to recognise that in some organisations </w:t>
      </w:r>
      <w:r w:rsidR="007E003F" w:rsidRPr="00EE2764">
        <w:rPr>
          <w:rFonts w:eastAsiaTheme="minorEastAsia" w:cs="Arial"/>
          <w:strike/>
        </w:rPr>
        <w:t>an increase in revenue may be indirectly related to training.</w:t>
      </w:r>
      <w:r w:rsidRPr="00EE2764">
        <w:rPr>
          <w:rFonts w:eastAsiaTheme="minorEastAsia" w:cs="Arial"/>
          <w:strike/>
        </w:rPr>
        <w:t xml:space="preserve"> </w:t>
      </w:r>
      <w:r w:rsidR="007E003F" w:rsidRPr="00EE2764">
        <w:rPr>
          <w:rFonts w:eastAsiaTheme="minorEastAsia" w:cs="Arial"/>
          <w:strike/>
        </w:rPr>
        <w:t xml:space="preserve">For example, an increase in stakeholders buying into a Service Level Agreement due to an increased level of service which has been provided as an outcome of the training received. ROI is the most accurate way of proving the impact of </w:t>
      </w:r>
      <w:r w:rsidRPr="00EE2764">
        <w:rPr>
          <w:rFonts w:eastAsiaTheme="minorEastAsia" w:cs="Arial"/>
          <w:strike/>
        </w:rPr>
        <w:t>training and</w:t>
      </w:r>
      <w:r w:rsidR="00D76889" w:rsidRPr="00EE2764">
        <w:rPr>
          <w:rFonts w:eastAsiaTheme="minorEastAsia" w:cs="Arial"/>
          <w:strike/>
        </w:rPr>
        <w:t xml:space="preserve"> is therefore a great metric to present to stakeholders and senior leaders to prove that training is an investment, not an expense</w:t>
      </w:r>
      <w:r w:rsidR="007E003F" w:rsidRPr="00EE2764">
        <w:rPr>
          <w:rFonts w:eastAsiaTheme="minorEastAsia" w:cs="Arial"/>
          <w:strike/>
        </w:rPr>
        <w:t xml:space="preserve"> (</w:t>
      </w:r>
      <w:r w:rsidR="00D76889" w:rsidRPr="00EE2764">
        <w:rPr>
          <w:rFonts w:eastAsiaTheme="minorEastAsia" w:cs="Arial"/>
          <w:strike/>
        </w:rPr>
        <w:t>Phillips, 2012).</w:t>
      </w:r>
    </w:p>
    <w:p w14:paraId="21846C71" w14:textId="77777777" w:rsidR="00D76889" w:rsidRPr="00EE2764" w:rsidRDefault="00D76889" w:rsidP="000F289D">
      <w:pPr>
        <w:spacing w:line="360" w:lineRule="auto"/>
        <w:rPr>
          <w:rFonts w:eastAsiaTheme="minorEastAsia" w:cs="Arial"/>
          <w:strike/>
        </w:rPr>
      </w:pPr>
    </w:p>
    <w:p w14:paraId="07F5810F" w14:textId="6F9F6C4A" w:rsidR="00D76889" w:rsidRPr="00EE2764" w:rsidRDefault="00D76889" w:rsidP="000F289D">
      <w:pPr>
        <w:spacing w:line="360" w:lineRule="auto"/>
        <w:rPr>
          <w:rFonts w:eastAsiaTheme="minorEastAsia" w:cs="Arial"/>
          <w:strike/>
        </w:rPr>
      </w:pPr>
      <w:r w:rsidRPr="00EE2764">
        <w:rPr>
          <w:rFonts w:eastAsiaTheme="minorEastAsia" w:cs="Arial"/>
          <w:strike/>
        </w:rPr>
        <w:t>Unfortunately, due to a lack of understanding some organisations are apprehensive to calculate ROI due to fear, as they’re worried it could become a performance evaluation tool rather than a process improvement tool (Phillips, 2012). However, this is easily overcome by providing reassurance and better understanding to stakeholders and employees on what ROI is and how it’s beneficial.  Another common issue with ROI is that most training programs focus on learning outcomes, rather than results, consequentially causing employees to focus on measuring results by measuring learning. According to Phillips (2012), this creates a tremendous barrier in implementing the necessary change for the overall orientation and attitude within the HR department.</w:t>
      </w:r>
      <w:r w:rsidR="00AE149D" w:rsidRPr="00EE2764">
        <w:rPr>
          <w:rFonts w:eastAsiaTheme="minorEastAsia" w:cs="Arial"/>
          <w:strike/>
        </w:rPr>
        <w:t xml:space="preserve"> Nevertheless, these barriers are easy to infiltrate providing the correct approach and education is provided, proving that education is </w:t>
      </w:r>
      <w:r w:rsidR="004E61D7" w:rsidRPr="00EE2764">
        <w:rPr>
          <w:rFonts w:eastAsiaTheme="minorEastAsia" w:cs="Arial"/>
          <w:strike/>
        </w:rPr>
        <w:t>often the answer.</w:t>
      </w:r>
    </w:p>
    <w:p w14:paraId="7BECB43D" w14:textId="77777777" w:rsidR="007E003F" w:rsidRDefault="007E003F" w:rsidP="000F289D">
      <w:pPr>
        <w:spacing w:line="360" w:lineRule="auto"/>
        <w:rPr>
          <w:rFonts w:eastAsiaTheme="minorEastAsia" w:cs="Arial"/>
        </w:rPr>
      </w:pPr>
    </w:p>
    <w:p w14:paraId="71D47CB8" w14:textId="628F4BC7" w:rsidR="004E61D7" w:rsidRPr="00611B84" w:rsidRDefault="00302BD5" w:rsidP="000F289D">
      <w:pPr>
        <w:spacing w:line="360" w:lineRule="auto"/>
        <w:rPr>
          <w:rFonts w:eastAsiaTheme="minorEastAsia" w:cs="Arial"/>
          <w:strike/>
        </w:rPr>
      </w:pPr>
      <w:r w:rsidRPr="00611B84">
        <w:rPr>
          <w:rFonts w:eastAsiaTheme="minorEastAsia" w:cs="Arial"/>
          <w:strike/>
        </w:rPr>
        <w:t xml:space="preserve">Non-financial performance </w:t>
      </w:r>
      <w:r w:rsidR="003D49F1" w:rsidRPr="00611B84">
        <w:rPr>
          <w:rFonts w:eastAsiaTheme="minorEastAsia" w:cs="Arial"/>
          <w:strike/>
        </w:rPr>
        <w:t>can be measured through employee engagement surveys.</w:t>
      </w:r>
      <w:r w:rsidR="00CE65C1" w:rsidRPr="00611B84">
        <w:rPr>
          <w:rFonts w:eastAsiaTheme="minorEastAsia" w:cs="Arial"/>
          <w:strike/>
        </w:rPr>
        <w:t xml:space="preserve"> Employee engagement is difficult to define, however, Markos and Sridevi (2010) found that employee engagement is the result of a two-way relationship between employee and employer, pointing out that there are things to be done on both sides.</w:t>
      </w:r>
    </w:p>
    <w:p w14:paraId="71F83DA4" w14:textId="77777777" w:rsidR="00CE65C1" w:rsidRPr="00611B84" w:rsidRDefault="00CE65C1" w:rsidP="000F289D">
      <w:pPr>
        <w:spacing w:line="360" w:lineRule="auto"/>
        <w:rPr>
          <w:rFonts w:eastAsiaTheme="minorEastAsia" w:cs="Arial"/>
          <w:strike/>
        </w:rPr>
      </w:pPr>
    </w:p>
    <w:p w14:paraId="0BE089E9" w14:textId="5F3FC7B8" w:rsidR="00302BD5" w:rsidRPr="00611B84" w:rsidRDefault="00CE65C1" w:rsidP="000F289D">
      <w:pPr>
        <w:spacing w:line="360" w:lineRule="auto"/>
        <w:rPr>
          <w:rFonts w:eastAsiaTheme="minorEastAsia" w:cs="Arial"/>
          <w:strike/>
        </w:rPr>
      </w:pPr>
      <w:r w:rsidRPr="00611B84">
        <w:rPr>
          <w:rFonts w:eastAsiaTheme="minorEastAsia" w:cs="Arial"/>
          <w:strike/>
        </w:rPr>
        <w:t>Employee engagement surveys can assess various aspects of employee satisfaction, commitment, morale and experience. As a result, these surveys can help organisations gauge the overall engagement of a workforce based on their feelings surrounding leadership, environment and opportunities for continued professional development. Research shows a correlation between employee engagement and organisational performance, based on metrics such as retention</w:t>
      </w:r>
      <w:r w:rsidR="005924E9" w:rsidRPr="00611B84">
        <w:rPr>
          <w:rFonts w:eastAsiaTheme="minorEastAsia" w:cs="Arial"/>
          <w:strike/>
        </w:rPr>
        <w:t xml:space="preserve"> and</w:t>
      </w:r>
      <w:r w:rsidRPr="00611B84">
        <w:rPr>
          <w:rFonts w:eastAsiaTheme="minorEastAsia" w:cs="Arial"/>
          <w:strike/>
        </w:rPr>
        <w:t xml:space="preserve"> customer loyalty </w:t>
      </w:r>
      <w:r w:rsidR="00302BD5" w:rsidRPr="00611B84">
        <w:rPr>
          <w:rFonts w:eastAsiaTheme="minorEastAsia" w:cs="Arial"/>
          <w:strike/>
        </w:rPr>
        <w:t>(Markos and Sri</w:t>
      </w:r>
      <w:r w:rsidR="003D49F1" w:rsidRPr="00611B84">
        <w:rPr>
          <w:rFonts w:eastAsiaTheme="minorEastAsia" w:cs="Arial"/>
          <w:strike/>
        </w:rPr>
        <w:t>devi, 2010)</w:t>
      </w:r>
      <w:r w:rsidRPr="00611B84">
        <w:rPr>
          <w:rFonts w:eastAsiaTheme="minorEastAsia" w:cs="Arial"/>
          <w:strike/>
        </w:rPr>
        <w:t xml:space="preserve">. </w:t>
      </w:r>
    </w:p>
    <w:p w14:paraId="0DBF79CF" w14:textId="77777777" w:rsidR="00CE65C1" w:rsidRPr="00611B84" w:rsidRDefault="00CE65C1" w:rsidP="000F289D">
      <w:pPr>
        <w:spacing w:line="360" w:lineRule="auto"/>
        <w:rPr>
          <w:rFonts w:eastAsiaTheme="minorEastAsia" w:cs="Arial"/>
          <w:strike/>
        </w:rPr>
      </w:pPr>
    </w:p>
    <w:p w14:paraId="6728CA54" w14:textId="51B15F32" w:rsidR="00CE65C1" w:rsidRPr="00611B84" w:rsidRDefault="00CE65C1" w:rsidP="000F289D">
      <w:pPr>
        <w:spacing w:line="360" w:lineRule="auto"/>
        <w:rPr>
          <w:rFonts w:eastAsiaTheme="minorEastAsia" w:cs="Arial"/>
          <w:strike/>
        </w:rPr>
      </w:pPr>
      <w:r w:rsidRPr="00611B84">
        <w:rPr>
          <w:rFonts w:eastAsiaTheme="minorEastAsia" w:cs="Arial"/>
          <w:strike/>
        </w:rPr>
        <w:t>However, employees may be apprehensive to be honest through these mediums due to anxiety or lack of trust</w:t>
      </w:r>
      <w:r w:rsidR="00EF0D21" w:rsidRPr="00611B84">
        <w:rPr>
          <w:rFonts w:eastAsiaTheme="minorEastAsia" w:cs="Arial"/>
          <w:strike/>
        </w:rPr>
        <w:t xml:space="preserve">, which causes a risk for inaccurate data </w:t>
      </w:r>
      <w:r w:rsidRPr="00611B84">
        <w:rPr>
          <w:rFonts w:eastAsiaTheme="minorEastAsia" w:cs="Arial"/>
          <w:strike/>
        </w:rPr>
        <w:t>(Markopoulos et al., 2022)</w:t>
      </w:r>
      <w:r w:rsidR="00EF0D21" w:rsidRPr="00611B84">
        <w:rPr>
          <w:rFonts w:eastAsiaTheme="minorEastAsia" w:cs="Arial"/>
          <w:strike/>
        </w:rPr>
        <w:t>. Due to this, employee engagement surveys should be completed regularly, and assurance should be given to teams and employees regarding anonymity and the reason for obtaining the data (Markos and Sridevi, 2010). Also, processes should be in place to encourage employee engagement and conversations within the organisation to ensure the surveys are capturing live data.</w:t>
      </w:r>
    </w:p>
    <w:p w14:paraId="54A81A88" w14:textId="77777777" w:rsidR="005924E9" w:rsidRDefault="005924E9" w:rsidP="000F289D">
      <w:pPr>
        <w:spacing w:line="360" w:lineRule="auto"/>
        <w:rPr>
          <w:rFonts w:eastAsiaTheme="minorEastAsia" w:cs="Arial"/>
        </w:rPr>
      </w:pPr>
    </w:p>
    <w:p w14:paraId="1F498B1F" w14:textId="1AEA02A8" w:rsidR="004D11FD" w:rsidRDefault="004D11FD" w:rsidP="000F289D">
      <w:pPr>
        <w:spacing w:line="360" w:lineRule="auto"/>
        <w:rPr>
          <w:rFonts w:eastAsiaTheme="minorEastAsia" w:cs="Arial"/>
          <w:color w:val="FF0000"/>
        </w:rPr>
      </w:pPr>
      <w:r w:rsidRPr="004D11FD">
        <w:rPr>
          <w:rFonts w:eastAsiaTheme="minorEastAsia" w:cs="Arial"/>
          <w:color w:val="FF0000"/>
        </w:rPr>
        <w:t xml:space="preserve">To measure </w:t>
      </w:r>
      <w:r>
        <w:rPr>
          <w:rFonts w:eastAsiaTheme="minorEastAsia" w:cs="Arial"/>
          <w:color w:val="FF0000"/>
        </w:rPr>
        <w:t xml:space="preserve">success, organisations </w:t>
      </w:r>
      <w:r w:rsidR="00832B1F">
        <w:rPr>
          <w:rFonts w:eastAsiaTheme="minorEastAsia" w:cs="Arial"/>
          <w:color w:val="FF0000"/>
        </w:rPr>
        <w:t>should</w:t>
      </w:r>
      <w:r>
        <w:rPr>
          <w:rFonts w:eastAsiaTheme="minorEastAsia" w:cs="Arial"/>
          <w:color w:val="FF0000"/>
        </w:rPr>
        <w:t xml:space="preserve"> use various metrics</w:t>
      </w:r>
      <w:r w:rsidR="00C7218C">
        <w:rPr>
          <w:rFonts w:eastAsiaTheme="minorEastAsia" w:cs="Arial"/>
          <w:color w:val="FF0000"/>
        </w:rPr>
        <w:t xml:space="preserve"> to</w:t>
      </w:r>
      <w:r>
        <w:rPr>
          <w:rFonts w:eastAsiaTheme="minorEastAsia" w:cs="Arial"/>
          <w:color w:val="FF0000"/>
        </w:rPr>
        <w:t xml:space="preserve"> assess their financial and non-financial performance equally, </w:t>
      </w:r>
      <w:r w:rsidR="00C7218C">
        <w:rPr>
          <w:rFonts w:eastAsiaTheme="minorEastAsia" w:cs="Arial"/>
          <w:color w:val="FF0000"/>
        </w:rPr>
        <w:t>ensuring</w:t>
      </w:r>
      <w:r>
        <w:rPr>
          <w:rFonts w:eastAsiaTheme="minorEastAsia" w:cs="Arial"/>
          <w:color w:val="FF0000"/>
        </w:rPr>
        <w:t xml:space="preserve"> an accurate understanding of the </w:t>
      </w:r>
      <w:r w:rsidR="001827C0">
        <w:rPr>
          <w:rFonts w:eastAsiaTheme="minorEastAsia" w:cs="Arial"/>
          <w:color w:val="FF0000"/>
        </w:rPr>
        <w:t>organisation’s</w:t>
      </w:r>
      <w:r>
        <w:rPr>
          <w:rFonts w:eastAsiaTheme="minorEastAsia" w:cs="Arial"/>
          <w:color w:val="FF0000"/>
        </w:rPr>
        <w:t xml:space="preserve"> performance as a whole. </w:t>
      </w:r>
    </w:p>
    <w:p w14:paraId="18AAFF55" w14:textId="77777777" w:rsidR="00832B1F" w:rsidRDefault="00832B1F" w:rsidP="000F289D">
      <w:pPr>
        <w:spacing w:line="360" w:lineRule="auto"/>
        <w:rPr>
          <w:rFonts w:eastAsiaTheme="minorEastAsia" w:cs="Arial"/>
          <w:color w:val="FF0000"/>
        </w:rPr>
      </w:pPr>
    </w:p>
    <w:p w14:paraId="5E5AE58B" w14:textId="2E35AFA2" w:rsidR="007974FF" w:rsidRDefault="00832B1F" w:rsidP="000F289D">
      <w:pPr>
        <w:spacing w:line="360" w:lineRule="auto"/>
        <w:rPr>
          <w:rFonts w:eastAsiaTheme="minorEastAsia" w:cs="Arial"/>
          <w:color w:val="FF0000"/>
        </w:rPr>
      </w:pPr>
      <w:r>
        <w:rPr>
          <w:rFonts w:eastAsiaTheme="minorEastAsia" w:cs="Arial"/>
          <w:color w:val="FF0000"/>
        </w:rPr>
        <w:t>Measuring financial performance can be done through a variety of metric</w:t>
      </w:r>
      <w:r w:rsidR="007D66AA">
        <w:rPr>
          <w:rFonts w:eastAsiaTheme="minorEastAsia" w:cs="Arial"/>
          <w:color w:val="FF0000"/>
        </w:rPr>
        <w:t>s</w:t>
      </w:r>
      <w:r>
        <w:rPr>
          <w:rFonts w:eastAsiaTheme="minorEastAsia" w:cs="Arial"/>
          <w:color w:val="FF0000"/>
        </w:rPr>
        <w:t xml:space="preserve">, but the most </w:t>
      </w:r>
      <w:r w:rsidR="007D66AA">
        <w:rPr>
          <w:rFonts w:eastAsiaTheme="minorEastAsia" w:cs="Arial"/>
          <w:color w:val="FF0000"/>
        </w:rPr>
        <w:t>common for organisations in the private sector</w:t>
      </w:r>
      <w:r>
        <w:rPr>
          <w:rFonts w:eastAsiaTheme="minorEastAsia" w:cs="Arial"/>
          <w:color w:val="FF0000"/>
        </w:rPr>
        <w:t xml:space="preserve"> is calculating and analysing </w:t>
      </w:r>
      <w:r w:rsidR="006A2FC0">
        <w:rPr>
          <w:rFonts w:eastAsiaTheme="minorEastAsia" w:cs="Arial"/>
          <w:color w:val="FF0000"/>
        </w:rPr>
        <w:t>g</w:t>
      </w:r>
      <w:r>
        <w:rPr>
          <w:rFonts w:eastAsiaTheme="minorEastAsia" w:cs="Arial"/>
          <w:color w:val="FF0000"/>
        </w:rPr>
        <w:t>ross</w:t>
      </w:r>
      <w:r w:rsidR="00321C22">
        <w:rPr>
          <w:rFonts w:eastAsiaTheme="minorEastAsia" w:cs="Arial"/>
          <w:strike/>
          <w:color w:val="FF0000"/>
        </w:rPr>
        <w:t xml:space="preserve"> </w:t>
      </w:r>
      <w:r w:rsidR="00321C22" w:rsidRPr="00321C22">
        <w:rPr>
          <w:rFonts w:eastAsiaTheme="minorEastAsia" w:cs="Arial"/>
          <w:color w:val="FF0000"/>
        </w:rPr>
        <w:t>profit</w:t>
      </w:r>
      <w:r w:rsidR="00242B63">
        <w:rPr>
          <w:rFonts w:eastAsiaTheme="minorEastAsia" w:cs="Arial"/>
          <w:color w:val="FF0000"/>
        </w:rPr>
        <w:t>.</w:t>
      </w:r>
      <w:r w:rsidR="003701D8">
        <w:rPr>
          <w:rFonts w:eastAsiaTheme="minorEastAsia" w:cs="Arial"/>
          <w:color w:val="FF0000"/>
        </w:rPr>
        <w:t xml:space="preserve"> Gross profit</w:t>
      </w:r>
      <w:r w:rsidR="00E6668A">
        <w:rPr>
          <w:rFonts w:eastAsiaTheme="minorEastAsia" w:cs="Arial"/>
          <w:color w:val="FF0000"/>
        </w:rPr>
        <w:t xml:space="preserve"> is the difference between revenue and the cost of good</w:t>
      </w:r>
      <w:r w:rsidR="008E5D5F">
        <w:rPr>
          <w:rFonts w:eastAsiaTheme="minorEastAsia" w:cs="Arial"/>
          <w:color w:val="FF0000"/>
        </w:rPr>
        <w:t>s sold</w:t>
      </w:r>
      <w:r w:rsidR="002F3BEA">
        <w:rPr>
          <w:rFonts w:eastAsiaTheme="minorEastAsia" w:cs="Arial"/>
          <w:color w:val="FF0000"/>
        </w:rPr>
        <w:t xml:space="preserve"> (Stripe, 2024).</w:t>
      </w:r>
      <w:r w:rsidR="006F2198">
        <w:rPr>
          <w:rFonts w:eastAsiaTheme="minorEastAsia" w:cs="Arial"/>
          <w:color w:val="FF0000"/>
        </w:rPr>
        <w:t xml:space="preserve"> </w:t>
      </w:r>
      <w:r w:rsidR="00321C22">
        <w:rPr>
          <w:rFonts w:eastAsiaTheme="minorEastAsia" w:cs="Arial"/>
          <w:color w:val="FF0000"/>
        </w:rPr>
        <w:t xml:space="preserve">Therefore, gross profit is a </w:t>
      </w:r>
      <w:r w:rsidR="006F2198">
        <w:rPr>
          <w:rFonts w:eastAsiaTheme="minorEastAsia" w:cs="Arial"/>
          <w:color w:val="FF0000"/>
        </w:rPr>
        <w:t>key indicator of operational efficiency</w:t>
      </w:r>
      <w:r w:rsidR="00321C22">
        <w:rPr>
          <w:rFonts w:eastAsiaTheme="minorEastAsia" w:cs="Arial"/>
          <w:color w:val="FF0000"/>
        </w:rPr>
        <w:t xml:space="preserve"> and when calculated it results in a numerical value which is </w:t>
      </w:r>
      <w:r w:rsidR="00A90BE4">
        <w:rPr>
          <w:rFonts w:eastAsiaTheme="minorEastAsia" w:cs="Arial"/>
          <w:color w:val="FF0000"/>
        </w:rPr>
        <w:t xml:space="preserve">often </w:t>
      </w:r>
      <w:r w:rsidR="005E4C0C">
        <w:rPr>
          <w:rFonts w:eastAsiaTheme="minorEastAsia" w:cs="Arial"/>
          <w:color w:val="FF0000"/>
        </w:rPr>
        <w:t>converted into a percentage figure known as gross profit margin.</w:t>
      </w:r>
    </w:p>
    <w:p w14:paraId="7A4DC902" w14:textId="77777777" w:rsidR="005E4C0C" w:rsidRDefault="005E4C0C" w:rsidP="000F289D">
      <w:pPr>
        <w:spacing w:line="360" w:lineRule="auto"/>
        <w:rPr>
          <w:rFonts w:eastAsiaTheme="minorEastAsia" w:cs="Arial"/>
          <w:color w:val="FF0000"/>
        </w:rPr>
      </w:pPr>
    </w:p>
    <w:p w14:paraId="3723CDE2" w14:textId="32845DEC" w:rsidR="00E645C3" w:rsidRDefault="005E4C0C" w:rsidP="000F289D">
      <w:pPr>
        <w:spacing w:line="360" w:lineRule="auto"/>
        <w:rPr>
          <w:rFonts w:eastAsiaTheme="minorEastAsia" w:cs="Arial"/>
          <w:color w:val="FF0000"/>
        </w:rPr>
      </w:pPr>
      <w:r>
        <w:rPr>
          <w:rFonts w:eastAsiaTheme="minorEastAsia" w:cs="Arial"/>
          <w:color w:val="FF0000"/>
        </w:rPr>
        <w:lastRenderedPageBreak/>
        <w:t xml:space="preserve">A higher gross profit margin indicates that an organisation is </w:t>
      </w:r>
      <w:r w:rsidR="009506A2">
        <w:rPr>
          <w:rFonts w:eastAsiaTheme="minorEastAsia" w:cs="Arial"/>
          <w:color w:val="FF0000"/>
        </w:rPr>
        <w:t>managing costs effectively, whereas a lower margin suggests that</w:t>
      </w:r>
      <w:r w:rsidR="005331AD">
        <w:rPr>
          <w:rFonts w:eastAsiaTheme="minorEastAsia" w:cs="Arial"/>
          <w:color w:val="FF0000"/>
        </w:rPr>
        <w:t xml:space="preserve"> an organisation should negotiate better prices with suppliers or </w:t>
      </w:r>
      <w:r w:rsidR="007F7F84">
        <w:rPr>
          <w:rFonts w:eastAsiaTheme="minorEastAsia" w:cs="Arial"/>
          <w:color w:val="FF0000"/>
        </w:rPr>
        <w:t xml:space="preserve">review production processes to make </w:t>
      </w:r>
      <w:r w:rsidR="005A365D">
        <w:rPr>
          <w:rFonts w:eastAsiaTheme="minorEastAsia" w:cs="Arial"/>
          <w:color w:val="FF0000"/>
        </w:rPr>
        <w:t>them more efficient (Stripe, 2024).</w:t>
      </w:r>
      <w:r w:rsidR="00FA008A" w:rsidRPr="00850ABC">
        <w:rPr>
          <w:rFonts w:eastAsiaTheme="minorEastAsia" w:cs="Arial"/>
          <w:color w:val="FF0000"/>
        </w:rPr>
        <w:t xml:space="preserve"> </w:t>
      </w:r>
    </w:p>
    <w:p w14:paraId="06A26EDE" w14:textId="77777777" w:rsidR="000B5FF5" w:rsidRDefault="000B5FF5" w:rsidP="000F289D">
      <w:pPr>
        <w:spacing w:line="360" w:lineRule="auto"/>
        <w:rPr>
          <w:rFonts w:eastAsiaTheme="minorEastAsia" w:cs="Arial"/>
          <w:color w:val="FF0000"/>
        </w:rPr>
      </w:pPr>
    </w:p>
    <w:p w14:paraId="00A94F6C" w14:textId="0A73F6E4" w:rsidR="000B5FF5" w:rsidRDefault="000B5FF5" w:rsidP="000F289D">
      <w:pPr>
        <w:spacing w:line="360" w:lineRule="auto"/>
        <w:rPr>
          <w:rFonts w:eastAsiaTheme="minorEastAsia" w:cs="Arial"/>
          <w:color w:val="FF0000"/>
        </w:rPr>
      </w:pPr>
      <w:r>
        <w:rPr>
          <w:rFonts w:eastAsiaTheme="minorEastAsia" w:cs="Arial"/>
          <w:color w:val="FF0000"/>
        </w:rPr>
        <w:t xml:space="preserve">Gross profit </w:t>
      </w:r>
      <w:r w:rsidR="00094391">
        <w:rPr>
          <w:rFonts w:eastAsiaTheme="minorEastAsia" w:cs="Arial"/>
          <w:color w:val="FF0000"/>
        </w:rPr>
        <w:t xml:space="preserve">is limited as a </w:t>
      </w:r>
      <w:r w:rsidR="00F15B3F">
        <w:rPr>
          <w:rFonts w:eastAsiaTheme="minorEastAsia" w:cs="Arial"/>
          <w:color w:val="FF0000"/>
        </w:rPr>
        <w:t xml:space="preserve">measure of performance as it doesn’t account for </w:t>
      </w:r>
      <w:r w:rsidR="00F82307">
        <w:rPr>
          <w:rFonts w:eastAsiaTheme="minorEastAsia" w:cs="Arial"/>
          <w:color w:val="FF0000"/>
        </w:rPr>
        <w:t xml:space="preserve">other expenses such as </w:t>
      </w:r>
      <w:r w:rsidR="00EC765E">
        <w:rPr>
          <w:rFonts w:eastAsiaTheme="minorEastAsia" w:cs="Arial"/>
          <w:color w:val="FF0000"/>
        </w:rPr>
        <w:t>operating expenses and taxes</w:t>
      </w:r>
      <w:r w:rsidR="00B53B20">
        <w:rPr>
          <w:rFonts w:eastAsiaTheme="minorEastAsia" w:cs="Arial"/>
          <w:color w:val="FF0000"/>
        </w:rPr>
        <w:t xml:space="preserve"> like net profit does</w:t>
      </w:r>
      <w:r w:rsidR="00EC765E">
        <w:rPr>
          <w:rFonts w:eastAsiaTheme="minorEastAsia" w:cs="Arial"/>
          <w:color w:val="FF0000"/>
        </w:rPr>
        <w:t xml:space="preserve"> (Stripe, 2024). Therefore, </w:t>
      </w:r>
      <w:r w:rsidR="00850ABC">
        <w:rPr>
          <w:rFonts w:eastAsiaTheme="minorEastAsia" w:cs="Arial"/>
          <w:color w:val="FF0000"/>
        </w:rPr>
        <w:t>it’s</w:t>
      </w:r>
      <w:r w:rsidR="00EC765E">
        <w:rPr>
          <w:rFonts w:eastAsiaTheme="minorEastAsia" w:cs="Arial"/>
          <w:color w:val="FF0000"/>
        </w:rPr>
        <w:t xml:space="preserve"> recommended that gross and net profit are calculated in conjunction with each other, as they can give a</w:t>
      </w:r>
      <w:r w:rsidR="00D35CD5">
        <w:rPr>
          <w:rFonts w:eastAsiaTheme="minorEastAsia" w:cs="Arial"/>
          <w:color w:val="FF0000"/>
        </w:rPr>
        <w:t xml:space="preserve">n overall insight to financial performance considering profitability and </w:t>
      </w:r>
      <w:r w:rsidR="00321C22">
        <w:rPr>
          <w:rFonts w:eastAsiaTheme="minorEastAsia" w:cs="Arial"/>
          <w:color w:val="FF0000"/>
        </w:rPr>
        <w:t>overheads</w:t>
      </w:r>
      <w:r w:rsidR="00EC765E">
        <w:rPr>
          <w:rFonts w:eastAsiaTheme="minorEastAsia" w:cs="Arial"/>
          <w:color w:val="FF0000"/>
        </w:rPr>
        <w:t xml:space="preserve"> (Stripe, 2024).</w:t>
      </w:r>
    </w:p>
    <w:p w14:paraId="77B4CB44" w14:textId="77777777" w:rsidR="00FB6751" w:rsidRDefault="00FB6751" w:rsidP="000F289D">
      <w:pPr>
        <w:spacing w:line="360" w:lineRule="auto"/>
        <w:rPr>
          <w:rFonts w:eastAsiaTheme="minorEastAsia" w:cs="Arial"/>
          <w:color w:val="FF0000"/>
        </w:rPr>
      </w:pPr>
    </w:p>
    <w:p w14:paraId="5118373C" w14:textId="3542243B" w:rsidR="00FB6751" w:rsidRDefault="00B50C8C" w:rsidP="000F289D">
      <w:pPr>
        <w:spacing w:line="360" w:lineRule="auto"/>
        <w:rPr>
          <w:rFonts w:eastAsiaTheme="minorEastAsia" w:cs="Arial"/>
          <w:color w:val="FF0000"/>
        </w:rPr>
      </w:pPr>
      <w:r>
        <w:rPr>
          <w:rFonts w:eastAsiaTheme="minorEastAsia" w:cs="Arial"/>
          <w:color w:val="FF0000"/>
        </w:rPr>
        <w:t xml:space="preserve">Non-financial performance is measured </w:t>
      </w:r>
      <w:r w:rsidR="000275F7">
        <w:rPr>
          <w:rFonts w:eastAsiaTheme="minorEastAsia" w:cs="Arial"/>
          <w:color w:val="FF0000"/>
        </w:rPr>
        <w:t>similarly across both private and public sectors, with one of the most common</w:t>
      </w:r>
      <w:r w:rsidR="001C622F">
        <w:rPr>
          <w:rFonts w:eastAsiaTheme="minorEastAsia" w:cs="Arial"/>
          <w:color w:val="FF0000"/>
        </w:rPr>
        <w:t xml:space="preserve"> methods</w:t>
      </w:r>
      <w:r w:rsidR="000275F7">
        <w:rPr>
          <w:rFonts w:eastAsiaTheme="minorEastAsia" w:cs="Arial"/>
          <w:color w:val="FF0000"/>
        </w:rPr>
        <w:t xml:space="preserve"> being c</w:t>
      </w:r>
      <w:r w:rsidR="00FB6751">
        <w:rPr>
          <w:rFonts w:eastAsiaTheme="minorEastAsia" w:cs="Arial"/>
          <w:color w:val="FF0000"/>
        </w:rPr>
        <w:t>ustomer feedback</w:t>
      </w:r>
      <w:r w:rsidR="00F6265F">
        <w:rPr>
          <w:rFonts w:eastAsiaTheme="minorEastAsia" w:cs="Arial"/>
          <w:color w:val="FF0000"/>
        </w:rPr>
        <w:t xml:space="preserve"> (Agag et al., 2023).</w:t>
      </w:r>
      <w:r w:rsidR="000879D3">
        <w:rPr>
          <w:rFonts w:eastAsiaTheme="minorEastAsia" w:cs="Arial"/>
          <w:color w:val="FF0000"/>
        </w:rPr>
        <w:t xml:space="preserve"> Customer feedback can be gathered through </w:t>
      </w:r>
      <w:r w:rsidR="001C622F">
        <w:rPr>
          <w:rFonts w:eastAsiaTheme="minorEastAsia" w:cs="Arial"/>
          <w:color w:val="FF0000"/>
        </w:rPr>
        <w:t xml:space="preserve">various metrics such as </w:t>
      </w:r>
      <w:r w:rsidR="00B2785D">
        <w:rPr>
          <w:rFonts w:eastAsiaTheme="minorEastAsia" w:cs="Arial"/>
          <w:color w:val="FF0000"/>
        </w:rPr>
        <w:t>Net Promoter Score (NPS). Agag et al (2023) studied the link between different customer feedback metrics and organisational performance and found a positive correlation between the two</w:t>
      </w:r>
      <w:r w:rsidR="00B16F3C">
        <w:rPr>
          <w:rFonts w:eastAsiaTheme="minorEastAsia" w:cs="Arial"/>
          <w:color w:val="FF0000"/>
        </w:rPr>
        <w:t>, noting a significant relationship between gross profit margins and customer satisfaction.</w:t>
      </w:r>
    </w:p>
    <w:p w14:paraId="53C35C94" w14:textId="77777777" w:rsidR="00652CE8" w:rsidRDefault="00652CE8" w:rsidP="000F289D">
      <w:pPr>
        <w:spacing w:line="360" w:lineRule="auto"/>
        <w:rPr>
          <w:rFonts w:eastAsiaTheme="minorEastAsia" w:cs="Arial"/>
          <w:color w:val="FF0000"/>
        </w:rPr>
      </w:pPr>
    </w:p>
    <w:p w14:paraId="28FF3087" w14:textId="175E4AD1" w:rsidR="004D11FD" w:rsidRDefault="00652CE8" w:rsidP="000F289D">
      <w:pPr>
        <w:spacing w:line="360" w:lineRule="auto"/>
        <w:rPr>
          <w:rFonts w:eastAsiaTheme="minorEastAsia" w:cs="Arial"/>
          <w:color w:val="FF0000"/>
        </w:rPr>
      </w:pPr>
      <w:r>
        <w:rPr>
          <w:rFonts w:eastAsiaTheme="minorEastAsia" w:cs="Arial"/>
          <w:color w:val="FF0000"/>
        </w:rPr>
        <w:t>NPS</w:t>
      </w:r>
      <w:r w:rsidR="00AA1144">
        <w:rPr>
          <w:rFonts w:eastAsiaTheme="minorEastAsia" w:cs="Arial"/>
          <w:color w:val="FF0000"/>
        </w:rPr>
        <w:t xml:space="preserve"> </w:t>
      </w:r>
      <w:r w:rsidR="00BB3BF5">
        <w:rPr>
          <w:rFonts w:eastAsiaTheme="minorEastAsia" w:cs="Arial"/>
          <w:color w:val="FF0000"/>
        </w:rPr>
        <w:t xml:space="preserve">measures customer loyalty by asking how </w:t>
      </w:r>
      <w:r w:rsidR="007B6717">
        <w:rPr>
          <w:rFonts w:eastAsiaTheme="minorEastAsia" w:cs="Arial"/>
          <w:color w:val="FF0000"/>
        </w:rPr>
        <w:t>likely</w:t>
      </w:r>
      <w:r w:rsidR="00BB3BF5">
        <w:rPr>
          <w:rFonts w:eastAsiaTheme="minorEastAsia" w:cs="Arial"/>
          <w:color w:val="FF0000"/>
        </w:rPr>
        <w:t xml:space="preserve"> they are to recommend the company to others on a scale, usually from 1-10. T</w:t>
      </w:r>
      <w:r w:rsidR="00F90ACA">
        <w:rPr>
          <w:rFonts w:eastAsiaTheme="minorEastAsia" w:cs="Arial"/>
          <w:color w:val="FF0000"/>
        </w:rPr>
        <w:t xml:space="preserve">hese customers are then categorised </w:t>
      </w:r>
      <w:r w:rsidR="00B53973">
        <w:rPr>
          <w:rFonts w:eastAsiaTheme="minorEastAsia" w:cs="Arial"/>
          <w:color w:val="FF0000"/>
        </w:rPr>
        <w:t>into promoters</w:t>
      </w:r>
      <w:r w:rsidR="00FA1278">
        <w:rPr>
          <w:rFonts w:eastAsiaTheme="minorEastAsia" w:cs="Arial"/>
          <w:color w:val="FF0000"/>
        </w:rPr>
        <w:t xml:space="preserve"> (9-10)</w:t>
      </w:r>
      <w:r w:rsidR="00B53973">
        <w:rPr>
          <w:rFonts w:eastAsiaTheme="minorEastAsia" w:cs="Arial"/>
          <w:color w:val="FF0000"/>
        </w:rPr>
        <w:t>, passives</w:t>
      </w:r>
      <w:r w:rsidR="00FA1278">
        <w:rPr>
          <w:rFonts w:eastAsiaTheme="minorEastAsia" w:cs="Arial"/>
          <w:color w:val="FF0000"/>
        </w:rPr>
        <w:t xml:space="preserve"> (7-8)</w:t>
      </w:r>
      <w:r w:rsidR="00B53973">
        <w:rPr>
          <w:rFonts w:eastAsiaTheme="minorEastAsia" w:cs="Arial"/>
          <w:color w:val="FF0000"/>
        </w:rPr>
        <w:t xml:space="preserve"> and detractors</w:t>
      </w:r>
      <w:r w:rsidR="00FA1278">
        <w:rPr>
          <w:rFonts w:eastAsiaTheme="minorEastAsia" w:cs="Arial"/>
          <w:color w:val="FF0000"/>
        </w:rPr>
        <w:t xml:space="preserve"> (6 or less)</w:t>
      </w:r>
      <w:r w:rsidR="00E66903">
        <w:rPr>
          <w:rFonts w:eastAsiaTheme="minorEastAsia" w:cs="Arial"/>
          <w:color w:val="FF0000"/>
        </w:rPr>
        <w:t xml:space="preserve">. To calculate the Net Promoter Score, the number of detractors is subtracted from the number of promoters </w:t>
      </w:r>
      <w:r w:rsidR="00AA1144">
        <w:rPr>
          <w:rFonts w:eastAsiaTheme="minorEastAsia" w:cs="Arial"/>
          <w:color w:val="FF0000"/>
        </w:rPr>
        <w:t>(Reichheld, Darnell and Burns, 2022)</w:t>
      </w:r>
      <w:r w:rsidR="00A6231E">
        <w:rPr>
          <w:rFonts w:eastAsiaTheme="minorEastAsia" w:cs="Arial"/>
          <w:color w:val="FF0000"/>
        </w:rPr>
        <w:t>.</w:t>
      </w:r>
      <w:r w:rsidR="003C7BEC">
        <w:rPr>
          <w:rFonts w:eastAsiaTheme="minorEastAsia" w:cs="Arial"/>
          <w:color w:val="FF0000"/>
        </w:rPr>
        <w:t xml:space="preserve"> Whilst NPS has been proven to positively influence variables such as gross profit margin</w:t>
      </w:r>
      <w:r w:rsidR="007B6717">
        <w:rPr>
          <w:rFonts w:eastAsiaTheme="minorEastAsia" w:cs="Arial"/>
          <w:color w:val="FF0000"/>
        </w:rPr>
        <w:t xml:space="preserve"> (Agag et al., 2023)</w:t>
      </w:r>
      <w:r w:rsidR="002D12C4">
        <w:rPr>
          <w:rFonts w:eastAsiaTheme="minorEastAsia" w:cs="Arial"/>
          <w:color w:val="FF0000"/>
        </w:rPr>
        <w:t xml:space="preserve">, it has been used as a </w:t>
      </w:r>
      <w:r w:rsidR="00E53E6D">
        <w:rPr>
          <w:rFonts w:eastAsiaTheme="minorEastAsia" w:cs="Arial"/>
          <w:color w:val="FF0000"/>
        </w:rPr>
        <w:t>‘</w:t>
      </w:r>
      <w:r w:rsidR="002D12C4">
        <w:rPr>
          <w:rFonts w:eastAsiaTheme="minorEastAsia" w:cs="Arial"/>
          <w:color w:val="FF0000"/>
        </w:rPr>
        <w:t>vanity statistic</w:t>
      </w:r>
      <w:r w:rsidR="00E53E6D">
        <w:rPr>
          <w:rFonts w:eastAsiaTheme="minorEastAsia" w:cs="Arial"/>
          <w:color w:val="FF0000"/>
        </w:rPr>
        <w:t>’</w:t>
      </w:r>
      <w:r w:rsidR="002D12C4">
        <w:rPr>
          <w:rFonts w:eastAsiaTheme="minorEastAsia" w:cs="Arial"/>
          <w:color w:val="FF0000"/>
        </w:rPr>
        <w:t xml:space="preserve"> by some organisations which damages the </w:t>
      </w:r>
      <w:r w:rsidR="00EA2516">
        <w:rPr>
          <w:rFonts w:eastAsiaTheme="minorEastAsia" w:cs="Arial"/>
          <w:color w:val="FF0000"/>
        </w:rPr>
        <w:t>credibility (Reichheld, Darnell and Burns, 2022).</w:t>
      </w:r>
      <w:r w:rsidR="002D3215">
        <w:rPr>
          <w:rFonts w:eastAsiaTheme="minorEastAsia" w:cs="Arial"/>
          <w:color w:val="FF0000"/>
        </w:rPr>
        <w:t xml:space="preserve"> Additionally, NPS has limitations due to </w:t>
      </w:r>
      <w:r w:rsidR="00C83A06">
        <w:rPr>
          <w:rFonts w:eastAsiaTheme="minorEastAsia" w:cs="Arial"/>
          <w:color w:val="FF0000"/>
        </w:rPr>
        <w:t>a lack of understanding why a customer may have had a positive or negative experience.</w:t>
      </w:r>
      <w:r w:rsidR="0040135B">
        <w:rPr>
          <w:rFonts w:eastAsiaTheme="minorEastAsia" w:cs="Arial"/>
          <w:color w:val="FF0000"/>
        </w:rPr>
        <w:t xml:space="preserve"> </w:t>
      </w:r>
      <w:r w:rsidR="00EA2516">
        <w:rPr>
          <w:rFonts w:eastAsiaTheme="minorEastAsia" w:cs="Arial"/>
          <w:color w:val="FF0000"/>
        </w:rPr>
        <w:t xml:space="preserve">To </w:t>
      </w:r>
      <w:r w:rsidR="00C83A06">
        <w:rPr>
          <w:rFonts w:eastAsiaTheme="minorEastAsia" w:cs="Arial"/>
          <w:color w:val="FF0000"/>
        </w:rPr>
        <w:t xml:space="preserve">strengthen integrity, it’s recommended to use NPS in conjunction with other customer feedback metrics, such as a follow up </w:t>
      </w:r>
      <w:r w:rsidR="00223911">
        <w:rPr>
          <w:rFonts w:eastAsiaTheme="minorEastAsia" w:cs="Arial"/>
          <w:color w:val="FF0000"/>
        </w:rPr>
        <w:t>survey with open ended questions (</w:t>
      </w:r>
      <w:r w:rsidR="004050A7">
        <w:rPr>
          <w:rFonts w:eastAsiaTheme="minorEastAsia" w:cs="Arial"/>
          <w:color w:val="FF0000"/>
        </w:rPr>
        <w:t>Agag et al., 2023).</w:t>
      </w:r>
    </w:p>
    <w:p w14:paraId="675310FF" w14:textId="77777777" w:rsidR="003A12FC" w:rsidRDefault="003A12FC" w:rsidP="000F289D">
      <w:pPr>
        <w:spacing w:line="360" w:lineRule="auto"/>
        <w:rPr>
          <w:rFonts w:eastAsiaTheme="minorEastAsia" w:cs="Arial"/>
          <w:color w:val="FF0000"/>
        </w:rPr>
      </w:pPr>
    </w:p>
    <w:p w14:paraId="58C82336" w14:textId="17690227" w:rsidR="004D11FD" w:rsidRDefault="002817E7" w:rsidP="000F289D">
      <w:pPr>
        <w:spacing w:line="360" w:lineRule="auto"/>
        <w:rPr>
          <w:rFonts w:eastAsiaTheme="minorEastAsia" w:cs="Arial"/>
          <w:color w:val="FF0000"/>
        </w:rPr>
      </w:pPr>
      <w:r>
        <w:rPr>
          <w:rFonts w:eastAsiaTheme="minorEastAsia" w:cs="Arial"/>
          <w:color w:val="FF0000"/>
        </w:rPr>
        <w:t>Ultimately, b</w:t>
      </w:r>
      <w:r w:rsidR="004D11FD">
        <w:rPr>
          <w:rFonts w:eastAsiaTheme="minorEastAsia" w:cs="Arial"/>
          <w:color w:val="FF0000"/>
        </w:rPr>
        <w:t>oth types of metrics are essential for long-term success</w:t>
      </w:r>
      <w:r w:rsidR="000676F6">
        <w:rPr>
          <w:rFonts w:eastAsiaTheme="minorEastAsia" w:cs="Arial"/>
          <w:color w:val="FF0000"/>
        </w:rPr>
        <w:t xml:space="preserve"> and are inextricably linked (Agag et al., 2023)</w:t>
      </w:r>
      <w:r>
        <w:rPr>
          <w:rFonts w:eastAsiaTheme="minorEastAsia" w:cs="Arial"/>
          <w:color w:val="FF0000"/>
        </w:rPr>
        <w:t>. F</w:t>
      </w:r>
      <w:r w:rsidR="000676F6">
        <w:rPr>
          <w:rFonts w:eastAsiaTheme="minorEastAsia" w:cs="Arial"/>
          <w:color w:val="FF0000"/>
        </w:rPr>
        <w:t xml:space="preserve">inancial metrics are crucial for understanding </w:t>
      </w:r>
      <w:r w:rsidR="000676F6">
        <w:rPr>
          <w:rFonts w:eastAsiaTheme="minorEastAsia" w:cs="Arial"/>
          <w:color w:val="FF0000"/>
        </w:rPr>
        <w:lastRenderedPageBreak/>
        <w:t xml:space="preserve">profitability and </w:t>
      </w:r>
      <w:r w:rsidR="006303F8">
        <w:rPr>
          <w:rFonts w:eastAsiaTheme="minorEastAsia" w:cs="Arial"/>
          <w:color w:val="FF0000"/>
        </w:rPr>
        <w:t>operational efficiency</w:t>
      </w:r>
      <w:r w:rsidR="000676F6">
        <w:rPr>
          <w:rFonts w:eastAsiaTheme="minorEastAsia" w:cs="Arial"/>
          <w:color w:val="FF0000"/>
        </w:rPr>
        <w:t xml:space="preserve">, whereas non-financial metrics provide invaluable insight to customer satisfaction which are crucial for </w:t>
      </w:r>
      <w:r w:rsidR="006303F8">
        <w:rPr>
          <w:rFonts w:eastAsiaTheme="minorEastAsia" w:cs="Arial"/>
          <w:color w:val="FF0000"/>
        </w:rPr>
        <w:t>long term</w:t>
      </w:r>
      <w:r w:rsidR="000676F6">
        <w:rPr>
          <w:rFonts w:eastAsiaTheme="minorEastAsia" w:cs="Arial"/>
          <w:color w:val="FF0000"/>
        </w:rPr>
        <w:t xml:space="preserve"> growth.</w:t>
      </w:r>
      <w:r w:rsidR="006303F8">
        <w:rPr>
          <w:rFonts w:eastAsiaTheme="minorEastAsia" w:cs="Arial"/>
          <w:color w:val="FF0000"/>
        </w:rPr>
        <w:t xml:space="preserve"> </w:t>
      </w:r>
    </w:p>
    <w:p w14:paraId="6FEB00C4" w14:textId="77777777" w:rsidR="004D11FD" w:rsidRPr="004D11FD" w:rsidRDefault="004D11FD" w:rsidP="000F289D">
      <w:pPr>
        <w:spacing w:line="360" w:lineRule="auto"/>
        <w:rPr>
          <w:rFonts w:eastAsiaTheme="minorEastAsia" w:cs="Arial"/>
          <w:color w:val="FF0000"/>
        </w:rPr>
      </w:pPr>
    </w:p>
    <w:p w14:paraId="62016E8D" w14:textId="77777777" w:rsidR="005924E9" w:rsidRPr="007817AF" w:rsidRDefault="005924E9" w:rsidP="000F289D">
      <w:pPr>
        <w:spacing w:line="360" w:lineRule="auto"/>
        <w:rPr>
          <w:rFonts w:eastAsiaTheme="minorEastAsia" w:cs="Arial"/>
          <w:color w:val="FF0000"/>
        </w:rPr>
      </w:pPr>
    </w:p>
    <w:p w14:paraId="6FF55925" w14:textId="77777777" w:rsidR="005924E9" w:rsidRDefault="005924E9" w:rsidP="000F289D">
      <w:pPr>
        <w:spacing w:line="360" w:lineRule="auto"/>
        <w:rPr>
          <w:rFonts w:eastAsiaTheme="minorEastAsia" w:cs="Arial"/>
        </w:rPr>
      </w:pPr>
    </w:p>
    <w:p w14:paraId="148E4C71" w14:textId="77777777" w:rsidR="005924E9" w:rsidRDefault="005924E9" w:rsidP="000F289D">
      <w:pPr>
        <w:spacing w:line="360" w:lineRule="auto"/>
        <w:rPr>
          <w:rFonts w:eastAsiaTheme="minorEastAsia" w:cs="Arial"/>
        </w:rPr>
      </w:pPr>
    </w:p>
    <w:p w14:paraId="6F80CC51" w14:textId="77777777" w:rsidR="005924E9" w:rsidRDefault="005924E9" w:rsidP="000F289D">
      <w:pPr>
        <w:spacing w:line="360" w:lineRule="auto"/>
        <w:rPr>
          <w:rFonts w:eastAsiaTheme="minorEastAsia" w:cs="Arial"/>
        </w:rPr>
      </w:pPr>
    </w:p>
    <w:p w14:paraId="6C3A9676" w14:textId="77777777" w:rsidR="005924E9" w:rsidRDefault="005924E9" w:rsidP="000F289D">
      <w:pPr>
        <w:spacing w:line="360" w:lineRule="auto"/>
        <w:rPr>
          <w:rFonts w:eastAsiaTheme="minorEastAsia" w:cs="Arial"/>
        </w:rPr>
      </w:pPr>
    </w:p>
    <w:p w14:paraId="06A074DD" w14:textId="77777777" w:rsidR="005924E9" w:rsidRDefault="005924E9" w:rsidP="000F289D">
      <w:pPr>
        <w:spacing w:line="360" w:lineRule="auto"/>
        <w:rPr>
          <w:rFonts w:eastAsiaTheme="minorEastAsia" w:cs="Arial"/>
        </w:rPr>
      </w:pPr>
    </w:p>
    <w:p w14:paraId="4FDE7123" w14:textId="77777777" w:rsidR="005924E9" w:rsidRDefault="005924E9" w:rsidP="000F289D">
      <w:pPr>
        <w:spacing w:line="360" w:lineRule="auto"/>
        <w:rPr>
          <w:rFonts w:eastAsiaTheme="minorEastAsia" w:cs="Arial"/>
        </w:rPr>
      </w:pPr>
    </w:p>
    <w:p w14:paraId="1F15066D" w14:textId="541FDAF1" w:rsidR="007817AF" w:rsidRDefault="007817AF" w:rsidP="000F289D">
      <w:pPr>
        <w:spacing w:line="360" w:lineRule="auto"/>
        <w:rPr>
          <w:rFonts w:eastAsiaTheme="minorEastAsia" w:cs="Arial"/>
        </w:rPr>
      </w:pPr>
    </w:p>
    <w:p w14:paraId="66CC9261" w14:textId="21790B8A" w:rsidR="005924E9" w:rsidRDefault="007817AF" w:rsidP="007817AF">
      <w:pPr>
        <w:jc w:val="left"/>
        <w:rPr>
          <w:rFonts w:eastAsiaTheme="minorEastAsia" w:cs="Arial"/>
        </w:rPr>
      </w:pPr>
      <w:r>
        <w:rPr>
          <w:rFonts w:eastAsiaTheme="minorEastAsia" w:cs="Arial"/>
        </w:rPr>
        <w:br w:type="page"/>
      </w:r>
    </w:p>
    <w:p w14:paraId="5A503AC2" w14:textId="1B345A49" w:rsidR="00CB4E28" w:rsidRDefault="00CB4E28" w:rsidP="0039627B">
      <w:pPr>
        <w:pStyle w:val="AssignmentHeading1"/>
      </w:pPr>
      <w:bookmarkStart w:id="13" w:name="_Toc183358568"/>
      <w:bookmarkStart w:id="14" w:name="_Toc184048311"/>
      <w:r w:rsidRPr="00CB4E28">
        <w:lastRenderedPageBreak/>
        <w:t>The Value of People Practice (AC3.2)</w:t>
      </w:r>
      <w:bookmarkEnd w:id="13"/>
      <w:bookmarkEnd w:id="14"/>
    </w:p>
    <w:p w14:paraId="2A7C435D" w14:textId="77777777" w:rsidR="00CB4E28" w:rsidRDefault="00CB4E28" w:rsidP="00234A71">
      <w:pPr>
        <w:spacing w:line="360" w:lineRule="auto"/>
        <w:rPr>
          <w:rFonts w:cs="Arial"/>
          <w:b/>
          <w:bCs/>
          <w:u w:val="single"/>
        </w:rPr>
      </w:pPr>
    </w:p>
    <w:p w14:paraId="62140D48" w14:textId="0BC851B9" w:rsidR="00B2762A" w:rsidRDefault="00763C4B" w:rsidP="00234A71">
      <w:pPr>
        <w:spacing w:line="360" w:lineRule="auto"/>
        <w:rPr>
          <w:rFonts w:cs="Arial"/>
        </w:rPr>
      </w:pPr>
      <w:r>
        <w:rPr>
          <w:rFonts w:cs="Arial"/>
        </w:rPr>
        <w:t xml:space="preserve">People practice encompasses the </w:t>
      </w:r>
      <w:r w:rsidR="00172F33">
        <w:rPr>
          <w:rFonts w:cs="Arial"/>
        </w:rPr>
        <w:t xml:space="preserve">methods used to manage and develop an organisations workforce. </w:t>
      </w:r>
      <w:r w:rsidR="00C56A0F">
        <w:rPr>
          <w:rFonts w:cs="Arial"/>
        </w:rPr>
        <w:t>It’s been argued that existing literature does not provide a consistent answer to whether people practice as a function is linked to organisational performance. However, research conducted by Jo, Chadwick and Han (2023) rigorously tested this theory, and found that p</w:t>
      </w:r>
      <w:r w:rsidR="00172F33">
        <w:rPr>
          <w:rFonts w:cs="Arial"/>
        </w:rPr>
        <w:t>eople practice/HR professionals are crucial within an organisation and largely dictate the success</w:t>
      </w:r>
      <w:r w:rsidR="00C56A0F">
        <w:rPr>
          <w:rFonts w:cs="Arial"/>
        </w:rPr>
        <w:t xml:space="preserve"> through an organisations Human Capital Resources.</w:t>
      </w:r>
    </w:p>
    <w:p w14:paraId="0EB32091" w14:textId="77777777" w:rsidR="00C56A0F" w:rsidRDefault="00C56A0F" w:rsidP="00234A71">
      <w:pPr>
        <w:spacing w:line="360" w:lineRule="auto"/>
        <w:rPr>
          <w:rFonts w:cs="Arial"/>
        </w:rPr>
      </w:pPr>
    </w:p>
    <w:p w14:paraId="3A46F5B2" w14:textId="6CFB4CE8" w:rsidR="00C56A0F" w:rsidRDefault="00C56A0F" w:rsidP="00234A71">
      <w:pPr>
        <w:spacing w:line="360" w:lineRule="auto"/>
        <w:rPr>
          <w:rFonts w:cs="Arial"/>
        </w:rPr>
      </w:pPr>
      <w:r>
        <w:rPr>
          <w:rFonts w:cs="Arial"/>
        </w:rPr>
        <w:t xml:space="preserve">People practice professionals oversee the organisation from within and without, an internal and external context. People practice professionals must be aware of external factors such as legal, political and economic factors to ensure the organisation is compliant. The internal context of an organisation is managed by people practice through ensuring employees are compliant, satisfied, engaged, well looked after, all whilst ensuring managers are supporting these factors (Jo, Chadwick and Han, 2023). </w:t>
      </w:r>
    </w:p>
    <w:p w14:paraId="5F4151ED" w14:textId="77777777" w:rsidR="00C56A0F" w:rsidRDefault="00C56A0F" w:rsidP="00234A71">
      <w:pPr>
        <w:spacing w:line="360" w:lineRule="auto"/>
        <w:rPr>
          <w:rFonts w:cs="Arial"/>
        </w:rPr>
      </w:pPr>
    </w:p>
    <w:p w14:paraId="1C4163E1" w14:textId="10C8BE10" w:rsidR="00C56A0F" w:rsidRDefault="00C56A0F" w:rsidP="00234A71">
      <w:pPr>
        <w:spacing w:line="360" w:lineRule="auto"/>
        <w:rPr>
          <w:rFonts w:cs="Arial"/>
        </w:rPr>
      </w:pPr>
      <w:r>
        <w:rPr>
          <w:rFonts w:cs="Arial"/>
        </w:rPr>
        <w:t xml:space="preserve">While the value of people practice is often intangible, there are several metrics and methods that can help measure the impact people practice has (CIPD, 2023). A key metric for organisations to monitor which highlights the value of </w:t>
      </w:r>
      <w:r w:rsidR="006476FA">
        <w:rPr>
          <w:rFonts w:cs="Arial"/>
        </w:rPr>
        <w:t>a HR department is calculating Employee Turnover Rate:</w:t>
      </w:r>
    </w:p>
    <w:p w14:paraId="51BCE516" w14:textId="77777777" w:rsidR="006476FA" w:rsidRDefault="006476FA" w:rsidP="00234A71">
      <w:pPr>
        <w:spacing w:line="360" w:lineRule="auto"/>
        <w:rPr>
          <w:rFonts w:cs="Arial"/>
        </w:rPr>
      </w:pPr>
    </w:p>
    <w:p w14:paraId="56756092" w14:textId="45D77898" w:rsidR="006476FA" w:rsidRDefault="00000000" w:rsidP="00234A71">
      <w:pPr>
        <w:spacing w:line="360" w:lineRule="auto"/>
        <w:rPr>
          <w:rFonts w:cs="Arial"/>
        </w:rPr>
      </w:pPr>
      <m:oMathPara>
        <m:oMath>
          <m:f>
            <m:fPr>
              <m:ctrlPr>
                <w:rPr>
                  <w:rFonts w:ascii="Cambria Math" w:hAnsi="Cambria Math" w:cs="Arial"/>
                  <w:i/>
                </w:rPr>
              </m:ctrlPr>
            </m:fPr>
            <m:num>
              <m:r>
                <w:rPr>
                  <w:rFonts w:ascii="Cambria Math" w:hAnsi="Cambria Math" w:cs="Arial"/>
                </w:rPr>
                <m:t xml:space="preserve">Number of employee separations </m:t>
              </m:r>
            </m:num>
            <m:den>
              <m:r>
                <w:rPr>
                  <w:rFonts w:ascii="Cambria Math" w:hAnsi="Cambria Math" w:cs="Arial"/>
                </w:rPr>
                <m:t>Average number of employees</m:t>
              </m:r>
            </m:den>
          </m:f>
          <m:r>
            <w:rPr>
              <w:rFonts w:ascii="Cambria Math" w:hAnsi="Cambria Math" w:cs="Arial"/>
            </w:rPr>
            <m:t xml:space="preserve"> X 100</m:t>
          </m:r>
        </m:oMath>
      </m:oMathPara>
    </w:p>
    <w:p w14:paraId="7EA811C7" w14:textId="77777777" w:rsidR="00C56A0F" w:rsidRDefault="00C56A0F" w:rsidP="00234A71">
      <w:pPr>
        <w:spacing w:line="360" w:lineRule="auto"/>
        <w:rPr>
          <w:rFonts w:cs="Arial"/>
        </w:rPr>
      </w:pPr>
    </w:p>
    <w:p w14:paraId="78CB1A5E" w14:textId="4BDA310C" w:rsidR="00B2762A" w:rsidRDefault="0026682D" w:rsidP="00234A71">
      <w:pPr>
        <w:spacing w:line="360" w:lineRule="auto"/>
        <w:rPr>
          <w:rFonts w:cs="Arial"/>
        </w:rPr>
      </w:pPr>
      <w:r>
        <w:rPr>
          <w:rFonts w:cs="Arial"/>
        </w:rPr>
        <w:t>Employee Turnover can also be calculated in sub-categories, such as intended (poor performance or retirement) and unintended (resignation and death), which can help provide further insight where greater intervention or support may be needed (CIPD, 2023).</w:t>
      </w:r>
      <w:r w:rsidR="00346C37">
        <w:rPr>
          <w:rFonts w:cs="Arial"/>
        </w:rPr>
        <w:t xml:space="preserve"> If an area of the organisation is experiencing high unintended turnover, further analysis should be carried out to understand why this is happening</w:t>
      </w:r>
    </w:p>
    <w:p w14:paraId="6B9F07F9" w14:textId="77777777" w:rsidR="00346C37" w:rsidRDefault="00346C37" w:rsidP="00234A71">
      <w:pPr>
        <w:spacing w:line="360" w:lineRule="auto"/>
        <w:rPr>
          <w:rFonts w:cs="Arial"/>
        </w:rPr>
      </w:pPr>
    </w:p>
    <w:p w14:paraId="508AF18F" w14:textId="5FD93E4E" w:rsidR="00346C37" w:rsidRDefault="00346C37" w:rsidP="00234A71">
      <w:pPr>
        <w:spacing w:line="360" w:lineRule="auto"/>
        <w:rPr>
          <w:rFonts w:cs="Arial"/>
        </w:rPr>
      </w:pPr>
      <w:r>
        <w:rPr>
          <w:rFonts w:cs="Arial"/>
        </w:rPr>
        <w:t>Another method proven to measure the value of people practice is calculating Return on Investment from learning and development (Phillips, 2012).</w:t>
      </w:r>
    </w:p>
    <w:p w14:paraId="019454B3" w14:textId="77777777" w:rsidR="00346C37" w:rsidRDefault="00346C37" w:rsidP="00234A71">
      <w:pPr>
        <w:spacing w:line="360" w:lineRule="auto"/>
        <w:rPr>
          <w:rFonts w:cs="Arial"/>
        </w:rPr>
      </w:pPr>
    </w:p>
    <w:p w14:paraId="41DCA868" w14:textId="4423475C" w:rsidR="00346C37" w:rsidRDefault="00346C37" w:rsidP="00234A71">
      <w:pPr>
        <w:spacing w:line="360" w:lineRule="auto"/>
        <w:rPr>
          <w:rFonts w:cs="Arial"/>
        </w:rPr>
      </w:pPr>
      <w:r>
        <w:rPr>
          <w:rFonts w:cs="Arial"/>
        </w:rPr>
        <w:lastRenderedPageBreak/>
        <w:t>According to Aslam et al (2014), effective HR management is the sole factor that provides an organisation with a competitive advantage.</w:t>
      </w:r>
      <w:r w:rsidR="00E51DD5">
        <w:rPr>
          <w:rFonts w:cs="Arial"/>
        </w:rPr>
        <w:t xml:space="preserve"> This is supported by evidence </w:t>
      </w:r>
      <w:r w:rsidR="00D82EF0">
        <w:rPr>
          <w:rFonts w:cs="Arial"/>
        </w:rPr>
        <w:t>stating that 86% of employees and job seekers look at organisation reviews prior to applying for jobs (Glassdoor via Bartram, 2024)</w:t>
      </w:r>
      <w:r w:rsidR="00FF412B">
        <w:rPr>
          <w:rFonts w:cs="Arial"/>
        </w:rPr>
        <w:t>.</w:t>
      </w:r>
    </w:p>
    <w:p w14:paraId="1E9F3A14" w14:textId="77777777" w:rsidR="00365102" w:rsidRDefault="00365102" w:rsidP="00234A71">
      <w:pPr>
        <w:spacing w:line="360" w:lineRule="auto"/>
        <w:rPr>
          <w:rFonts w:cs="Arial"/>
        </w:rPr>
      </w:pPr>
    </w:p>
    <w:p w14:paraId="6FFE3CD5" w14:textId="77777777" w:rsidR="00365102" w:rsidRPr="001C4A98" w:rsidRDefault="00365102" w:rsidP="00365102">
      <w:pPr>
        <w:spacing w:line="360" w:lineRule="auto"/>
      </w:pPr>
      <w:r>
        <w:t xml:space="preserve">Christensen Hughes and Rog (2008) effective talent management = improved employee recruitment, retention and engagement </w:t>
      </w:r>
      <w:r>
        <w:sym w:font="Wingdings" w:char="F0E0"/>
      </w:r>
      <w:r>
        <w:t xml:space="preserve"> greater financial performance.</w:t>
      </w:r>
    </w:p>
    <w:p w14:paraId="275B2DF1" w14:textId="77777777" w:rsidR="00365102" w:rsidRPr="00346C37" w:rsidRDefault="00365102" w:rsidP="00234A71">
      <w:pPr>
        <w:spacing w:line="360" w:lineRule="auto"/>
        <w:rPr>
          <w:rFonts w:cs="Arial"/>
        </w:rPr>
      </w:pPr>
    </w:p>
    <w:p w14:paraId="2AD190A8" w14:textId="77777777" w:rsidR="00B2762A" w:rsidRDefault="00B2762A" w:rsidP="00234A71">
      <w:pPr>
        <w:spacing w:line="360" w:lineRule="auto"/>
        <w:rPr>
          <w:rFonts w:cs="Arial"/>
          <w:b/>
          <w:bCs/>
          <w:u w:val="single"/>
        </w:rPr>
      </w:pPr>
    </w:p>
    <w:p w14:paraId="62F8ADB8" w14:textId="77777777" w:rsidR="00B2762A" w:rsidRDefault="00B2762A" w:rsidP="00234A71">
      <w:pPr>
        <w:spacing w:line="360" w:lineRule="auto"/>
        <w:rPr>
          <w:rFonts w:cs="Arial"/>
          <w:b/>
          <w:bCs/>
          <w:u w:val="single"/>
        </w:rPr>
      </w:pPr>
    </w:p>
    <w:p w14:paraId="5A04AD74" w14:textId="77777777" w:rsidR="00B2762A" w:rsidRDefault="00B2762A" w:rsidP="00234A71">
      <w:pPr>
        <w:spacing w:line="360" w:lineRule="auto"/>
        <w:rPr>
          <w:rFonts w:cs="Arial"/>
          <w:b/>
          <w:bCs/>
          <w:u w:val="single"/>
        </w:rPr>
      </w:pPr>
    </w:p>
    <w:p w14:paraId="79F3B8F7" w14:textId="77777777" w:rsidR="00B2762A" w:rsidRDefault="00B2762A" w:rsidP="00234A71">
      <w:pPr>
        <w:spacing w:line="360" w:lineRule="auto"/>
        <w:rPr>
          <w:rFonts w:cs="Arial"/>
          <w:b/>
          <w:bCs/>
          <w:u w:val="single"/>
        </w:rPr>
      </w:pPr>
    </w:p>
    <w:p w14:paraId="5AE293E7" w14:textId="77777777" w:rsidR="00B2762A" w:rsidRDefault="00B2762A" w:rsidP="00234A71">
      <w:pPr>
        <w:spacing w:line="360" w:lineRule="auto"/>
        <w:rPr>
          <w:rFonts w:cs="Arial"/>
          <w:b/>
          <w:bCs/>
          <w:u w:val="single"/>
        </w:rPr>
      </w:pPr>
    </w:p>
    <w:p w14:paraId="32F6ABBD" w14:textId="77777777" w:rsidR="00B2762A" w:rsidRDefault="00B2762A" w:rsidP="00234A71">
      <w:pPr>
        <w:spacing w:line="360" w:lineRule="auto"/>
        <w:rPr>
          <w:rFonts w:cs="Arial"/>
          <w:b/>
          <w:bCs/>
          <w:u w:val="single"/>
        </w:rPr>
      </w:pPr>
    </w:p>
    <w:p w14:paraId="4D0733E5" w14:textId="77777777" w:rsidR="00B2762A" w:rsidRDefault="00B2762A" w:rsidP="00234A71">
      <w:pPr>
        <w:spacing w:line="360" w:lineRule="auto"/>
        <w:rPr>
          <w:rFonts w:cs="Arial"/>
          <w:b/>
          <w:bCs/>
          <w:u w:val="single"/>
        </w:rPr>
      </w:pPr>
    </w:p>
    <w:p w14:paraId="6D6BA228" w14:textId="77777777" w:rsidR="00B2762A" w:rsidRDefault="00B2762A" w:rsidP="00234A71">
      <w:pPr>
        <w:spacing w:line="360" w:lineRule="auto"/>
        <w:rPr>
          <w:rFonts w:cs="Arial"/>
          <w:b/>
          <w:bCs/>
          <w:u w:val="single"/>
        </w:rPr>
      </w:pPr>
    </w:p>
    <w:p w14:paraId="58131F71" w14:textId="77777777" w:rsidR="00B2762A" w:rsidRDefault="00B2762A" w:rsidP="00234A71">
      <w:pPr>
        <w:spacing w:line="360" w:lineRule="auto"/>
        <w:rPr>
          <w:rFonts w:cs="Arial"/>
          <w:b/>
          <w:bCs/>
          <w:u w:val="single"/>
        </w:rPr>
      </w:pPr>
    </w:p>
    <w:p w14:paraId="34B7D935" w14:textId="77777777" w:rsidR="00B2762A" w:rsidRDefault="00B2762A" w:rsidP="00234A71">
      <w:pPr>
        <w:spacing w:line="360" w:lineRule="auto"/>
        <w:rPr>
          <w:rFonts w:cs="Arial"/>
          <w:b/>
          <w:bCs/>
          <w:u w:val="single"/>
        </w:rPr>
      </w:pPr>
    </w:p>
    <w:p w14:paraId="660EBEBA" w14:textId="77777777" w:rsidR="00B2762A" w:rsidRDefault="00B2762A" w:rsidP="00234A71">
      <w:pPr>
        <w:spacing w:line="360" w:lineRule="auto"/>
        <w:rPr>
          <w:rFonts w:cs="Arial"/>
          <w:b/>
          <w:bCs/>
          <w:u w:val="single"/>
        </w:rPr>
      </w:pPr>
    </w:p>
    <w:p w14:paraId="75E48321" w14:textId="77777777" w:rsidR="00B2762A" w:rsidRDefault="00B2762A" w:rsidP="00234A71">
      <w:pPr>
        <w:spacing w:line="360" w:lineRule="auto"/>
        <w:rPr>
          <w:rFonts w:cs="Arial"/>
          <w:b/>
          <w:bCs/>
          <w:u w:val="single"/>
        </w:rPr>
      </w:pPr>
    </w:p>
    <w:p w14:paraId="2D223BD1" w14:textId="77777777" w:rsidR="00B11A69" w:rsidRDefault="00B11A69" w:rsidP="00234A71">
      <w:pPr>
        <w:spacing w:line="360" w:lineRule="auto"/>
        <w:rPr>
          <w:rFonts w:cs="Arial"/>
          <w:b/>
          <w:bCs/>
          <w:u w:val="single"/>
        </w:rPr>
      </w:pPr>
    </w:p>
    <w:p w14:paraId="4088FF96" w14:textId="77777777" w:rsidR="00B11A69" w:rsidRDefault="00B11A69" w:rsidP="00234A71">
      <w:pPr>
        <w:spacing w:line="360" w:lineRule="auto"/>
        <w:rPr>
          <w:rFonts w:cs="Arial"/>
          <w:b/>
          <w:bCs/>
          <w:u w:val="single"/>
        </w:rPr>
      </w:pPr>
    </w:p>
    <w:p w14:paraId="4548D46A" w14:textId="77777777" w:rsidR="00B11A69" w:rsidRDefault="00B11A69" w:rsidP="00234A71">
      <w:pPr>
        <w:spacing w:line="360" w:lineRule="auto"/>
        <w:rPr>
          <w:rFonts w:cs="Arial"/>
          <w:b/>
          <w:bCs/>
          <w:u w:val="single"/>
        </w:rPr>
      </w:pPr>
    </w:p>
    <w:p w14:paraId="0F36273B" w14:textId="77777777" w:rsidR="00B11A69" w:rsidRDefault="00B11A69" w:rsidP="00234A71">
      <w:pPr>
        <w:spacing w:line="360" w:lineRule="auto"/>
        <w:rPr>
          <w:rFonts w:cs="Arial"/>
          <w:b/>
          <w:bCs/>
          <w:u w:val="single"/>
        </w:rPr>
      </w:pPr>
    </w:p>
    <w:p w14:paraId="2BC8668E" w14:textId="77777777" w:rsidR="00B11A69" w:rsidRDefault="00B11A69" w:rsidP="00234A71">
      <w:pPr>
        <w:spacing w:line="360" w:lineRule="auto"/>
        <w:rPr>
          <w:rFonts w:cs="Arial"/>
          <w:b/>
          <w:bCs/>
          <w:u w:val="single"/>
        </w:rPr>
      </w:pPr>
    </w:p>
    <w:p w14:paraId="7587F4D6" w14:textId="77777777" w:rsidR="00B11A69" w:rsidRDefault="00B11A69" w:rsidP="00234A71">
      <w:pPr>
        <w:spacing w:line="360" w:lineRule="auto"/>
        <w:rPr>
          <w:rFonts w:cs="Arial"/>
          <w:b/>
          <w:bCs/>
          <w:u w:val="single"/>
        </w:rPr>
      </w:pPr>
    </w:p>
    <w:p w14:paraId="5AF67952" w14:textId="77777777" w:rsidR="00B11A69" w:rsidRDefault="00B11A69" w:rsidP="00234A71">
      <w:pPr>
        <w:spacing w:line="360" w:lineRule="auto"/>
        <w:rPr>
          <w:rFonts w:cs="Arial"/>
          <w:b/>
          <w:bCs/>
          <w:u w:val="single"/>
        </w:rPr>
      </w:pPr>
    </w:p>
    <w:p w14:paraId="58192CBF" w14:textId="77777777" w:rsidR="00B11A69" w:rsidRDefault="00B11A69" w:rsidP="00234A71">
      <w:pPr>
        <w:spacing w:line="360" w:lineRule="auto"/>
        <w:rPr>
          <w:rFonts w:cs="Arial"/>
          <w:b/>
          <w:bCs/>
          <w:u w:val="single"/>
        </w:rPr>
      </w:pPr>
    </w:p>
    <w:p w14:paraId="37253AB1" w14:textId="77777777" w:rsidR="00B11A69" w:rsidRDefault="00B11A69" w:rsidP="00234A71">
      <w:pPr>
        <w:spacing w:line="360" w:lineRule="auto"/>
        <w:rPr>
          <w:rFonts w:cs="Arial"/>
          <w:b/>
          <w:bCs/>
          <w:u w:val="single"/>
        </w:rPr>
      </w:pPr>
    </w:p>
    <w:p w14:paraId="5B9EC3ED" w14:textId="77777777" w:rsidR="00B11A69" w:rsidRDefault="00B11A69" w:rsidP="00234A71">
      <w:pPr>
        <w:spacing w:line="360" w:lineRule="auto"/>
        <w:rPr>
          <w:rFonts w:cs="Arial"/>
          <w:b/>
          <w:bCs/>
          <w:u w:val="single"/>
        </w:rPr>
      </w:pPr>
    </w:p>
    <w:p w14:paraId="4D5F5F26" w14:textId="77777777" w:rsidR="00B11A69" w:rsidRDefault="00B11A69" w:rsidP="00234A71">
      <w:pPr>
        <w:spacing w:line="360" w:lineRule="auto"/>
        <w:rPr>
          <w:rFonts w:cs="Arial"/>
          <w:b/>
          <w:bCs/>
          <w:u w:val="single"/>
        </w:rPr>
      </w:pPr>
    </w:p>
    <w:p w14:paraId="3EFDF9C8" w14:textId="77777777" w:rsidR="00B11A69" w:rsidRDefault="00B11A69" w:rsidP="00234A71">
      <w:pPr>
        <w:spacing w:line="360" w:lineRule="auto"/>
        <w:rPr>
          <w:rFonts w:cs="Arial"/>
          <w:b/>
          <w:bCs/>
          <w:u w:val="single"/>
        </w:rPr>
      </w:pPr>
    </w:p>
    <w:p w14:paraId="1B1F7314" w14:textId="77777777" w:rsidR="00B2762A" w:rsidRPr="00CB4E28" w:rsidRDefault="00B2762A" w:rsidP="00234A71">
      <w:pPr>
        <w:spacing w:line="360" w:lineRule="auto"/>
        <w:rPr>
          <w:rFonts w:cs="Arial"/>
          <w:b/>
          <w:bCs/>
          <w:u w:val="single"/>
        </w:rPr>
      </w:pPr>
    </w:p>
    <w:p w14:paraId="7EE96367" w14:textId="2C07C066" w:rsidR="00CB4E28" w:rsidRDefault="00E41EF8" w:rsidP="0039627B">
      <w:pPr>
        <w:pStyle w:val="AssignmentHeading1"/>
      </w:pPr>
      <w:bookmarkStart w:id="15" w:name="_Toc184048312"/>
      <w:r>
        <w:lastRenderedPageBreak/>
        <w:t>Performance Data</w:t>
      </w:r>
      <w:bookmarkEnd w:id="15"/>
    </w:p>
    <w:p w14:paraId="7A30A405" w14:textId="2F862A08" w:rsidR="00234A71" w:rsidRDefault="00A73A59" w:rsidP="00234A71">
      <w:pPr>
        <w:spacing w:line="360" w:lineRule="auto"/>
        <w:rPr>
          <w:rFonts w:cs="Arial"/>
          <w:b/>
          <w:bCs/>
          <w:u w:val="single"/>
        </w:rPr>
      </w:pPr>
      <w:r>
        <w:rPr>
          <w:noProof/>
        </w:rPr>
        <w:drawing>
          <wp:anchor distT="0" distB="0" distL="114300" distR="114300" simplePos="0" relativeHeight="251659264" behindDoc="1" locked="0" layoutInCell="1" allowOverlap="1" wp14:anchorId="5FCF77A8" wp14:editId="38546661">
            <wp:simplePos x="0" y="0"/>
            <wp:positionH relativeFrom="margin">
              <wp:align>left</wp:align>
            </wp:positionH>
            <wp:positionV relativeFrom="paragraph">
              <wp:posOffset>319405</wp:posOffset>
            </wp:positionV>
            <wp:extent cx="5743575" cy="2990850"/>
            <wp:effectExtent l="0" t="0" r="9525" b="0"/>
            <wp:wrapTight wrapText="bothSides">
              <wp:wrapPolygon edited="0">
                <wp:start x="0" y="0"/>
                <wp:lineTo x="0" y="21462"/>
                <wp:lineTo x="21564" y="21462"/>
                <wp:lineTo x="21564" y="0"/>
                <wp:lineTo x="0" y="0"/>
              </wp:wrapPolygon>
            </wp:wrapTight>
            <wp:docPr id="1286315187" name="Chart 1">
              <a:extLst xmlns:a="http://schemas.openxmlformats.org/drawingml/2006/main">
                <a:ext uri="{FF2B5EF4-FFF2-40B4-BE49-F238E27FC236}">
                  <a16:creationId xmlns:a16="http://schemas.microsoft.com/office/drawing/2014/main" id="{FCC035E8-C0B3-0707-CC97-6E192B9E58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6DB85D53" w14:textId="15E10CD8" w:rsidR="00A73A59" w:rsidRPr="00A73A59" w:rsidRDefault="008618C1" w:rsidP="00A73A59">
      <w:pPr>
        <w:pStyle w:val="Caption"/>
        <w:jc w:val="center"/>
        <w:rPr>
          <w:rFonts w:cs="Arial"/>
          <w:b/>
          <w:bCs/>
          <w:color w:val="auto"/>
          <w:u w:val="single"/>
        </w:rPr>
      </w:pPr>
      <w:bookmarkStart w:id="16" w:name="_Toc184048350"/>
      <w:r>
        <w:rPr>
          <w:noProof/>
        </w:rPr>
        <w:drawing>
          <wp:anchor distT="0" distB="0" distL="114300" distR="114300" simplePos="0" relativeHeight="251661312" behindDoc="0" locked="0" layoutInCell="1" allowOverlap="1" wp14:anchorId="44131573" wp14:editId="4A1D9F58">
            <wp:simplePos x="0" y="0"/>
            <wp:positionH relativeFrom="margin">
              <wp:align>left</wp:align>
            </wp:positionH>
            <wp:positionV relativeFrom="paragraph">
              <wp:posOffset>3583305</wp:posOffset>
            </wp:positionV>
            <wp:extent cx="5791200" cy="3151505"/>
            <wp:effectExtent l="0" t="0" r="0" b="10795"/>
            <wp:wrapTopAndBottom/>
            <wp:docPr id="667236510" name="Chart 1">
              <a:extLst xmlns:a="http://schemas.openxmlformats.org/drawingml/2006/main">
                <a:ext uri="{FF2B5EF4-FFF2-40B4-BE49-F238E27FC236}">
                  <a16:creationId xmlns:a16="http://schemas.microsoft.com/office/drawing/2014/main" id="{4178ED14-38DF-8190-39E1-6DCBDA062D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A73A59" w:rsidRPr="00A73A59">
        <w:rPr>
          <w:color w:val="auto"/>
        </w:rPr>
        <w:t xml:space="preserve">Figure </w:t>
      </w:r>
      <w:r w:rsidR="00A73A59" w:rsidRPr="00A73A59">
        <w:rPr>
          <w:color w:val="auto"/>
        </w:rPr>
        <w:fldChar w:fldCharType="begin"/>
      </w:r>
      <w:r w:rsidR="00A73A59" w:rsidRPr="00A73A59">
        <w:rPr>
          <w:color w:val="auto"/>
        </w:rPr>
        <w:instrText xml:space="preserve"> SEQ Figure \* ARABIC </w:instrText>
      </w:r>
      <w:r w:rsidR="00A73A59" w:rsidRPr="00A73A59">
        <w:rPr>
          <w:color w:val="auto"/>
        </w:rPr>
        <w:fldChar w:fldCharType="separate"/>
      </w:r>
      <w:r w:rsidR="002E3B5A">
        <w:rPr>
          <w:noProof/>
          <w:color w:val="auto"/>
        </w:rPr>
        <w:t>2</w:t>
      </w:r>
      <w:r w:rsidR="00A73A59" w:rsidRPr="00A73A59">
        <w:rPr>
          <w:color w:val="auto"/>
        </w:rPr>
        <w:fldChar w:fldCharType="end"/>
      </w:r>
      <w:r w:rsidR="00A73A59" w:rsidRPr="00A73A59">
        <w:rPr>
          <w:color w:val="auto"/>
        </w:rPr>
        <w:t xml:space="preserve"> - Average Performance per Department (Quarter 1)</w:t>
      </w:r>
      <w:bookmarkEnd w:id="16"/>
    </w:p>
    <w:p w14:paraId="7B4E1E5D" w14:textId="32C04D08" w:rsidR="008618C1" w:rsidRDefault="008618C1" w:rsidP="008618C1">
      <w:pPr>
        <w:spacing w:line="360" w:lineRule="auto"/>
        <w:rPr>
          <w:rFonts w:cs="Arial"/>
          <w:b/>
          <w:bCs/>
          <w:u w:val="single"/>
        </w:rPr>
      </w:pPr>
    </w:p>
    <w:p w14:paraId="33CA48AA" w14:textId="1676D07C" w:rsidR="00234A71" w:rsidRDefault="00D77A08" w:rsidP="00D77A08">
      <w:pPr>
        <w:pStyle w:val="Caption"/>
        <w:jc w:val="center"/>
        <w:rPr>
          <w:color w:val="auto"/>
        </w:rPr>
      </w:pPr>
      <w:bookmarkStart w:id="17" w:name="_Toc184048351"/>
      <w:r w:rsidRPr="00D77A08">
        <w:rPr>
          <w:color w:val="auto"/>
        </w:rPr>
        <w:t xml:space="preserve">Figure </w:t>
      </w:r>
      <w:r w:rsidRPr="00D77A08">
        <w:rPr>
          <w:color w:val="auto"/>
        </w:rPr>
        <w:fldChar w:fldCharType="begin"/>
      </w:r>
      <w:r w:rsidRPr="00D77A08">
        <w:rPr>
          <w:color w:val="auto"/>
        </w:rPr>
        <w:instrText xml:space="preserve"> SEQ Figure \* ARABIC </w:instrText>
      </w:r>
      <w:r w:rsidRPr="00D77A08">
        <w:rPr>
          <w:color w:val="auto"/>
        </w:rPr>
        <w:fldChar w:fldCharType="separate"/>
      </w:r>
      <w:r w:rsidR="002E3B5A">
        <w:rPr>
          <w:noProof/>
          <w:color w:val="auto"/>
        </w:rPr>
        <w:t>3</w:t>
      </w:r>
      <w:r w:rsidRPr="00D77A08">
        <w:rPr>
          <w:color w:val="auto"/>
        </w:rPr>
        <w:fldChar w:fldCharType="end"/>
      </w:r>
      <w:r w:rsidRPr="00D77A08">
        <w:rPr>
          <w:color w:val="auto"/>
        </w:rPr>
        <w:t xml:space="preserve"> - Average Performance per Department (Quarter 2)</w:t>
      </w:r>
      <w:bookmarkEnd w:id="17"/>
    </w:p>
    <w:p w14:paraId="5792829D" w14:textId="77777777" w:rsidR="00930905" w:rsidRDefault="00930905" w:rsidP="00930905"/>
    <w:p w14:paraId="00FC3373" w14:textId="273D7582" w:rsidR="007E03D3" w:rsidRDefault="00915049" w:rsidP="00BB7510">
      <w:pPr>
        <w:spacing w:line="360" w:lineRule="auto"/>
        <w:rPr>
          <w:color w:val="FF0000"/>
        </w:rPr>
      </w:pPr>
      <w:r>
        <w:rPr>
          <w:color w:val="FF0000"/>
        </w:rPr>
        <w:t>Figure</w:t>
      </w:r>
      <w:r w:rsidR="001259CC">
        <w:rPr>
          <w:color w:val="FF0000"/>
        </w:rPr>
        <w:t xml:space="preserve">s 2 and 3 </w:t>
      </w:r>
      <w:r w:rsidR="00E23B8D">
        <w:rPr>
          <w:color w:val="FF0000"/>
        </w:rPr>
        <w:t>highlight</w:t>
      </w:r>
      <w:r w:rsidR="004A3033">
        <w:rPr>
          <w:color w:val="FF0000"/>
        </w:rPr>
        <w:t xml:space="preserve"> the average performance per department for Quarters 1 and 2 respectively. </w:t>
      </w:r>
      <w:r w:rsidR="008E6AB6">
        <w:rPr>
          <w:color w:val="FF0000"/>
        </w:rPr>
        <w:t xml:space="preserve">Performance in Quarter 1 was </w:t>
      </w:r>
      <w:r w:rsidR="00BB7510">
        <w:rPr>
          <w:color w:val="FF0000"/>
        </w:rPr>
        <w:t xml:space="preserve">varied amongst all departments, except for sales which had 100% of its staff </w:t>
      </w:r>
      <w:r w:rsidR="00E24F30">
        <w:rPr>
          <w:color w:val="FF0000"/>
        </w:rPr>
        <w:t>m</w:t>
      </w:r>
      <w:r w:rsidR="00BB7510">
        <w:rPr>
          <w:color w:val="FF0000"/>
        </w:rPr>
        <w:t>eeting KPIs.</w:t>
      </w:r>
      <w:r w:rsidR="006A44DC">
        <w:rPr>
          <w:color w:val="FF0000"/>
        </w:rPr>
        <w:t xml:space="preserve"> </w:t>
      </w:r>
    </w:p>
    <w:p w14:paraId="6D601329" w14:textId="251FEE6D" w:rsidR="007E03D3" w:rsidRDefault="007E03D3" w:rsidP="00BB7510">
      <w:pPr>
        <w:spacing w:line="360" w:lineRule="auto"/>
        <w:rPr>
          <w:color w:val="FF0000"/>
        </w:rPr>
      </w:pPr>
      <w:r>
        <w:rPr>
          <w:color w:val="FF0000"/>
        </w:rPr>
        <w:lastRenderedPageBreak/>
        <w:t>Significant improvement in most departments is eviden</w:t>
      </w:r>
      <w:r w:rsidR="00002D84">
        <w:rPr>
          <w:color w:val="FF0000"/>
        </w:rPr>
        <w:t xml:space="preserve">t within Quarter 2, with a decrease in under performance across all teams. </w:t>
      </w:r>
      <w:r w:rsidR="00CA1C79">
        <w:rPr>
          <w:color w:val="FF0000"/>
        </w:rPr>
        <w:t xml:space="preserve">The only department with underperforming staff </w:t>
      </w:r>
      <w:r w:rsidR="00347863">
        <w:rPr>
          <w:color w:val="FF0000"/>
        </w:rPr>
        <w:t>is administrative at 9%</w:t>
      </w:r>
      <w:r w:rsidR="00AA6791">
        <w:rPr>
          <w:color w:val="FF0000"/>
        </w:rPr>
        <w:t>, however this is a substantial improvement from 27%.</w:t>
      </w:r>
      <w:r w:rsidR="00D56D81">
        <w:rPr>
          <w:color w:val="FF0000"/>
        </w:rPr>
        <w:t xml:space="preserve"> S</w:t>
      </w:r>
      <w:r w:rsidR="00A3537E">
        <w:rPr>
          <w:color w:val="FF0000"/>
        </w:rPr>
        <w:t xml:space="preserve">taff absence across departments </w:t>
      </w:r>
      <w:r w:rsidR="00B9327B">
        <w:rPr>
          <w:color w:val="FF0000"/>
        </w:rPr>
        <w:t>has increased to 29% overall in Quarter 2 compared to 9% in Quarter 1</w:t>
      </w:r>
      <w:r w:rsidR="0051746C">
        <w:rPr>
          <w:color w:val="FF0000"/>
        </w:rPr>
        <w:t>. Although, there’s little substan</w:t>
      </w:r>
      <w:r w:rsidR="00552D43">
        <w:rPr>
          <w:color w:val="FF0000"/>
        </w:rPr>
        <w:t>ce</w:t>
      </w:r>
      <w:r w:rsidR="0051746C">
        <w:rPr>
          <w:color w:val="FF0000"/>
        </w:rPr>
        <w:t xml:space="preserve"> to this without further information.</w:t>
      </w:r>
    </w:p>
    <w:p w14:paraId="2201DBA4" w14:textId="77777777" w:rsidR="00B74444" w:rsidRDefault="00B74444" w:rsidP="00BB7510">
      <w:pPr>
        <w:spacing w:line="360" w:lineRule="auto"/>
        <w:rPr>
          <w:color w:val="FF0000"/>
        </w:rPr>
      </w:pPr>
    </w:p>
    <w:p w14:paraId="781F3F0E" w14:textId="4321E0A4" w:rsidR="00B74444" w:rsidRDefault="00B74444" w:rsidP="00BB7510">
      <w:pPr>
        <w:spacing w:line="360" w:lineRule="auto"/>
        <w:rPr>
          <w:color w:val="FF0000"/>
        </w:rPr>
      </w:pPr>
      <w:r>
        <w:rPr>
          <w:color w:val="FF0000"/>
        </w:rPr>
        <w:t>The percentage of outstanding employees</w:t>
      </w:r>
      <w:r w:rsidR="00F1385C">
        <w:rPr>
          <w:color w:val="FF0000"/>
        </w:rPr>
        <w:t xml:space="preserve"> overall rose by 16%</w:t>
      </w:r>
      <w:r w:rsidR="009611BE">
        <w:rPr>
          <w:color w:val="FF0000"/>
        </w:rPr>
        <w:t xml:space="preserve"> in Quarter </w:t>
      </w:r>
      <w:r w:rsidR="00F1385C">
        <w:rPr>
          <w:color w:val="FF0000"/>
        </w:rPr>
        <w:t xml:space="preserve">2, however the administrative department </w:t>
      </w:r>
      <w:r w:rsidR="007C15B7">
        <w:rPr>
          <w:color w:val="FF0000"/>
        </w:rPr>
        <w:t>dropped quite significantly to 9% in Quarter 2</w:t>
      </w:r>
      <w:r w:rsidR="001651DB">
        <w:rPr>
          <w:color w:val="FF0000"/>
        </w:rPr>
        <w:t>. Interestingly,</w:t>
      </w:r>
      <w:r w:rsidR="007C15B7">
        <w:rPr>
          <w:color w:val="FF0000"/>
        </w:rPr>
        <w:t xml:space="preserve"> the </w:t>
      </w:r>
      <w:r w:rsidR="001651DB">
        <w:rPr>
          <w:color w:val="FF0000"/>
        </w:rPr>
        <w:t>‘not quite there yet’ and underperforming data significantly improved in Quarter 2, possibly suggesting that there was a heavy focus on facilitating those employees</w:t>
      </w:r>
      <w:r w:rsidR="00EE6AE4">
        <w:rPr>
          <w:color w:val="FF0000"/>
        </w:rPr>
        <w:t xml:space="preserve">. </w:t>
      </w:r>
      <w:r w:rsidR="00DF45EF">
        <w:rPr>
          <w:color w:val="FF0000"/>
        </w:rPr>
        <w:t>This could’ve caused a decrease in motivation</w:t>
      </w:r>
      <w:r w:rsidR="00EE6AE4">
        <w:rPr>
          <w:color w:val="FF0000"/>
        </w:rPr>
        <w:t xml:space="preserve"> in the outstanding staff.</w:t>
      </w:r>
    </w:p>
    <w:p w14:paraId="702BCD41" w14:textId="77777777" w:rsidR="0051746C" w:rsidRDefault="0051746C" w:rsidP="00BB7510">
      <w:pPr>
        <w:spacing w:line="360" w:lineRule="auto"/>
        <w:rPr>
          <w:color w:val="FF0000"/>
        </w:rPr>
      </w:pPr>
    </w:p>
    <w:p w14:paraId="2A79ACDE" w14:textId="550A8584" w:rsidR="0051746C" w:rsidRDefault="0051746C" w:rsidP="00BB7510">
      <w:pPr>
        <w:spacing w:line="360" w:lineRule="auto"/>
        <w:rPr>
          <w:color w:val="FF0000"/>
        </w:rPr>
      </w:pPr>
      <w:r>
        <w:rPr>
          <w:color w:val="FF0000"/>
        </w:rPr>
        <w:t xml:space="preserve">9% of ‘no performance data’ </w:t>
      </w:r>
      <w:r w:rsidR="00EE6AE4">
        <w:rPr>
          <w:color w:val="FF0000"/>
        </w:rPr>
        <w:t>was</w:t>
      </w:r>
      <w:r>
        <w:rPr>
          <w:color w:val="FF0000"/>
        </w:rPr>
        <w:t xml:space="preserve"> recorded</w:t>
      </w:r>
      <w:r w:rsidR="00EE6AE4">
        <w:rPr>
          <w:color w:val="FF0000"/>
        </w:rPr>
        <w:t xml:space="preserve"> in Quarter 2</w:t>
      </w:r>
      <w:r>
        <w:rPr>
          <w:color w:val="FF0000"/>
        </w:rPr>
        <w:t xml:space="preserve">. This is extremely concerning, especially considering the employee it’s applicable to was absent in Quarter 1. This causes doubt as to whether a robust return to work was carried out </w:t>
      </w:r>
      <w:r w:rsidR="00E979B9">
        <w:rPr>
          <w:color w:val="FF0000"/>
        </w:rPr>
        <w:t xml:space="preserve">and if the employee has been checked on since returning. </w:t>
      </w:r>
    </w:p>
    <w:p w14:paraId="41F326E3" w14:textId="77777777" w:rsidR="00930905" w:rsidRPr="00915049" w:rsidRDefault="00930905" w:rsidP="00930905">
      <w:pPr>
        <w:rPr>
          <w:strike/>
        </w:rPr>
      </w:pPr>
    </w:p>
    <w:p w14:paraId="29FC940F" w14:textId="77777777" w:rsidR="00930905" w:rsidRPr="00915049" w:rsidRDefault="00930905" w:rsidP="00930905">
      <w:pPr>
        <w:pStyle w:val="ListParagraph"/>
        <w:numPr>
          <w:ilvl w:val="0"/>
          <w:numId w:val="6"/>
        </w:numPr>
        <w:spacing w:line="360" w:lineRule="auto"/>
        <w:rPr>
          <w:rFonts w:cs="Arial"/>
          <w:strike/>
        </w:rPr>
      </w:pPr>
      <w:r w:rsidRPr="00915049">
        <w:rPr>
          <w:rFonts w:cs="Arial"/>
          <w:strike/>
        </w:rPr>
        <w:t>No performance data, concerning. Employee it’s applicable too was absent in the previous quarter, question if a proper/robust return to work was carried out/check in on how they’re doing. Reason for their absence is unclear but additional support potentially should’ve been provided, why has this person slipped under the net?</w:t>
      </w:r>
    </w:p>
    <w:p w14:paraId="59C8C8D5" w14:textId="77777777" w:rsidR="00930905" w:rsidRPr="00915049" w:rsidRDefault="00930905" w:rsidP="00930905">
      <w:pPr>
        <w:pStyle w:val="ListParagraph"/>
        <w:numPr>
          <w:ilvl w:val="0"/>
          <w:numId w:val="6"/>
        </w:numPr>
        <w:spacing w:line="360" w:lineRule="auto"/>
        <w:rPr>
          <w:rFonts w:cs="Arial"/>
          <w:strike/>
        </w:rPr>
      </w:pPr>
      <w:r w:rsidRPr="00915049">
        <w:rPr>
          <w:rFonts w:cs="Arial"/>
          <w:strike/>
        </w:rPr>
        <w:t>Higher percentage of employees absent in this period</w:t>
      </w:r>
    </w:p>
    <w:p w14:paraId="06CD74DD" w14:textId="283A3532" w:rsidR="00930905" w:rsidRPr="00915049" w:rsidRDefault="00930905" w:rsidP="00930905">
      <w:pPr>
        <w:pStyle w:val="ListParagraph"/>
        <w:numPr>
          <w:ilvl w:val="0"/>
          <w:numId w:val="6"/>
        </w:numPr>
        <w:spacing w:line="360" w:lineRule="auto"/>
        <w:rPr>
          <w:rFonts w:cs="Arial"/>
          <w:strike/>
        </w:rPr>
      </w:pPr>
      <w:r w:rsidRPr="00915049">
        <w:rPr>
          <w:rFonts w:cs="Arial"/>
          <w:strike/>
        </w:rPr>
        <w:t>Significant decrease in under performance employees across all teams, Admin team still have 9% of staff underperforming but huge improvement from 27%. Focusing on the admin team across the two quarters, overall improvement in more employees meeting KPIs, seems that those underperforming have potentially moved to not quite there yet, improvement but still not ideal. Number of outstanding employees decreased, possibly due to a heavy focus on the underperforming employees, motivation possibly wasn’t there, or the outstanding staff could’ve been assigned mentoring duties. Could possibly suggest moral issues in the team if not receiving the recognition.</w:t>
      </w:r>
    </w:p>
    <w:p w14:paraId="130901D4" w14:textId="77777777" w:rsidR="00930905" w:rsidRPr="00915049" w:rsidRDefault="00930905" w:rsidP="00930905">
      <w:pPr>
        <w:spacing w:line="360" w:lineRule="auto"/>
        <w:rPr>
          <w:rFonts w:cs="Arial"/>
          <w:strike/>
        </w:rPr>
      </w:pPr>
    </w:p>
    <w:p w14:paraId="5B97D6B0" w14:textId="77777777" w:rsidR="00930905" w:rsidRPr="00915049" w:rsidRDefault="00930905" w:rsidP="00930905">
      <w:pPr>
        <w:spacing w:line="360" w:lineRule="auto"/>
        <w:rPr>
          <w:rFonts w:cs="Arial"/>
          <w:strike/>
        </w:rPr>
      </w:pPr>
      <w:r w:rsidRPr="00915049">
        <w:rPr>
          <w:rFonts w:cs="Arial"/>
          <w:strike/>
        </w:rPr>
        <w:lastRenderedPageBreak/>
        <w:t>Sales team are the most consistent team, 100% of staff meeting KPIs in both quarters.</w:t>
      </w:r>
    </w:p>
    <w:p w14:paraId="6B141260" w14:textId="77777777" w:rsidR="00930905" w:rsidRPr="00915049" w:rsidRDefault="00930905" w:rsidP="00930905">
      <w:pPr>
        <w:spacing w:line="360" w:lineRule="auto"/>
        <w:rPr>
          <w:rFonts w:cs="Arial"/>
          <w:strike/>
        </w:rPr>
      </w:pPr>
    </w:p>
    <w:p w14:paraId="7C11D10D" w14:textId="77777777" w:rsidR="00930905" w:rsidRPr="00915049" w:rsidRDefault="00930905" w:rsidP="00930905">
      <w:pPr>
        <w:spacing w:line="360" w:lineRule="auto"/>
        <w:rPr>
          <w:rFonts w:cs="Arial"/>
          <w:strike/>
        </w:rPr>
      </w:pPr>
      <w:r w:rsidRPr="00915049">
        <w:rPr>
          <w:rFonts w:cs="Arial"/>
          <w:strike/>
        </w:rPr>
        <w:t>Research &amp; Development team have the most diversity/variation amongst the staff. Q1 saw R&amp;D having approximately 60% of their team performing at meeting KPIs/Outstanding level, with 10% not quite there yet and 30% underperforming. This dramatically improved in Q2, 50% outstanding, 10% not quite there yet and no employees underperforming. R&amp;D potentially had an influx of new staff in Q1 which could explain.</w:t>
      </w:r>
    </w:p>
    <w:p w14:paraId="528DDA61" w14:textId="77777777" w:rsidR="00930905" w:rsidRPr="00915049" w:rsidRDefault="00930905" w:rsidP="00930905">
      <w:pPr>
        <w:spacing w:line="360" w:lineRule="auto"/>
        <w:rPr>
          <w:rFonts w:cs="Arial"/>
          <w:strike/>
        </w:rPr>
      </w:pPr>
    </w:p>
    <w:p w14:paraId="26FFA26B" w14:textId="77777777" w:rsidR="00930905" w:rsidRPr="00915049" w:rsidRDefault="00930905" w:rsidP="00930905">
      <w:pPr>
        <w:spacing w:line="360" w:lineRule="auto"/>
        <w:rPr>
          <w:rFonts w:cs="Arial"/>
          <w:strike/>
        </w:rPr>
      </w:pPr>
      <w:r w:rsidRPr="00915049">
        <w:rPr>
          <w:rFonts w:cs="Arial"/>
          <w:strike/>
        </w:rPr>
        <w:t>Logistics team improved from Q1 to Q2 but also remained the most consistent for the outstanding meeting KPI staff. Logistics seem to be remaining at a good level and improving in the areas needed.</w:t>
      </w:r>
    </w:p>
    <w:p w14:paraId="38069AEB" w14:textId="77777777" w:rsidR="00930905" w:rsidRPr="00915049" w:rsidRDefault="00930905" w:rsidP="00930905">
      <w:pPr>
        <w:spacing w:line="360" w:lineRule="auto"/>
        <w:rPr>
          <w:rFonts w:cs="Arial"/>
          <w:strike/>
        </w:rPr>
      </w:pPr>
    </w:p>
    <w:p w14:paraId="76962EAE" w14:textId="0382DBB7" w:rsidR="00930905" w:rsidRPr="0062538E" w:rsidRDefault="00930905" w:rsidP="0062538E">
      <w:pPr>
        <w:spacing w:line="360" w:lineRule="auto"/>
        <w:rPr>
          <w:rFonts w:cs="Arial"/>
          <w:strike/>
        </w:rPr>
      </w:pPr>
      <w:r w:rsidRPr="00EC5861">
        <w:rPr>
          <w:rFonts w:cs="Arial"/>
          <w:strike/>
        </w:rPr>
        <w:t>Absence is evident in all teams except for sales, particularly increased during Q2. There isn’t much substance to this without obtaining further data.</w:t>
      </w:r>
    </w:p>
    <w:p w14:paraId="770ED0A7" w14:textId="77777777" w:rsidR="00930905" w:rsidRPr="00930905" w:rsidRDefault="00930905" w:rsidP="00930905"/>
    <w:p w14:paraId="0221F883" w14:textId="74AD91EA" w:rsidR="00D77A08" w:rsidRDefault="000C610A" w:rsidP="000C610A">
      <w:pPr>
        <w:pStyle w:val="Caption"/>
        <w:jc w:val="center"/>
        <w:rPr>
          <w:color w:val="auto"/>
        </w:rPr>
      </w:pPr>
      <w:bookmarkStart w:id="18" w:name="_Toc184048352"/>
      <w:r w:rsidRPr="000C610A">
        <w:rPr>
          <w:color w:val="auto"/>
        </w:rPr>
        <w:t xml:space="preserve">Figure </w:t>
      </w:r>
      <w:r w:rsidRPr="000C610A">
        <w:rPr>
          <w:color w:val="auto"/>
        </w:rPr>
        <w:fldChar w:fldCharType="begin"/>
      </w:r>
      <w:r w:rsidRPr="000C610A">
        <w:rPr>
          <w:color w:val="auto"/>
        </w:rPr>
        <w:instrText xml:space="preserve"> SEQ Figure \* ARABIC </w:instrText>
      </w:r>
      <w:r w:rsidRPr="000C610A">
        <w:rPr>
          <w:color w:val="auto"/>
        </w:rPr>
        <w:fldChar w:fldCharType="separate"/>
      </w:r>
      <w:r w:rsidR="002E3B5A">
        <w:rPr>
          <w:noProof/>
          <w:color w:val="auto"/>
        </w:rPr>
        <w:t>4</w:t>
      </w:r>
      <w:r w:rsidRPr="000C610A">
        <w:rPr>
          <w:color w:val="auto"/>
        </w:rPr>
        <w:fldChar w:fldCharType="end"/>
      </w:r>
      <w:r w:rsidRPr="000C610A">
        <w:rPr>
          <w:color w:val="auto"/>
        </w:rPr>
        <w:t xml:space="preserve"> - Average Company Performance over Two Quarters</w:t>
      </w:r>
      <w:r>
        <w:rPr>
          <w:noProof/>
        </w:rPr>
        <w:drawing>
          <wp:anchor distT="0" distB="0" distL="114300" distR="114300" simplePos="0" relativeHeight="251663360" behindDoc="0" locked="0" layoutInCell="1" allowOverlap="1" wp14:anchorId="63640CE2" wp14:editId="26EF3FAE">
            <wp:simplePos x="0" y="0"/>
            <wp:positionH relativeFrom="column">
              <wp:posOffset>-371475</wp:posOffset>
            </wp:positionH>
            <wp:positionV relativeFrom="paragraph">
              <wp:posOffset>0</wp:posOffset>
            </wp:positionV>
            <wp:extent cx="6137275" cy="3340100"/>
            <wp:effectExtent l="0" t="0" r="9525" b="12700"/>
            <wp:wrapTopAndBottom/>
            <wp:docPr id="917395724" name="Chart 1">
              <a:extLst xmlns:a="http://schemas.openxmlformats.org/drawingml/2006/main">
                <a:ext uri="{FF2B5EF4-FFF2-40B4-BE49-F238E27FC236}">
                  <a16:creationId xmlns:a16="http://schemas.microsoft.com/office/drawing/2014/main" id="{F4D2DD40-25FC-A2E9-5A62-E711276247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bookmarkEnd w:id="18"/>
    </w:p>
    <w:p w14:paraId="3652165E" w14:textId="77777777" w:rsidR="004D3213" w:rsidRDefault="004D3213" w:rsidP="004D3213">
      <w:pPr>
        <w:spacing w:line="360" w:lineRule="auto"/>
        <w:rPr>
          <w:rFonts w:cs="Arial"/>
        </w:rPr>
      </w:pPr>
    </w:p>
    <w:p w14:paraId="1E97C15B" w14:textId="5147893F" w:rsidR="001A6A4F" w:rsidRPr="00451DB9" w:rsidRDefault="00451DB9" w:rsidP="004D3213">
      <w:pPr>
        <w:spacing w:line="360" w:lineRule="auto"/>
        <w:rPr>
          <w:rFonts w:cs="Arial"/>
          <w:color w:val="FF0000"/>
        </w:rPr>
      </w:pPr>
      <w:r>
        <w:rPr>
          <w:rFonts w:cs="Arial"/>
          <w:color w:val="FF0000"/>
        </w:rPr>
        <w:t xml:space="preserve">Figure 4 </w:t>
      </w:r>
      <w:r w:rsidR="00E23B8D">
        <w:rPr>
          <w:rFonts w:cs="Arial"/>
          <w:color w:val="FF0000"/>
        </w:rPr>
        <w:t>highlights</w:t>
      </w:r>
      <w:r w:rsidR="007456C1">
        <w:rPr>
          <w:rFonts w:cs="Arial"/>
          <w:color w:val="FF0000"/>
        </w:rPr>
        <w:t xml:space="preserve"> the average company performance over two quarters</w:t>
      </w:r>
      <w:r w:rsidR="006F36F8">
        <w:rPr>
          <w:rFonts w:cs="Arial"/>
          <w:color w:val="FF0000"/>
        </w:rPr>
        <w:t xml:space="preserve">. </w:t>
      </w:r>
      <w:r w:rsidR="00B75151">
        <w:rPr>
          <w:rFonts w:cs="Arial"/>
          <w:color w:val="FF0000"/>
        </w:rPr>
        <w:t>69% of the company are performing at an outstanding/</w:t>
      </w:r>
      <w:r w:rsidR="00411FA1">
        <w:rPr>
          <w:rFonts w:cs="Arial"/>
          <w:color w:val="FF0000"/>
        </w:rPr>
        <w:t>m</w:t>
      </w:r>
      <w:r w:rsidR="00B75151">
        <w:rPr>
          <w:rFonts w:cs="Arial"/>
          <w:color w:val="FF0000"/>
        </w:rPr>
        <w:t xml:space="preserve">eeting KPI standard, 39% of which is outstanding performance. </w:t>
      </w:r>
      <w:r w:rsidR="00613EF9">
        <w:rPr>
          <w:rFonts w:cs="Arial"/>
          <w:color w:val="FF0000"/>
        </w:rPr>
        <w:t>Contrastingly</w:t>
      </w:r>
      <w:r w:rsidR="00FA7322">
        <w:rPr>
          <w:rFonts w:cs="Arial"/>
          <w:color w:val="FF0000"/>
        </w:rPr>
        <w:t xml:space="preserve">, </w:t>
      </w:r>
      <w:r w:rsidR="00613EF9">
        <w:rPr>
          <w:rFonts w:cs="Arial"/>
          <w:color w:val="FF0000"/>
        </w:rPr>
        <w:t xml:space="preserve">25% are described as ‘not quite there yet’ or </w:t>
      </w:r>
      <w:r w:rsidR="00613EF9">
        <w:rPr>
          <w:rFonts w:cs="Arial"/>
          <w:color w:val="FF0000"/>
        </w:rPr>
        <w:lastRenderedPageBreak/>
        <w:t xml:space="preserve">underperforming. 5% of the data accounts for employees that are absence, and 1% accounts for no performance data recorded. </w:t>
      </w:r>
    </w:p>
    <w:p w14:paraId="571BB340" w14:textId="77777777" w:rsidR="00451DB9" w:rsidRDefault="00451DB9" w:rsidP="004D3213">
      <w:pPr>
        <w:spacing w:line="360" w:lineRule="auto"/>
        <w:rPr>
          <w:rFonts w:cs="Arial"/>
          <w:strike/>
        </w:rPr>
      </w:pPr>
    </w:p>
    <w:p w14:paraId="6E333A32" w14:textId="339786D0" w:rsidR="004D3213" w:rsidRPr="00451DB9" w:rsidRDefault="004D3213" w:rsidP="004D3213">
      <w:pPr>
        <w:spacing w:line="360" w:lineRule="auto"/>
        <w:rPr>
          <w:rFonts w:cs="Arial"/>
          <w:strike/>
        </w:rPr>
      </w:pPr>
      <w:r w:rsidRPr="00451DB9">
        <w:rPr>
          <w:rFonts w:cs="Arial"/>
          <w:strike/>
        </w:rPr>
        <w:t>When looking at the company across quarter 1 and quarter 2, 69% are performing at an outstanding/Meeting KPI standard, 39% of which is outstanding performance. This is a good starting point, and it seems like they’re in a good position which the staff performing at or above what’s expected. The number of underperforming staff dramatically decreased in Q2, however absence increased in Q2 although there is no correlation between underperforming staff and absence. To generate accurate and meaningful recommendations, seeing the data from Q3 and Q4 would prove useful.</w:t>
      </w:r>
    </w:p>
    <w:p w14:paraId="3E4C7F22" w14:textId="77777777" w:rsidR="004D3213" w:rsidRPr="00451DB9" w:rsidRDefault="004D3213" w:rsidP="004D3213">
      <w:pPr>
        <w:spacing w:line="360" w:lineRule="auto"/>
        <w:rPr>
          <w:rFonts w:cs="Arial"/>
          <w:strike/>
        </w:rPr>
      </w:pPr>
    </w:p>
    <w:p w14:paraId="17B615A5" w14:textId="77777777" w:rsidR="004D3213" w:rsidRPr="00451DB9" w:rsidRDefault="004D3213" w:rsidP="004D3213">
      <w:pPr>
        <w:spacing w:line="360" w:lineRule="auto"/>
        <w:rPr>
          <w:rFonts w:cs="Arial"/>
          <w:strike/>
        </w:rPr>
      </w:pPr>
      <w:r w:rsidRPr="00451DB9">
        <w:rPr>
          <w:rFonts w:cs="Arial"/>
          <w:strike/>
        </w:rPr>
        <w:t>However:</w:t>
      </w:r>
    </w:p>
    <w:p w14:paraId="3F6909B2" w14:textId="77777777" w:rsidR="004D3213" w:rsidRPr="00451DB9" w:rsidRDefault="004D3213" w:rsidP="004D3213">
      <w:pPr>
        <w:spacing w:line="360" w:lineRule="auto"/>
        <w:rPr>
          <w:rFonts w:cs="Arial"/>
          <w:strike/>
        </w:rPr>
      </w:pPr>
    </w:p>
    <w:p w14:paraId="3BA5D8B1" w14:textId="77777777" w:rsidR="004D3213" w:rsidRPr="00451DB9" w:rsidRDefault="004D3213" w:rsidP="004D3213">
      <w:pPr>
        <w:spacing w:line="360" w:lineRule="auto"/>
        <w:rPr>
          <w:rFonts w:cs="Arial"/>
          <w:strike/>
        </w:rPr>
      </w:pPr>
      <w:r w:rsidRPr="00451DB9">
        <w:rPr>
          <w:rFonts w:cs="Arial"/>
          <w:strike/>
        </w:rPr>
        <w:t>Interested to know what metrics sit within these categories and what scoring matrix they use for employees. What they put in place for underperforming employees.</w:t>
      </w:r>
    </w:p>
    <w:p w14:paraId="6476CEC6" w14:textId="09B55EFD" w:rsidR="004D3213" w:rsidRDefault="004D3213" w:rsidP="004D3213">
      <w:pPr>
        <w:spacing w:line="360" w:lineRule="auto"/>
        <w:rPr>
          <w:rFonts w:cs="Arial"/>
          <w:strike/>
        </w:rPr>
      </w:pPr>
      <w:r w:rsidRPr="00451DB9">
        <w:rPr>
          <w:rFonts w:cs="Arial"/>
          <w:strike/>
        </w:rPr>
        <w:t>Very concerned about the lack of performance data for one employee</w:t>
      </w:r>
      <w:r w:rsidR="0039627B" w:rsidRPr="00451DB9">
        <w:rPr>
          <w:rFonts w:cs="Arial"/>
          <w:strike/>
        </w:rPr>
        <w:t xml:space="preserve"> – explore possible reasons.</w:t>
      </w:r>
    </w:p>
    <w:p w14:paraId="31866AC3" w14:textId="77777777" w:rsidR="0062538E" w:rsidRDefault="0062538E" w:rsidP="004D3213">
      <w:pPr>
        <w:spacing w:line="360" w:lineRule="auto"/>
        <w:rPr>
          <w:rFonts w:cs="Arial"/>
          <w:strike/>
        </w:rPr>
      </w:pPr>
    </w:p>
    <w:p w14:paraId="69B64D9C" w14:textId="77777777" w:rsidR="0062538E" w:rsidRDefault="0062538E" w:rsidP="004D3213">
      <w:pPr>
        <w:spacing w:line="360" w:lineRule="auto"/>
        <w:rPr>
          <w:rFonts w:cs="Arial"/>
          <w:strike/>
        </w:rPr>
      </w:pPr>
    </w:p>
    <w:p w14:paraId="5E39C185" w14:textId="77777777" w:rsidR="0062538E" w:rsidRDefault="0062538E" w:rsidP="004D3213">
      <w:pPr>
        <w:spacing w:line="360" w:lineRule="auto"/>
        <w:rPr>
          <w:rFonts w:cs="Arial"/>
          <w:strike/>
        </w:rPr>
      </w:pPr>
    </w:p>
    <w:p w14:paraId="462BAA35" w14:textId="77777777" w:rsidR="0062538E" w:rsidRDefault="0062538E" w:rsidP="004D3213">
      <w:pPr>
        <w:spacing w:line="360" w:lineRule="auto"/>
        <w:rPr>
          <w:rFonts w:cs="Arial"/>
          <w:strike/>
        </w:rPr>
      </w:pPr>
    </w:p>
    <w:p w14:paraId="65DB9973" w14:textId="77777777" w:rsidR="0062538E" w:rsidRDefault="0062538E" w:rsidP="004D3213">
      <w:pPr>
        <w:spacing w:line="360" w:lineRule="auto"/>
        <w:rPr>
          <w:rFonts w:cs="Arial"/>
          <w:strike/>
        </w:rPr>
      </w:pPr>
    </w:p>
    <w:p w14:paraId="0EEF975B" w14:textId="77777777" w:rsidR="0062538E" w:rsidRDefault="0062538E" w:rsidP="004D3213">
      <w:pPr>
        <w:spacing w:line="360" w:lineRule="auto"/>
        <w:rPr>
          <w:rFonts w:cs="Arial"/>
          <w:strike/>
        </w:rPr>
      </w:pPr>
    </w:p>
    <w:p w14:paraId="5CBD91D5" w14:textId="77777777" w:rsidR="0062538E" w:rsidRPr="00451DB9" w:rsidRDefault="0062538E" w:rsidP="004D3213">
      <w:pPr>
        <w:spacing w:line="360" w:lineRule="auto"/>
        <w:rPr>
          <w:rFonts w:cs="Arial"/>
          <w:strike/>
        </w:rPr>
      </w:pPr>
    </w:p>
    <w:p w14:paraId="33D4D09E" w14:textId="7A9AC53F" w:rsidR="00C849D7" w:rsidRPr="00C849D7" w:rsidRDefault="00C849D7" w:rsidP="0039627B">
      <w:pPr>
        <w:pStyle w:val="AssignmentHeading1"/>
      </w:pPr>
      <w:bookmarkStart w:id="19" w:name="_Toc184048313"/>
      <w:r w:rsidRPr="00C849D7">
        <w:lastRenderedPageBreak/>
        <w:t>Bonuses</w:t>
      </w:r>
      <w:bookmarkEnd w:id="19"/>
    </w:p>
    <w:p w14:paraId="5828F661" w14:textId="5729D344" w:rsidR="00881F58" w:rsidRDefault="004D3213" w:rsidP="00881F58">
      <w:pPr>
        <w:pStyle w:val="Caption"/>
        <w:jc w:val="center"/>
        <w:rPr>
          <w:color w:val="auto"/>
        </w:rPr>
      </w:pPr>
      <w:r w:rsidRPr="00584D5F">
        <w:rPr>
          <w:rFonts w:cs="Arial"/>
          <w:noProof/>
        </w:rPr>
        <w:drawing>
          <wp:anchor distT="0" distB="0" distL="114300" distR="114300" simplePos="0" relativeHeight="251665408" behindDoc="0" locked="0" layoutInCell="1" allowOverlap="1" wp14:anchorId="72964AD4" wp14:editId="490315B2">
            <wp:simplePos x="0" y="0"/>
            <wp:positionH relativeFrom="margin">
              <wp:posOffset>-276225</wp:posOffset>
            </wp:positionH>
            <wp:positionV relativeFrom="paragraph">
              <wp:posOffset>212389</wp:posOffset>
            </wp:positionV>
            <wp:extent cx="6585585" cy="1882775"/>
            <wp:effectExtent l="0" t="0" r="5715" b="3175"/>
            <wp:wrapTopAndBottom/>
            <wp:docPr id="1499143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43305" name=""/>
                    <pic:cNvPicPr/>
                  </pic:nvPicPr>
                  <pic:blipFill>
                    <a:blip r:embed="rId12"/>
                    <a:stretch>
                      <a:fillRect/>
                    </a:stretch>
                  </pic:blipFill>
                  <pic:spPr>
                    <a:xfrm>
                      <a:off x="0" y="0"/>
                      <a:ext cx="6585585" cy="1882775"/>
                    </a:xfrm>
                    <a:prstGeom prst="rect">
                      <a:avLst/>
                    </a:prstGeom>
                  </pic:spPr>
                </pic:pic>
              </a:graphicData>
            </a:graphic>
            <wp14:sizeRelH relativeFrom="page">
              <wp14:pctWidth>0</wp14:pctWidth>
            </wp14:sizeRelH>
            <wp14:sizeRelV relativeFrom="page">
              <wp14:pctHeight>0</wp14:pctHeight>
            </wp14:sizeRelV>
          </wp:anchor>
        </w:drawing>
      </w:r>
    </w:p>
    <w:p w14:paraId="0966EB6B" w14:textId="73BAC095" w:rsidR="00D77A08" w:rsidRDefault="001737AB" w:rsidP="00881F58">
      <w:pPr>
        <w:pStyle w:val="Caption"/>
        <w:jc w:val="center"/>
        <w:rPr>
          <w:color w:val="auto"/>
        </w:rPr>
      </w:pPr>
      <w:bookmarkStart w:id="20" w:name="_Toc184048320"/>
      <w:r w:rsidRPr="0052529E">
        <w:rPr>
          <w:noProof/>
          <w:color w:val="auto"/>
        </w:rPr>
        <w:drawing>
          <wp:anchor distT="0" distB="0" distL="114300" distR="114300" simplePos="0" relativeHeight="251666432" behindDoc="1" locked="0" layoutInCell="1" allowOverlap="1" wp14:anchorId="0F64D368" wp14:editId="42CD9A02">
            <wp:simplePos x="0" y="0"/>
            <wp:positionH relativeFrom="column">
              <wp:posOffset>0</wp:posOffset>
            </wp:positionH>
            <wp:positionV relativeFrom="paragraph">
              <wp:posOffset>2198968</wp:posOffset>
            </wp:positionV>
            <wp:extent cx="5727700" cy="2639695"/>
            <wp:effectExtent l="0" t="0" r="6350" b="8255"/>
            <wp:wrapTight wrapText="bothSides">
              <wp:wrapPolygon edited="0">
                <wp:start x="0" y="0"/>
                <wp:lineTo x="0" y="21512"/>
                <wp:lineTo x="21552" y="21512"/>
                <wp:lineTo x="21552" y="0"/>
                <wp:lineTo x="0" y="0"/>
              </wp:wrapPolygon>
            </wp:wrapTight>
            <wp:docPr id="1935648578" name="Chart 1">
              <a:extLst xmlns:a="http://schemas.openxmlformats.org/drawingml/2006/main">
                <a:ext uri="{FF2B5EF4-FFF2-40B4-BE49-F238E27FC236}">
                  <a16:creationId xmlns:a16="http://schemas.microsoft.com/office/drawing/2014/main" id="{C9884354-26A9-EF94-8B11-E13074CF57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sidR="00881F58" w:rsidRPr="00881F58">
        <w:rPr>
          <w:color w:val="auto"/>
        </w:rPr>
        <w:t xml:space="preserve">Table </w:t>
      </w:r>
      <w:r w:rsidR="00881F58" w:rsidRPr="00881F58">
        <w:rPr>
          <w:color w:val="auto"/>
        </w:rPr>
        <w:fldChar w:fldCharType="begin"/>
      </w:r>
      <w:r w:rsidR="00881F58" w:rsidRPr="00881F58">
        <w:rPr>
          <w:color w:val="auto"/>
        </w:rPr>
        <w:instrText xml:space="preserve"> SEQ Table \* ARABIC </w:instrText>
      </w:r>
      <w:r w:rsidR="00881F58" w:rsidRPr="00881F58">
        <w:rPr>
          <w:color w:val="auto"/>
        </w:rPr>
        <w:fldChar w:fldCharType="separate"/>
      </w:r>
      <w:r w:rsidR="00881F58" w:rsidRPr="00881F58">
        <w:rPr>
          <w:noProof/>
          <w:color w:val="auto"/>
        </w:rPr>
        <w:t>1</w:t>
      </w:r>
      <w:r w:rsidR="00881F58" w:rsidRPr="00881F58">
        <w:rPr>
          <w:color w:val="auto"/>
        </w:rPr>
        <w:fldChar w:fldCharType="end"/>
      </w:r>
      <w:r w:rsidR="00881F58" w:rsidRPr="00881F58">
        <w:rPr>
          <w:color w:val="auto"/>
        </w:rPr>
        <w:t xml:space="preserve"> - Bonuses per Employee</w:t>
      </w:r>
      <w:bookmarkEnd w:id="20"/>
    </w:p>
    <w:p w14:paraId="04790E12" w14:textId="475244AB" w:rsidR="00881F58" w:rsidRDefault="00881F58" w:rsidP="00881F58"/>
    <w:p w14:paraId="2F82FC89" w14:textId="583FE5A6" w:rsidR="001737AB" w:rsidRDefault="0052529E" w:rsidP="0052529E">
      <w:pPr>
        <w:pStyle w:val="Caption"/>
        <w:jc w:val="center"/>
        <w:rPr>
          <w:color w:val="auto"/>
        </w:rPr>
      </w:pPr>
      <w:bookmarkStart w:id="21" w:name="_Toc184048353"/>
      <w:r w:rsidRPr="0052529E">
        <w:rPr>
          <w:color w:val="auto"/>
        </w:rPr>
        <w:t xml:space="preserve">Figure </w:t>
      </w:r>
      <w:r w:rsidRPr="0052529E">
        <w:rPr>
          <w:color w:val="auto"/>
        </w:rPr>
        <w:fldChar w:fldCharType="begin"/>
      </w:r>
      <w:r w:rsidRPr="0052529E">
        <w:rPr>
          <w:color w:val="auto"/>
        </w:rPr>
        <w:instrText xml:space="preserve"> SEQ Figure \* ARABIC </w:instrText>
      </w:r>
      <w:r w:rsidRPr="0052529E">
        <w:rPr>
          <w:color w:val="auto"/>
        </w:rPr>
        <w:fldChar w:fldCharType="separate"/>
      </w:r>
      <w:r w:rsidR="002E3B5A">
        <w:rPr>
          <w:noProof/>
          <w:color w:val="auto"/>
        </w:rPr>
        <w:t>5</w:t>
      </w:r>
      <w:r w:rsidRPr="0052529E">
        <w:rPr>
          <w:color w:val="auto"/>
        </w:rPr>
        <w:fldChar w:fldCharType="end"/>
      </w:r>
      <w:r w:rsidRPr="0052529E">
        <w:rPr>
          <w:color w:val="auto"/>
        </w:rPr>
        <w:t xml:space="preserve"> - Cost of Bonuses per Department, per Quarter</w:t>
      </w:r>
    </w:p>
    <w:p w14:paraId="6EE4DE7B" w14:textId="5F29477B" w:rsidR="001737AB" w:rsidRDefault="001737AB" w:rsidP="001737AB">
      <w:pPr>
        <w:pStyle w:val="Caption"/>
        <w:spacing w:line="360" w:lineRule="auto"/>
        <w:rPr>
          <w:color w:val="auto"/>
          <w:sz w:val="24"/>
          <w:szCs w:val="24"/>
        </w:rPr>
      </w:pPr>
    </w:p>
    <w:bookmarkEnd w:id="21"/>
    <w:p w14:paraId="68D74CFD" w14:textId="0CA450A6" w:rsidR="00D77A08" w:rsidRDefault="0052529E" w:rsidP="00582E7F">
      <w:r w:rsidRPr="0077761C">
        <w:rPr>
          <w:noProof/>
        </w:rPr>
        <w:lastRenderedPageBreak/>
        <mc:AlternateContent>
          <mc:Choice Requires="cx2">
            <w:drawing>
              <wp:inline distT="0" distB="0" distL="0" distR="0" wp14:anchorId="16B69D0A" wp14:editId="3FA12D4E">
                <wp:extent cx="5727700" cy="3238500"/>
                <wp:effectExtent l="0" t="0" r="6350" b="0"/>
                <wp:docPr id="1128480603" name="Chart 1">
                  <a:extLst xmlns:a="http://schemas.openxmlformats.org/drawingml/2006/main">
                    <a:ext uri="{FF2B5EF4-FFF2-40B4-BE49-F238E27FC236}">
                      <a16:creationId xmlns:a16="http://schemas.microsoft.com/office/drawing/2014/main" id="{0E9212EA-CB49-46E8-ECEA-658C355EF8CC}"/>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inline>
            </w:drawing>
          </mc:Choice>
          <mc:Fallback>
            <w:drawing>
              <wp:inline distT="0" distB="0" distL="0" distR="0" wp14:anchorId="16B69D0A" wp14:editId="3FA12D4E">
                <wp:extent cx="5727700" cy="3238500"/>
                <wp:effectExtent l="0" t="0" r="6350" b="0"/>
                <wp:docPr id="1128480603" name="Chart 1">
                  <a:extLst xmlns:a="http://schemas.openxmlformats.org/drawingml/2006/main">
                    <a:ext uri="{FF2B5EF4-FFF2-40B4-BE49-F238E27FC236}">
                      <a16:creationId xmlns:a16="http://schemas.microsoft.com/office/drawing/2014/main" id="{0E9212EA-CB49-46E8-ECEA-658C355EF8CC}"/>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28480603" name="Chart 1">
                          <a:extLst>
                            <a:ext uri="{FF2B5EF4-FFF2-40B4-BE49-F238E27FC236}">
                              <a16:creationId xmlns:a16="http://schemas.microsoft.com/office/drawing/2014/main" id="{0E9212EA-CB49-46E8-ECEA-658C355EF8CC}"/>
                            </a:ext>
                          </a:extLst>
                        </pic:cNvPr>
                        <pic:cNvPicPr>
                          <a:picLocks noGrp="1" noRot="1" noChangeAspect="1" noMove="1" noResize="1" noEditPoints="1" noAdjustHandles="1" noChangeArrowheads="1" noChangeShapeType="1"/>
                        </pic:cNvPicPr>
                      </pic:nvPicPr>
                      <pic:blipFill>
                        <a:blip r:embed="rId15"/>
                        <a:stretch>
                          <a:fillRect/>
                        </a:stretch>
                      </pic:blipFill>
                      <pic:spPr>
                        <a:xfrm>
                          <a:off x="0" y="0"/>
                          <a:ext cx="5727700" cy="3238500"/>
                        </a:xfrm>
                        <a:prstGeom prst="rect">
                          <a:avLst/>
                        </a:prstGeom>
                      </pic:spPr>
                    </pic:pic>
                  </a:graphicData>
                </a:graphic>
              </wp:inline>
            </w:drawing>
          </mc:Fallback>
        </mc:AlternateContent>
      </w:r>
    </w:p>
    <w:p w14:paraId="7F2309DD" w14:textId="6AB13A9A" w:rsidR="00D77A08" w:rsidRDefault="00132E44" w:rsidP="00132E44">
      <w:pPr>
        <w:pStyle w:val="Caption"/>
        <w:jc w:val="center"/>
        <w:rPr>
          <w:color w:val="auto"/>
        </w:rPr>
      </w:pPr>
      <w:bookmarkStart w:id="22" w:name="_Toc184048354"/>
      <w:r w:rsidRPr="00132E44">
        <w:rPr>
          <w:color w:val="auto"/>
        </w:rPr>
        <w:t xml:space="preserve">Figure </w:t>
      </w:r>
      <w:r w:rsidRPr="00132E44">
        <w:rPr>
          <w:color w:val="auto"/>
        </w:rPr>
        <w:fldChar w:fldCharType="begin"/>
      </w:r>
      <w:r w:rsidRPr="00132E44">
        <w:rPr>
          <w:color w:val="auto"/>
        </w:rPr>
        <w:instrText xml:space="preserve"> SEQ Figure \* ARABIC </w:instrText>
      </w:r>
      <w:r w:rsidRPr="00132E44">
        <w:rPr>
          <w:color w:val="auto"/>
        </w:rPr>
        <w:fldChar w:fldCharType="separate"/>
      </w:r>
      <w:r w:rsidR="002E3B5A">
        <w:rPr>
          <w:noProof/>
          <w:color w:val="auto"/>
        </w:rPr>
        <w:t>6</w:t>
      </w:r>
      <w:r w:rsidRPr="00132E44">
        <w:rPr>
          <w:color w:val="auto"/>
        </w:rPr>
        <w:fldChar w:fldCharType="end"/>
      </w:r>
      <w:r w:rsidRPr="00132E44">
        <w:rPr>
          <w:color w:val="auto"/>
        </w:rPr>
        <w:t xml:space="preserve"> - Total Cost of Bonuses</w:t>
      </w:r>
      <w:bookmarkEnd w:id="22"/>
    </w:p>
    <w:p w14:paraId="3D6B00B1" w14:textId="77777777" w:rsidR="00BE070A" w:rsidRDefault="00BE070A" w:rsidP="0039627B">
      <w:pPr>
        <w:pStyle w:val="AssignmentHeading1"/>
      </w:pPr>
    </w:p>
    <w:p w14:paraId="1538E54C" w14:textId="77777777" w:rsidR="00BE070A" w:rsidRPr="003303EC" w:rsidRDefault="00BE070A" w:rsidP="00BE070A">
      <w:pPr>
        <w:pStyle w:val="ListParagraph"/>
        <w:numPr>
          <w:ilvl w:val="0"/>
          <w:numId w:val="3"/>
        </w:numPr>
        <w:spacing w:line="360" w:lineRule="auto"/>
        <w:rPr>
          <w:strike/>
        </w:rPr>
      </w:pPr>
      <w:r w:rsidRPr="003303EC">
        <w:rPr>
          <w:strike/>
        </w:rPr>
        <w:t xml:space="preserve">Q2 higher percentage of outstanding employees, good improvement. This would suggest the incentive of having a bonus works </w:t>
      </w:r>
      <w:r w:rsidRPr="003303EC">
        <w:rPr>
          <w:strike/>
        </w:rPr>
        <w:sym w:font="Wingdings" w:char="F0E0"/>
      </w:r>
      <w:r w:rsidRPr="003303EC">
        <w:rPr>
          <w:strike/>
        </w:rPr>
        <w:t xml:space="preserve"> extrinsic motivation</w:t>
      </w:r>
    </w:p>
    <w:p w14:paraId="42C15499" w14:textId="77777777" w:rsidR="00BE070A" w:rsidRDefault="00BE070A" w:rsidP="00BE070A">
      <w:pPr>
        <w:pStyle w:val="ListParagraph"/>
        <w:numPr>
          <w:ilvl w:val="0"/>
          <w:numId w:val="3"/>
        </w:numPr>
        <w:spacing w:line="360" w:lineRule="auto"/>
        <w:rPr>
          <w:strike/>
        </w:rPr>
      </w:pPr>
      <w:r w:rsidRPr="003303EC">
        <w:rPr>
          <w:strike/>
        </w:rPr>
        <w:t>Combined approach of intrinsic and extrinsic motivation is best (Hennessey et al., 2015)</w:t>
      </w:r>
    </w:p>
    <w:p w14:paraId="004868C2" w14:textId="77777777" w:rsidR="003303EC" w:rsidRDefault="003303EC" w:rsidP="003303EC">
      <w:pPr>
        <w:spacing w:line="360" w:lineRule="auto"/>
        <w:rPr>
          <w:strike/>
        </w:rPr>
      </w:pPr>
    </w:p>
    <w:p w14:paraId="67E08CF7" w14:textId="2F542676" w:rsidR="00443937" w:rsidRDefault="00443937" w:rsidP="003303EC">
      <w:pPr>
        <w:spacing w:line="360" w:lineRule="auto"/>
        <w:rPr>
          <w:color w:val="FF0000"/>
        </w:rPr>
      </w:pPr>
      <w:r>
        <w:rPr>
          <w:color w:val="FF0000"/>
        </w:rPr>
        <w:t xml:space="preserve">Table 1 </w:t>
      </w:r>
      <w:r w:rsidR="00E23B8D">
        <w:rPr>
          <w:color w:val="FF0000"/>
        </w:rPr>
        <w:t>highlights</w:t>
      </w:r>
      <w:r>
        <w:rPr>
          <w:color w:val="FF0000"/>
        </w:rPr>
        <w:t xml:space="preserve"> the breakdown of bonuses per employee, whilst Figure 5 showcases the breakdown per department.</w:t>
      </w:r>
      <w:r w:rsidR="00F27FFD">
        <w:rPr>
          <w:color w:val="FF0000"/>
        </w:rPr>
        <w:t xml:space="preserve"> Additionally, </w:t>
      </w:r>
      <w:r>
        <w:rPr>
          <w:color w:val="FF0000"/>
        </w:rPr>
        <w:t>Figure 6</w:t>
      </w:r>
      <w:r w:rsidR="00F27FFD">
        <w:rPr>
          <w:color w:val="FF0000"/>
        </w:rPr>
        <w:t xml:space="preserve"> shows the total cost of bonuses, as well as per Quarter. </w:t>
      </w:r>
    </w:p>
    <w:p w14:paraId="139FF913" w14:textId="77777777" w:rsidR="00ED4505" w:rsidRDefault="00ED4505" w:rsidP="003303EC">
      <w:pPr>
        <w:spacing w:line="360" w:lineRule="auto"/>
        <w:rPr>
          <w:color w:val="FF0000"/>
        </w:rPr>
      </w:pPr>
    </w:p>
    <w:p w14:paraId="0A9C7089" w14:textId="529B4870" w:rsidR="00ED4505" w:rsidRPr="00443937" w:rsidRDefault="00ED4505" w:rsidP="003303EC">
      <w:pPr>
        <w:spacing w:line="360" w:lineRule="auto"/>
        <w:rPr>
          <w:color w:val="FF0000"/>
        </w:rPr>
      </w:pPr>
      <w:r>
        <w:rPr>
          <w:color w:val="FF0000"/>
        </w:rPr>
        <w:t>As evidenced by Figures 5 and 6, the number of outstanding employees and therefore bonuses increased in Quarter 2 compared to Quarter 1.</w:t>
      </w:r>
      <w:r w:rsidR="00411FA1">
        <w:rPr>
          <w:color w:val="FF0000"/>
        </w:rPr>
        <w:t xml:space="preserve"> Quarter 2 saw an increase in outstanding employees within logistics and research and development</w:t>
      </w:r>
      <w:r w:rsidR="00132033">
        <w:rPr>
          <w:color w:val="FF0000"/>
        </w:rPr>
        <w:t>, with research and development almost doubling the number of outstanding performers.</w:t>
      </w:r>
      <w:r w:rsidR="003640A9">
        <w:rPr>
          <w:color w:val="FF0000"/>
        </w:rPr>
        <w:t xml:space="preserve"> Contrastingly, the administrative department saw a</w:t>
      </w:r>
      <w:r w:rsidR="002E0E2E">
        <w:rPr>
          <w:color w:val="FF0000"/>
        </w:rPr>
        <w:t xml:space="preserve"> significant decrease in the number of bonuses in Quarter 2.</w:t>
      </w:r>
      <w:r w:rsidR="0016060F">
        <w:rPr>
          <w:color w:val="FF0000"/>
        </w:rPr>
        <w:t xml:space="preserve"> </w:t>
      </w:r>
      <w:r w:rsidR="002E0E2E">
        <w:rPr>
          <w:color w:val="FF0000"/>
        </w:rPr>
        <w:t>Notably, t</w:t>
      </w:r>
      <w:r w:rsidR="0016060F">
        <w:rPr>
          <w:color w:val="FF0000"/>
        </w:rPr>
        <w:t>he only department not included within the bonuses is the sales team</w:t>
      </w:r>
      <w:r w:rsidR="002E0E2E">
        <w:rPr>
          <w:color w:val="FF0000"/>
        </w:rPr>
        <w:t>, with 100% of their staff ranked as meeting KPIs.</w:t>
      </w:r>
    </w:p>
    <w:p w14:paraId="0DD75012" w14:textId="77777777" w:rsidR="00BE070A" w:rsidRDefault="00BE070A" w:rsidP="00BE070A">
      <w:pPr>
        <w:pStyle w:val="Caption"/>
        <w:rPr>
          <w:color w:val="auto"/>
        </w:rPr>
      </w:pPr>
    </w:p>
    <w:p w14:paraId="14FE57F5" w14:textId="77777777" w:rsidR="002E0E2E" w:rsidRPr="002E0E2E" w:rsidRDefault="002E0E2E" w:rsidP="002E0E2E"/>
    <w:p w14:paraId="13A7140A" w14:textId="4D065D4B" w:rsidR="001C4A98" w:rsidRDefault="004D3213" w:rsidP="0039627B">
      <w:pPr>
        <w:pStyle w:val="AssignmentHeading1"/>
      </w:pPr>
      <w:r>
        <w:lastRenderedPageBreak/>
        <w:t>Survey Data</w:t>
      </w:r>
    </w:p>
    <w:p w14:paraId="5B1B769A" w14:textId="77777777" w:rsidR="004D3213" w:rsidRDefault="004D3213" w:rsidP="004D3213"/>
    <w:p w14:paraId="31196E6B" w14:textId="48B96D12" w:rsidR="00441409" w:rsidRPr="0060309E" w:rsidRDefault="004D3213" w:rsidP="004D3213">
      <w:pPr>
        <w:spacing w:line="360" w:lineRule="auto"/>
        <w:rPr>
          <w:strike/>
        </w:rPr>
      </w:pPr>
      <w:r w:rsidRPr="0060309E">
        <w:rPr>
          <w:strike/>
        </w:rPr>
        <w:t>Survey suggests inconsistences across the company</w:t>
      </w:r>
      <w:r w:rsidR="00A92B64" w:rsidRPr="0060309E">
        <w:rPr>
          <w:strike/>
        </w:rPr>
        <w:t xml:space="preserve"> amongst employees and managers.</w:t>
      </w:r>
    </w:p>
    <w:p w14:paraId="23CFAABF" w14:textId="77777777" w:rsidR="00441409" w:rsidRDefault="00441409" w:rsidP="004D3213">
      <w:pPr>
        <w:spacing w:line="360" w:lineRule="auto"/>
      </w:pPr>
    </w:p>
    <w:p w14:paraId="679B762C" w14:textId="3522C428" w:rsidR="004D3213" w:rsidRDefault="00441409" w:rsidP="004D3213">
      <w:pPr>
        <w:spacing w:line="360" w:lineRule="auto"/>
        <w:rPr>
          <w:color w:val="FF0000"/>
        </w:rPr>
      </w:pPr>
      <w:r>
        <w:rPr>
          <w:color w:val="FF0000"/>
        </w:rPr>
        <w:t>Within any organisation, there will always be variation between departments. For example, some areas may b</w:t>
      </w:r>
      <w:r w:rsidR="00451B7E">
        <w:rPr>
          <w:color w:val="FF0000"/>
        </w:rPr>
        <w:t xml:space="preserve">e able to facilitate more development opportunities than others. Data shows that 66% of employees either strongly agree or agree that they have access to opportunities, whilst 34% strongly disagree or disagree. </w:t>
      </w:r>
      <w:r w:rsidR="00D22E4F">
        <w:rPr>
          <w:color w:val="FF0000"/>
        </w:rPr>
        <w:t xml:space="preserve">The key factor is ensuring that if there </w:t>
      </w:r>
      <w:r w:rsidR="00325DDA">
        <w:rPr>
          <w:color w:val="FF0000"/>
        </w:rPr>
        <w:t>are</w:t>
      </w:r>
      <w:r w:rsidR="00D22E4F">
        <w:rPr>
          <w:color w:val="FF0000"/>
        </w:rPr>
        <w:t xml:space="preserve"> discrepancies, that it’s only temporary linked to a genuine business reason, rather than poor management. For example, </w:t>
      </w:r>
      <w:r w:rsidR="00646947">
        <w:rPr>
          <w:color w:val="FF0000"/>
        </w:rPr>
        <w:t>a department recruiting for a vacancy</w:t>
      </w:r>
      <w:r w:rsidR="00325DDA">
        <w:rPr>
          <w:color w:val="FF0000"/>
        </w:rPr>
        <w:t>.</w:t>
      </w:r>
    </w:p>
    <w:p w14:paraId="406C7C86" w14:textId="77777777" w:rsidR="00325DDA" w:rsidRDefault="00325DDA" w:rsidP="004D3213">
      <w:pPr>
        <w:spacing w:line="360" w:lineRule="auto"/>
        <w:rPr>
          <w:color w:val="FF0000"/>
        </w:rPr>
      </w:pPr>
    </w:p>
    <w:p w14:paraId="090ADEAA" w14:textId="2F696B42" w:rsidR="00325DDA" w:rsidRDefault="00325DDA" w:rsidP="004D3213">
      <w:pPr>
        <w:spacing w:line="360" w:lineRule="auto"/>
        <w:rPr>
          <w:color w:val="FF0000"/>
        </w:rPr>
      </w:pPr>
      <w:r>
        <w:rPr>
          <w:color w:val="FF0000"/>
        </w:rPr>
        <w:t xml:space="preserve">Other standout statistics suggesting </w:t>
      </w:r>
      <w:r w:rsidR="00CC359E">
        <w:rPr>
          <w:color w:val="FF0000"/>
        </w:rPr>
        <w:t>discrepancies across the organisation</w:t>
      </w:r>
      <w:r>
        <w:rPr>
          <w:color w:val="FF0000"/>
        </w:rPr>
        <w:t xml:space="preserve"> include: 47% of employees agree that their line manager provides clear guidance, 51% disagree</w:t>
      </w:r>
      <w:r w:rsidR="00CC359E">
        <w:rPr>
          <w:color w:val="FF0000"/>
        </w:rPr>
        <w:t>. Also, 42%</w:t>
      </w:r>
      <w:r w:rsidR="00677DE3">
        <w:rPr>
          <w:color w:val="FF0000"/>
        </w:rPr>
        <w:t xml:space="preserve"> of employees agree that their line managers people management skills are good, 38% disagree and 14% strongly disagree.</w:t>
      </w:r>
    </w:p>
    <w:p w14:paraId="78A26B5B" w14:textId="77777777" w:rsidR="006D07E4" w:rsidRDefault="006D07E4" w:rsidP="004D3213">
      <w:pPr>
        <w:spacing w:line="360" w:lineRule="auto"/>
        <w:rPr>
          <w:color w:val="FF0000"/>
        </w:rPr>
      </w:pPr>
    </w:p>
    <w:p w14:paraId="5B3F0FBF" w14:textId="02D55BFF" w:rsidR="006D07E4" w:rsidRDefault="006D07E4" w:rsidP="004D3213">
      <w:pPr>
        <w:spacing w:line="360" w:lineRule="auto"/>
        <w:rPr>
          <w:color w:val="FF0000"/>
        </w:rPr>
      </w:pPr>
      <w:r>
        <w:rPr>
          <w:color w:val="FF0000"/>
        </w:rPr>
        <w:t>From an employee perspective, management skills are inconsistent but mostly poor. The data from managers, seems to provide an explanation for this.</w:t>
      </w:r>
      <w:r w:rsidR="00244379">
        <w:rPr>
          <w:color w:val="FF0000"/>
        </w:rPr>
        <w:t xml:space="preserve"> 88% of managers disagree that </w:t>
      </w:r>
      <w:r w:rsidR="00F85DB5">
        <w:rPr>
          <w:color w:val="FF0000"/>
        </w:rPr>
        <w:t xml:space="preserve">they have had training to undertake appraisals. Additionally, </w:t>
      </w:r>
      <w:r w:rsidR="009D45D0">
        <w:rPr>
          <w:color w:val="FF0000"/>
        </w:rPr>
        <w:t>74% of managers stated that they struggle challenging underperformance.</w:t>
      </w:r>
      <w:r w:rsidR="00030E0C">
        <w:rPr>
          <w:color w:val="FF0000"/>
        </w:rPr>
        <w:t xml:space="preserve"> 68% of managers disagree or strongly disagree that they’re good at providing feedback.</w:t>
      </w:r>
    </w:p>
    <w:p w14:paraId="2EC8D628" w14:textId="77777777" w:rsidR="00030E0C" w:rsidRDefault="00030E0C" w:rsidP="004D3213">
      <w:pPr>
        <w:spacing w:line="360" w:lineRule="auto"/>
        <w:rPr>
          <w:color w:val="FF0000"/>
        </w:rPr>
      </w:pPr>
    </w:p>
    <w:p w14:paraId="691627A8" w14:textId="0C149019" w:rsidR="00030E0C" w:rsidRPr="00325DDA" w:rsidRDefault="00030E0C" w:rsidP="004D3213">
      <w:pPr>
        <w:spacing w:line="360" w:lineRule="auto"/>
        <w:rPr>
          <w:color w:val="FF0000"/>
        </w:rPr>
      </w:pPr>
      <w:r>
        <w:rPr>
          <w:color w:val="FF0000"/>
        </w:rPr>
        <w:t>This data suggests that little guidance has been given to managers on how to conduct appraisals</w:t>
      </w:r>
      <w:r w:rsidR="001E6552">
        <w:rPr>
          <w:color w:val="FF0000"/>
        </w:rPr>
        <w:t>, let alone how to do it effectively. Interestingly, 68% of managers advised they had no concerns about applying ratings during appraisals, suggesting that they’re assured in understanding their teams</w:t>
      </w:r>
      <w:r w:rsidR="00841471">
        <w:rPr>
          <w:color w:val="FF0000"/>
        </w:rPr>
        <w:t>, but not the formal process.</w:t>
      </w:r>
    </w:p>
    <w:p w14:paraId="002FE4CC" w14:textId="77777777" w:rsidR="0077276E" w:rsidRPr="004D3213" w:rsidRDefault="0077276E" w:rsidP="004D3213">
      <w:pPr>
        <w:spacing w:line="360" w:lineRule="auto"/>
      </w:pPr>
    </w:p>
    <w:p w14:paraId="027CE649" w14:textId="77777777" w:rsidR="004D3213" w:rsidRPr="00A92B64" w:rsidRDefault="004D3213" w:rsidP="004D3213">
      <w:pPr>
        <w:spacing w:line="360" w:lineRule="auto"/>
        <w:rPr>
          <w:strike/>
        </w:rPr>
      </w:pPr>
      <w:r w:rsidRPr="00A92B64">
        <w:rPr>
          <w:strike/>
        </w:rPr>
        <w:t>Suggests that employees are quite confident to report issues anonymously, difficult to filter down these issues. What now?</w:t>
      </w:r>
    </w:p>
    <w:p w14:paraId="19EF6DD2" w14:textId="77777777" w:rsidR="009975E5" w:rsidRPr="004D3213" w:rsidRDefault="009975E5" w:rsidP="004D3213">
      <w:pPr>
        <w:spacing w:line="360" w:lineRule="auto"/>
      </w:pPr>
    </w:p>
    <w:p w14:paraId="3A7D826E" w14:textId="77777777" w:rsidR="004D3213" w:rsidRPr="006D07E4" w:rsidRDefault="004D3213" w:rsidP="004D3213">
      <w:pPr>
        <w:spacing w:line="360" w:lineRule="auto"/>
        <w:rPr>
          <w:strike/>
        </w:rPr>
      </w:pPr>
      <w:r w:rsidRPr="006D07E4">
        <w:rPr>
          <w:strike/>
        </w:rPr>
        <w:lastRenderedPageBreak/>
        <w:t>different teams have different expectations workloads, inconsistencies in performance management and delivery from line manger which means inconsistencies across company with morale, motivation, and standard of work.</w:t>
      </w:r>
    </w:p>
    <w:p w14:paraId="7C018C1E" w14:textId="77777777" w:rsidR="004D3213" w:rsidRPr="006D07E4" w:rsidRDefault="004D3213" w:rsidP="004D3213">
      <w:pPr>
        <w:spacing w:line="360" w:lineRule="auto"/>
        <w:rPr>
          <w:strike/>
        </w:rPr>
      </w:pPr>
    </w:p>
    <w:p w14:paraId="62694778" w14:textId="77777777" w:rsidR="004D3213" w:rsidRPr="006D07E4" w:rsidRDefault="004D3213" w:rsidP="004D3213">
      <w:pPr>
        <w:spacing w:line="360" w:lineRule="auto"/>
        <w:rPr>
          <w:strike/>
        </w:rPr>
      </w:pPr>
      <w:r w:rsidRPr="006D07E4">
        <w:rPr>
          <w:strike/>
        </w:rPr>
        <w:t>Seems that management is poor from employee perspective,</w:t>
      </w:r>
    </w:p>
    <w:p w14:paraId="7BE7A812" w14:textId="77777777" w:rsidR="004D3213" w:rsidRPr="006D07E4" w:rsidRDefault="004D3213" w:rsidP="004D3213">
      <w:pPr>
        <w:spacing w:line="360" w:lineRule="auto"/>
        <w:rPr>
          <w:strike/>
        </w:rPr>
      </w:pPr>
      <w:r w:rsidRPr="006D07E4">
        <w:rPr>
          <w:strike/>
        </w:rPr>
        <w:t>Managers’ perspective been thrown in with little guidance or training. Is there a HR department? What are they enforcing?</w:t>
      </w:r>
    </w:p>
    <w:p w14:paraId="0127C6CF" w14:textId="77777777" w:rsidR="004D3213" w:rsidRPr="006D07E4" w:rsidRDefault="004D3213" w:rsidP="004D3213">
      <w:pPr>
        <w:spacing w:line="360" w:lineRule="auto"/>
        <w:rPr>
          <w:strike/>
        </w:rPr>
      </w:pPr>
    </w:p>
    <w:p w14:paraId="6E02A7DF" w14:textId="77777777" w:rsidR="004D3213" w:rsidRDefault="004D3213" w:rsidP="004D3213">
      <w:pPr>
        <w:spacing w:line="360" w:lineRule="auto"/>
        <w:rPr>
          <w:strike/>
        </w:rPr>
      </w:pPr>
      <w:r w:rsidRPr="006D07E4">
        <w:rPr>
          <w:strike/>
        </w:rPr>
        <w:t>Leadership style is suggested to be the usual/typical organisational hierarchical style. Managers left to get on with it with little support, can negatively infiltrate among staff at the bottom of the structure.</w:t>
      </w:r>
    </w:p>
    <w:p w14:paraId="662579EC" w14:textId="77777777" w:rsidR="00B6138C" w:rsidRDefault="00B6138C" w:rsidP="004D3213">
      <w:pPr>
        <w:spacing w:line="360" w:lineRule="auto"/>
        <w:rPr>
          <w:strike/>
        </w:rPr>
      </w:pPr>
    </w:p>
    <w:p w14:paraId="49D6A676" w14:textId="77777777" w:rsidR="00B6138C" w:rsidRDefault="00B6138C" w:rsidP="004D3213">
      <w:pPr>
        <w:spacing w:line="360" w:lineRule="auto"/>
        <w:rPr>
          <w:strike/>
        </w:rPr>
      </w:pPr>
    </w:p>
    <w:p w14:paraId="48A85962" w14:textId="77777777" w:rsidR="00B6138C" w:rsidRDefault="00B6138C" w:rsidP="004D3213">
      <w:pPr>
        <w:spacing w:line="360" w:lineRule="auto"/>
        <w:rPr>
          <w:strike/>
        </w:rPr>
      </w:pPr>
    </w:p>
    <w:p w14:paraId="48D5B586" w14:textId="77777777" w:rsidR="00B6138C" w:rsidRDefault="00B6138C" w:rsidP="004D3213">
      <w:pPr>
        <w:spacing w:line="360" w:lineRule="auto"/>
        <w:rPr>
          <w:strike/>
        </w:rPr>
      </w:pPr>
    </w:p>
    <w:p w14:paraId="592266A5" w14:textId="77777777" w:rsidR="00B6138C" w:rsidRDefault="00B6138C" w:rsidP="004D3213">
      <w:pPr>
        <w:spacing w:line="360" w:lineRule="auto"/>
        <w:rPr>
          <w:strike/>
        </w:rPr>
      </w:pPr>
    </w:p>
    <w:p w14:paraId="08C4F262" w14:textId="77777777" w:rsidR="00B6138C" w:rsidRDefault="00B6138C" w:rsidP="004D3213">
      <w:pPr>
        <w:spacing w:line="360" w:lineRule="auto"/>
        <w:rPr>
          <w:strike/>
        </w:rPr>
      </w:pPr>
    </w:p>
    <w:p w14:paraId="599F655A" w14:textId="77777777" w:rsidR="00B6138C" w:rsidRDefault="00B6138C" w:rsidP="004D3213">
      <w:pPr>
        <w:spacing w:line="360" w:lineRule="auto"/>
        <w:rPr>
          <w:strike/>
        </w:rPr>
      </w:pPr>
    </w:p>
    <w:p w14:paraId="478EF201" w14:textId="77777777" w:rsidR="00B6138C" w:rsidRDefault="00B6138C" w:rsidP="004D3213">
      <w:pPr>
        <w:spacing w:line="360" w:lineRule="auto"/>
        <w:rPr>
          <w:strike/>
        </w:rPr>
      </w:pPr>
    </w:p>
    <w:p w14:paraId="233D985B" w14:textId="77777777" w:rsidR="00B6138C" w:rsidRDefault="00B6138C" w:rsidP="004D3213">
      <w:pPr>
        <w:spacing w:line="360" w:lineRule="auto"/>
        <w:rPr>
          <w:strike/>
        </w:rPr>
      </w:pPr>
    </w:p>
    <w:p w14:paraId="6DD37859" w14:textId="77777777" w:rsidR="00B6138C" w:rsidRDefault="00B6138C" w:rsidP="004D3213">
      <w:pPr>
        <w:spacing w:line="360" w:lineRule="auto"/>
        <w:rPr>
          <w:strike/>
        </w:rPr>
      </w:pPr>
    </w:p>
    <w:p w14:paraId="3AA582BB" w14:textId="77777777" w:rsidR="00B6138C" w:rsidRDefault="00B6138C" w:rsidP="004D3213">
      <w:pPr>
        <w:spacing w:line="360" w:lineRule="auto"/>
        <w:rPr>
          <w:strike/>
        </w:rPr>
      </w:pPr>
    </w:p>
    <w:p w14:paraId="435E45DF" w14:textId="77777777" w:rsidR="00B6138C" w:rsidRDefault="00B6138C" w:rsidP="004D3213">
      <w:pPr>
        <w:spacing w:line="360" w:lineRule="auto"/>
        <w:rPr>
          <w:strike/>
        </w:rPr>
      </w:pPr>
    </w:p>
    <w:p w14:paraId="52039E20" w14:textId="77777777" w:rsidR="00B6138C" w:rsidRDefault="00B6138C" w:rsidP="004D3213">
      <w:pPr>
        <w:spacing w:line="360" w:lineRule="auto"/>
        <w:rPr>
          <w:strike/>
        </w:rPr>
      </w:pPr>
    </w:p>
    <w:p w14:paraId="02AD9875" w14:textId="77777777" w:rsidR="00B6138C" w:rsidRDefault="00B6138C" w:rsidP="004D3213">
      <w:pPr>
        <w:spacing w:line="360" w:lineRule="auto"/>
        <w:rPr>
          <w:strike/>
        </w:rPr>
      </w:pPr>
    </w:p>
    <w:p w14:paraId="1C6BC1C2" w14:textId="77777777" w:rsidR="00B6138C" w:rsidRDefault="00B6138C" w:rsidP="004D3213">
      <w:pPr>
        <w:spacing w:line="360" w:lineRule="auto"/>
        <w:rPr>
          <w:strike/>
        </w:rPr>
      </w:pPr>
    </w:p>
    <w:p w14:paraId="0C683D26" w14:textId="77777777" w:rsidR="00B6138C" w:rsidRDefault="00B6138C" w:rsidP="004D3213">
      <w:pPr>
        <w:spacing w:line="360" w:lineRule="auto"/>
        <w:rPr>
          <w:strike/>
        </w:rPr>
      </w:pPr>
    </w:p>
    <w:p w14:paraId="623AAB1A" w14:textId="77777777" w:rsidR="00B6138C" w:rsidRDefault="00B6138C" w:rsidP="004D3213">
      <w:pPr>
        <w:spacing w:line="360" w:lineRule="auto"/>
        <w:rPr>
          <w:strike/>
        </w:rPr>
      </w:pPr>
    </w:p>
    <w:p w14:paraId="74268D8C" w14:textId="77777777" w:rsidR="00B6138C" w:rsidRDefault="00B6138C" w:rsidP="004D3213">
      <w:pPr>
        <w:spacing w:line="360" w:lineRule="auto"/>
        <w:rPr>
          <w:strike/>
        </w:rPr>
      </w:pPr>
    </w:p>
    <w:p w14:paraId="5C3824DF" w14:textId="77777777" w:rsidR="00B6138C" w:rsidRDefault="00B6138C" w:rsidP="004D3213">
      <w:pPr>
        <w:spacing w:line="360" w:lineRule="auto"/>
        <w:rPr>
          <w:strike/>
        </w:rPr>
      </w:pPr>
    </w:p>
    <w:p w14:paraId="0F2F9B35" w14:textId="77777777" w:rsidR="00B6138C" w:rsidRDefault="00B6138C" w:rsidP="004D3213">
      <w:pPr>
        <w:spacing w:line="360" w:lineRule="auto"/>
        <w:rPr>
          <w:strike/>
        </w:rPr>
      </w:pPr>
    </w:p>
    <w:p w14:paraId="3A45CDCB" w14:textId="77777777" w:rsidR="00B6138C" w:rsidRPr="006D07E4" w:rsidRDefault="00B6138C" w:rsidP="004D3213">
      <w:pPr>
        <w:spacing w:line="360" w:lineRule="auto"/>
        <w:rPr>
          <w:strike/>
        </w:rPr>
      </w:pPr>
    </w:p>
    <w:p w14:paraId="3F53B81E" w14:textId="0D3C2E0F" w:rsidR="001C4A98" w:rsidRDefault="001C4A98" w:rsidP="0039627B">
      <w:pPr>
        <w:pStyle w:val="AssignmentHeading1"/>
      </w:pPr>
      <w:r>
        <w:lastRenderedPageBreak/>
        <w:t>Recommendations</w:t>
      </w:r>
    </w:p>
    <w:p w14:paraId="01B4A059" w14:textId="77777777" w:rsidR="004D3213" w:rsidRDefault="004D3213" w:rsidP="00187817">
      <w:pPr>
        <w:spacing w:line="360" w:lineRule="auto"/>
      </w:pPr>
    </w:p>
    <w:p w14:paraId="163B6649" w14:textId="2CA7981B" w:rsidR="00EB686B" w:rsidRDefault="001C4A98" w:rsidP="00187817">
      <w:pPr>
        <w:spacing w:line="360" w:lineRule="auto"/>
        <w:rPr>
          <w:strike/>
        </w:rPr>
      </w:pPr>
      <w:r w:rsidRPr="004C22EC">
        <w:rPr>
          <w:strike/>
        </w:rPr>
        <w:t>De bono</w:t>
      </w:r>
      <w:r w:rsidR="00187817" w:rsidRPr="004C22EC">
        <w:rPr>
          <w:strike/>
        </w:rPr>
        <w:t xml:space="preserve"> increases the goal of </w:t>
      </w:r>
      <w:r w:rsidR="00D9756E" w:rsidRPr="004C22EC">
        <w:rPr>
          <w:strike/>
        </w:rPr>
        <w:t>self-development</w:t>
      </w:r>
      <w:r w:rsidR="00187817" w:rsidRPr="004C22EC">
        <w:rPr>
          <w:strike/>
        </w:rPr>
        <w:t xml:space="preserve"> and trains employees to think creatively. Additionally, using this method helps employees feel certain they’re making the greatest and most ethical decision for themselves and the organisation (Stoilkov, 2023).</w:t>
      </w:r>
    </w:p>
    <w:p w14:paraId="24F59C67" w14:textId="77777777" w:rsidR="00EB686B" w:rsidRPr="00EB686B" w:rsidRDefault="00EB686B" w:rsidP="00187817">
      <w:pPr>
        <w:spacing w:line="360" w:lineRule="auto"/>
        <w:rPr>
          <w:strike/>
        </w:rPr>
      </w:pPr>
    </w:p>
    <w:p w14:paraId="672ED4A5" w14:textId="6CE5F086" w:rsidR="00196777" w:rsidRPr="00EB686B" w:rsidRDefault="00196777" w:rsidP="00196777">
      <w:pPr>
        <w:spacing w:line="360" w:lineRule="auto"/>
        <w:rPr>
          <w:rFonts w:eastAsiaTheme="minorEastAsia" w:cs="Arial"/>
          <w:strike/>
        </w:rPr>
      </w:pPr>
      <w:r w:rsidRPr="00EB686B">
        <w:rPr>
          <w:rFonts w:eastAsiaTheme="minorEastAsia" w:cs="Arial"/>
          <w:strike/>
        </w:rPr>
        <w:t xml:space="preserve">Research shows a correlation between employee engagement and organisational performance, based on metrics such as retention and customer loyalty (Markos and Sridevi, 2010). </w:t>
      </w:r>
    </w:p>
    <w:p w14:paraId="504AF870" w14:textId="77777777" w:rsidR="00F477AC" w:rsidRDefault="00F477AC" w:rsidP="00187817">
      <w:pPr>
        <w:spacing w:line="360" w:lineRule="auto"/>
      </w:pPr>
    </w:p>
    <w:p w14:paraId="5D27862A" w14:textId="77777777" w:rsidR="00E533CE" w:rsidRPr="00EB686B" w:rsidRDefault="00E533CE" w:rsidP="00E533CE">
      <w:pPr>
        <w:spacing w:line="360" w:lineRule="auto"/>
        <w:rPr>
          <w:rFonts w:cs="Arial"/>
          <w:strike/>
        </w:rPr>
      </w:pPr>
      <w:r w:rsidRPr="00EB686B">
        <w:rPr>
          <w:rFonts w:cs="Arial"/>
          <w:strike/>
        </w:rPr>
        <w:t>Greenwood (2002) explored the concepts of ‘hard’ and ‘soft’ HRM in the context of ethical practice, whereby ‘hard’ HRM means employees are viewed instrumentally as means to achieve the organisations goals.</w:t>
      </w:r>
    </w:p>
    <w:p w14:paraId="5B8837F7" w14:textId="77777777" w:rsidR="0084710C" w:rsidRDefault="0084710C" w:rsidP="0077276E">
      <w:pPr>
        <w:spacing w:line="360" w:lineRule="auto"/>
        <w:rPr>
          <w:color w:val="FF0000"/>
        </w:rPr>
      </w:pPr>
    </w:p>
    <w:p w14:paraId="48596CEB" w14:textId="695ECBB2" w:rsidR="00CB2EA4" w:rsidRDefault="00291E53" w:rsidP="00E533CE">
      <w:pPr>
        <w:spacing w:line="360" w:lineRule="auto"/>
        <w:rPr>
          <w:color w:val="FF0000"/>
        </w:rPr>
      </w:pPr>
      <w:r>
        <w:rPr>
          <w:color w:val="FF0000"/>
        </w:rPr>
        <w:t>Line managers are the key to achievement of reward management goals, there</w:t>
      </w:r>
      <w:r w:rsidR="001447B8">
        <w:rPr>
          <w:color w:val="FF0000"/>
        </w:rPr>
        <w:t xml:space="preserve">fore poor skills may </w:t>
      </w:r>
      <w:r w:rsidR="00DA77B0">
        <w:rPr>
          <w:color w:val="FF0000"/>
        </w:rPr>
        <w:t>inhibit</w:t>
      </w:r>
      <w:r w:rsidR="001447B8">
        <w:rPr>
          <w:color w:val="FF0000"/>
        </w:rPr>
        <w:t xml:space="preserve"> employees improving</w:t>
      </w:r>
      <w:r>
        <w:rPr>
          <w:color w:val="FF0000"/>
        </w:rPr>
        <w:t xml:space="preserve"> (Woodhams and Perkins, 2022b)</w:t>
      </w:r>
      <w:r w:rsidR="001447B8">
        <w:rPr>
          <w:color w:val="FF0000"/>
        </w:rPr>
        <w:t>.</w:t>
      </w:r>
      <w:r w:rsidR="00812203">
        <w:rPr>
          <w:color w:val="FF0000"/>
        </w:rPr>
        <w:t xml:space="preserve"> </w:t>
      </w:r>
      <w:r w:rsidR="00CF338A">
        <w:rPr>
          <w:color w:val="FF0000"/>
        </w:rPr>
        <w:t xml:space="preserve">Therefore, </w:t>
      </w:r>
      <w:r w:rsidR="008E596E">
        <w:rPr>
          <w:color w:val="FF0000"/>
        </w:rPr>
        <w:t>training</w:t>
      </w:r>
      <w:r w:rsidR="00CF338A">
        <w:rPr>
          <w:color w:val="FF0000"/>
        </w:rPr>
        <w:t xml:space="preserve"> including skills such as emotional intelligence, conflict resolution and leadership skills would prove beneficial. </w:t>
      </w:r>
      <w:r w:rsidR="0037508D">
        <w:rPr>
          <w:color w:val="FF0000"/>
        </w:rPr>
        <w:t xml:space="preserve">A blanket approach to all managers </w:t>
      </w:r>
      <w:r w:rsidR="006A7360">
        <w:rPr>
          <w:color w:val="FF0000"/>
        </w:rPr>
        <w:t>is recommended</w:t>
      </w:r>
      <w:r w:rsidR="0037508D">
        <w:rPr>
          <w:color w:val="FF0000"/>
        </w:rPr>
        <w:t xml:space="preserve"> </w:t>
      </w:r>
      <w:r w:rsidR="008E596E">
        <w:rPr>
          <w:color w:val="FF0000"/>
        </w:rPr>
        <w:t>initially</w:t>
      </w:r>
      <w:r w:rsidR="00436848">
        <w:rPr>
          <w:color w:val="FF0000"/>
        </w:rPr>
        <w:t xml:space="preserve"> due to the lack of training provided. Further targeted training for departments could be provided if requested, or allowing access to a development platform where managers can sign themselves up to </w:t>
      </w:r>
      <w:r w:rsidR="00840615">
        <w:rPr>
          <w:color w:val="FF0000"/>
        </w:rPr>
        <w:t>training would be useful</w:t>
      </w:r>
      <w:r w:rsidR="006A7360">
        <w:rPr>
          <w:color w:val="FF0000"/>
        </w:rPr>
        <w:t xml:space="preserve"> (Haille, 2022).</w:t>
      </w:r>
    </w:p>
    <w:p w14:paraId="31F11BBF" w14:textId="77777777" w:rsidR="00754BE8" w:rsidRDefault="00754BE8" w:rsidP="00E533CE">
      <w:pPr>
        <w:spacing w:line="360" w:lineRule="auto"/>
        <w:rPr>
          <w:color w:val="FF0000"/>
        </w:rPr>
      </w:pPr>
    </w:p>
    <w:p w14:paraId="3BF33449" w14:textId="2686627D" w:rsidR="0016157D" w:rsidRDefault="00CE48EA" w:rsidP="00E533CE">
      <w:pPr>
        <w:spacing w:line="360" w:lineRule="auto"/>
        <w:rPr>
          <w:color w:val="FF0000"/>
        </w:rPr>
      </w:pPr>
      <w:r>
        <w:rPr>
          <w:color w:val="FF0000"/>
        </w:rPr>
        <w:t xml:space="preserve">Training doesn’t have to be </w:t>
      </w:r>
      <w:r w:rsidR="001C0851">
        <w:rPr>
          <w:color w:val="FF0000"/>
        </w:rPr>
        <w:t>costly</w:t>
      </w:r>
      <w:r w:rsidR="00871847">
        <w:rPr>
          <w:color w:val="FF0000"/>
        </w:rPr>
        <w:t>,</w:t>
      </w:r>
      <w:r w:rsidR="00754BE8">
        <w:rPr>
          <w:color w:val="FF0000"/>
        </w:rPr>
        <w:t xml:space="preserve"> </w:t>
      </w:r>
      <w:r w:rsidR="007E1A44">
        <w:rPr>
          <w:color w:val="FF0000"/>
        </w:rPr>
        <w:t>if</w:t>
      </w:r>
      <w:r w:rsidR="00871847">
        <w:rPr>
          <w:color w:val="FF0000"/>
        </w:rPr>
        <w:t xml:space="preserve"> managers need to be provided with tools and resources to do their job better.</w:t>
      </w:r>
      <w:r w:rsidR="00D510E6">
        <w:rPr>
          <w:color w:val="FF0000"/>
        </w:rPr>
        <w:t xml:space="preserve"> For example,</w:t>
      </w:r>
      <w:r w:rsidR="00871847">
        <w:rPr>
          <w:color w:val="FF0000"/>
        </w:rPr>
        <w:t xml:space="preserve"> </w:t>
      </w:r>
      <w:r w:rsidR="00D510E6">
        <w:rPr>
          <w:color w:val="FF0000"/>
        </w:rPr>
        <w:t>internal</w:t>
      </w:r>
      <w:r w:rsidR="008A01AE">
        <w:rPr>
          <w:color w:val="FF0000"/>
        </w:rPr>
        <w:t xml:space="preserve"> guidance documents such as an appraisal guide/recommended matrix </w:t>
      </w:r>
      <w:r w:rsidR="00D510E6">
        <w:rPr>
          <w:color w:val="FF0000"/>
        </w:rPr>
        <w:t>could be created and shared</w:t>
      </w:r>
      <w:r w:rsidR="005C7596">
        <w:rPr>
          <w:color w:val="FF0000"/>
        </w:rPr>
        <w:t xml:space="preserve"> or internal HR links could be assigned per department for added rapport</w:t>
      </w:r>
      <w:r w:rsidR="00157CA6">
        <w:rPr>
          <w:color w:val="FF0000"/>
        </w:rPr>
        <w:t xml:space="preserve"> </w:t>
      </w:r>
      <w:r w:rsidR="005C7596">
        <w:rPr>
          <w:color w:val="FF0000"/>
        </w:rPr>
        <w:t>(CIPD, 2022a)</w:t>
      </w:r>
      <w:r w:rsidR="00D510E6">
        <w:rPr>
          <w:color w:val="FF0000"/>
        </w:rPr>
        <w:t xml:space="preserve">. </w:t>
      </w:r>
      <w:r w:rsidR="005C7596">
        <w:rPr>
          <w:color w:val="FF0000"/>
        </w:rPr>
        <w:t>Nevertheless, the cost incurred is easily justified with a low risk due to the</w:t>
      </w:r>
      <w:r w:rsidR="00E02147">
        <w:rPr>
          <w:color w:val="FF0000"/>
        </w:rPr>
        <w:t xml:space="preserve"> significant research </w:t>
      </w:r>
      <w:r w:rsidR="005C7596">
        <w:rPr>
          <w:color w:val="FF0000"/>
        </w:rPr>
        <w:t>suggesting that</w:t>
      </w:r>
      <w:r w:rsidR="00E02147">
        <w:rPr>
          <w:color w:val="FF0000"/>
        </w:rPr>
        <w:t xml:space="preserve"> the implementation of proper HR </w:t>
      </w:r>
      <w:r w:rsidR="002A1267">
        <w:rPr>
          <w:color w:val="FF0000"/>
        </w:rPr>
        <w:t>management improves organisational performance (Markos and Sridevi, 2010).</w:t>
      </w:r>
    </w:p>
    <w:p w14:paraId="36AB9B2A" w14:textId="77777777" w:rsidR="00576075" w:rsidRDefault="00576075" w:rsidP="00E533CE">
      <w:pPr>
        <w:spacing w:line="360" w:lineRule="auto"/>
        <w:rPr>
          <w:color w:val="FF0000"/>
        </w:rPr>
      </w:pPr>
    </w:p>
    <w:p w14:paraId="375CBC5B" w14:textId="51FD5607" w:rsidR="009D1645" w:rsidRPr="001974C0" w:rsidRDefault="00DE76F7" w:rsidP="00E533CE">
      <w:pPr>
        <w:spacing w:line="360" w:lineRule="auto"/>
        <w:rPr>
          <w:strike/>
          <w:color w:val="FF0000"/>
        </w:rPr>
      </w:pPr>
      <w:r w:rsidRPr="001974C0">
        <w:rPr>
          <w:strike/>
          <w:color w:val="FF0000"/>
        </w:rPr>
        <w:t>Performance related pay</w:t>
      </w:r>
      <w:r w:rsidR="00DA6BF6" w:rsidRPr="001974C0">
        <w:rPr>
          <w:strike/>
          <w:color w:val="FF0000"/>
        </w:rPr>
        <w:t xml:space="preserve"> (PRP)</w:t>
      </w:r>
      <w:r w:rsidRPr="001974C0">
        <w:rPr>
          <w:strike/>
          <w:color w:val="FF0000"/>
        </w:rPr>
        <w:t xml:space="preserve"> is a common approach within </w:t>
      </w:r>
      <w:r w:rsidR="003C68D5" w:rsidRPr="001974C0">
        <w:rPr>
          <w:strike/>
          <w:color w:val="FF0000"/>
        </w:rPr>
        <w:t xml:space="preserve">organisations, however </w:t>
      </w:r>
      <w:r w:rsidR="00BB41D7" w:rsidRPr="001974C0">
        <w:rPr>
          <w:strike/>
          <w:color w:val="FF0000"/>
        </w:rPr>
        <w:t xml:space="preserve">extrinsic motivators are </w:t>
      </w:r>
      <w:r w:rsidR="005C2506" w:rsidRPr="001974C0">
        <w:rPr>
          <w:strike/>
          <w:color w:val="FF0000"/>
        </w:rPr>
        <w:t xml:space="preserve">not always beneficial if done incorrectly (CIPD, 2024d). </w:t>
      </w:r>
      <w:r w:rsidR="00DA6BF6" w:rsidRPr="001974C0">
        <w:rPr>
          <w:strike/>
          <w:color w:val="FF0000"/>
        </w:rPr>
        <w:t xml:space="preserve">PRP </w:t>
      </w:r>
      <w:proofErr w:type="gramStart"/>
      <w:r w:rsidR="00D83568" w:rsidRPr="001974C0">
        <w:rPr>
          <w:strike/>
          <w:color w:val="FF0000"/>
        </w:rPr>
        <w:lastRenderedPageBreak/>
        <w:t>has to</w:t>
      </w:r>
      <w:proofErr w:type="gramEnd"/>
      <w:r w:rsidR="00D83568" w:rsidRPr="001974C0">
        <w:rPr>
          <w:strike/>
          <w:color w:val="FF0000"/>
        </w:rPr>
        <w:t xml:space="preserve"> be devised carefully to be fair, otherwise there’s a risk of </w:t>
      </w:r>
      <w:r w:rsidR="00594100" w:rsidRPr="001974C0">
        <w:rPr>
          <w:strike/>
          <w:color w:val="FF0000"/>
        </w:rPr>
        <w:t xml:space="preserve">incentivising undesirable behaviour, which could lead to burn out (CIPD, 2024e). Hennessey et al (2015) recommend that </w:t>
      </w:r>
      <w:r w:rsidR="00543221" w:rsidRPr="001974C0">
        <w:rPr>
          <w:strike/>
          <w:color w:val="FF0000"/>
        </w:rPr>
        <w:t>extrinsic and intrinsic motivators are managed equally, to achieve an optimal result.</w:t>
      </w:r>
    </w:p>
    <w:p w14:paraId="4BD1015E" w14:textId="77777777" w:rsidR="00400E5F" w:rsidRPr="001974C0" w:rsidRDefault="00400E5F" w:rsidP="00E533CE">
      <w:pPr>
        <w:spacing w:line="360" w:lineRule="auto"/>
        <w:rPr>
          <w:rFonts w:cs="Arial"/>
          <w:strike/>
          <w:color w:val="FF0000"/>
        </w:rPr>
      </w:pPr>
    </w:p>
    <w:p w14:paraId="7632CBF8" w14:textId="7671FB17" w:rsidR="00494872" w:rsidRPr="001974C0" w:rsidRDefault="00494872" w:rsidP="00E533CE">
      <w:pPr>
        <w:spacing w:line="360" w:lineRule="auto"/>
        <w:rPr>
          <w:rFonts w:cs="Arial"/>
          <w:strike/>
          <w:color w:val="FF0000"/>
        </w:rPr>
      </w:pPr>
      <w:r w:rsidRPr="001974C0">
        <w:rPr>
          <w:rFonts w:cs="Arial"/>
          <w:strike/>
          <w:color w:val="FF0000"/>
        </w:rPr>
        <w:t xml:space="preserve">Ultimately, investing </w:t>
      </w:r>
      <w:r w:rsidR="000C0270" w:rsidRPr="001974C0">
        <w:rPr>
          <w:rFonts w:cs="Arial"/>
          <w:strike/>
          <w:color w:val="FF0000"/>
        </w:rPr>
        <w:t xml:space="preserve">in </w:t>
      </w:r>
      <w:r w:rsidR="006F0E63" w:rsidRPr="001974C0">
        <w:rPr>
          <w:rFonts w:cs="Arial"/>
          <w:strike/>
          <w:color w:val="FF0000"/>
        </w:rPr>
        <w:t>these recommendations will yield a great return on investment</w:t>
      </w:r>
      <w:r w:rsidR="00272A2A" w:rsidRPr="001974C0">
        <w:rPr>
          <w:rFonts w:cs="Arial"/>
          <w:strike/>
          <w:color w:val="FF0000"/>
        </w:rPr>
        <w:t>, creating a domino effect of</w:t>
      </w:r>
      <w:r w:rsidR="006F0E63" w:rsidRPr="001974C0">
        <w:rPr>
          <w:rFonts w:cs="Arial"/>
          <w:strike/>
          <w:color w:val="FF0000"/>
        </w:rPr>
        <w:t xml:space="preserve"> </w:t>
      </w:r>
      <w:r w:rsidR="00272A2A" w:rsidRPr="001974C0">
        <w:rPr>
          <w:rFonts w:cs="Arial"/>
          <w:strike/>
          <w:color w:val="FF0000"/>
        </w:rPr>
        <w:t xml:space="preserve">employee </w:t>
      </w:r>
      <w:r w:rsidR="00CB2EA4" w:rsidRPr="001974C0">
        <w:rPr>
          <w:rFonts w:cs="Arial"/>
          <w:strike/>
          <w:color w:val="FF0000"/>
        </w:rPr>
        <w:t xml:space="preserve">engagement and behaviour, </w:t>
      </w:r>
      <w:r w:rsidR="006F0E63" w:rsidRPr="001974C0">
        <w:rPr>
          <w:rFonts w:cs="Arial"/>
          <w:strike/>
          <w:color w:val="FF0000"/>
        </w:rPr>
        <w:t>improved organisational performance and sustain</w:t>
      </w:r>
      <w:r w:rsidR="00231DDE" w:rsidRPr="001974C0">
        <w:rPr>
          <w:rFonts w:cs="Arial"/>
          <w:strike/>
          <w:color w:val="FF0000"/>
        </w:rPr>
        <w:t>ing competitive advantage</w:t>
      </w:r>
      <w:r w:rsidR="00FA2AF8" w:rsidRPr="001974C0">
        <w:rPr>
          <w:rFonts w:cs="Arial"/>
          <w:strike/>
          <w:color w:val="FF0000"/>
        </w:rPr>
        <w:t xml:space="preserve">, providing that </w:t>
      </w:r>
      <w:r w:rsidR="00852718" w:rsidRPr="001974C0">
        <w:rPr>
          <w:rFonts w:cs="Arial"/>
          <w:strike/>
          <w:color w:val="FF0000"/>
        </w:rPr>
        <w:t>line managers operationalise it effectively</w:t>
      </w:r>
      <w:r w:rsidR="00231DDE" w:rsidRPr="001974C0">
        <w:rPr>
          <w:rFonts w:cs="Arial"/>
          <w:strike/>
          <w:color w:val="FF0000"/>
        </w:rPr>
        <w:t xml:space="preserve"> </w:t>
      </w:r>
      <w:r w:rsidR="006F0E63" w:rsidRPr="001974C0">
        <w:rPr>
          <w:rFonts w:cs="Arial"/>
          <w:strike/>
          <w:color w:val="FF0000"/>
        </w:rPr>
        <w:t>(</w:t>
      </w:r>
      <w:r w:rsidR="00852718" w:rsidRPr="001974C0">
        <w:rPr>
          <w:rFonts w:cs="Arial"/>
          <w:strike/>
          <w:color w:val="FF0000"/>
        </w:rPr>
        <w:t>Purcell et al., 2003</w:t>
      </w:r>
      <w:r w:rsidR="006F0E63" w:rsidRPr="001974C0">
        <w:rPr>
          <w:rFonts w:cs="Arial"/>
          <w:strike/>
          <w:color w:val="FF0000"/>
        </w:rPr>
        <w:t>)</w:t>
      </w:r>
      <w:r w:rsidR="00231DDE" w:rsidRPr="001974C0">
        <w:rPr>
          <w:rFonts w:cs="Arial"/>
          <w:strike/>
          <w:color w:val="FF0000"/>
        </w:rPr>
        <w:t>.</w:t>
      </w:r>
    </w:p>
    <w:p w14:paraId="1F4E9D75" w14:textId="77777777" w:rsidR="001974C0" w:rsidRDefault="001974C0" w:rsidP="001974C0">
      <w:pPr>
        <w:spacing w:line="360" w:lineRule="auto"/>
        <w:rPr>
          <w:rFonts w:cs="Arial"/>
          <w:color w:val="00B050"/>
        </w:rPr>
      </w:pPr>
    </w:p>
    <w:p w14:paraId="25FB5325" w14:textId="7DE2FCAA" w:rsidR="001974C0" w:rsidRDefault="00705EBA" w:rsidP="001974C0">
      <w:pPr>
        <w:spacing w:line="360" w:lineRule="auto"/>
        <w:rPr>
          <w:rFonts w:cs="Arial"/>
          <w:color w:val="00B050"/>
        </w:rPr>
      </w:pPr>
      <w:r>
        <w:rPr>
          <w:rFonts w:cs="Arial"/>
          <w:color w:val="00B050"/>
        </w:rPr>
        <w:t>Line managers’ lack of confidence</w:t>
      </w:r>
      <w:r w:rsidR="001E035B">
        <w:rPr>
          <w:rFonts w:cs="Arial"/>
          <w:color w:val="00B050"/>
        </w:rPr>
        <w:t xml:space="preserve"> and training </w:t>
      </w:r>
      <w:r>
        <w:rPr>
          <w:rFonts w:cs="Arial"/>
          <w:color w:val="00B050"/>
        </w:rPr>
        <w:t xml:space="preserve">could cause </w:t>
      </w:r>
      <w:r w:rsidR="001974C0">
        <w:rPr>
          <w:rFonts w:cs="Arial"/>
          <w:color w:val="00B050"/>
        </w:rPr>
        <w:t>PRP to be ineffective and unfair across departments (Woodhams and Perkins, 2022</w:t>
      </w:r>
      <w:r>
        <w:rPr>
          <w:rFonts w:cs="Arial"/>
          <w:color w:val="00B050"/>
        </w:rPr>
        <w:t>b</w:t>
      </w:r>
      <w:r w:rsidR="001974C0">
        <w:rPr>
          <w:rFonts w:cs="Arial"/>
          <w:color w:val="00B050"/>
        </w:rPr>
        <w:t>).</w:t>
      </w:r>
      <w:r>
        <w:rPr>
          <w:rFonts w:cs="Arial"/>
          <w:color w:val="00B050"/>
        </w:rPr>
        <w:t xml:space="preserve"> </w:t>
      </w:r>
      <w:r>
        <w:rPr>
          <w:rFonts w:cs="Arial"/>
          <w:color w:val="00B050"/>
        </w:rPr>
        <w:t>Therefore, reviewing the performance-related pay (PRP) system is recommended to ensure that it’s effective and still aligned with the organisation’s goals.</w:t>
      </w:r>
    </w:p>
    <w:p w14:paraId="35B16A6A" w14:textId="77777777" w:rsidR="001974C0" w:rsidRDefault="001974C0" w:rsidP="001974C0">
      <w:pPr>
        <w:spacing w:line="360" w:lineRule="auto"/>
        <w:rPr>
          <w:rFonts w:cs="Arial"/>
          <w:color w:val="00B050"/>
        </w:rPr>
      </w:pPr>
    </w:p>
    <w:p w14:paraId="724C3248" w14:textId="1BBC1342" w:rsidR="001974C0" w:rsidRDefault="00705EBA" w:rsidP="001974C0">
      <w:pPr>
        <w:spacing w:line="360" w:lineRule="auto"/>
        <w:rPr>
          <w:rFonts w:cs="Arial"/>
          <w:color w:val="00B050"/>
        </w:rPr>
      </w:pPr>
      <w:r>
        <w:rPr>
          <w:rFonts w:cs="Arial"/>
          <w:color w:val="00B050"/>
        </w:rPr>
        <w:t>This could be through analysing employee-engagement surveys correlating engagement with performance (Woodhams and Perkins, 2022</w:t>
      </w:r>
      <w:r w:rsidR="001E035B">
        <w:rPr>
          <w:rFonts w:cs="Arial"/>
          <w:color w:val="00B050"/>
        </w:rPr>
        <w:t>b</w:t>
      </w:r>
      <w:r>
        <w:rPr>
          <w:rFonts w:cs="Arial"/>
          <w:color w:val="00B050"/>
        </w:rPr>
        <w:t>).</w:t>
      </w:r>
      <w:r w:rsidR="001E035B" w:rsidRPr="001E035B">
        <w:rPr>
          <w:rFonts w:cs="Arial"/>
          <w:color w:val="00B050"/>
        </w:rPr>
        <w:t xml:space="preserve"> </w:t>
      </w:r>
      <w:r w:rsidR="001E035B">
        <w:rPr>
          <w:rFonts w:cs="Arial"/>
          <w:color w:val="00B050"/>
        </w:rPr>
        <w:t xml:space="preserve">The financial impact is minimal providing it’s evaluated internally by HR. </w:t>
      </w:r>
      <w:r>
        <w:rPr>
          <w:rFonts w:cs="Arial"/>
          <w:color w:val="00B050"/>
        </w:rPr>
        <w:t xml:space="preserve"> Risk is high depending on the outcome as change could require consultation or cause further dissatisfaction (CIPD, 2024e). However, </w:t>
      </w:r>
      <w:r w:rsidR="001E035B">
        <w:rPr>
          <w:rFonts w:cs="Arial"/>
          <w:color w:val="00B050"/>
        </w:rPr>
        <w:t>a thorough review will mitigate these risks to ensure the correct/best decision is made for the organisation and employees.</w:t>
      </w:r>
    </w:p>
    <w:p w14:paraId="42C85CD5" w14:textId="77777777" w:rsidR="001974C0" w:rsidRDefault="001974C0" w:rsidP="00E533CE">
      <w:pPr>
        <w:spacing w:line="360" w:lineRule="auto"/>
        <w:rPr>
          <w:rFonts w:cs="Arial"/>
          <w:color w:val="FF0000"/>
        </w:rPr>
      </w:pPr>
    </w:p>
    <w:p w14:paraId="45E429E1" w14:textId="77777777" w:rsidR="00E533CE" w:rsidRDefault="00E533CE" w:rsidP="001737AB">
      <w:pPr>
        <w:spacing w:line="360" w:lineRule="auto"/>
      </w:pPr>
    </w:p>
    <w:p w14:paraId="7E19AEA2" w14:textId="33726846" w:rsidR="001737AB" w:rsidRPr="00F477AC" w:rsidRDefault="001737AB" w:rsidP="001737AB">
      <w:pPr>
        <w:pStyle w:val="ListParagraph"/>
        <w:numPr>
          <w:ilvl w:val="0"/>
          <w:numId w:val="5"/>
        </w:numPr>
        <w:spacing w:line="360" w:lineRule="auto"/>
        <w:rPr>
          <w:strike/>
        </w:rPr>
      </w:pPr>
      <w:r w:rsidRPr="00F477AC">
        <w:rPr>
          <w:strike/>
        </w:rPr>
        <w:t>Relationship between pay and performance is widely debated, can demotivate. Pay is not the only motivator for employees and may not be the most important one (CIPD, 2024d</w:t>
      </w:r>
      <w:r w:rsidR="0018367D" w:rsidRPr="00F477AC">
        <w:rPr>
          <w:strike/>
        </w:rPr>
        <w:t>)</w:t>
      </w:r>
    </w:p>
    <w:p w14:paraId="1D2660CB" w14:textId="436FC5CA" w:rsidR="00077C14" w:rsidRPr="00F477AC" w:rsidRDefault="00077C14" w:rsidP="00077C14">
      <w:pPr>
        <w:pStyle w:val="ListParagraph"/>
        <w:numPr>
          <w:ilvl w:val="1"/>
          <w:numId w:val="5"/>
        </w:numPr>
        <w:spacing w:line="360" w:lineRule="auto"/>
        <w:rPr>
          <w:strike/>
        </w:rPr>
      </w:pPr>
      <w:r w:rsidRPr="00F477AC">
        <w:rPr>
          <w:strike/>
        </w:rPr>
        <w:t xml:space="preserve">Can motivate high achievers but demotivate core performers </w:t>
      </w:r>
      <w:r w:rsidRPr="00F477AC">
        <w:rPr>
          <w:strike/>
        </w:rPr>
        <w:sym w:font="Wingdings" w:char="F0E0"/>
      </w:r>
      <w:r w:rsidRPr="00F477AC">
        <w:rPr>
          <w:strike/>
        </w:rPr>
        <w:t xml:space="preserve"> what is needed to achieve outstanding performance?</w:t>
      </w:r>
      <w:r w:rsidR="00E03B92" w:rsidRPr="00F477AC">
        <w:rPr>
          <w:strike/>
        </w:rPr>
        <w:t xml:space="preserve"> Burn out?</w:t>
      </w:r>
    </w:p>
    <w:p w14:paraId="0035B2D4" w14:textId="33AA3EA6" w:rsidR="00077C14" w:rsidRPr="00F477AC" w:rsidRDefault="00077C14" w:rsidP="001737AB">
      <w:pPr>
        <w:pStyle w:val="ListParagraph"/>
        <w:numPr>
          <w:ilvl w:val="0"/>
          <w:numId w:val="5"/>
        </w:numPr>
        <w:spacing w:line="360" w:lineRule="auto"/>
        <w:rPr>
          <w:strike/>
        </w:rPr>
      </w:pPr>
      <w:r w:rsidRPr="00F477AC">
        <w:rPr>
          <w:strike/>
        </w:rPr>
        <w:t>No single best approach to performance management – integrates various factors and activities</w:t>
      </w:r>
      <w:r w:rsidR="00F72F38" w:rsidRPr="00F477AC">
        <w:rPr>
          <w:strike/>
        </w:rPr>
        <w:t xml:space="preserve"> (CIPD, 2024e)</w:t>
      </w:r>
    </w:p>
    <w:p w14:paraId="3A94AD70" w14:textId="2DE83E53" w:rsidR="00363073" w:rsidRPr="00F477AC" w:rsidRDefault="00F72F38" w:rsidP="0018367D">
      <w:pPr>
        <w:pStyle w:val="ListParagraph"/>
        <w:numPr>
          <w:ilvl w:val="0"/>
          <w:numId w:val="5"/>
        </w:numPr>
        <w:spacing w:line="360" w:lineRule="auto"/>
        <w:rPr>
          <w:strike/>
        </w:rPr>
      </w:pPr>
      <w:r w:rsidRPr="00F477AC">
        <w:rPr>
          <w:strike/>
        </w:rPr>
        <w:t>People are the greatest creators of organisation value. Effective management critical (CIPD, 2024e</w:t>
      </w:r>
      <w:r w:rsidR="0018367D" w:rsidRPr="00F477AC">
        <w:rPr>
          <w:strike/>
        </w:rPr>
        <w:t>)</w:t>
      </w:r>
    </w:p>
    <w:p w14:paraId="2E943FBB" w14:textId="16F0D878" w:rsidR="00F72F38" w:rsidRPr="00F477AC" w:rsidRDefault="00F72F38" w:rsidP="001737AB">
      <w:pPr>
        <w:pStyle w:val="ListParagraph"/>
        <w:numPr>
          <w:ilvl w:val="0"/>
          <w:numId w:val="5"/>
        </w:numPr>
        <w:spacing w:line="360" w:lineRule="auto"/>
        <w:rPr>
          <w:strike/>
        </w:rPr>
      </w:pPr>
      <w:r w:rsidRPr="00F477AC">
        <w:rPr>
          <w:strike/>
        </w:rPr>
        <w:lastRenderedPageBreak/>
        <w:t>Two-way regular discussion, open supportive feedback. Aims and objectives for employees.</w:t>
      </w:r>
      <w:r w:rsidR="00365102" w:rsidRPr="00F477AC">
        <w:rPr>
          <w:strike/>
        </w:rPr>
        <w:t xml:space="preserve"> Formal processes in place to record objectives and periodic performance reviews/performance plans. 3 types of performance.</w:t>
      </w:r>
    </w:p>
    <w:p w14:paraId="7C9E5C45" w14:textId="1852310C" w:rsidR="00365102" w:rsidRPr="00F477AC" w:rsidRDefault="00365102" w:rsidP="001737AB">
      <w:pPr>
        <w:pStyle w:val="ListParagraph"/>
        <w:numPr>
          <w:ilvl w:val="0"/>
          <w:numId w:val="5"/>
        </w:numPr>
        <w:spacing w:line="360" w:lineRule="auto"/>
        <w:rPr>
          <w:strike/>
        </w:rPr>
      </w:pPr>
      <w:r w:rsidRPr="00F477AC">
        <w:rPr>
          <w:strike/>
        </w:rPr>
        <w:t>CIPD (2016) need to be clear on reasons for performance review, is it developmental or administrative?</w:t>
      </w:r>
    </w:p>
    <w:p w14:paraId="42E5C8D1" w14:textId="13902618" w:rsidR="00365102" w:rsidRPr="00F477AC" w:rsidRDefault="00365102" w:rsidP="001737AB">
      <w:pPr>
        <w:pStyle w:val="ListParagraph"/>
        <w:numPr>
          <w:ilvl w:val="0"/>
          <w:numId w:val="5"/>
        </w:numPr>
        <w:spacing w:line="360" w:lineRule="auto"/>
        <w:rPr>
          <w:strike/>
        </w:rPr>
      </w:pPr>
      <w:r w:rsidRPr="00F477AC">
        <w:rPr>
          <w:strike/>
        </w:rPr>
        <w:t>CIPD (202</w:t>
      </w:r>
      <w:r w:rsidR="000F6D76" w:rsidRPr="00F477AC">
        <w:rPr>
          <w:strike/>
        </w:rPr>
        <w:t xml:space="preserve">2) </w:t>
      </w:r>
      <w:r w:rsidRPr="00F477AC">
        <w:rPr>
          <w:strike/>
        </w:rPr>
        <w:t>lots of evidence to suggest that performance feedback is positive but can be detrimental when it’s not done correctly.</w:t>
      </w:r>
    </w:p>
    <w:p w14:paraId="095215FD" w14:textId="794F9D79" w:rsidR="00365102" w:rsidRPr="00F477AC" w:rsidRDefault="00365102" w:rsidP="00365102">
      <w:pPr>
        <w:pStyle w:val="ListParagraph"/>
        <w:numPr>
          <w:ilvl w:val="1"/>
          <w:numId w:val="5"/>
        </w:numPr>
        <w:spacing w:line="360" w:lineRule="auto"/>
        <w:rPr>
          <w:strike/>
        </w:rPr>
      </w:pPr>
      <w:r w:rsidRPr="00F477AC">
        <w:rPr>
          <w:strike/>
        </w:rPr>
        <w:t>Managers need to communicate how information was gathered, highlighting why it’s been done, ensure consistency, accuracy across team.</w:t>
      </w:r>
    </w:p>
    <w:p w14:paraId="3C9A83EC" w14:textId="62BCB34A" w:rsidR="00365102" w:rsidRPr="00F477AC" w:rsidRDefault="00D9756E" w:rsidP="00365102">
      <w:pPr>
        <w:pStyle w:val="ListParagraph"/>
        <w:numPr>
          <w:ilvl w:val="1"/>
          <w:numId w:val="5"/>
        </w:numPr>
        <w:spacing w:line="360" w:lineRule="auto"/>
        <w:rPr>
          <w:strike/>
        </w:rPr>
      </w:pPr>
      <w:r w:rsidRPr="00F477AC">
        <w:rPr>
          <w:strike/>
        </w:rPr>
        <w:t>Often,</w:t>
      </w:r>
      <w:r w:rsidR="00365102" w:rsidRPr="00F477AC">
        <w:rPr>
          <w:strike/>
        </w:rPr>
        <w:t xml:space="preserve"> it’s not the actions that are incorrect but the quality of these actions</w:t>
      </w:r>
    </w:p>
    <w:p w14:paraId="390FC406" w14:textId="7D3C7E58" w:rsidR="00365102" w:rsidRPr="00F477AC" w:rsidRDefault="00365102" w:rsidP="00365102">
      <w:pPr>
        <w:pStyle w:val="ListParagraph"/>
        <w:numPr>
          <w:ilvl w:val="0"/>
          <w:numId w:val="5"/>
        </w:numPr>
        <w:spacing w:line="360" w:lineRule="auto"/>
        <w:rPr>
          <w:strike/>
        </w:rPr>
      </w:pPr>
      <w:r w:rsidRPr="00F477AC">
        <w:rPr>
          <w:strike/>
        </w:rPr>
        <w:t>CIPD (202</w:t>
      </w:r>
      <w:r w:rsidR="000F6D76" w:rsidRPr="00F477AC">
        <w:rPr>
          <w:strike/>
        </w:rPr>
        <w:t xml:space="preserve">2) </w:t>
      </w:r>
      <w:r w:rsidRPr="00F477AC">
        <w:rPr>
          <w:strike/>
        </w:rPr>
        <w:t xml:space="preserve">employee performance is one of the most important outcomes </w:t>
      </w:r>
      <w:r w:rsidRPr="00F477AC">
        <w:rPr>
          <w:strike/>
        </w:rPr>
        <w:sym w:font="Wingdings" w:char="F0E0"/>
      </w:r>
      <w:r w:rsidRPr="00F477AC">
        <w:rPr>
          <w:strike/>
        </w:rPr>
        <w:t xml:space="preserve"> used to set objects for employees to motivate and used to inform decisions</w:t>
      </w:r>
    </w:p>
    <w:p w14:paraId="1433E6A1" w14:textId="64B4352D" w:rsidR="00365102" w:rsidRPr="00F477AC" w:rsidRDefault="00365102" w:rsidP="00365102">
      <w:pPr>
        <w:pStyle w:val="ListParagraph"/>
        <w:numPr>
          <w:ilvl w:val="0"/>
          <w:numId w:val="5"/>
        </w:numPr>
        <w:spacing w:line="360" w:lineRule="auto"/>
        <w:rPr>
          <w:strike/>
        </w:rPr>
      </w:pPr>
      <w:r w:rsidRPr="00F477AC">
        <w:rPr>
          <w:strike/>
        </w:rPr>
        <w:t>Gould-Williams (2003) HR shapes employee behaviours and attitudes through systems thar are implemented – psychological links between organisational and employee goals. Implicit commitment? Emotional attachment?</w:t>
      </w:r>
    </w:p>
    <w:p w14:paraId="01A5D502" w14:textId="50FAE266" w:rsidR="00365102" w:rsidRPr="00F477AC" w:rsidRDefault="00365102" w:rsidP="00365102">
      <w:pPr>
        <w:pStyle w:val="ListParagraph"/>
        <w:numPr>
          <w:ilvl w:val="1"/>
          <w:numId w:val="5"/>
        </w:numPr>
        <w:spacing w:line="360" w:lineRule="auto"/>
        <w:rPr>
          <w:strike/>
        </w:rPr>
      </w:pPr>
      <w:r w:rsidRPr="00F477AC">
        <w:rPr>
          <w:strike/>
        </w:rPr>
        <w:t xml:space="preserve">Lack of trust </w:t>
      </w:r>
      <w:r w:rsidRPr="00F477AC">
        <w:rPr>
          <w:strike/>
        </w:rPr>
        <w:sym w:font="Wingdings" w:char="F0E0"/>
      </w:r>
      <w:r w:rsidRPr="00F477AC">
        <w:rPr>
          <w:strike/>
        </w:rPr>
        <w:t xml:space="preserve"> detriment caused</w:t>
      </w:r>
    </w:p>
    <w:p w14:paraId="0CC1E069" w14:textId="076C7BE1" w:rsidR="00365102" w:rsidRPr="00F477AC" w:rsidRDefault="00365102" w:rsidP="00365102">
      <w:pPr>
        <w:pStyle w:val="ListParagraph"/>
        <w:numPr>
          <w:ilvl w:val="0"/>
          <w:numId w:val="5"/>
        </w:numPr>
        <w:spacing w:line="360" w:lineRule="auto"/>
        <w:rPr>
          <w:strike/>
        </w:rPr>
      </w:pPr>
      <w:r w:rsidRPr="00F477AC">
        <w:rPr>
          <w:strike/>
        </w:rPr>
        <w:t>Open communication culture</w:t>
      </w:r>
    </w:p>
    <w:p w14:paraId="0C2EDFEB" w14:textId="0C8CC77A" w:rsidR="00365102" w:rsidRPr="00F477AC" w:rsidRDefault="00365102" w:rsidP="00365102">
      <w:pPr>
        <w:pStyle w:val="ListParagraph"/>
        <w:numPr>
          <w:ilvl w:val="0"/>
          <w:numId w:val="5"/>
        </w:numPr>
        <w:spacing w:line="360" w:lineRule="auto"/>
        <w:rPr>
          <w:strike/>
        </w:rPr>
      </w:pPr>
      <w:r w:rsidRPr="00F477AC">
        <w:rPr>
          <w:strike/>
        </w:rPr>
        <w:t>Leadership recognition, managerial performance reviews</w:t>
      </w:r>
    </w:p>
    <w:p w14:paraId="52C29F07" w14:textId="6681E694" w:rsidR="00365102" w:rsidRPr="00F477AC" w:rsidRDefault="00365102" w:rsidP="00365102">
      <w:pPr>
        <w:pStyle w:val="ListParagraph"/>
        <w:numPr>
          <w:ilvl w:val="0"/>
          <w:numId w:val="5"/>
        </w:numPr>
        <w:spacing w:line="360" w:lineRule="auto"/>
        <w:rPr>
          <w:strike/>
        </w:rPr>
      </w:pPr>
      <w:r w:rsidRPr="00F477AC">
        <w:rPr>
          <w:strike/>
        </w:rPr>
        <w:t>“</w:t>
      </w:r>
      <w:r w:rsidR="00D9756E" w:rsidRPr="00F477AC">
        <w:rPr>
          <w:strike/>
        </w:rPr>
        <w:t>Monitor</w:t>
      </w:r>
      <w:r w:rsidRPr="00F477AC">
        <w:rPr>
          <w:strike/>
        </w:rPr>
        <w:t xml:space="preserve"> and adjust”</w:t>
      </w:r>
    </w:p>
    <w:p w14:paraId="79EE4014" w14:textId="32210438" w:rsidR="005B743B" w:rsidRPr="00F477AC" w:rsidRDefault="005B743B" w:rsidP="00365102">
      <w:pPr>
        <w:pStyle w:val="ListParagraph"/>
        <w:numPr>
          <w:ilvl w:val="0"/>
          <w:numId w:val="5"/>
        </w:numPr>
        <w:spacing w:line="360" w:lineRule="auto"/>
        <w:rPr>
          <w:strike/>
        </w:rPr>
      </w:pPr>
      <w:r w:rsidRPr="00F477AC">
        <w:rPr>
          <w:strike/>
        </w:rPr>
        <w:t>Peer learning, more HR input?</w:t>
      </w:r>
    </w:p>
    <w:p w14:paraId="0C39664B" w14:textId="25DEFA6F" w:rsidR="004D3213" w:rsidRPr="00F477AC" w:rsidRDefault="004D3213" w:rsidP="00365102">
      <w:pPr>
        <w:pStyle w:val="ListParagraph"/>
        <w:numPr>
          <w:ilvl w:val="0"/>
          <w:numId w:val="5"/>
        </w:numPr>
        <w:spacing w:line="360" w:lineRule="auto"/>
        <w:rPr>
          <w:b/>
          <w:bCs/>
          <w:strike/>
        </w:rPr>
      </w:pPr>
      <w:r w:rsidRPr="00F477AC">
        <w:rPr>
          <w:b/>
          <w:bCs/>
          <w:strike/>
        </w:rPr>
        <w:t xml:space="preserve">Defining the manager’s role </w:t>
      </w:r>
      <w:r w:rsidRPr="00F477AC">
        <w:rPr>
          <w:strike/>
        </w:rPr>
        <w:t>lapse in communicating what’s expected of them</w:t>
      </w:r>
    </w:p>
    <w:p w14:paraId="3085D01A" w14:textId="49157211" w:rsidR="004D3213" w:rsidRPr="00F477AC" w:rsidRDefault="004D3213" w:rsidP="00365102">
      <w:pPr>
        <w:pStyle w:val="ListParagraph"/>
        <w:numPr>
          <w:ilvl w:val="0"/>
          <w:numId w:val="5"/>
        </w:numPr>
        <w:spacing w:line="360" w:lineRule="auto"/>
        <w:rPr>
          <w:b/>
          <w:bCs/>
          <w:strike/>
        </w:rPr>
      </w:pPr>
      <w:r w:rsidRPr="00F477AC">
        <w:rPr>
          <w:b/>
          <w:bCs/>
          <w:strike/>
        </w:rPr>
        <w:t>Targeted manager training</w:t>
      </w:r>
      <w:r w:rsidRPr="00F477AC">
        <w:rPr>
          <w:strike/>
        </w:rPr>
        <w:t xml:space="preserve"> </w:t>
      </w:r>
      <w:r w:rsidRPr="00F477AC">
        <w:rPr>
          <w:strike/>
        </w:rPr>
        <w:sym w:font="Wingdings" w:char="F0E0"/>
      </w:r>
      <w:r w:rsidRPr="00F477AC">
        <w:rPr>
          <w:strike/>
        </w:rPr>
        <w:t xml:space="preserve"> conflict resolution and emotional intelligence seem like key areas</w:t>
      </w:r>
    </w:p>
    <w:p w14:paraId="35DA1CF4" w14:textId="77777777" w:rsidR="007817AF" w:rsidRDefault="007817AF" w:rsidP="007817AF"/>
    <w:p w14:paraId="49C340BE" w14:textId="77777777" w:rsidR="00611B84" w:rsidRPr="007817AF" w:rsidRDefault="00611B84" w:rsidP="007817AF">
      <w:pPr>
        <w:spacing w:line="360" w:lineRule="auto"/>
        <w:rPr>
          <w:b/>
          <w:bCs/>
        </w:rPr>
      </w:pPr>
    </w:p>
    <w:p w14:paraId="02BC40A1" w14:textId="77777777" w:rsidR="00132E44" w:rsidRDefault="00132E44" w:rsidP="00132E44"/>
    <w:p w14:paraId="281386D1" w14:textId="77777777" w:rsidR="00F734FE" w:rsidRDefault="00F734FE" w:rsidP="00132E44"/>
    <w:p w14:paraId="61E01CA2" w14:textId="77777777" w:rsidR="00F734FE" w:rsidRDefault="00F734FE" w:rsidP="00132E44"/>
    <w:p w14:paraId="414AC295" w14:textId="77777777" w:rsidR="00594100" w:rsidRDefault="00594100" w:rsidP="00132E44"/>
    <w:p w14:paraId="5F8B89AF" w14:textId="77777777" w:rsidR="00594100" w:rsidRDefault="00594100" w:rsidP="00132E44"/>
    <w:p w14:paraId="04C8ACB3" w14:textId="77777777" w:rsidR="00594100" w:rsidRDefault="00594100" w:rsidP="00132E44"/>
    <w:p w14:paraId="155204DD" w14:textId="77777777" w:rsidR="00594100" w:rsidRDefault="00594100" w:rsidP="00132E44"/>
    <w:p w14:paraId="0E2E1B84" w14:textId="77777777" w:rsidR="00594100" w:rsidRDefault="00594100" w:rsidP="00132E44"/>
    <w:p w14:paraId="193CF069" w14:textId="77777777" w:rsidR="00594100" w:rsidRDefault="00594100" w:rsidP="00132E44"/>
    <w:p w14:paraId="0E9EBE89" w14:textId="77777777" w:rsidR="00594100" w:rsidRDefault="00594100" w:rsidP="00132E44"/>
    <w:p w14:paraId="54E21367" w14:textId="77777777" w:rsidR="00594100" w:rsidRDefault="00594100" w:rsidP="00132E44"/>
    <w:p w14:paraId="55367133" w14:textId="77777777" w:rsidR="00F734FE" w:rsidRDefault="00F734FE" w:rsidP="00132E44"/>
    <w:p w14:paraId="2262D09D" w14:textId="77777777" w:rsidR="00B6138C" w:rsidRDefault="00B6138C" w:rsidP="00132E44"/>
    <w:p w14:paraId="7F0FE6F6" w14:textId="77777777" w:rsidR="00B6138C" w:rsidRDefault="00B6138C" w:rsidP="00132E44"/>
    <w:p w14:paraId="7E980646" w14:textId="77777777" w:rsidR="00B6138C" w:rsidRDefault="00B6138C" w:rsidP="00132E44"/>
    <w:p w14:paraId="6F9E6D38" w14:textId="77777777" w:rsidR="00B6138C" w:rsidRDefault="00B6138C" w:rsidP="00132E44"/>
    <w:p w14:paraId="2824A8FE" w14:textId="77777777" w:rsidR="00B6138C" w:rsidRDefault="00B6138C" w:rsidP="00132E44"/>
    <w:p w14:paraId="403760DE" w14:textId="77777777" w:rsidR="00B6138C" w:rsidRDefault="00B6138C" w:rsidP="00132E44"/>
    <w:p w14:paraId="4A497133" w14:textId="77777777" w:rsidR="00B6138C" w:rsidRDefault="00B6138C" w:rsidP="00132E44"/>
    <w:p w14:paraId="49F34AA5" w14:textId="77777777" w:rsidR="00B6138C" w:rsidRDefault="00B6138C" w:rsidP="00132E44"/>
    <w:p w14:paraId="32BA3133" w14:textId="77777777" w:rsidR="00B6138C" w:rsidRDefault="00B6138C" w:rsidP="00132E44"/>
    <w:p w14:paraId="783E6CFF" w14:textId="77777777" w:rsidR="00B6138C" w:rsidRDefault="00B6138C" w:rsidP="00132E44"/>
    <w:p w14:paraId="2799182F" w14:textId="77777777" w:rsidR="00B6138C" w:rsidRDefault="00B6138C" w:rsidP="00132E44"/>
    <w:p w14:paraId="58FBE87B" w14:textId="77777777" w:rsidR="00B6138C" w:rsidRDefault="00B6138C" w:rsidP="00132E44"/>
    <w:p w14:paraId="655A4C03" w14:textId="77777777" w:rsidR="00B6138C" w:rsidRDefault="00B6138C" w:rsidP="00132E44"/>
    <w:p w14:paraId="7E6A248B" w14:textId="77777777" w:rsidR="00B6138C" w:rsidRDefault="00B6138C" w:rsidP="00132E44"/>
    <w:p w14:paraId="213CBAF0" w14:textId="77777777" w:rsidR="00B6138C" w:rsidRDefault="00B6138C" w:rsidP="00132E44"/>
    <w:p w14:paraId="79E6288E" w14:textId="77777777" w:rsidR="00B6138C" w:rsidRPr="00132E44" w:rsidRDefault="00B6138C" w:rsidP="00132E44"/>
    <w:p w14:paraId="2CEE2B4B" w14:textId="471C5CC7" w:rsidR="00234A71" w:rsidRDefault="00D96BB0" w:rsidP="0039627B">
      <w:pPr>
        <w:pStyle w:val="AssignmentHeading1"/>
      </w:pPr>
      <w:bookmarkStart w:id="23" w:name="_Toc184048314"/>
      <w:r>
        <w:t>Bibliography</w:t>
      </w:r>
      <w:bookmarkEnd w:id="23"/>
    </w:p>
    <w:p w14:paraId="642DC555" w14:textId="77777777" w:rsidR="00EE2764" w:rsidRDefault="00EE2764" w:rsidP="00EE2764"/>
    <w:p w14:paraId="2F68C343" w14:textId="419069A5" w:rsidR="00EE2764" w:rsidRPr="0053567A" w:rsidRDefault="00EE2764" w:rsidP="00EE2764">
      <w:pPr>
        <w:spacing w:line="360" w:lineRule="auto"/>
        <w:rPr>
          <w:color w:val="FF0000"/>
        </w:rPr>
      </w:pPr>
      <w:r w:rsidRPr="0053567A">
        <w:rPr>
          <w:color w:val="FF0000"/>
        </w:rPr>
        <w:t>Agag, G. </w:t>
      </w:r>
      <w:r w:rsidRPr="0053567A">
        <w:rPr>
          <w:i/>
          <w:iCs/>
          <w:color w:val="FF0000"/>
        </w:rPr>
        <w:t>et al.</w:t>
      </w:r>
      <w:r w:rsidRPr="0053567A">
        <w:rPr>
          <w:color w:val="FF0000"/>
        </w:rPr>
        <w:t> (2023) ‘Understanding the link between customer feedback metrics and firm performance’, </w:t>
      </w:r>
      <w:r w:rsidRPr="0053567A">
        <w:rPr>
          <w:i/>
          <w:iCs/>
          <w:color w:val="FF0000"/>
        </w:rPr>
        <w:t>Journal of Retailing and Consumer Services</w:t>
      </w:r>
      <w:r w:rsidRPr="0053567A">
        <w:rPr>
          <w:color w:val="FF0000"/>
        </w:rPr>
        <w:t>, 73, p. 103301. doi:10.1016/j.jretconser.2023.103301. </w:t>
      </w:r>
    </w:p>
    <w:p w14:paraId="47414213" w14:textId="77777777" w:rsidR="00DE5107" w:rsidRDefault="00DE5107" w:rsidP="00DE5107"/>
    <w:p w14:paraId="1E0EDA35" w14:textId="168B9308" w:rsidR="00CA6117" w:rsidRDefault="00CA6117" w:rsidP="00CA6117">
      <w:pPr>
        <w:spacing w:line="360" w:lineRule="auto"/>
      </w:pPr>
      <w:r w:rsidRPr="00CA6117">
        <w:t xml:space="preserve">Alexander, L. and Moore, M. (2020) </w:t>
      </w:r>
      <w:r w:rsidRPr="00CA6117">
        <w:rPr>
          <w:i/>
          <w:iCs/>
        </w:rPr>
        <w:t>Deontological ethics</w:t>
      </w:r>
      <w:r w:rsidRPr="00CA6117">
        <w:t xml:space="preserve">, </w:t>
      </w:r>
      <w:r w:rsidRPr="00CA6117">
        <w:rPr>
          <w:i/>
          <w:iCs/>
        </w:rPr>
        <w:t xml:space="preserve">Stanford </w:t>
      </w:r>
      <w:r w:rsidR="00D9756E" w:rsidRPr="00CA6117">
        <w:rPr>
          <w:i/>
          <w:iCs/>
        </w:rPr>
        <w:t>Encyclopaedia</w:t>
      </w:r>
      <w:r w:rsidRPr="00CA6117">
        <w:rPr>
          <w:i/>
          <w:iCs/>
        </w:rPr>
        <w:t xml:space="preserve"> of Philosophy</w:t>
      </w:r>
      <w:r w:rsidRPr="00CA6117">
        <w:t xml:space="preserve">. Available at: https://plato.stanford.edu/archives/win2021/entries/ethics-deontological/ (Accessed: 02 December 2024). </w:t>
      </w:r>
    </w:p>
    <w:p w14:paraId="6B7F82EF" w14:textId="77777777" w:rsidR="00346C37" w:rsidRDefault="00346C37" w:rsidP="00CA6117">
      <w:pPr>
        <w:spacing w:line="360" w:lineRule="auto"/>
      </w:pPr>
    </w:p>
    <w:p w14:paraId="37B88276" w14:textId="77777777" w:rsidR="00346C37" w:rsidRDefault="00346C37" w:rsidP="00346C37">
      <w:pPr>
        <w:spacing w:line="360" w:lineRule="auto"/>
      </w:pPr>
      <w:r w:rsidRPr="00346C37">
        <w:t xml:space="preserve">Aslam, H.D. </w:t>
      </w:r>
      <w:r w:rsidRPr="00346C37">
        <w:rPr>
          <w:i/>
          <w:iCs/>
        </w:rPr>
        <w:t>et al.</w:t>
      </w:r>
      <w:r w:rsidRPr="00346C37">
        <w:t xml:space="preserve"> (2014) ‘Importance of Human Resource Management in 21st Century: A theoretical perspective’, </w:t>
      </w:r>
      <w:r w:rsidRPr="00346C37">
        <w:rPr>
          <w:i/>
          <w:iCs/>
        </w:rPr>
        <w:t>International Journal of Human Resource Studies</w:t>
      </w:r>
      <w:r w:rsidRPr="00346C37">
        <w:t xml:space="preserve">, 3(3). doi:10.5296/ijhrs.v3i3.6255. </w:t>
      </w:r>
    </w:p>
    <w:p w14:paraId="00757F99" w14:textId="77777777" w:rsidR="00D82EF0" w:rsidRDefault="00D82EF0" w:rsidP="00346C37">
      <w:pPr>
        <w:spacing w:line="360" w:lineRule="auto"/>
      </w:pPr>
    </w:p>
    <w:p w14:paraId="1E5754B3" w14:textId="7F5EAAD8" w:rsidR="00D82EF0" w:rsidRDefault="00D82EF0" w:rsidP="00346C37">
      <w:pPr>
        <w:spacing w:line="360" w:lineRule="auto"/>
      </w:pPr>
      <w:r w:rsidRPr="00D82EF0">
        <w:t xml:space="preserve">Bartram, F. (2024) </w:t>
      </w:r>
      <w:r w:rsidRPr="00D82EF0">
        <w:rPr>
          <w:i/>
          <w:iCs/>
        </w:rPr>
        <w:t>HR statistics, Trends &amp; Data: Ultimate list 2024</w:t>
      </w:r>
      <w:r w:rsidRPr="00D82EF0">
        <w:t xml:space="preserve">, </w:t>
      </w:r>
      <w:r w:rsidRPr="00D82EF0">
        <w:rPr>
          <w:i/>
          <w:iCs/>
        </w:rPr>
        <w:t>People Managing People</w:t>
      </w:r>
      <w:r w:rsidRPr="00D82EF0">
        <w:t xml:space="preserve">. Available at: https://peoplemanagingpeople.com/personal-development/hr-career/hr-statistics/ (Accessed: 02 December 2024). </w:t>
      </w:r>
    </w:p>
    <w:p w14:paraId="7EADD509" w14:textId="77777777" w:rsidR="00E84375" w:rsidRDefault="00E84375" w:rsidP="00346C37">
      <w:pPr>
        <w:spacing w:line="360" w:lineRule="auto"/>
      </w:pPr>
    </w:p>
    <w:p w14:paraId="1EC91A50" w14:textId="2861B87F" w:rsidR="00E84375" w:rsidRPr="00346C37" w:rsidRDefault="00E84375" w:rsidP="00346C37">
      <w:pPr>
        <w:spacing w:line="360" w:lineRule="auto"/>
      </w:pPr>
      <w:r w:rsidRPr="00E84375">
        <w:t>Challinor, J. (2023) ‘Global Oncology Nursing Recruitment and Retention: A SWOT analysis’, Seminars in Oncology Nursing, 39(1), p. 151361. doi:10.1016/j.soncn.2022.151361.</w:t>
      </w:r>
    </w:p>
    <w:p w14:paraId="6C467B3B" w14:textId="77777777" w:rsidR="00CA6117" w:rsidRDefault="00CA6117" w:rsidP="007A095E">
      <w:pPr>
        <w:spacing w:line="360" w:lineRule="auto"/>
      </w:pPr>
    </w:p>
    <w:p w14:paraId="0E2C5B43" w14:textId="43A000AB" w:rsidR="007A095E" w:rsidRDefault="007A095E" w:rsidP="007A095E">
      <w:pPr>
        <w:spacing w:line="360" w:lineRule="auto"/>
      </w:pPr>
      <w:r w:rsidRPr="007A095E">
        <w:t xml:space="preserve">Christensen Hughes, J. and Rog, E. (2008) ‘Talent management’, </w:t>
      </w:r>
      <w:r w:rsidRPr="007A095E">
        <w:rPr>
          <w:i/>
          <w:iCs/>
        </w:rPr>
        <w:t>International Journal of Contemporary Hospitality Management</w:t>
      </w:r>
      <w:r w:rsidRPr="007A095E">
        <w:t xml:space="preserve">, 20(7), pp. 743–757. doi:10.1108/09596110810899086. </w:t>
      </w:r>
    </w:p>
    <w:p w14:paraId="5513DCF1" w14:textId="77777777" w:rsidR="00421B2D" w:rsidRDefault="00421B2D" w:rsidP="007A095E">
      <w:pPr>
        <w:spacing w:line="360" w:lineRule="auto"/>
      </w:pPr>
    </w:p>
    <w:p w14:paraId="6363CF5E" w14:textId="1D0AF88E" w:rsidR="00421B2D" w:rsidRPr="00421B2D" w:rsidRDefault="00421B2D" w:rsidP="00421B2D">
      <w:pPr>
        <w:spacing w:line="360" w:lineRule="auto"/>
      </w:pPr>
      <w:r w:rsidRPr="00421B2D">
        <w:t>CIPD (2024</w:t>
      </w:r>
      <w:r w:rsidR="003F531F">
        <w:t>c</w:t>
      </w:r>
      <w:r w:rsidRPr="00421B2D">
        <w:t xml:space="preserve">) </w:t>
      </w:r>
      <w:r w:rsidRPr="00421B2D">
        <w:rPr>
          <w:i/>
          <w:iCs/>
        </w:rPr>
        <w:t>Ethical practice and the role of people professionals: Factsheets</w:t>
      </w:r>
      <w:r w:rsidRPr="00421B2D">
        <w:t xml:space="preserve">, </w:t>
      </w:r>
      <w:r w:rsidRPr="00421B2D">
        <w:rPr>
          <w:i/>
          <w:iCs/>
        </w:rPr>
        <w:t>CIPD</w:t>
      </w:r>
      <w:r w:rsidRPr="00421B2D">
        <w:t xml:space="preserve">. Available at: https://www.cipd.org/uk/knowledge/factsheets/ethics-role-hr-factsheet/#what-is-ethical-practice-in-organisations (Accessed: 01 December 2024). </w:t>
      </w:r>
    </w:p>
    <w:p w14:paraId="3F6157A9" w14:textId="77777777" w:rsidR="001323A8" w:rsidRDefault="001323A8" w:rsidP="007A095E">
      <w:pPr>
        <w:spacing w:line="360" w:lineRule="auto"/>
      </w:pPr>
    </w:p>
    <w:p w14:paraId="299E5640" w14:textId="12E345C5" w:rsidR="001323A8" w:rsidRDefault="001323A8" w:rsidP="007A095E">
      <w:pPr>
        <w:spacing w:line="360" w:lineRule="auto"/>
      </w:pPr>
      <w:r w:rsidRPr="001323A8">
        <w:t xml:space="preserve">CIPD (2015) </w:t>
      </w:r>
      <w:r w:rsidRPr="001323A8">
        <w:rPr>
          <w:i/>
          <w:iCs/>
        </w:rPr>
        <w:t>Ethical decision making in the workplace: Reports</w:t>
      </w:r>
      <w:r w:rsidRPr="001323A8">
        <w:t xml:space="preserve">, </w:t>
      </w:r>
      <w:r w:rsidRPr="001323A8">
        <w:rPr>
          <w:i/>
          <w:iCs/>
        </w:rPr>
        <w:t>CIPD</w:t>
      </w:r>
      <w:r w:rsidRPr="001323A8">
        <w:t xml:space="preserve">. Available at: https://www.cipd.org/uk/knowledge/reports/workplace-decisions-report/ (Accessed: 01 December 2024). </w:t>
      </w:r>
    </w:p>
    <w:p w14:paraId="59193316" w14:textId="77777777" w:rsidR="00AE6737" w:rsidRDefault="00AE6737" w:rsidP="00AE6737">
      <w:pPr>
        <w:spacing w:line="360" w:lineRule="auto"/>
        <w:rPr>
          <w:rFonts w:cs="Arial"/>
        </w:rPr>
      </w:pPr>
    </w:p>
    <w:p w14:paraId="26487E27" w14:textId="4EBD8EB9" w:rsidR="00AE6737" w:rsidRDefault="00AE6737" w:rsidP="00AE6737">
      <w:pPr>
        <w:spacing w:line="360" w:lineRule="auto"/>
        <w:rPr>
          <w:rFonts w:cs="Arial"/>
        </w:rPr>
      </w:pPr>
      <w:r w:rsidRPr="00AE6737">
        <w:rPr>
          <w:rFonts w:cs="Arial"/>
        </w:rPr>
        <w:t xml:space="preserve">CIPD (2023) </w:t>
      </w:r>
      <w:r w:rsidRPr="00AE6737">
        <w:rPr>
          <w:rFonts w:cs="Arial"/>
          <w:i/>
          <w:iCs/>
        </w:rPr>
        <w:t>People analytics: Guide for people professionals</w:t>
      </w:r>
      <w:r w:rsidRPr="00AE6737">
        <w:rPr>
          <w:rFonts w:cs="Arial"/>
        </w:rPr>
        <w:t xml:space="preserve">, </w:t>
      </w:r>
      <w:r w:rsidRPr="00AE6737">
        <w:rPr>
          <w:rFonts w:cs="Arial"/>
          <w:i/>
          <w:iCs/>
        </w:rPr>
        <w:t>CIPD</w:t>
      </w:r>
      <w:r w:rsidRPr="00AE6737">
        <w:rPr>
          <w:rFonts w:cs="Arial"/>
        </w:rPr>
        <w:t xml:space="preserve">. Available at: https://www.cipd.org/uk/knowledge/guides/analytics-practitioner-guide/#how-is-hr-using-people-analytics (Accessed: 01 December 2024). </w:t>
      </w:r>
    </w:p>
    <w:p w14:paraId="7B423A05" w14:textId="77777777" w:rsidR="00363073" w:rsidRDefault="00363073" w:rsidP="00AE6737">
      <w:pPr>
        <w:spacing w:line="360" w:lineRule="auto"/>
        <w:rPr>
          <w:rFonts w:cs="Arial"/>
        </w:rPr>
      </w:pPr>
    </w:p>
    <w:p w14:paraId="094CD9FA" w14:textId="7E8675D6" w:rsidR="00365102" w:rsidRPr="00365102" w:rsidRDefault="00365102" w:rsidP="00365102">
      <w:pPr>
        <w:spacing w:line="360" w:lineRule="auto"/>
        <w:rPr>
          <w:rFonts w:cs="Arial"/>
          <w:i/>
          <w:iCs/>
        </w:rPr>
      </w:pPr>
      <w:r w:rsidRPr="00365102">
        <w:rPr>
          <w:rFonts w:cs="Arial"/>
          <w:i/>
          <w:iCs/>
        </w:rPr>
        <w:t>CIPD (2022</w:t>
      </w:r>
      <w:r>
        <w:rPr>
          <w:rFonts w:cs="Arial"/>
          <w:i/>
          <w:iCs/>
        </w:rPr>
        <w:t>b</w:t>
      </w:r>
      <w:r w:rsidRPr="00365102">
        <w:rPr>
          <w:rFonts w:cs="Arial"/>
          <w:i/>
          <w:iCs/>
        </w:rPr>
        <w:t xml:space="preserve">) People performance: An evidence review | Practice Summary, CIPD. Available at: https://www.cipd.org/uk/knowledge/evidence-reviews/evidence-people-performance/ (Accessed: 01 December 2024). </w:t>
      </w:r>
    </w:p>
    <w:p w14:paraId="0C00BEF8" w14:textId="77777777" w:rsidR="00365102" w:rsidRDefault="00365102" w:rsidP="00AE6737">
      <w:pPr>
        <w:spacing w:line="360" w:lineRule="auto"/>
        <w:rPr>
          <w:rFonts w:cs="Arial"/>
        </w:rPr>
      </w:pPr>
    </w:p>
    <w:p w14:paraId="3CA9AF94" w14:textId="0A72F7C5" w:rsidR="00365102" w:rsidRPr="00365102" w:rsidRDefault="00365102" w:rsidP="00365102">
      <w:pPr>
        <w:spacing w:line="360" w:lineRule="auto"/>
        <w:rPr>
          <w:rFonts w:cs="Arial"/>
        </w:rPr>
      </w:pPr>
      <w:r w:rsidRPr="00365102">
        <w:rPr>
          <w:rFonts w:cs="Arial"/>
        </w:rPr>
        <w:t>CIPD (2022</w:t>
      </w:r>
      <w:r>
        <w:rPr>
          <w:rFonts w:cs="Arial"/>
        </w:rPr>
        <w:t>a</w:t>
      </w:r>
      <w:r w:rsidRPr="00365102">
        <w:rPr>
          <w:rFonts w:cs="Arial"/>
        </w:rPr>
        <w:t xml:space="preserve">) </w:t>
      </w:r>
      <w:r w:rsidRPr="00365102">
        <w:rPr>
          <w:rFonts w:cs="Arial"/>
          <w:i/>
          <w:iCs/>
        </w:rPr>
        <w:t>Performance feedback: An evidence review | Practice Summary</w:t>
      </w:r>
      <w:r w:rsidRPr="00365102">
        <w:rPr>
          <w:rFonts w:cs="Arial"/>
        </w:rPr>
        <w:t xml:space="preserve">, </w:t>
      </w:r>
      <w:r w:rsidRPr="00365102">
        <w:rPr>
          <w:rFonts w:cs="Arial"/>
          <w:i/>
          <w:iCs/>
        </w:rPr>
        <w:t>CIPD</w:t>
      </w:r>
      <w:r w:rsidRPr="00365102">
        <w:rPr>
          <w:rFonts w:cs="Arial"/>
        </w:rPr>
        <w:t xml:space="preserve">. Available at: https://www.cipd.org/uk/knowledge/evidence-reviews/performance-feedback/ (Accessed: 01 December 2024). </w:t>
      </w:r>
    </w:p>
    <w:p w14:paraId="1EA4014F" w14:textId="77777777" w:rsidR="00365102" w:rsidRDefault="00365102" w:rsidP="00AE6737">
      <w:pPr>
        <w:spacing w:line="360" w:lineRule="auto"/>
        <w:rPr>
          <w:rFonts w:cs="Arial"/>
        </w:rPr>
      </w:pPr>
    </w:p>
    <w:p w14:paraId="5BCF47B2" w14:textId="7FA108AA" w:rsidR="00F72F38" w:rsidRDefault="00F72F38" w:rsidP="00F72F38">
      <w:pPr>
        <w:spacing w:line="360" w:lineRule="auto"/>
        <w:rPr>
          <w:rFonts w:cs="Arial"/>
        </w:rPr>
      </w:pPr>
      <w:r w:rsidRPr="00F72F38">
        <w:rPr>
          <w:rFonts w:cs="Arial"/>
        </w:rPr>
        <w:t>CIPD (2024</w:t>
      </w:r>
      <w:r w:rsidR="003A1BFC">
        <w:rPr>
          <w:rFonts w:cs="Arial"/>
        </w:rPr>
        <w:t>e</w:t>
      </w:r>
      <w:r w:rsidRPr="00F72F38">
        <w:rPr>
          <w:rFonts w:cs="Arial"/>
        </w:rPr>
        <w:t xml:space="preserve">) </w:t>
      </w:r>
      <w:r w:rsidRPr="00F72F38">
        <w:rPr>
          <w:rFonts w:cs="Arial"/>
          <w:i/>
          <w:iCs/>
        </w:rPr>
        <w:t>Performance management: an introduction: Factsheets</w:t>
      </w:r>
      <w:r w:rsidRPr="00F72F38">
        <w:rPr>
          <w:rFonts w:cs="Arial"/>
        </w:rPr>
        <w:t xml:space="preserve">, </w:t>
      </w:r>
      <w:r w:rsidRPr="00F72F38">
        <w:rPr>
          <w:rFonts w:cs="Arial"/>
          <w:i/>
          <w:iCs/>
        </w:rPr>
        <w:t>CIPD</w:t>
      </w:r>
      <w:r w:rsidRPr="00F72F38">
        <w:rPr>
          <w:rFonts w:cs="Arial"/>
        </w:rPr>
        <w:t xml:space="preserve">. Available at: https://www.cipd.org/uk/knowledge/factsheets/performance-factsheet/ (Accessed: 01 December 2024). </w:t>
      </w:r>
    </w:p>
    <w:p w14:paraId="2A7CBF65" w14:textId="77777777" w:rsidR="00365102" w:rsidRDefault="00365102" w:rsidP="00F72F38">
      <w:pPr>
        <w:spacing w:line="360" w:lineRule="auto"/>
        <w:rPr>
          <w:rFonts w:cs="Arial"/>
        </w:rPr>
      </w:pPr>
    </w:p>
    <w:p w14:paraId="11EDB2FA" w14:textId="6F322EB0" w:rsidR="00365102" w:rsidRPr="00F72F38" w:rsidRDefault="00365102" w:rsidP="00F72F38">
      <w:pPr>
        <w:spacing w:line="360" w:lineRule="auto"/>
        <w:rPr>
          <w:rFonts w:cs="Arial"/>
        </w:rPr>
      </w:pPr>
      <w:r w:rsidRPr="00365102">
        <w:rPr>
          <w:rFonts w:cs="Arial"/>
        </w:rPr>
        <w:t xml:space="preserve">CIPD (2016) </w:t>
      </w:r>
      <w:r w:rsidRPr="00365102">
        <w:rPr>
          <w:rFonts w:cs="Arial"/>
          <w:i/>
          <w:iCs/>
        </w:rPr>
        <w:t xml:space="preserve">Performance management: Could do </w:t>
      </w:r>
      <w:r w:rsidR="00D9756E" w:rsidRPr="00365102">
        <w:rPr>
          <w:rFonts w:cs="Arial"/>
          <w:i/>
          <w:iCs/>
        </w:rPr>
        <w:t>better?</w:t>
      </w:r>
      <w:r w:rsidRPr="00365102">
        <w:rPr>
          <w:rFonts w:cs="Arial"/>
        </w:rPr>
        <w:t xml:space="preserve"> </w:t>
      </w:r>
      <w:r w:rsidRPr="00365102">
        <w:rPr>
          <w:rFonts w:cs="Arial"/>
          <w:i/>
          <w:iCs/>
        </w:rPr>
        <w:t>CIPD</w:t>
      </w:r>
      <w:r w:rsidRPr="00365102">
        <w:rPr>
          <w:rFonts w:cs="Arial"/>
        </w:rPr>
        <w:t xml:space="preserve">. Available at: https://www.cipd.org/uk/knowledge/evidence-reviews/what-works-in-performance-management/ (Accessed: 01 December 2024). </w:t>
      </w:r>
    </w:p>
    <w:p w14:paraId="134F6311" w14:textId="77777777" w:rsidR="00F72F38" w:rsidRDefault="00F72F38" w:rsidP="00AE6737">
      <w:pPr>
        <w:spacing w:line="360" w:lineRule="auto"/>
        <w:rPr>
          <w:rFonts w:cs="Arial"/>
        </w:rPr>
      </w:pPr>
    </w:p>
    <w:p w14:paraId="6FE4838F" w14:textId="54069F69" w:rsidR="001737AB" w:rsidRPr="001737AB" w:rsidRDefault="001737AB" w:rsidP="001737AB">
      <w:pPr>
        <w:spacing w:line="360" w:lineRule="auto"/>
        <w:rPr>
          <w:rFonts w:cs="Arial"/>
        </w:rPr>
      </w:pPr>
      <w:r w:rsidRPr="001737AB">
        <w:rPr>
          <w:rFonts w:cs="Arial"/>
        </w:rPr>
        <w:lastRenderedPageBreak/>
        <w:t>CIPD (2024</w:t>
      </w:r>
      <w:r>
        <w:rPr>
          <w:rFonts w:cs="Arial"/>
        </w:rPr>
        <w:t>d</w:t>
      </w:r>
      <w:r w:rsidRPr="001737AB">
        <w:rPr>
          <w:rFonts w:cs="Arial"/>
        </w:rPr>
        <w:t xml:space="preserve">) </w:t>
      </w:r>
      <w:r w:rsidRPr="001737AB">
        <w:rPr>
          <w:rFonts w:cs="Arial"/>
          <w:i/>
          <w:iCs/>
        </w:rPr>
        <w:t>Performance related pay: Factsheets</w:t>
      </w:r>
      <w:r w:rsidRPr="001737AB">
        <w:rPr>
          <w:rFonts w:cs="Arial"/>
        </w:rPr>
        <w:t xml:space="preserve">, </w:t>
      </w:r>
      <w:r w:rsidRPr="001737AB">
        <w:rPr>
          <w:rFonts w:cs="Arial"/>
          <w:i/>
          <w:iCs/>
        </w:rPr>
        <w:t>CIPD</w:t>
      </w:r>
      <w:r w:rsidRPr="001737AB">
        <w:rPr>
          <w:rFonts w:cs="Arial"/>
        </w:rPr>
        <w:t xml:space="preserve">. Available at: https://www.cipd.org/uk/knowledge/factsheets/pay-performance-factsheet/ (Accessed: 01 December 2024). </w:t>
      </w:r>
    </w:p>
    <w:p w14:paraId="24DFA1B3" w14:textId="77777777" w:rsidR="00653E85" w:rsidRDefault="00653E85" w:rsidP="007A095E">
      <w:pPr>
        <w:spacing w:line="360" w:lineRule="auto"/>
        <w:rPr>
          <w:rFonts w:cs="Arial"/>
        </w:rPr>
      </w:pPr>
    </w:p>
    <w:p w14:paraId="08BE5792" w14:textId="605888C5" w:rsidR="00402551" w:rsidRDefault="002F4AA3" w:rsidP="007A095E">
      <w:pPr>
        <w:spacing w:line="360" w:lineRule="auto"/>
        <w:rPr>
          <w:rFonts w:cs="Arial"/>
        </w:rPr>
      </w:pPr>
      <w:r>
        <w:rPr>
          <w:rFonts w:cs="Arial"/>
        </w:rPr>
        <w:t>De</w:t>
      </w:r>
      <w:r w:rsidR="00653E85" w:rsidRPr="00653E85">
        <w:rPr>
          <w:rFonts w:cs="Arial"/>
        </w:rPr>
        <w:t xml:space="preserve"> Bono, E. (2017) </w:t>
      </w:r>
      <w:r w:rsidR="00653E85" w:rsidRPr="00653E85">
        <w:rPr>
          <w:rFonts w:cs="Arial"/>
          <w:i/>
          <w:iCs/>
        </w:rPr>
        <w:t>Six Thinking Hats: The multi-million bestselling guide to running better meetings and making faster decisions</w:t>
      </w:r>
      <w:r w:rsidR="00653E85" w:rsidRPr="00653E85">
        <w:rPr>
          <w:rFonts w:cs="Arial"/>
        </w:rPr>
        <w:t xml:space="preserve">. revised. London: Penguin. </w:t>
      </w:r>
    </w:p>
    <w:p w14:paraId="5B45DEF8" w14:textId="77777777" w:rsidR="00974E55" w:rsidRDefault="00974E55" w:rsidP="00974E55">
      <w:pPr>
        <w:spacing w:line="360" w:lineRule="auto"/>
        <w:rPr>
          <w:rFonts w:cs="Arial"/>
        </w:rPr>
      </w:pPr>
      <w:r w:rsidRPr="00A92C7F">
        <w:rPr>
          <w:rFonts w:cs="Arial"/>
        </w:rPr>
        <w:t>Facione, P.A., 2011. Critical thinking: What it is and why it counts. </w:t>
      </w:r>
      <w:r w:rsidRPr="00A92C7F">
        <w:rPr>
          <w:rFonts w:cs="Arial"/>
          <w:i/>
          <w:iCs/>
        </w:rPr>
        <w:t>Insight assessment</w:t>
      </w:r>
      <w:r w:rsidRPr="00A92C7F">
        <w:rPr>
          <w:rFonts w:cs="Arial"/>
        </w:rPr>
        <w:t>, </w:t>
      </w:r>
      <w:r w:rsidRPr="00A92C7F">
        <w:rPr>
          <w:rFonts w:cs="Arial"/>
          <w:i/>
          <w:iCs/>
        </w:rPr>
        <w:t>1</w:t>
      </w:r>
      <w:r w:rsidRPr="00A92C7F">
        <w:rPr>
          <w:rFonts w:cs="Arial"/>
        </w:rPr>
        <w:t>(1), pp.1-23.</w:t>
      </w:r>
    </w:p>
    <w:p w14:paraId="1B327B6D" w14:textId="77777777" w:rsidR="00950BB9" w:rsidRDefault="00950BB9" w:rsidP="00974E55">
      <w:pPr>
        <w:spacing w:line="360" w:lineRule="auto"/>
        <w:rPr>
          <w:rFonts w:cs="Arial"/>
        </w:rPr>
      </w:pPr>
    </w:p>
    <w:p w14:paraId="3BEEFC4F" w14:textId="09FA69E1" w:rsidR="0092041C" w:rsidRDefault="00950BB9" w:rsidP="00974E55">
      <w:pPr>
        <w:spacing w:line="360" w:lineRule="auto"/>
        <w:rPr>
          <w:rFonts w:cs="Arial"/>
          <w:color w:val="FF0000"/>
        </w:rPr>
      </w:pPr>
      <w:r w:rsidRPr="00BC19C0">
        <w:rPr>
          <w:rFonts w:cs="Arial"/>
          <w:color w:val="FF0000"/>
        </w:rPr>
        <w:t xml:space="preserve">Gallup (2024) </w:t>
      </w:r>
      <w:r w:rsidRPr="00BC19C0">
        <w:rPr>
          <w:rFonts w:cs="Arial"/>
          <w:i/>
          <w:iCs/>
          <w:color w:val="FF0000"/>
        </w:rPr>
        <w:t>How to improve employee engagement in the workplace</w:t>
      </w:r>
      <w:r w:rsidRPr="00BC19C0">
        <w:rPr>
          <w:rFonts w:cs="Arial"/>
          <w:color w:val="FF0000"/>
        </w:rPr>
        <w:t xml:space="preserve">, </w:t>
      </w:r>
      <w:r w:rsidRPr="00BC19C0">
        <w:rPr>
          <w:rFonts w:cs="Arial"/>
          <w:i/>
          <w:iCs/>
          <w:color w:val="FF0000"/>
        </w:rPr>
        <w:t>Gallup.com</w:t>
      </w:r>
      <w:r w:rsidRPr="00BC19C0">
        <w:rPr>
          <w:rFonts w:cs="Arial"/>
          <w:color w:val="FF0000"/>
        </w:rPr>
        <w:t xml:space="preserve">. Available at: https://www.gallup.com/workplace/285674/improve-employee-engagement-workplace.aspx (Accessed: 26 January 2025). </w:t>
      </w:r>
    </w:p>
    <w:p w14:paraId="1B6B2525" w14:textId="77777777" w:rsidR="00C63E5C" w:rsidRDefault="00C63E5C" w:rsidP="00974E55">
      <w:pPr>
        <w:spacing w:line="360" w:lineRule="auto"/>
        <w:rPr>
          <w:rFonts w:cs="Arial"/>
          <w:color w:val="FF0000"/>
        </w:rPr>
      </w:pPr>
    </w:p>
    <w:p w14:paraId="661EB1E1" w14:textId="5930DD9A" w:rsidR="00C63E5C" w:rsidRDefault="00C63E5C" w:rsidP="00974E55">
      <w:pPr>
        <w:spacing w:line="360" w:lineRule="auto"/>
        <w:rPr>
          <w:rFonts w:cs="Arial"/>
          <w:color w:val="FF0000"/>
        </w:rPr>
      </w:pPr>
      <w:r w:rsidRPr="00C63E5C">
        <w:rPr>
          <w:rFonts w:cs="Arial"/>
          <w:color w:val="FF0000"/>
        </w:rPr>
        <w:t>Gifford, J., Barends, E. and Young, J. (2023) </w:t>
      </w:r>
      <w:r w:rsidRPr="00C63E5C">
        <w:rPr>
          <w:rFonts w:cs="Arial"/>
          <w:i/>
          <w:iCs/>
          <w:color w:val="FF0000"/>
        </w:rPr>
        <w:t>Evidence-based HR: Make better decisions and step up your influence</w:t>
      </w:r>
      <w:r w:rsidRPr="00C63E5C">
        <w:rPr>
          <w:rFonts w:cs="Arial"/>
          <w:color w:val="FF0000"/>
        </w:rPr>
        <w:t>. Guide. London: Chartered Institute of Personnel and Development.</w:t>
      </w:r>
    </w:p>
    <w:p w14:paraId="007253F3" w14:textId="77777777" w:rsidR="00C63E5C" w:rsidRDefault="00C63E5C" w:rsidP="00974E55">
      <w:pPr>
        <w:spacing w:line="360" w:lineRule="auto"/>
        <w:rPr>
          <w:rFonts w:cs="Arial"/>
          <w:color w:val="FF0000"/>
        </w:rPr>
      </w:pPr>
    </w:p>
    <w:p w14:paraId="6E313A67" w14:textId="3CD5763E" w:rsidR="00950BB9" w:rsidRDefault="00C63E5C" w:rsidP="00974E55">
      <w:pPr>
        <w:spacing w:line="360" w:lineRule="auto"/>
        <w:rPr>
          <w:rFonts w:cs="Arial"/>
          <w:color w:val="FF0000"/>
        </w:rPr>
      </w:pPr>
      <w:r w:rsidRPr="00C63E5C">
        <w:rPr>
          <w:rFonts w:cs="Arial"/>
          <w:color w:val="FF0000"/>
        </w:rPr>
        <w:t xml:space="preserve">Gifford, J. (2014) </w:t>
      </w:r>
      <w:r w:rsidRPr="00C63E5C">
        <w:rPr>
          <w:rFonts w:cs="Arial"/>
          <w:i/>
          <w:iCs/>
          <w:color w:val="FF0000"/>
        </w:rPr>
        <w:t>Our Minds at work: Developing the behavioural science of HR</w:t>
      </w:r>
      <w:r w:rsidRPr="00C63E5C">
        <w:rPr>
          <w:rFonts w:cs="Arial"/>
          <w:color w:val="FF0000"/>
        </w:rPr>
        <w:t xml:space="preserve">, </w:t>
      </w:r>
      <w:r w:rsidRPr="00C63E5C">
        <w:rPr>
          <w:rFonts w:cs="Arial"/>
          <w:i/>
          <w:iCs/>
          <w:color w:val="FF0000"/>
        </w:rPr>
        <w:t>CIPD</w:t>
      </w:r>
      <w:r w:rsidRPr="00C63E5C">
        <w:rPr>
          <w:rFonts w:cs="Arial"/>
          <w:color w:val="FF0000"/>
        </w:rPr>
        <w:t xml:space="preserve">. Available at: https://www.cipd.org/uk/knowledge/reports/hr-report/ (Accessed: 26 January 2025). </w:t>
      </w:r>
    </w:p>
    <w:p w14:paraId="21DC33F5" w14:textId="77777777" w:rsidR="00C63E5C" w:rsidRPr="00950BB9" w:rsidRDefault="00C63E5C" w:rsidP="00974E55">
      <w:pPr>
        <w:spacing w:line="360" w:lineRule="auto"/>
        <w:rPr>
          <w:rFonts w:cs="Arial"/>
          <w:color w:val="FF0000"/>
        </w:rPr>
      </w:pPr>
    </w:p>
    <w:p w14:paraId="1E4B5E6E" w14:textId="34C7AE86" w:rsidR="0092041C" w:rsidRPr="00EE2A09" w:rsidRDefault="0092041C" w:rsidP="00974E55">
      <w:pPr>
        <w:spacing w:line="360" w:lineRule="auto"/>
        <w:rPr>
          <w:rFonts w:cs="Arial"/>
        </w:rPr>
      </w:pPr>
      <w:r w:rsidRPr="0092041C">
        <w:rPr>
          <w:rFonts w:cs="Arial"/>
        </w:rPr>
        <w:t xml:space="preserve">Gould-Williams, J. (2003) ‘The importance of HR practices and Workplace Trust in achieving superior performance: A study of public-sector organizations’, </w:t>
      </w:r>
      <w:r w:rsidRPr="0092041C">
        <w:rPr>
          <w:rFonts w:cs="Arial"/>
          <w:i/>
          <w:iCs/>
        </w:rPr>
        <w:t>The International Journal of Human Resource Management</w:t>
      </w:r>
      <w:r w:rsidRPr="0092041C">
        <w:rPr>
          <w:rFonts w:cs="Arial"/>
        </w:rPr>
        <w:t xml:space="preserve">, 14(1), pp. 28–54. doi:10.1080/09585190210158501. </w:t>
      </w:r>
    </w:p>
    <w:p w14:paraId="55400D35" w14:textId="77777777" w:rsidR="00653E85" w:rsidRDefault="00653E85" w:rsidP="007A095E">
      <w:pPr>
        <w:spacing w:line="360" w:lineRule="auto"/>
        <w:rPr>
          <w:rFonts w:cs="Arial"/>
        </w:rPr>
      </w:pPr>
    </w:p>
    <w:p w14:paraId="293F1DCF" w14:textId="3C75A817" w:rsidR="00DE5107" w:rsidRDefault="00DE5107" w:rsidP="007A095E">
      <w:pPr>
        <w:spacing w:line="360" w:lineRule="auto"/>
        <w:rPr>
          <w:rFonts w:cs="Arial"/>
        </w:rPr>
      </w:pPr>
      <w:r w:rsidRPr="00EB5BA3">
        <w:rPr>
          <w:rFonts w:cs="Arial"/>
        </w:rPr>
        <w:t>Green, D. (2024) </w:t>
      </w:r>
      <w:r w:rsidRPr="00EB5BA3">
        <w:rPr>
          <w:rFonts w:cs="Arial"/>
          <w:i/>
          <w:iCs/>
        </w:rPr>
        <w:t>Digital HR Leaders with David Green: What is Evidence Based HR and Why is it Important? (An Interview with Rob Briner) </w:t>
      </w:r>
      <w:r w:rsidRPr="00EB5BA3">
        <w:rPr>
          <w:rFonts w:cs="Arial"/>
        </w:rPr>
        <w:t>[Podcast]. 19 March. Available at: https://open.spotify.com/episode/5cU7JaG0FXbJAU6RHSmJBK?si=PPPX0k6MSnq_8Z0iIBi5Cg (Accessed: 24 November 2024).</w:t>
      </w:r>
    </w:p>
    <w:p w14:paraId="3F519DC3" w14:textId="77777777" w:rsidR="002F4AA3" w:rsidRDefault="002F4AA3" w:rsidP="007A095E">
      <w:pPr>
        <w:spacing w:line="360" w:lineRule="auto"/>
        <w:rPr>
          <w:rFonts w:cs="Arial"/>
        </w:rPr>
      </w:pPr>
    </w:p>
    <w:p w14:paraId="0061E231" w14:textId="77777777" w:rsidR="00B2384A" w:rsidRDefault="002F4AA3" w:rsidP="007A095E">
      <w:pPr>
        <w:spacing w:line="360" w:lineRule="auto"/>
        <w:rPr>
          <w:rFonts w:cs="Arial"/>
        </w:rPr>
      </w:pPr>
      <w:r w:rsidRPr="002F4AA3">
        <w:rPr>
          <w:rFonts w:cs="Arial"/>
        </w:rPr>
        <w:t xml:space="preserve">Greenwood, M.R. (2002) ‘Ethics and HRM: A Review and Conceptual Analysis’, </w:t>
      </w:r>
      <w:r w:rsidRPr="002F4AA3">
        <w:rPr>
          <w:rFonts w:cs="Arial"/>
          <w:i/>
          <w:iCs/>
        </w:rPr>
        <w:t>Journal of Business Ethics</w:t>
      </w:r>
      <w:r w:rsidRPr="002F4AA3">
        <w:rPr>
          <w:rFonts w:cs="Arial"/>
        </w:rPr>
        <w:t>, 36(3), pp. 261–278. doi:10.1023/a:1014090411946.</w:t>
      </w:r>
    </w:p>
    <w:p w14:paraId="0B4D5453" w14:textId="77777777" w:rsidR="00D45F6A" w:rsidRDefault="00D45F6A" w:rsidP="007A095E">
      <w:pPr>
        <w:spacing w:line="360" w:lineRule="auto"/>
        <w:rPr>
          <w:rFonts w:cs="Arial"/>
        </w:rPr>
      </w:pPr>
    </w:p>
    <w:p w14:paraId="4FFA4B42" w14:textId="12CEAC1E" w:rsidR="00D45F6A" w:rsidRDefault="00D45F6A" w:rsidP="007A095E">
      <w:pPr>
        <w:spacing w:line="360" w:lineRule="auto"/>
        <w:rPr>
          <w:rFonts w:cs="Arial"/>
          <w:color w:val="FF0000"/>
        </w:rPr>
      </w:pPr>
      <w:r w:rsidRPr="00D45F6A">
        <w:rPr>
          <w:rFonts w:cs="Arial"/>
          <w:color w:val="FF0000"/>
        </w:rPr>
        <w:t>Gross vs. net profit (2024) Stripe. Available at: https://stripe.com/gb/resources/more/gross-vs-net-profit-what-businesses-need-to-know (Accessed: 26 January 2025).</w:t>
      </w:r>
    </w:p>
    <w:p w14:paraId="6E5C15B9" w14:textId="77777777" w:rsidR="00393ABB" w:rsidRDefault="00393ABB" w:rsidP="007A095E">
      <w:pPr>
        <w:spacing w:line="360" w:lineRule="auto"/>
        <w:rPr>
          <w:rFonts w:cs="Arial"/>
          <w:color w:val="FF0000"/>
        </w:rPr>
      </w:pPr>
    </w:p>
    <w:p w14:paraId="4DC44700" w14:textId="0AFE2748" w:rsidR="00393ABB" w:rsidRPr="00D45F6A" w:rsidRDefault="00393ABB" w:rsidP="007A095E">
      <w:pPr>
        <w:spacing w:line="360" w:lineRule="auto"/>
        <w:rPr>
          <w:rFonts w:cs="Arial"/>
          <w:color w:val="FF0000"/>
        </w:rPr>
      </w:pPr>
      <w:r w:rsidRPr="00393ABB">
        <w:rPr>
          <w:rFonts w:cs="Arial"/>
          <w:color w:val="FF0000"/>
        </w:rPr>
        <w:t xml:space="preserve">Haan, S. (2024) </w:t>
      </w:r>
      <w:r w:rsidRPr="00393ABB">
        <w:rPr>
          <w:rFonts w:cs="Arial"/>
          <w:i/>
          <w:iCs/>
          <w:color w:val="FF0000"/>
        </w:rPr>
        <w:t>SWOT Analysis: Factsheets</w:t>
      </w:r>
      <w:r w:rsidRPr="00393ABB">
        <w:rPr>
          <w:rFonts w:cs="Arial"/>
          <w:color w:val="FF0000"/>
        </w:rPr>
        <w:t xml:space="preserve">, </w:t>
      </w:r>
      <w:r w:rsidRPr="00393ABB">
        <w:rPr>
          <w:rFonts w:cs="Arial"/>
          <w:i/>
          <w:iCs/>
          <w:color w:val="FF0000"/>
        </w:rPr>
        <w:t>CIPD</w:t>
      </w:r>
      <w:r w:rsidRPr="00393ABB">
        <w:rPr>
          <w:rFonts w:cs="Arial"/>
          <w:color w:val="FF0000"/>
        </w:rPr>
        <w:t xml:space="preserve">. Available at: https://www.cipd.org/uk/knowledge/factsheets/swot-analysis-factsheet/ (Accessed: 27 January 2025). </w:t>
      </w:r>
    </w:p>
    <w:p w14:paraId="574ECDB0" w14:textId="77777777" w:rsidR="001737AB" w:rsidRDefault="001737AB" w:rsidP="007A095E">
      <w:pPr>
        <w:spacing w:line="360" w:lineRule="auto"/>
        <w:rPr>
          <w:rFonts w:cs="Arial"/>
        </w:rPr>
      </w:pPr>
    </w:p>
    <w:p w14:paraId="7962DF17" w14:textId="1423D42B" w:rsidR="001737AB" w:rsidRDefault="001737AB" w:rsidP="007A095E">
      <w:pPr>
        <w:spacing w:line="360" w:lineRule="auto"/>
        <w:rPr>
          <w:rFonts w:cs="Arial"/>
        </w:rPr>
      </w:pPr>
      <w:r w:rsidRPr="001737AB">
        <w:rPr>
          <w:rFonts w:cs="Arial"/>
        </w:rPr>
        <w:t xml:space="preserve">Haile, G.A. (2022) ‘Organizational leadership: How much does it matter?’, </w:t>
      </w:r>
      <w:r w:rsidRPr="001737AB">
        <w:rPr>
          <w:rFonts w:cs="Arial"/>
          <w:i/>
          <w:iCs/>
        </w:rPr>
        <w:t>British Journal of Industrial Relations</w:t>
      </w:r>
      <w:r w:rsidRPr="001737AB">
        <w:rPr>
          <w:rFonts w:cs="Arial"/>
        </w:rPr>
        <w:t>, 61(3), pp. 653–673. doi:10.1111/bjir.12711.</w:t>
      </w:r>
    </w:p>
    <w:p w14:paraId="156DCEB8" w14:textId="77777777" w:rsidR="0092041C" w:rsidRDefault="0092041C" w:rsidP="007A095E">
      <w:pPr>
        <w:spacing w:line="360" w:lineRule="auto"/>
        <w:rPr>
          <w:rFonts w:cs="Arial"/>
        </w:rPr>
      </w:pPr>
    </w:p>
    <w:p w14:paraId="09B6041A" w14:textId="7E856D21" w:rsidR="0092041C" w:rsidRDefault="0092041C" w:rsidP="007A095E">
      <w:pPr>
        <w:spacing w:line="360" w:lineRule="auto"/>
        <w:rPr>
          <w:rFonts w:cs="Arial"/>
        </w:rPr>
      </w:pPr>
      <w:r w:rsidRPr="0092041C">
        <w:rPr>
          <w:rFonts w:cs="Arial"/>
        </w:rPr>
        <w:t xml:space="preserve">Hennessey, B. </w:t>
      </w:r>
      <w:r w:rsidRPr="0092041C">
        <w:rPr>
          <w:rFonts w:cs="Arial"/>
          <w:i/>
          <w:iCs/>
        </w:rPr>
        <w:t>et al.</w:t>
      </w:r>
      <w:r w:rsidRPr="0092041C">
        <w:rPr>
          <w:rFonts w:cs="Arial"/>
        </w:rPr>
        <w:t xml:space="preserve"> (2015) ‘Extrinsic and intrinsic motivation’, </w:t>
      </w:r>
      <w:r w:rsidRPr="0092041C">
        <w:rPr>
          <w:rFonts w:cs="Arial"/>
          <w:i/>
          <w:iCs/>
        </w:rPr>
        <w:t xml:space="preserve">Wiley </w:t>
      </w:r>
      <w:r w:rsidR="00D9756E" w:rsidRPr="0092041C">
        <w:rPr>
          <w:rFonts w:cs="Arial"/>
          <w:i/>
          <w:iCs/>
        </w:rPr>
        <w:t>Encyclopaedia</w:t>
      </w:r>
      <w:r w:rsidRPr="0092041C">
        <w:rPr>
          <w:rFonts w:cs="Arial"/>
          <w:i/>
          <w:iCs/>
        </w:rPr>
        <w:t xml:space="preserve"> of Management</w:t>
      </w:r>
      <w:r w:rsidRPr="0092041C">
        <w:rPr>
          <w:rFonts w:cs="Arial"/>
        </w:rPr>
        <w:t xml:space="preserve">, 11. doi:10.1002/9781118785317.weom110098. </w:t>
      </w:r>
    </w:p>
    <w:p w14:paraId="21C1B88F" w14:textId="77777777" w:rsidR="0011017E" w:rsidRDefault="0011017E" w:rsidP="007A095E">
      <w:pPr>
        <w:spacing w:line="360" w:lineRule="auto"/>
        <w:rPr>
          <w:rFonts w:cs="Arial"/>
        </w:rPr>
      </w:pPr>
    </w:p>
    <w:p w14:paraId="6644F9EA" w14:textId="6697315B" w:rsidR="0011017E" w:rsidRPr="0011017E" w:rsidRDefault="0011017E" w:rsidP="007A095E">
      <w:pPr>
        <w:spacing w:line="360" w:lineRule="auto"/>
        <w:rPr>
          <w:rFonts w:cs="Arial"/>
          <w:color w:val="FF0000"/>
        </w:rPr>
      </w:pPr>
      <w:r w:rsidRPr="0011017E">
        <w:rPr>
          <w:rFonts w:cs="Arial"/>
          <w:color w:val="FF0000"/>
        </w:rPr>
        <w:t>Huselid, M.A., 1995. The impact of human resource management practices on turnover, productivity, and corporate financial performance. Academy of management journal, 38(3), pp.635-672.</w:t>
      </w:r>
    </w:p>
    <w:p w14:paraId="71E26FBB" w14:textId="77777777" w:rsidR="00172F33" w:rsidRDefault="00172F33" w:rsidP="007A095E">
      <w:pPr>
        <w:spacing w:line="360" w:lineRule="auto"/>
        <w:rPr>
          <w:rFonts w:cs="Arial"/>
        </w:rPr>
      </w:pPr>
    </w:p>
    <w:p w14:paraId="75E758E9" w14:textId="086D19C3" w:rsidR="00172F33" w:rsidRDefault="00172F33" w:rsidP="007A095E">
      <w:pPr>
        <w:spacing w:line="360" w:lineRule="auto"/>
        <w:rPr>
          <w:rFonts w:cs="Arial"/>
        </w:rPr>
      </w:pPr>
      <w:r w:rsidRPr="00172F33">
        <w:rPr>
          <w:rFonts w:cs="Arial"/>
        </w:rPr>
        <w:t xml:space="preserve">Jo, J., Chadwick, C. and Han, J.H. (2023) ‘How the human resource (HR) function adds strategic value: A relational perspective of the HR function’, </w:t>
      </w:r>
      <w:r w:rsidRPr="00172F33">
        <w:rPr>
          <w:rFonts w:cs="Arial"/>
          <w:i/>
          <w:iCs/>
        </w:rPr>
        <w:t>Human Resource Management</w:t>
      </w:r>
      <w:r w:rsidRPr="00172F33">
        <w:rPr>
          <w:rFonts w:cs="Arial"/>
        </w:rPr>
        <w:t xml:space="preserve">, 63(1), pp. 5–23. doi:10.1002/hrm.22184. </w:t>
      </w:r>
    </w:p>
    <w:p w14:paraId="1C174B0D" w14:textId="77777777" w:rsidR="00B2384A" w:rsidRDefault="00B2384A" w:rsidP="007A095E">
      <w:pPr>
        <w:spacing w:line="360" w:lineRule="auto"/>
        <w:rPr>
          <w:rFonts w:cs="Arial"/>
        </w:rPr>
      </w:pPr>
    </w:p>
    <w:p w14:paraId="028F4A50" w14:textId="6CB11B00" w:rsidR="00B2384A" w:rsidRPr="00B2384A" w:rsidRDefault="00B2384A" w:rsidP="00B2384A">
      <w:pPr>
        <w:spacing w:line="360" w:lineRule="auto"/>
        <w:rPr>
          <w:rFonts w:cs="Arial"/>
        </w:rPr>
      </w:pPr>
      <w:r w:rsidRPr="00B2384A">
        <w:rPr>
          <w:rFonts w:cs="Arial"/>
        </w:rPr>
        <w:t xml:space="preserve">Kranak, J. (2019) ‘Kantian Deontology’, in </w:t>
      </w:r>
      <w:r w:rsidRPr="00B2384A">
        <w:rPr>
          <w:rFonts w:cs="Arial"/>
          <w:i/>
          <w:iCs/>
        </w:rPr>
        <w:t>Introduction to Philosophy: Ethics</w:t>
      </w:r>
      <w:r w:rsidRPr="00B2384A">
        <w:rPr>
          <w:rFonts w:cs="Arial"/>
        </w:rPr>
        <w:t>. https://press.rebus.community/intro-to-phil-ethics/chapter/kantian-deontology/</w:t>
      </w:r>
    </w:p>
    <w:p w14:paraId="09201AB1" w14:textId="6165B760" w:rsidR="001C4A98" w:rsidRDefault="002F4AA3" w:rsidP="007A095E">
      <w:pPr>
        <w:spacing w:line="360" w:lineRule="auto"/>
        <w:rPr>
          <w:rFonts w:cs="Arial"/>
        </w:rPr>
      </w:pPr>
      <w:r w:rsidRPr="002F4AA3">
        <w:rPr>
          <w:rFonts w:cs="Arial"/>
        </w:rPr>
        <w:t xml:space="preserve"> </w:t>
      </w:r>
    </w:p>
    <w:p w14:paraId="05AC851B" w14:textId="77777777" w:rsidR="001C4A98" w:rsidRDefault="001C4A98" w:rsidP="001C4A98">
      <w:pPr>
        <w:spacing w:line="360" w:lineRule="auto"/>
        <w:rPr>
          <w:rFonts w:cs="Arial"/>
        </w:rPr>
      </w:pPr>
      <w:r w:rsidRPr="001C4A98">
        <w:rPr>
          <w:rFonts w:cs="Arial"/>
        </w:rPr>
        <w:t xml:space="preserve">Lamb, P. (2019) CIPD Podcast: Critical Thinking: Episode 154: How to think well and reflect objectively on the ideas, opinions and arguments of others: Warren Howlett and Tim Coburn. 5 November. Available at: https://www.cipd.org/uk/knowledge/podcasts/critical-thinking/ (Accessed: 1 December 2024). </w:t>
      </w:r>
    </w:p>
    <w:p w14:paraId="44E557B3" w14:textId="77777777" w:rsidR="00653E85" w:rsidRPr="001C4A98" w:rsidRDefault="00653E85" w:rsidP="001C4A98">
      <w:pPr>
        <w:spacing w:line="360" w:lineRule="auto"/>
        <w:rPr>
          <w:rFonts w:cs="Arial"/>
        </w:rPr>
      </w:pPr>
    </w:p>
    <w:p w14:paraId="30ED464E" w14:textId="77777777" w:rsidR="00653E85" w:rsidRDefault="00653E85" w:rsidP="00653E85">
      <w:pPr>
        <w:spacing w:line="360" w:lineRule="auto"/>
        <w:rPr>
          <w:rFonts w:cs="Arial"/>
        </w:rPr>
      </w:pPr>
      <w:r w:rsidRPr="00653E85">
        <w:rPr>
          <w:rFonts w:cs="Arial"/>
        </w:rPr>
        <w:lastRenderedPageBreak/>
        <w:t>Markopoulos, E. </w:t>
      </w:r>
      <w:r w:rsidRPr="00653E85">
        <w:rPr>
          <w:rFonts w:cs="Arial"/>
          <w:i/>
          <w:iCs/>
        </w:rPr>
        <w:t>et al.</w:t>
      </w:r>
      <w:r w:rsidRPr="00653E85">
        <w:rPr>
          <w:rFonts w:cs="Arial"/>
        </w:rPr>
        <w:t> (2022) ‘Understanding Situationality using the Kepner-Tregoe Method in the Company Democracy Model to increase Employee Engagement and Knowledge Contribution’, in. AHFE International.</w:t>
      </w:r>
    </w:p>
    <w:p w14:paraId="5902E952" w14:textId="77777777" w:rsidR="00302BD5" w:rsidRDefault="00302BD5" w:rsidP="00653E85">
      <w:pPr>
        <w:spacing w:line="360" w:lineRule="auto"/>
        <w:rPr>
          <w:rFonts w:cs="Arial"/>
        </w:rPr>
      </w:pPr>
    </w:p>
    <w:p w14:paraId="42CDB1D7" w14:textId="5FBDC208" w:rsidR="00302BD5" w:rsidRDefault="00302BD5" w:rsidP="00653E85">
      <w:pPr>
        <w:spacing w:line="360" w:lineRule="auto"/>
        <w:rPr>
          <w:rFonts w:cs="Arial"/>
        </w:rPr>
      </w:pPr>
      <w:r w:rsidRPr="00302BD5">
        <w:rPr>
          <w:rFonts w:cs="Arial"/>
        </w:rPr>
        <w:t xml:space="preserve">Markos, S. and Sridevi, M.S. (2010) ‘Employee Engagement: The Key to Improving Performance ’, </w:t>
      </w:r>
      <w:r w:rsidRPr="00302BD5">
        <w:rPr>
          <w:rFonts w:cs="Arial"/>
          <w:i/>
          <w:iCs/>
        </w:rPr>
        <w:t>International Journal of Business and Management</w:t>
      </w:r>
      <w:r w:rsidRPr="00302BD5">
        <w:rPr>
          <w:rFonts w:cs="Arial"/>
        </w:rPr>
        <w:t xml:space="preserve">, 5(12). doi:https://citeseerx.ist.psu.edu/document?repid=rep1&amp;type=pdf&amp;doi=abeb701782256b3ba7473d640d9a5925d65c9576. </w:t>
      </w:r>
    </w:p>
    <w:p w14:paraId="18C5B51A" w14:textId="77777777" w:rsidR="002F4AA3" w:rsidRDefault="002F4AA3" w:rsidP="00653E85">
      <w:pPr>
        <w:spacing w:line="360" w:lineRule="auto"/>
        <w:rPr>
          <w:rFonts w:cs="Arial"/>
        </w:rPr>
      </w:pPr>
    </w:p>
    <w:p w14:paraId="5FAB75FA" w14:textId="70ADE283" w:rsidR="002F4AA3" w:rsidRDefault="002F4AA3" w:rsidP="00653E85">
      <w:pPr>
        <w:spacing w:line="360" w:lineRule="auto"/>
        <w:rPr>
          <w:rFonts w:cs="Arial"/>
        </w:rPr>
      </w:pPr>
      <w:r w:rsidRPr="002F4AA3">
        <w:rPr>
          <w:rFonts w:cs="Arial"/>
        </w:rPr>
        <w:t>Minaha</w:t>
      </w:r>
      <w:r>
        <w:rPr>
          <w:rFonts w:cs="Arial"/>
        </w:rPr>
        <w:t>n</w:t>
      </w:r>
      <w:r w:rsidRPr="002F4AA3">
        <w:rPr>
          <w:rFonts w:cs="Arial"/>
        </w:rPr>
        <w:t xml:space="preserve">, T. (2021) </w:t>
      </w:r>
      <w:r w:rsidRPr="002F4AA3">
        <w:rPr>
          <w:rFonts w:cs="Arial"/>
          <w:i/>
          <w:iCs/>
        </w:rPr>
        <w:t>What your future employees want most</w:t>
      </w:r>
      <w:r w:rsidRPr="002F4AA3">
        <w:rPr>
          <w:rFonts w:cs="Arial"/>
        </w:rPr>
        <w:t xml:space="preserve">, </w:t>
      </w:r>
      <w:r w:rsidRPr="002F4AA3">
        <w:rPr>
          <w:rFonts w:cs="Arial"/>
          <w:i/>
          <w:iCs/>
        </w:rPr>
        <w:t>Harvard Business Review</w:t>
      </w:r>
      <w:r w:rsidRPr="002F4AA3">
        <w:rPr>
          <w:rFonts w:cs="Arial"/>
        </w:rPr>
        <w:t xml:space="preserve">. Available at: https://hbr.org/2021/05/what-your-future-employees-want-most (Accessed: 02 December 2024). </w:t>
      </w:r>
    </w:p>
    <w:p w14:paraId="770EF07C" w14:textId="77777777" w:rsidR="00D76889" w:rsidRDefault="00D76889" w:rsidP="00653E85">
      <w:pPr>
        <w:spacing w:line="360" w:lineRule="auto"/>
        <w:rPr>
          <w:rFonts w:cs="Arial"/>
        </w:rPr>
      </w:pPr>
    </w:p>
    <w:p w14:paraId="47AB4DE4" w14:textId="77777777" w:rsidR="00D76889" w:rsidRDefault="00D76889" w:rsidP="00D76889">
      <w:pPr>
        <w:spacing w:line="360" w:lineRule="auto"/>
        <w:rPr>
          <w:rFonts w:cs="Arial"/>
        </w:rPr>
      </w:pPr>
      <w:r w:rsidRPr="00D76889">
        <w:rPr>
          <w:rFonts w:cs="Arial"/>
        </w:rPr>
        <w:t xml:space="preserve">Phillips, J.J. (2012) </w:t>
      </w:r>
      <w:r w:rsidRPr="00D76889">
        <w:rPr>
          <w:rFonts w:cs="Arial"/>
          <w:i/>
          <w:iCs/>
        </w:rPr>
        <w:t>Return on investment in training and Performance Improvement Programs</w:t>
      </w:r>
      <w:r w:rsidRPr="00D76889">
        <w:rPr>
          <w:rFonts w:cs="Arial"/>
        </w:rPr>
        <w:t xml:space="preserve">, pp. 1–30. doi:10.4324/9780080516257. </w:t>
      </w:r>
    </w:p>
    <w:p w14:paraId="3C00CBCF" w14:textId="77777777" w:rsidR="00E175CF" w:rsidRDefault="00E175CF" w:rsidP="00D76889">
      <w:pPr>
        <w:spacing w:line="360" w:lineRule="auto"/>
        <w:rPr>
          <w:rFonts w:cs="Arial"/>
        </w:rPr>
      </w:pPr>
    </w:p>
    <w:p w14:paraId="53F509EB" w14:textId="77777777" w:rsidR="00E175CF" w:rsidRPr="00E175CF" w:rsidRDefault="00E175CF" w:rsidP="00E175CF">
      <w:pPr>
        <w:spacing w:line="360" w:lineRule="auto"/>
        <w:rPr>
          <w:rFonts w:cs="Arial"/>
          <w:color w:val="FF0000"/>
        </w:rPr>
      </w:pPr>
      <w:r w:rsidRPr="00E175CF">
        <w:rPr>
          <w:rFonts w:cs="Arial"/>
          <w:i/>
          <w:iCs/>
          <w:color w:val="FF0000"/>
        </w:rPr>
        <w:t>Public Sector Finances, UK: December 2024</w:t>
      </w:r>
      <w:r w:rsidRPr="00E175CF">
        <w:rPr>
          <w:rFonts w:cs="Arial"/>
          <w:color w:val="FF0000"/>
        </w:rPr>
        <w:t xml:space="preserve"> (2025) </w:t>
      </w:r>
      <w:r w:rsidRPr="00E175CF">
        <w:rPr>
          <w:rFonts w:cs="Arial"/>
          <w:i/>
          <w:iCs/>
          <w:color w:val="FF0000"/>
        </w:rPr>
        <w:t>Public sector finances, UK - Office for National Statistics</w:t>
      </w:r>
      <w:r w:rsidRPr="00E175CF">
        <w:rPr>
          <w:rFonts w:cs="Arial"/>
          <w:color w:val="FF0000"/>
        </w:rPr>
        <w:t xml:space="preserve">. Available at: https://www.ons.gov.uk/economy/governmentpublicsectorandtaxes/publicsectorfinance/bulletins/publicsectorfinances/december2024 (Accessed: 27 January 2025). </w:t>
      </w:r>
    </w:p>
    <w:p w14:paraId="6CBE752A" w14:textId="77777777" w:rsidR="00F15BA6" w:rsidRDefault="00F15BA6" w:rsidP="00D76889">
      <w:pPr>
        <w:spacing w:line="360" w:lineRule="auto"/>
        <w:rPr>
          <w:rFonts w:cs="Arial"/>
        </w:rPr>
      </w:pPr>
    </w:p>
    <w:p w14:paraId="57B3613D" w14:textId="390FB73F" w:rsidR="0011017E" w:rsidRPr="00F15BA6" w:rsidRDefault="00F15BA6" w:rsidP="00D76889">
      <w:pPr>
        <w:spacing w:line="360" w:lineRule="auto"/>
        <w:rPr>
          <w:rFonts w:cs="Arial"/>
          <w:color w:val="FF0000"/>
        </w:rPr>
      </w:pPr>
      <w:r w:rsidRPr="00F15BA6">
        <w:rPr>
          <w:rFonts w:cs="Arial"/>
          <w:color w:val="FF0000"/>
        </w:rPr>
        <w:t xml:space="preserve">Purcell, J. </w:t>
      </w:r>
      <w:r w:rsidRPr="00F15BA6">
        <w:rPr>
          <w:rFonts w:cs="Arial"/>
          <w:i/>
          <w:iCs/>
          <w:color w:val="FF0000"/>
        </w:rPr>
        <w:t>et al.</w:t>
      </w:r>
      <w:r w:rsidRPr="00F15BA6">
        <w:rPr>
          <w:rFonts w:cs="Arial"/>
          <w:color w:val="FF0000"/>
        </w:rPr>
        <w:t xml:space="preserve"> (2008) </w:t>
      </w:r>
      <w:r w:rsidRPr="00F15BA6">
        <w:rPr>
          <w:rFonts w:cs="Arial"/>
          <w:i/>
          <w:iCs/>
          <w:color w:val="FF0000"/>
        </w:rPr>
        <w:t>People Management and Performance</w:t>
      </w:r>
      <w:r w:rsidRPr="00F15BA6">
        <w:rPr>
          <w:rFonts w:cs="Arial"/>
          <w:color w:val="FF0000"/>
        </w:rPr>
        <w:t xml:space="preserve">. London: Routledge. </w:t>
      </w:r>
    </w:p>
    <w:p w14:paraId="6B9C57FC" w14:textId="77777777" w:rsidR="0011017E" w:rsidRDefault="0011017E" w:rsidP="0011017E">
      <w:pPr>
        <w:spacing w:line="360" w:lineRule="auto"/>
        <w:rPr>
          <w:rFonts w:cs="Arial"/>
          <w:color w:val="FF0000"/>
        </w:rPr>
      </w:pPr>
      <w:r w:rsidRPr="0011017E">
        <w:rPr>
          <w:rFonts w:cs="Arial"/>
          <w:color w:val="FF0000"/>
        </w:rPr>
        <w:t xml:space="preserve">Purcell, J. (2003) </w:t>
      </w:r>
      <w:r w:rsidRPr="0011017E">
        <w:rPr>
          <w:rFonts w:cs="Arial"/>
          <w:i/>
          <w:iCs/>
          <w:color w:val="FF0000"/>
        </w:rPr>
        <w:t>Understanding the people and performance link: Unlocking the black box</w:t>
      </w:r>
      <w:r w:rsidRPr="0011017E">
        <w:rPr>
          <w:rFonts w:cs="Arial"/>
          <w:color w:val="FF0000"/>
        </w:rPr>
        <w:t xml:space="preserve">. London: Chartered Institute of Personnel and Development. </w:t>
      </w:r>
    </w:p>
    <w:p w14:paraId="5223802B" w14:textId="77777777" w:rsidR="00F734FE" w:rsidRDefault="00F734FE" w:rsidP="0011017E">
      <w:pPr>
        <w:spacing w:line="360" w:lineRule="auto"/>
        <w:rPr>
          <w:rFonts w:cs="Arial"/>
          <w:color w:val="FF0000"/>
        </w:rPr>
      </w:pPr>
    </w:p>
    <w:p w14:paraId="03F824A5" w14:textId="6809AB3F" w:rsidR="00F734FE" w:rsidRDefault="00F734FE" w:rsidP="0011017E">
      <w:pPr>
        <w:spacing w:line="360" w:lineRule="auto"/>
        <w:rPr>
          <w:rFonts w:cs="Arial"/>
          <w:color w:val="FF0000"/>
        </w:rPr>
      </w:pPr>
      <w:r w:rsidRPr="00F734FE">
        <w:rPr>
          <w:rFonts w:cs="Arial"/>
          <w:color w:val="FF0000"/>
        </w:rPr>
        <w:t xml:space="preserve">Quilliam, G.G. (2024) </w:t>
      </w:r>
      <w:r w:rsidRPr="00F734FE">
        <w:rPr>
          <w:rFonts w:cs="Arial"/>
          <w:i/>
          <w:iCs/>
          <w:color w:val="FF0000"/>
        </w:rPr>
        <w:t>Leadership in the workplace: Factsheets</w:t>
      </w:r>
      <w:r w:rsidRPr="00F734FE">
        <w:rPr>
          <w:rFonts w:cs="Arial"/>
          <w:color w:val="FF0000"/>
        </w:rPr>
        <w:t xml:space="preserve">, </w:t>
      </w:r>
      <w:r w:rsidRPr="00F734FE">
        <w:rPr>
          <w:rFonts w:cs="Arial"/>
          <w:i/>
          <w:iCs/>
          <w:color w:val="FF0000"/>
        </w:rPr>
        <w:t>CIPD</w:t>
      </w:r>
      <w:r w:rsidRPr="00F734FE">
        <w:rPr>
          <w:rFonts w:cs="Arial"/>
          <w:color w:val="FF0000"/>
        </w:rPr>
        <w:t xml:space="preserve">. Available at: https://www.cipd.org/uk/knowledge/factsheets/leadership-factsheet/ (Accessed: 27 January 2025). </w:t>
      </w:r>
    </w:p>
    <w:p w14:paraId="1032254E" w14:textId="77777777" w:rsidR="00AA1144" w:rsidRDefault="00AA1144" w:rsidP="0011017E">
      <w:pPr>
        <w:spacing w:line="360" w:lineRule="auto"/>
        <w:rPr>
          <w:rFonts w:cs="Arial"/>
          <w:color w:val="FF0000"/>
        </w:rPr>
      </w:pPr>
    </w:p>
    <w:p w14:paraId="6B444BE5" w14:textId="09310BA2" w:rsidR="00AA1144" w:rsidRDefault="00AA1144" w:rsidP="0011017E">
      <w:pPr>
        <w:spacing w:line="360" w:lineRule="auto"/>
        <w:rPr>
          <w:rFonts w:cs="Arial"/>
          <w:color w:val="FF0000"/>
        </w:rPr>
      </w:pPr>
      <w:r w:rsidRPr="00AA1144">
        <w:rPr>
          <w:rFonts w:cs="Arial"/>
          <w:color w:val="FF0000"/>
        </w:rPr>
        <w:t xml:space="preserve">Reichheld, F., Darnell, D. and Burns, M. (2022) </w:t>
      </w:r>
      <w:r w:rsidRPr="00AA1144">
        <w:rPr>
          <w:rFonts w:cs="Arial"/>
          <w:i/>
          <w:iCs/>
          <w:color w:val="FF0000"/>
        </w:rPr>
        <w:t>NET promoter 3.0</w:t>
      </w:r>
      <w:r w:rsidRPr="00AA1144">
        <w:rPr>
          <w:rFonts w:cs="Arial"/>
          <w:color w:val="FF0000"/>
        </w:rPr>
        <w:t xml:space="preserve">, </w:t>
      </w:r>
      <w:r w:rsidRPr="00AA1144">
        <w:rPr>
          <w:rFonts w:cs="Arial"/>
          <w:i/>
          <w:iCs/>
          <w:color w:val="FF0000"/>
        </w:rPr>
        <w:t>Harvard Business Review</w:t>
      </w:r>
      <w:r w:rsidRPr="00AA1144">
        <w:rPr>
          <w:rFonts w:cs="Arial"/>
          <w:color w:val="FF0000"/>
        </w:rPr>
        <w:t xml:space="preserve">. Available at: https://hbr.org/2021/11/net-promoter-3-0 (Accessed: 27 January 2025). </w:t>
      </w:r>
    </w:p>
    <w:p w14:paraId="5FB6A9EC" w14:textId="77777777" w:rsidR="0018367D" w:rsidRDefault="0018367D" w:rsidP="0011017E">
      <w:pPr>
        <w:spacing w:line="360" w:lineRule="auto"/>
        <w:rPr>
          <w:rFonts w:cs="Arial"/>
          <w:color w:val="FF0000"/>
        </w:rPr>
      </w:pPr>
    </w:p>
    <w:p w14:paraId="3D1198CA" w14:textId="6F85E8A4" w:rsidR="0018367D" w:rsidRPr="0011017E" w:rsidRDefault="0018367D" w:rsidP="0011017E">
      <w:pPr>
        <w:spacing w:line="360" w:lineRule="auto"/>
        <w:rPr>
          <w:rFonts w:cs="Arial"/>
          <w:color w:val="FF0000"/>
        </w:rPr>
      </w:pPr>
      <w:r w:rsidRPr="00BC19C0">
        <w:rPr>
          <w:rFonts w:cs="Arial"/>
          <w:color w:val="FF0000"/>
        </w:rPr>
        <w:lastRenderedPageBreak/>
        <w:t xml:space="preserve">Smith, J. and Mitchell, J. (2022) ‘Chapter 05 Shaping people practice to benefit your organisation’, in </w:t>
      </w:r>
      <w:r w:rsidRPr="00BC19C0">
        <w:rPr>
          <w:rFonts w:cs="Arial"/>
          <w:i/>
          <w:iCs/>
          <w:color w:val="FF0000"/>
        </w:rPr>
        <w:t>Studying Human Resource Management A Guide to the study, context and practice of hr</w:t>
      </w:r>
      <w:r w:rsidRPr="00BC19C0">
        <w:rPr>
          <w:rFonts w:cs="Arial"/>
          <w:color w:val="FF0000"/>
        </w:rPr>
        <w:t xml:space="preserve">. 3rd edn. London: Kogan Page, pp. 89–112. </w:t>
      </w:r>
    </w:p>
    <w:p w14:paraId="72DA2771" w14:textId="77777777" w:rsidR="00653E85" w:rsidRDefault="00653E85" w:rsidP="00653E85">
      <w:pPr>
        <w:spacing w:line="360" w:lineRule="auto"/>
        <w:rPr>
          <w:rFonts w:cs="Arial"/>
        </w:rPr>
      </w:pPr>
    </w:p>
    <w:p w14:paraId="7845F1B4" w14:textId="77777777" w:rsidR="00653E85" w:rsidRDefault="00653E85" w:rsidP="00653E85">
      <w:pPr>
        <w:spacing w:line="360" w:lineRule="auto"/>
        <w:rPr>
          <w:rFonts w:cs="Arial"/>
        </w:rPr>
      </w:pPr>
      <w:r w:rsidRPr="00653E85">
        <w:rPr>
          <w:rFonts w:cs="Arial"/>
        </w:rPr>
        <w:t>Stoilkov, E. (2023) “The concept of “parallel thinking”, as well as its application and use in the ‘security’ sectorʼs human resource management”, </w:t>
      </w:r>
      <w:r w:rsidRPr="00653E85">
        <w:rPr>
          <w:rFonts w:cs="Arial"/>
          <w:i/>
          <w:iCs/>
        </w:rPr>
        <w:t>Politics &amp; Security</w:t>
      </w:r>
      <w:r w:rsidRPr="00653E85">
        <w:rPr>
          <w:rFonts w:cs="Arial"/>
        </w:rPr>
        <w:t>, 7(1), pp. 1–6. doi: 10.5281/zenodo.7761236.</w:t>
      </w:r>
    </w:p>
    <w:p w14:paraId="63B79401" w14:textId="77777777" w:rsidR="004976C5" w:rsidRDefault="004976C5" w:rsidP="00653E85">
      <w:pPr>
        <w:spacing w:line="360" w:lineRule="auto"/>
        <w:rPr>
          <w:rFonts w:cs="Arial"/>
        </w:rPr>
      </w:pPr>
    </w:p>
    <w:p w14:paraId="7FD5AC05" w14:textId="77777777" w:rsidR="004976C5" w:rsidRPr="004976C5" w:rsidRDefault="004976C5" w:rsidP="004976C5">
      <w:pPr>
        <w:spacing w:line="360" w:lineRule="auto"/>
        <w:rPr>
          <w:rFonts w:cs="Arial"/>
          <w:color w:val="FF0000"/>
        </w:rPr>
      </w:pPr>
      <w:r w:rsidRPr="004976C5">
        <w:rPr>
          <w:rFonts w:cs="Arial"/>
          <w:color w:val="FF0000"/>
        </w:rPr>
        <w:t xml:space="preserve">Taylor, S. and Ciachir, C. (2022) ‘Chapter 06 Improving Organisational Performance’, in </w:t>
      </w:r>
      <w:r w:rsidRPr="004976C5">
        <w:rPr>
          <w:rFonts w:cs="Arial"/>
          <w:i/>
          <w:iCs/>
          <w:color w:val="FF0000"/>
        </w:rPr>
        <w:t>Human Resource Management: People and Organisations</w:t>
      </w:r>
      <w:r w:rsidRPr="004976C5">
        <w:rPr>
          <w:rFonts w:cs="Arial"/>
          <w:color w:val="FF0000"/>
        </w:rPr>
        <w:t xml:space="preserve">. 3rd edn. New York, NY: Kogan Page, pp. 145–170. </w:t>
      </w:r>
    </w:p>
    <w:p w14:paraId="21F6C71A" w14:textId="77777777" w:rsidR="006F6613" w:rsidRDefault="006F6613" w:rsidP="00653E85">
      <w:pPr>
        <w:spacing w:line="360" w:lineRule="auto"/>
        <w:rPr>
          <w:rFonts w:cs="Arial"/>
        </w:rPr>
      </w:pPr>
    </w:p>
    <w:p w14:paraId="2162B88B" w14:textId="389696D0" w:rsidR="00653E85" w:rsidRPr="006F6613" w:rsidRDefault="006F6613" w:rsidP="00653E85">
      <w:pPr>
        <w:spacing w:line="360" w:lineRule="auto"/>
        <w:rPr>
          <w:rFonts w:cs="Arial"/>
          <w:color w:val="FF0000"/>
        </w:rPr>
      </w:pPr>
      <w:r w:rsidRPr="006F6613">
        <w:rPr>
          <w:rFonts w:cs="Arial"/>
          <w:color w:val="FF0000"/>
        </w:rPr>
        <w:t>Tingsager, C. and Smith, F. (2022) ‘</w:t>
      </w:r>
      <w:r>
        <w:rPr>
          <w:rFonts w:cs="Arial"/>
          <w:color w:val="FF0000"/>
        </w:rPr>
        <w:t xml:space="preserve">Chapter 03 </w:t>
      </w:r>
      <w:r w:rsidRPr="006F6613">
        <w:rPr>
          <w:rFonts w:cs="Arial"/>
          <w:color w:val="FF0000"/>
        </w:rPr>
        <w:t xml:space="preserve">Strategy and Structure’, in </w:t>
      </w:r>
      <w:r w:rsidRPr="006F6613">
        <w:rPr>
          <w:rFonts w:cs="Arial"/>
          <w:i/>
          <w:iCs/>
          <w:color w:val="FF0000"/>
        </w:rPr>
        <w:t>Studying Human Resource Management: A guide to the study, context and practice of HR</w:t>
      </w:r>
      <w:r w:rsidRPr="006F6613">
        <w:rPr>
          <w:rFonts w:cs="Arial"/>
          <w:color w:val="FF0000"/>
        </w:rPr>
        <w:t xml:space="preserve">. 3rd edn. London: Kogan Page, pp. 45–46. </w:t>
      </w:r>
    </w:p>
    <w:p w14:paraId="10BF4AA6" w14:textId="77777777" w:rsidR="006F6613" w:rsidRPr="00653E85" w:rsidRDefault="006F6613" w:rsidP="00653E85">
      <w:pPr>
        <w:spacing w:line="360" w:lineRule="auto"/>
        <w:rPr>
          <w:rFonts w:cs="Arial"/>
        </w:rPr>
      </w:pPr>
    </w:p>
    <w:p w14:paraId="14ABC2B9" w14:textId="77777777" w:rsidR="00653E85" w:rsidRDefault="00653E85" w:rsidP="00653E85">
      <w:pPr>
        <w:spacing w:line="360" w:lineRule="auto"/>
        <w:rPr>
          <w:rFonts w:cs="Arial"/>
        </w:rPr>
      </w:pPr>
      <w:r w:rsidRPr="00653E85">
        <w:rPr>
          <w:rFonts w:cs="Arial"/>
          <w:i/>
          <w:iCs/>
        </w:rPr>
        <w:t>What is the Kepner-Tregoe method?</w:t>
      </w:r>
      <w:r w:rsidRPr="00653E85">
        <w:rPr>
          <w:rFonts w:cs="Arial"/>
        </w:rPr>
        <w:t xml:space="preserve"> (no date) </w:t>
      </w:r>
      <w:r w:rsidRPr="00653E85">
        <w:rPr>
          <w:rFonts w:cs="Arial"/>
          <w:i/>
          <w:iCs/>
        </w:rPr>
        <w:t>Kepner-Tregoe</w:t>
      </w:r>
      <w:r w:rsidRPr="00653E85">
        <w:rPr>
          <w:rFonts w:cs="Arial"/>
        </w:rPr>
        <w:t xml:space="preserve">. Available at: https://kepner-tregoe.com/gbr/faqs/ (Accessed: 02 December 2024). </w:t>
      </w:r>
    </w:p>
    <w:p w14:paraId="1C2EFC52" w14:textId="77777777" w:rsidR="000715A2" w:rsidRDefault="000715A2" w:rsidP="00653E85">
      <w:pPr>
        <w:spacing w:line="360" w:lineRule="auto"/>
        <w:rPr>
          <w:rFonts w:cs="Arial"/>
        </w:rPr>
      </w:pPr>
    </w:p>
    <w:p w14:paraId="33A3AD60" w14:textId="7EB4C801" w:rsidR="00DE5107" w:rsidRDefault="000715A2" w:rsidP="000715A2">
      <w:pPr>
        <w:spacing w:line="360" w:lineRule="auto"/>
        <w:rPr>
          <w:rFonts w:cs="Arial"/>
          <w:color w:val="FF0000"/>
        </w:rPr>
      </w:pPr>
      <w:r w:rsidRPr="000715A2">
        <w:rPr>
          <w:rFonts w:cs="Arial"/>
          <w:color w:val="FF0000"/>
        </w:rPr>
        <w:t>Woodhams, C. and Perkins, G. (2022</w:t>
      </w:r>
      <w:r w:rsidR="00FB029C">
        <w:rPr>
          <w:rFonts w:cs="Arial"/>
          <w:color w:val="FF0000"/>
        </w:rPr>
        <w:t>a</w:t>
      </w:r>
      <w:r w:rsidRPr="000715A2">
        <w:rPr>
          <w:rFonts w:cs="Arial"/>
          <w:color w:val="FF0000"/>
        </w:rPr>
        <w:t xml:space="preserve">) ‘Chapter 06 Research and evidence-based practice in HRM’, in </w:t>
      </w:r>
      <w:r w:rsidRPr="000715A2">
        <w:rPr>
          <w:rFonts w:cs="Arial"/>
          <w:i/>
          <w:iCs/>
          <w:color w:val="FF0000"/>
        </w:rPr>
        <w:t>Studying Human Resource Management A Guide to the study, context and practice of hr</w:t>
      </w:r>
      <w:r w:rsidRPr="000715A2">
        <w:rPr>
          <w:rFonts w:cs="Arial"/>
          <w:color w:val="FF0000"/>
        </w:rPr>
        <w:t>. 3rd edn. London: Kogan Page, pp. 128–129.</w:t>
      </w:r>
    </w:p>
    <w:p w14:paraId="048FCFC5" w14:textId="77777777" w:rsidR="00FB029C" w:rsidRDefault="00FB029C" w:rsidP="000715A2">
      <w:pPr>
        <w:spacing w:line="360" w:lineRule="auto"/>
        <w:rPr>
          <w:rFonts w:cs="Arial"/>
          <w:color w:val="FF0000"/>
        </w:rPr>
      </w:pPr>
    </w:p>
    <w:p w14:paraId="58DF016F" w14:textId="6CA01810" w:rsidR="00FB029C" w:rsidRDefault="00FB029C" w:rsidP="00FB029C">
      <w:pPr>
        <w:spacing w:line="360" w:lineRule="auto"/>
        <w:rPr>
          <w:rFonts w:cs="Arial"/>
          <w:color w:val="FF0000"/>
        </w:rPr>
      </w:pPr>
      <w:r w:rsidRPr="00FB029C">
        <w:rPr>
          <w:rFonts w:cs="Arial"/>
          <w:color w:val="FF0000"/>
        </w:rPr>
        <w:t>Woodhams, C. and Perkins, G. (2022</w:t>
      </w:r>
      <w:r>
        <w:rPr>
          <w:rFonts w:cs="Arial"/>
          <w:color w:val="FF0000"/>
        </w:rPr>
        <w:t>b</w:t>
      </w:r>
      <w:r w:rsidRPr="00FB029C">
        <w:rPr>
          <w:rFonts w:cs="Arial"/>
          <w:color w:val="FF0000"/>
        </w:rPr>
        <w:t xml:space="preserve">) ‘Chapter 03 Reward Management’, in </w:t>
      </w:r>
      <w:r w:rsidRPr="00FB029C">
        <w:rPr>
          <w:rFonts w:cs="Arial"/>
          <w:i/>
          <w:iCs/>
          <w:color w:val="FF0000"/>
        </w:rPr>
        <w:t>Human Resource Management: People and Organisations</w:t>
      </w:r>
      <w:r w:rsidRPr="00FB029C">
        <w:rPr>
          <w:rFonts w:cs="Arial"/>
          <w:color w:val="FF0000"/>
        </w:rPr>
        <w:t xml:space="preserve">. 3rd edn. New York, NY: Kogan Page, pp. 61–87. </w:t>
      </w:r>
    </w:p>
    <w:p w14:paraId="34ADEC71" w14:textId="77777777" w:rsidR="00AB3BE4" w:rsidRDefault="00AB3BE4" w:rsidP="00FB029C">
      <w:pPr>
        <w:spacing w:line="360" w:lineRule="auto"/>
        <w:rPr>
          <w:rFonts w:cs="Arial"/>
          <w:color w:val="FF0000"/>
        </w:rPr>
      </w:pPr>
    </w:p>
    <w:p w14:paraId="0711F56A" w14:textId="77777777" w:rsidR="00AB3BE4" w:rsidRPr="00AB3BE4" w:rsidRDefault="00AB3BE4" w:rsidP="00AB3BE4">
      <w:pPr>
        <w:spacing w:line="360" w:lineRule="auto"/>
        <w:rPr>
          <w:rFonts w:cs="Arial"/>
          <w:color w:val="FF0000"/>
        </w:rPr>
      </w:pPr>
      <w:r w:rsidRPr="00AB3BE4">
        <w:rPr>
          <w:rFonts w:cs="Arial"/>
          <w:color w:val="FF0000"/>
        </w:rPr>
        <w:t xml:space="preserve">Young, J. (2024) </w:t>
      </w:r>
      <w:r w:rsidRPr="00AB3BE4">
        <w:rPr>
          <w:rFonts w:cs="Arial"/>
          <w:i/>
          <w:iCs/>
          <w:color w:val="FF0000"/>
        </w:rPr>
        <w:t>Evidence-based practice for effective decision-making: Factsheets</w:t>
      </w:r>
      <w:r w:rsidRPr="00AB3BE4">
        <w:rPr>
          <w:rFonts w:cs="Arial"/>
          <w:color w:val="FF0000"/>
        </w:rPr>
        <w:t xml:space="preserve">, </w:t>
      </w:r>
      <w:r w:rsidRPr="00AB3BE4">
        <w:rPr>
          <w:rFonts w:cs="Arial"/>
          <w:i/>
          <w:iCs/>
          <w:color w:val="FF0000"/>
        </w:rPr>
        <w:t>CIPD</w:t>
      </w:r>
      <w:r w:rsidRPr="00AB3BE4">
        <w:rPr>
          <w:rFonts w:cs="Arial"/>
          <w:color w:val="FF0000"/>
        </w:rPr>
        <w:t xml:space="preserve">. Available at: https://www.cipd.org/uk/knowledge/factsheets/evidence-based-practice-factsheet/ (Accessed: 27 January 2025). </w:t>
      </w:r>
    </w:p>
    <w:p w14:paraId="360E0C6F" w14:textId="77777777" w:rsidR="00AB3BE4" w:rsidRPr="00FB029C" w:rsidRDefault="00AB3BE4" w:rsidP="00FB029C">
      <w:pPr>
        <w:spacing w:line="360" w:lineRule="auto"/>
        <w:rPr>
          <w:rFonts w:cs="Arial"/>
          <w:color w:val="FF0000"/>
        </w:rPr>
      </w:pPr>
    </w:p>
    <w:p w14:paraId="6CCBF3DE" w14:textId="77777777" w:rsidR="00FB029C" w:rsidRPr="000715A2" w:rsidRDefault="00FB029C" w:rsidP="000715A2">
      <w:pPr>
        <w:spacing w:line="360" w:lineRule="auto"/>
        <w:rPr>
          <w:rFonts w:cs="Arial"/>
          <w:color w:val="FF0000"/>
        </w:rPr>
      </w:pPr>
    </w:p>
    <w:sectPr w:rsidR="00FB029C" w:rsidRPr="000715A2" w:rsidSect="00D91FA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28CEF" w14:textId="77777777" w:rsidR="00C36A0B" w:rsidRDefault="00C36A0B" w:rsidP="004C5584">
      <w:r>
        <w:separator/>
      </w:r>
    </w:p>
  </w:endnote>
  <w:endnote w:type="continuationSeparator" w:id="0">
    <w:p w14:paraId="6072461A" w14:textId="77777777" w:rsidR="00C36A0B" w:rsidRDefault="00C36A0B" w:rsidP="004C5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AF5C7" w14:textId="77777777" w:rsidR="00C36A0B" w:rsidRDefault="00C36A0B" w:rsidP="004C5584">
      <w:r>
        <w:separator/>
      </w:r>
    </w:p>
  </w:footnote>
  <w:footnote w:type="continuationSeparator" w:id="0">
    <w:p w14:paraId="5B9C5A6A" w14:textId="77777777" w:rsidR="00C36A0B" w:rsidRDefault="00C36A0B" w:rsidP="004C55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E1115"/>
    <w:multiLevelType w:val="hybridMultilevel"/>
    <w:tmpl w:val="2FF644D0"/>
    <w:lvl w:ilvl="0" w:tplc="0772DE9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F6382"/>
    <w:multiLevelType w:val="hybridMultilevel"/>
    <w:tmpl w:val="CA909036"/>
    <w:lvl w:ilvl="0" w:tplc="0772DE9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65BF3"/>
    <w:multiLevelType w:val="hybridMultilevel"/>
    <w:tmpl w:val="305EF574"/>
    <w:lvl w:ilvl="0" w:tplc="317E0908">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066AB6"/>
    <w:multiLevelType w:val="hybridMultilevel"/>
    <w:tmpl w:val="E1B8D9A0"/>
    <w:lvl w:ilvl="0" w:tplc="D60894FA">
      <w:start w:val="65"/>
      <w:numFmt w:val="bullet"/>
      <w:lvlText w:val=""/>
      <w:lvlJc w:val="left"/>
      <w:pPr>
        <w:ind w:left="720" w:hanging="360"/>
      </w:pPr>
      <w:rPr>
        <w:rFonts w:ascii="Wingdings" w:eastAsiaTheme="minorEastAsia"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DF1DD4"/>
    <w:multiLevelType w:val="hybridMultilevel"/>
    <w:tmpl w:val="74F45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CC006B"/>
    <w:multiLevelType w:val="hybridMultilevel"/>
    <w:tmpl w:val="41E6AA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88241A"/>
    <w:multiLevelType w:val="hybridMultilevel"/>
    <w:tmpl w:val="645A61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6647EE"/>
    <w:multiLevelType w:val="hybridMultilevel"/>
    <w:tmpl w:val="9970E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2F56F8"/>
    <w:multiLevelType w:val="hybridMultilevel"/>
    <w:tmpl w:val="43A8F46C"/>
    <w:lvl w:ilvl="0" w:tplc="97C880B0">
      <w:start w:val="65"/>
      <w:numFmt w:val="bullet"/>
      <w:lvlText w:val=""/>
      <w:lvlJc w:val="left"/>
      <w:pPr>
        <w:ind w:left="720" w:hanging="360"/>
      </w:pPr>
      <w:rPr>
        <w:rFonts w:ascii="Wingdings" w:eastAsiaTheme="minorEastAsia" w:hAnsi="Wingdings"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620D02"/>
    <w:multiLevelType w:val="hybridMultilevel"/>
    <w:tmpl w:val="005E8B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A43940"/>
    <w:multiLevelType w:val="hybridMultilevel"/>
    <w:tmpl w:val="0A62BC1A"/>
    <w:lvl w:ilvl="0" w:tplc="0772DE96">
      <w:start w:val="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F41068"/>
    <w:multiLevelType w:val="hybridMultilevel"/>
    <w:tmpl w:val="39D2B368"/>
    <w:lvl w:ilvl="0" w:tplc="0772DE96">
      <w:start w:val="3"/>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363505">
    <w:abstractNumId w:val="1"/>
  </w:num>
  <w:num w:numId="2" w16cid:durableId="977338889">
    <w:abstractNumId w:val="6"/>
  </w:num>
  <w:num w:numId="3" w16cid:durableId="893665059">
    <w:abstractNumId w:val="10"/>
  </w:num>
  <w:num w:numId="4" w16cid:durableId="1982346396">
    <w:abstractNumId w:val="0"/>
  </w:num>
  <w:num w:numId="5" w16cid:durableId="356807546">
    <w:abstractNumId w:val="11"/>
  </w:num>
  <w:num w:numId="6" w16cid:durableId="1604535947">
    <w:abstractNumId w:val="2"/>
  </w:num>
  <w:num w:numId="7" w16cid:durableId="2027050187">
    <w:abstractNumId w:val="4"/>
  </w:num>
  <w:num w:numId="8" w16cid:durableId="615063090">
    <w:abstractNumId w:val="5"/>
  </w:num>
  <w:num w:numId="9" w16cid:durableId="2040398816">
    <w:abstractNumId w:val="7"/>
  </w:num>
  <w:num w:numId="10" w16cid:durableId="2022465851">
    <w:abstractNumId w:val="3"/>
  </w:num>
  <w:num w:numId="11" w16cid:durableId="1098676824">
    <w:abstractNumId w:val="8"/>
  </w:num>
  <w:num w:numId="12" w16cid:durableId="29440664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A55"/>
    <w:rsid w:val="00002D84"/>
    <w:rsid w:val="0000581B"/>
    <w:rsid w:val="00011397"/>
    <w:rsid w:val="00012418"/>
    <w:rsid w:val="000126D3"/>
    <w:rsid w:val="000256E5"/>
    <w:rsid w:val="00025C9C"/>
    <w:rsid w:val="0002752D"/>
    <w:rsid w:val="000275F7"/>
    <w:rsid w:val="00030E0C"/>
    <w:rsid w:val="00031B8D"/>
    <w:rsid w:val="00037B0D"/>
    <w:rsid w:val="00040216"/>
    <w:rsid w:val="00043844"/>
    <w:rsid w:val="00043B53"/>
    <w:rsid w:val="00053EF7"/>
    <w:rsid w:val="000545D1"/>
    <w:rsid w:val="00055140"/>
    <w:rsid w:val="000676F6"/>
    <w:rsid w:val="00070A89"/>
    <w:rsid w:val="000715A2"/>
    <w:rsid w:val="00077C14"/>
    <w:rsid w:val="00081B3C"/>
    <w:rsid w:val="00082C4A"/>
    <w:rsid w:val="00082ED8"/>
    <w:rsid w:val="000839CA"/>
    <w:rsid w:val="000879D3"/>
    <w:rsid w:val="00092629"/>
    <w:rsid w:val="000938E1"/>
    <w:rsid w:val="00094391"/>
    <w:rsid w:val="00097040"/>
    <w:rsid w:val="000B4A9C"/>
    <w:rsid w:val="000B5E1E"/>
    <w:rsid w:val="000B5FF5"/>
    <w:rsid w:val="000B6231"/>
    <w:rsid w:val="000C0270"/>
    <w:rsid w:val="000C2039"/>
    <w:rsid w:val="000C30A7"/>
    <w:rsid w:val="000C610A"/>
    <w:rsid w:val="000C6AD7"/>
    <w:rsid w:val="000E0F1A"/>
    <w:rsid w:val="000F289D"/>
    <w:rsid w:val="000F429A"/>
    <w:rsid w:val="000F6D76"/>
    <w:rsid w:val="0010081C"/>
    <w:rsid w:val="00105B7A"/>
    <w:rsid w:val="0011017E"/>
    <w:rsid w:val="001213EA"/>
    <w:rsid w:val="00123ADD"/>
    <w:rsid w:val="001259CC"/>
    <w:rsid w:val="001266D5"/>
    <w:rsid w:val="00132033"/>
    <w:rsid w:val="001323A8"/>
    <w:rsid w:val="00132E44"/>
    <w:rsid w:val="00140991"/>
    <w:rsid w:val="001447B8"/>
    <w:rsid w:val="00145FBF"/>
    <w:rsid w:val="001509EC"/>
    <w:rsid w:val="00153264"/>
    <w:rsid w:val="00157CA6"/>
    <w:rsid w:val="0016060F"/>
    <w:rsid w:val="0016157D"/>
    <w:rsid w:val="001616E1"/>
    <w:rsid w:val="001651DB"/>
    <w:rsid w:val="00170C04"/>
    <w:rsid w:val="00172F33"/>
    <w:rsid w:val="001737AB"/>
    <w:rsid w:val="001737E1"/>
    <w:rsid w:val="00181284"/>
    <w:rsid w:val="001825F5"/>
    <w:rsid w:val="001827C0"/>
    <w:rsid w:val="0018367D"/>
    <w:rsid w:val="00187817"/>
    <w:rsid w:val="00191B89"/>
    <w:rsid w:val="00196777"/>
    <w:rsid w:val="001974C0"/>
    <w:rsid w:val="001A29F3"/>
    <w:rsid w:val="001A4AF2"/>
    <w:rsid w:val="001A50AE"/>
    <w:rsid w:val="001A52D5"/>
    <w:rsid w:val="001A6A4F"/>
    <w:rsid w:val="001A6F5D"/>
    <w:rsid w:val="001A7FB4"/>
    <w:rsid w:val="001C0851"/>
    <w:rsid w:val="001C2DFD"/>
    <w:rsid w:val="001C43A9"/>
    <w:rsid w:val="001C46DF"/>
    <w:rsid w:val="001C4A98"/>
    <w:rsid w:val="001C622F"/>
    <w:rsid w:val="001C7341"/>
    <w:rsid w:val="001D4C13"/>
    <w:rsid w:val="001D52B7"/>
    <w:rsid w:val="001E035B"/>
    <w:rsid w:val="001E10D9"/>
    <w:rsid w:val="001E598F"/>
    <w:rsid w:val="001E6552"/>
    <w:rsid w:val="001E6654"/>
    <w:rsid w:val="001E71D6"/>
    <w:rsid w:val="001F590A"/>
    <w:rsid w:val="00202376"/>
    <w:rsid w:val="00223911"/>
    <w:rsid w:val="00231DDE"/>
    <w:rsid w:val="00234A71"/>
    <w:rsid w:val="00236E1C"/>
    <w:rsid w:val="00241323"/>
    <w:rsid w:val="00241C19"/>
    <w:rsid w:val="00242B63"/>
    <w:rsid w:val="00244379"/>
    <w:rsid w:val="00245788"/>
    <w:rsid w:val="0024732A"/>
    <w:rsid w:val="002542B2"/>
    <w:rsid w:val="0026682D"/>
    <w:rsid w:val="0027263A"/>
    <w:rsid w:val="00272A2A"/>
    <w:rsid w:val="00272CD6"/>
    <w:rsid w:val="00273909"/>
    <w:rsid w:val="00274760"/>
    <w:rsid w:val="002817E7"/>
    <w:rsid w:val="00291486"/>
    <w:rsid w:val="00291E53"/>
    <w:rsid w:val="002A1267"/>
    <w:rsid w:val="002A491C"/>
    <w:rsid w:val="002B1C77"/>
    <w:rsid w:val="002B2643"/>
    <w:rsid w:val="002C5797"/>
    <w:rsid w:val="002D0FE0"/>
    <w:rsid w:val="002D12C4"/>
    <w:rsid w:val="002D3215"/>
    <w:rsid w:val="002E0E2E"/>
    <w:rsid w:val="002E3B5A"/>
    <w:rsid w:val="002E4400"/>
    <w:rsid w:val="002E6446"/>
    <w:rsid w:val="002F3BEA"/>
    <w:rsid w:val="002F4AA3"/>
    <w:rsid w:val="00302BD5"/>
    <w:rsid w:val="00314691"/>
    <w:rsid w:val="00321C22"/>
    <w:rsid w:val="00325DDA"/>
    <w:rsid w:val="003303EC"/>
    <w:rsid w:val="003307BE"/>
    <w:rsid w:val="00336550"/>
    <w:rsid w:val="0034018A"/>
    <w:rsid w:val="00346C37"/>
    <w:rsid w:val="0034741E"/>
    <w:rsid w:val="00347863"/>
    <w:rsid w:val="00350BA9"/>
    <w:rsid w:val="00351E53"/>
    <w:rsid w:val="00360B85"/>
    <w:rsid w:val="00363073"/>
    <w:rsid w:val="003640A9"/>
    <w:rsid w:val="0036426C"/>
    <w:rsid w:val="00365102"/>
    <w:rsid w:val="003701B6"/>
    <w:rsid w:val="003701D8"/>
    <w:rsid w:val="00374B70"/>
    <w:rsid w:val="0037508D"/>
    <w:rsid w:val="0038382E"/>
    <w:rsid w:val="0039079C"/>
    <w:rsid w:val="00390FAB"/>
    <w:rsid w:val="00393ABB"/>
    <w:rsid w:val="00396081"/>
    <w:rsid w:val="0039627B"/>
    <w:rsid w:val="003A12FC"/>
    <w:rsid w:val="003A1BFC"/>
    <w:rsid w:val="003A283E"/>
    <w:rsid w:val="003A54C4"/>
    <w:rsid w:val="003A7F90"/>
    <w:rsid w:val="003B1992"/>
    <w:rsid w:val="003B4CFD"/>
    <w:rsid w:val="003C2C33"/>
    <w:rsid w:val="003C3803"/>
    <w:rsid w:val="003C68D5"/>
    <w:rsid w:val="003C7BEC"/>
    <w:rsid w:val="003D49F1"/>
    <w:rsid w:val="003E398C"/>
    <w:rsid w:val="003E52E1"/>
    <w:rsid w:val="003F531F"/>
    <w:rsid w:val="00400E5F"/>
    <w:rsid w:val="0040135B"/>
    <w:rsid w:val="00402551"/>
    <w:rsid w:val="004029C3"/>
    <w:rsid w:val="00404C29"/>
    <w:rsid w:val="0040501E"/>
    <w:rsid w:val="004050A7"/>
    <w:rsid w:val="00411795"/>
    <w:rsid w:val="00411FA1"/>
    <w:rsid w:val="00420449"/>
    <w:rsid w:val="00421B2D"/>
    <w:rsid w:val="004229D3"/>
    <w:rsid w:val="00424258"/>
    <w:rsid w:val="0042637A"/>
    <w:rsid w:val="00430318"/>
    <w:rsid w:val="00431D45"/>
    <w:rsid w:val="00436848"/>
    <w:rsid w:val="0043776F"/>
    <w:rsid w:val="00441409"/>
    <w:rsid w:val="004418E4"/>
    <w:rsid w:val="00442916"/>
    <w:rsid w:val="004430AD"/>
    <w:rsid w:val="00443734"/>
    <w:rsid w:val="00443937"/>
    <w:rsid w:val="00443A36"/>
    <w:rsid w:val="00451B7E"/>
    <w:rsid w:val="00451DB9"/>
    <w:rsid w:val="004541A4"/>
    <w:rsid w:val="00472371"/>
    <w:rsid w:val="00483222"/>
    <w:rsid w:val="00490F73"/>
    <w:rsid w:val="00493964"/>
    <w:rsid w:val="00494872"/>
    <w:rsid w:val="004976C5"/>
    <w:rsid w:val="00497747"/>
    <w:rsid w:val="004A3033"/>
    <w:rsid w:val="004A317B"/>
    <w:rsid w:val="004C22EC"/>
    <w:rsid w:val="004C5584"/>
    <w:rsid w:val="004D11FD"/>
    <w:rsid w:val="004D3213"/>
    <w:rsid w:val="004E5B0F"/>
    <w:rsid w:val="004E61D7"/>
    <w:rsid w:val="004E6275"/>
    <w:rsid w:val="004F0265"/>
    <w:rsid w:val="004F3BF7"/>
    <w:rsid w:val="004F5FD2"/>
    <w:rsid w:val="00502EF5"/>
    <w:rsid w:val="005050B6"/>
    <w:rsid w:val="00516171"/>
    <w:rsid w:val="0051746C"/>
    <w:rsid w:val="00521E01"/>
    <w:rsid w:val="0052529E"/>
    <w:rsid w:val="0053106D"/>
    <w:rsid w:val="005329DF"/>
    <w:rsid w:val="005331AD"/>
    <w:rsid w:val="0053567A"/>
    <w:rsid w:val="00543221"/>
    <w:rsid w:val="00546D88"/>
    <w:rsid w:val="005527A3"/>
    <w:rsid w:val="00552D43"/>
    <w:rsid w:val="00572457"/>
    <w:rsid w:val="00574174"/>
    <w:rsid w:val="00576075"/>
    <w:rsid w:val="00582E7F"/>
    <w:rsid w:val="00586030"/>
    <w:rsid w:val="00587E04"/>
    <w:rsid w:val="00590890"/>
    <w:rsid w:val="005924E9"/>
    <w:rsid w:val="00594100"/>
    <w:rsid w:val="005A365D"/>
    <w:rsid w:val="005A4A49"/>
    <w:rsid w:val="005B19BF"/>
    <w:rsid w:val="005B4ADE"/>
    <w:rsid w:val="005B743B"/>
    <w:rsid w:val="005C2506"/>
    <w:rsid w:val="005C62D2"/>
    <w:rsid w:val="005C7596"/>
    <w:rsid w:val="005D444C"/>
    <w:rsid w:val="005E1280"/>
    <w:rsid w:val="005E3B5E"/>
    <w:rsid w:val="005E4C0C"/>
    <w:rsid w:val="005E528E"/>
    <w:rsid w:val="005E700A"/>
    <w:rsid w:val="005F3446"/>
    <w:rsid w:val="005F52C8"/>
    <w:rsid w:val="00600239"/>
    <w:rsid w:val="006022F5"/>
    <w:rsid w:val="0060309E"/>
    <w:rsid w:val="0060651B"/>
    <w:rsid w:val="00607C7A"/>
    <w:rsid w:val="00611B84"/>
    <w:rsid w:val="00613EF9"/>
    <w:rsid w:val="00613FAD"/>
    <w:rsid w:val="0062538E"/>
    <w:rsid w:val="00626CF4"/>
    <w:rsid w:val="006303F8"/>
    <w:rsid w:val="00631D7F"/>
    <w:rsid w:val="00633A83"/>
    <w:rsid w:val="00634176"/>
    <w:rsid w:val="00640206"/>
    <w:rsid w:val="00642B21"/>
    <w:rsid w:val="006459AF"/>
    <w:rsid w:val="00646947"/>
    <w:rsid w:val="006476FA"/>
    <w:rsid w:val="00650FC2"/>
    <w:rsid w:val="00652CE8"/>
    <w:rsid w:val="00653E85"/>
    <w:rsid w:val="00654AE9"/>
    <w:rsid w:val="00656483"/>
    <w:rsid w:val="00656687"/>
    <w:rsid w:val="00660645"/>
    <w:rsid w:val="00660C72"/>
    <w:rsid w:val="00661921"/>
    <w:rsid w:val="00677DE3"/>
    <w:rsid w:val="006826E2"/>
    <w:rsid w:val="00693C09"/>
    <w:rsid w:val="006971EF"/>
    <w:rsid w:val="00697361"/>
    <w:rsid w:val="006A2041"/>
    <w:rsid w:val="006A2FC0"/>
    <w:rsid w:val="006A44DC"/>
    <w:rsid w:val="006A7103"/>
    <w:rsid w:val="006A7360"/>
    <w:rsid w:val="006C493C"/>
    <w:rsid w:val="006C6B3A"/>
    <w:rsid w:val="006C6F4B"/>
    <w:rsid w:val="006D07E4"/>
    <w:rsid w:val="006D5CFA"/>
    <w:rsid w:val="006D6C6F"/>
    <w:rsid w:val="006E06E8"/>
    <w:rsid w:val="006E1BB7"/>
    <w:rsid w:val="006E65CD"/>
    <w:rsid w:val="006E7271"/>
    <w:rsid w:val="006F0E63"/>
    <w:rsid w:val="006F2198"/>
    <w:rsid w:val="006F36F8"/>
    <w:rsid w:val="006F6613"/>
    <w:rsid w:val="0070025E"/>
    <w:rsid w:val="0070145A"/>
    <w:rsid w:val="00705EBA"/>
    <w:rsid w:val="0071075F"/>
    <w:rsid w:val="00713058"/>
    <w:rsid w:val="00726D60"/>
    <w:rsid w:val="00733FFA"/>
    <w:rsid w:val="00741466"/>
    <w:rsid w:val="007456C1"/>
    <w:rsid w:val="00747E42"/>
    <w:rsid w:val="00754BE8"/>
    <w:rsid w:val="007623C4"/>
    <w:rsid w:val="00763C4B"/>
    <w:rsid w:val="0077276E"/>
    <w:rsid w:val="007753D3"/>
    <w:rsid w:val="0077761C"/>
    <w:rsid w:val="007817AF"/>
    <w:rsid w:val="007851BE"/>
    <w:rsid w:val="00785BF5"/>
    <w:rsid w:val="007870A7"/>
    <w:rsid w:val="00790CC3"/>
    <w:rsid w:val="00791E30"/>
    <w:rsid w:val="0079219C"/>
    <w:rsid w:val="007974FF"/>
    <w:rsid w:val="007A095E"/>
    <w:rsid w:val="007A219B"/>
    <w:rsid w:val="007B6717"/>
    <w:rsid w:val="007B69E8"/>
    <w:rsid w:val="007C15B7"/>
    <w:rsid w:val="007D0C69"/>
    <w:rsid w:val="007D66AA"/>
    <w:rsid w:val="007E003F"/>
    <w:rsid w:val="007E03D3"/>
    <w:rsid w:val="007E0886"/>
    <w:rsid w:val="007E1A44"/>
    <w:rsid w:val="007E2E23"/>
    <w:rsid w:val="007F58D9"/>
    <w:rsid w:val="007F7F84"/>
    <w:rsid w:val="00812203"/>
    <w:rsid w:val="008177CD"/>
    <w:rsid w:val="00824330"/>
    <w:rsid w:val="00825234"/>
    <w:rsid w:val="0082656A"/>
    <w:rsid w:val="00832B1F"/>
    <w:rsid w:val="008403DC"/>
    <w:rsid w:val="00840615"/>
    <w:rsid w:val="00841471"/>
    <w:rsid w:val="00844173"/>
    <w:rsid w:val="008448C2"/>
    <w:rsid w:val="0084710C"/>
    <w:rsid w:val="00850ABC"/>
    <w:rsid w:val="00852718"/>
    <w:rsid w:val="00855459"/>
    <w:rsid w:val="008618C1"/>
    <w:rsid w:val="00862805"/>
    <w:rsid w:val="00871847"/>
    <w:rsid w:val="008720E0"/>
    <w:rsid w:val="00872372"/>
    <w:rsid w:val="00881F58"/>
    <w:rsid w:val="00882F0E"/>
    <w:rsid w:val="008856D8"/>
    <w:rsid w:val="008A01AE"/>
    <w:rsid w:val="008A0E59"/>
    <w:rsid w:val="008A1A9D"/>
    <w:rsid w:val="008B0917"/>
    <w:rsid w:val="008D10F5"/>
    <w:rsid w:val="008E596E"/>
    <w:rsid w:val="008E5CD8"/>
    <w:rsid w:val="008E5D5F"/>
    <w:rsid w:val="008E6AB6"/>
    <w:rsid w:val="008F7954"/>
    <w:rsid w:val="00900FAA"/>
    <w:rsid w:val="00907B19"/>
    <w:rsid w:val="00911A55"/>
    <w:rsid w:val="00911D33"/>
    <w:rsid w:val="00912480"/>
    <w:rsid w:val="00915049"/>
    <w:rsid w:val="0092041C"/>
    <w:rsid w:val="00920871"/>
    <w:rsid w:val="00930905"/>
    <w:rsid w:val="00932570"/>
    <w:rsid w:val="00933912"/>
    <w:rsid w:val="00936B63"/>
    <w:rsid w:val="009412B8"/>
    <w:rsid w:val="00941A9B"/>
    <w:rsid w:val="009506A2"/>
    <w:rsid w:val="00950BB9"/>
    <w:rsid w:val="009611BE"/>
    <w:rsid w:val="00961691"/>
    <w:rsid w:val="00962F56"/>
    <w:rsid w:val="00964262"/>
    <w:rsid w:val="00971500"/>
    <w:rsid w:val="009716DA"/>
    <w:rsid w:val="00972B61"/>
    <w:rsid w:val="00973F57"/>
    <w:rsid w:val="00974E55"/>
    <w:rsid w:val="009804A8"/>
    <w:rsid w:val="00983FAC"/>
    <w:rsid w:val="00984440"/>
    <w:rsid w:val="00987958"/>
    <w:rsid w:val="00995A45"/>
    <w:rsid w:val="009975E5"/>
    <w:rsid w:val="009A2F0F"/>
    <w:rsid w:val="009C57C3"/>
    <w:rsid w:val="009D1645"/>
    <w:rsid w:val="009D45D0"/>
    <w:rsid w:val="009E17BF"/>
    <w:rsid w:val="009E6570"/>
    <w:rsid w:val="009E763E"/>
    <w:rsid w:val="009F1C0C"/>
    <w:rsid w:val="00A04852"/>
    <w:rsid w:val="00A10A9A"/>
    <w:rsid w:val="00A126A0"/>
    <w:rsid w:val="00A15E89"/>
    <w:rsid w:val="00A16374"/>
    <w:rsid w:val="00A314A3"/>
    <w:rsid w:val="00A32E0F"/>
    <w:rsid w:val="00A3537E"/>
    <w:rsid w:val="00A427D2"/>
    <w:rsid w:val="00A43D31"/>
    <w:rsid w:val="00A47E28"/>
    <w:rsid w:val="00A505F0"/>
    <w:rsid w:val="00A57D33"/>
    <w:rsid w:val="00A61BC2"/>
    <w:rsid w:val="00A6231E"/>
    <w:rsid w:val="00A65DE1"/>
    <w:rsid w:val="00A70190"/>
    <w:rsid w:val="00A73A59"/>
    <w:rsid w:val="00A7517C"/>
    <w:rsid w:val="00A90BE4"/>
    <w:rsid w:val="00A92B64"/>
    <w:rsid w:val="00A95E72"/>
    <w:rsid w:val="00AA1144"/>
    <w:rsid w:val="00AA54BA"/>
    <w:rsid w:val="00AA6791"/>
    <w:rsid w:val="00AA6A83"/>
    <w:rsid w:val="00AB3BE4"/>
    <w:rsid w:val="00AB5517"/>
    <w:rsid w:val="00AB7415"/>
    <w:rsid w:val="00AC217E"/>
    <w:rsid w:val="00AC3DCE"/>
    <w:rsid w:val="00AC6A07"/>
    <w:rsid w:val="00AC6AB8"/>
    <w:rsid w:val="00AD05B7"/>
    <w:rsid w:val="00AD2A7D"/>
    <w:rsid w:val="00AE149D"/>
    <w:rsid w:val="00AE340B"/>
    <w:rsid w:val="00AE5533"/>
    <w:rsid w:val="00AE6737"/>
    <w:rsid w:val="00AE6DDC"/>
    <w:rsid w:val="00AF1F3C"/>
    <w:rsid w:val="00AF2434"/>
    <w:rsid w:val="00AF6D57"/>
    <w:rsid w:val="00B11322"/>
    <w:rsid w:val="00B11A69"/>
    <w:rsid w:val="00B16F3C"/>
    <w:rsid w:val="00B207D7"/>
    <w:rsid w:val="00B22132"/>
    <w:rsid w:val="00B23092"/>
    <w:rsid w:val="00B2384A"/>
    <w:rsid w:val="00B26771"/>
    <w:rsid w:val="00B2685F"/>
    <w:rsid w:val="00B2762A"/>
    <w:rsid w:val="00B2785D"/>
    <w:rsid w:val="00B27B92"/>
    <w:rsid w:val="00B41E43"/>
    <w:rsid w:val="00B432FB"/>
    <w:rsid w:val="00B440CE"/>
    <w:rsid w:val="00B50C8C"/>
    <w:rsid w:val="00B53973"/>
    <w:rsid w:val="00B53B20"/>
    <w:rsid w:val="00B6138C"/>
    <w:rsid w:val="00B72E5B"/>
    <w:rsid w:val="00B74444"/>
    <w:rsid w:val="00B75151"/>
    <w:rsid w:val="00B75FDE"/>
    <w:rsid w:val="00B874B9"/>
    <w:rsid w:val="00B9327B"/>
    <w:rsid w:val="00B95700"/>
    <w:rsid w:val="00BA75BF"/>
    <w:rsid w:val="00BA7FBB"/>
    <w:rsid w:val="00BB3BF5"/>
    <w:rsid w:val="00BB41D7"/>
    <w:rsid w:val="00BB4641"/>
    <w:rsid w:val="00BB7510"/>
    <w:rsid w:val="00BB7FAD"/>
    <w:rsid w:val="00BC19C0"/>
    <w:rsid w:val="00BC3D2F"/>
    <w:rsid w:val="00BC6F01"/>
    <w:rsid w:val="00BD3558"/>
    <w:rsid w:val="00BE070A"/>
    <w:rsid w:val="00BE170B"/>
    <w:rsid w:val="00BE2C7D"/>
    <w:rsid w:val="00BF2E49"/>
    <w:rsid w:val="00BF6AC6"/>
    <w:rsid w:val="00C033C4"/>
    <w:rsid w:val="00C06A80"/>
    <w:rsid w:val="00C13188"/>
    <w:rsid w:val="00C22B03"/>
    <w:rsid w:val="00C3033B"/>
    <w:rsid w:val="00C352D2"/>
    <w:rsid w:val="00C36A0B"/>
    <w:rsid w:val="00C546FD"/>
    <w:rsid w:val="00C56A0F"/>
    <w:rsid w:val="00C63E5C"/>
    <w:rsid w:val="00C7218C"/>
    <w:rsid w:val="00C76121"/>
    <w:rsid w:val="00C7729B"/>
    <w:rsid w:val="00C82C14"/>
    <w:rsid w:val="00C83A06"/>
    <w:rsid w:val="00C83F1C"/>
    <w:rsid w:val="00C849D7"/>
    <w:rsid w:val="00C87B0F"/>
    <w:rsid w:val="00C93C1E"/>
    <w:rsid w:val="00CA1C79"/>
    <w:rsid w:val="00CA2E77"/>
    <w:rsid w:val="00CA6117"/>
    <w:rsid w:val="00CB1CBA"/>
    <w:rsid w:val="00CB2EA4"/>
    <w:rsid w:val="00CB2F04"/>
    <w:rsid w:val="00CB38FB"/>
    <w:rsid w:val="00CB4E28"/>
    <w:rsid w:val="00CB5FAA"/>
    <w:rsid w:val="00CB691F"/>
    <w:rsid w:val="00CB6C09"/>
    <w:rsid w:val="00CC33A4"/>
    <w:rsid w:val="00CC359E"/>
    <w:rsid w:val="00CC6D7D"/>
    <w:rsid w:val="00CC7F1B"/>
    <w:rsid w:val="00CD098F"/>
    <w:rsid w:val="00CE2701"/>
    <w:rsid w:val="00CE2D99"/>
    <w:rsid w:val="00CE48EA"/>
    <w:rsid w:val="00CE4C41"/>
    <w:rsid w:val="00CE65C1"/>
    <w:rsid w:val="00CF2934"/>
    <w:rsid w:val="00CF338A"/>
    <w:rsid w:val="00CF5BEF"/>
    <w:rsid w:val="00D1667C"/>
    <w:rsid w:val="00D16C27"/>
    <w:rsid w:val="00D17497"/>
    <w:rsid w:val="00D17736"/>
    <w:rsid w:val="00D22E4F"/>
    <w:rsid w:val="00D27955"/>
    <w:rsid w:val="00D3150F"/>
    <w:rsid w:val="00D35CD5"/>
    <w:rsid w:val="00D41867"/>
    <w:rsid w:val="00D43402"/>
    <w:rsid w:val="00D45F6A"/>
    <w:rsid w:val="00D510E6"/>
    <w:rsid w:val="00D56D81"/>
    <w:rsid w:val="00D65BF4"/>
    <w:rsid w:val="00D719E6"/>
    <w:rsid w:val="00D71CC9"/>
    <w:rsid w:val="00D74EC9"/>
    <w:rsid w:val="00D7564D"/>
    <w:rsid w:val="00D76889"/>
    <w:rsid w:val="00D7743E"/>
    <w:rsid w:val="00D77A08"/>
    <w:rsid w:val="00D82EF0"/>
    <w:rsid w:val="00D83568"/>
    <w:rsid w:val="00D91FA0"/>
    <w:rsid w:val="00D93378"/>
    <w:rsid w:val="00D96BB0"/>
    <w:rsid w:val="00D9756E"/>
    <w:rsid w:val="00DA0ABD"/>
    <w:rsid w:val="00DA2E34"/>
    <w:rsid w:val="00DA3048"/>
    <w:rsid w:val="00DA318D"/>
    <w:rsid w:val="00DA57B6"/>
    <w:rsid w:val="00DA6BF6"/>
    <w:rsid w:val="00DA77B0"/>
    <w:rsid w:val="00DB1C02"/>
    <w:rsid w:val="00DB2992"/>
    <w:rsid w:val="00DC1D72"/>
    <w:rsid w:val="00DC5AF1"/>
    <w:rsid w:val="00DD69E8"/>
    <w:rsid w:val="00DD6FF8"/>
    <w:rsid w:val="00DE33E2"/>
    <w:rsid w:val="00DE5107"/>
    <w:rsid w:val="00DE76F7"/>
    <w:rsid w:val="00DF02D9"/>
    <w:rsid w:val="00DF240D"/>
    <w:rsid w:val="00DF3A24"/>
    <w:rsid w:val="00DF45EF"/>
    <w:rsid w:val="00DF7DC2"/>
    <w:rsid w:val="00E02147"/>
    <w:rsid w:val="00E03419"/>
    <w:rsid w:val="00E03B92"/>
    <w:rsid w:val="00E05344"/>
    <w:rsid w:val="00E10DD4"/>
    <w:rsid w:val="00E1315C"/>
    <w:rsid w:val="00E13756"/>
    <w:rsid w:val="00E175CF"/>
    <w:rsid w:val="00E17DAE"/>
    <w:rsid w:val="00E20B41"/>
    <w:rsid w:val="00E23B8D"/>
    <w:rsid w:val="00E24707"/>
    <w:rsid w:val="00E24F30"/>
    <w:rsid w:val="00E31E6A"/>
    <w:rsid w:val="00E372C5"/>
    <w:rsid w:val="00E41EF8"/>
    <w:rsid w:val="00E51DD5"/>
    <w:rsid w:val="00E533CE"/>
    <w:rsid w:val="00E53E6D"/>
    <w:rsid w:val="00E60DD9"/>
    <w:rsid w:val="00E645C3"/>
    <w:rsid w:val="00E6668A"/>
    <w:rsid w:val="00E66903"/>
    <w:rsid w:val="00E67ED2"/>
    <w:rsid w:val="00E7223C"/>
    <w:rsid w:val="00E81332"/>
    <w:rsid w:val="00E84375"/>
    <w:rsid w:val="00E8465B"/>
    <w:rsid w:val="00E9539F"/>
    <w:rsid w:val="00E979B9"/>
    <w:rsid w:val="00EA17A1"/>
    <w:rsid w:val="00EA21DE"/>
    <w:rsid w:val="00EA2516"/>
    <w:rsid w:val="00EB686B"/>
    <w:rsid w:val="00EC3369"/>
    <w:rsid w:val="00EC5861"/>
    <w:rsid w:val="00EC765E"/>
    <w:rsid w:val="00EC7D7D"/>
    <w:rsid w:val="00ED1CB6"/>
    <w:rsid w:val="00ED4505"/>
    <w:rsid w:val="00EE2764"/>
    <w:rsid w:val="00EE2A09"/>
    <w:rsid w:val="00EE6AE4"/>
    <w:rsid w:val="00EE6CA6"/>
    <w:rsid w:val="00EF0D21"/>
    <w:rsid w:val="00EF2F2F"/>
    <w:rsid w:val="00EF41BA"/>
    <w:rsid w:val="00F001A1"/>
    <w:rsid w:val="00F1023F"/>
    <w:rsid w:val="00F1385C"/>
    <w:rsid w:val="00F15B3F"/>
    <w:rsid w:val="00F15BA6"/>
    <w:rsid w:val="00F251DC"/>
    <w:rsid w:val="00F27FFD"/>
    <w:rsid w:val="00F3174E"/>
    <w:rsid w:val="00F405A5"/>
    <w:rsid w:val="00F414F9"/>
    <w:rsid w:val="00F45937"/>
    <w:rsid w:val="00F45D7F"/>
    <w:rsid w:val="00F477AC"/>
    <w:rsid w:val="00F57421"/>
    <w:rsid w:val="00F60F37"/>
    <w:rsid w:val="00F61162"/>
    <w:rsid w:val="00F6265F"/>
    <w:rsid w:val="00F63E02"/>
    <w:rsid w:val="00F64C48"/>
    <w:rsid w:val="00F666A1"/>
    <w:rsid w:val="00F719AC"/>
    <w:rsid w:val="00F72F38"/>
    <w:rsid w:val="00F734FE"/>
    <w:rsid w:val="00F82307"/>
    <w:rsid w:val="00F85DB5"/>
    <w:rsid w:val="00F8671B"/>
    <w:rsid w:val="00F90ACA"/>
    <w:rsid w:val="00F9386D"/>
    <w:rsid w:val="00F954BD"/>
    <w:rsid w:val="00FA008A"/>
    <w:rsid w:val="00FA03B9"/>
    <w:rsid w:val="00FA1278"/>
    <w:rsid w:val="00FA2AF8"/>
    <w:rsid w:val="00FA4155"/>
    <w:rsid w:val="00FA70A7"/>
    <w:rsid w:val="00FA70DB"/>
    <w:rsid w:val="00FA721B"/>
    <w:rsid w:val="00FA7286"/>
    <w:rsid w:val="00FA7322"/>
    <w:rsid w:val="00FB029C"/>
    <w:rsid w:val="00FB2E12"/>
    <w:rsid w:val="00FB6751"/>
    <w:rsid w:val="00FB6CF4"/>
    <w:rsid w:val="00FC2873"/>
    <w:rsid w:val="00FD24A2"/>
    <w:rsid w:val="00FE56C8"/>
    <w:rsid w:val="00FF285F"/>
    <w:rsid w:val="00FF4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990C3"/>
  <w14:defaultImageDpi w14:val="32767"/>
  <w15:chartTrackingRefBased/>
  <w15:docId w15:val="{02E6DAFF-FB4D-4347-9E06-8181D6B0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DA0ABD"/>
    <w:pPr>
      <w:jc w:val="both"/>
    </w:pPr>
    <w:rPr>
      <w:rFonts w:ascii="Arial" w:hAnsi="Arial"/>
    </w:rPr>
  </w:style>
  <w:style w:type="paragraph" w:styleId="Heading1">
    <w:name w:val="heading 1"/>
    <w:basedOn w:val="Normal"/>
    <w:next w:val="Normal"/>
    <w:link w:val="Heading1Char"/>
    <w:uiPriority w:val="9"/>
    <w:qFormat/>
    <w:rsid w:val="00911A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11A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11A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11A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11A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11A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1A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1A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1A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1A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11A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11A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11A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11A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11A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1A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1A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1A55"/>
    <w:rPr>
      <w:rFonts w:eastAsiaTheme="majorEastAsia" w:cstheme="majorBidi"/>
      <w:color w:val="272727" w:themeColor="text1" w:themeTint="D8"/>
    </w:rPr>
  </w:style>
  <w:style w:type="paragraph" w:styleId="Title">
    <w:name w:val="Title"/>
    <w:basedOn w:val="Normal"/>
    <w:next w:val="Normal"/>
    <w:link w:val="TitleChar"/>
    <w:uiPriority w:val="10"/>
    <w:qFormat/>
    <w:rsid w:val="00911A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1A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1A5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1A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1A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11A55"/>
    <w:rPr>
      <w:i/>
      <w:iCs/>
      <w:color w:val="404040" w:themeColor="text1" w:themeTint="BF"/>
    </w:rPr>
  </w:style>
  <w:style w:type="paragraph" w:styleId="ListParagraph">
    <w:name w:val="List Paragraph"/>
    <w:basedOn w:val="Normal"/>
    <w:uiPriority w:val="34"/>
    <w:qFormat/>
    <w:rsid w:val="00911A55"/>
    <w:pPr>
      <w:ind w:left="720"/>
      <w:contextualSpacing/>
    </w:pPr>
  </w:style>
  <w:style w:type="character" w:styleId="IntenseEmphasis">
    <w:name w:val="Intense Emphasis"/>
    <w:basedOn w:val="DefaultParagraphFont"/>
    <w:uiPriority w:val="21"/>
    <w:qFormat/>
    <w:rsid w:val="00911A55"/>
    <w:rPr>
      <w:i/>
      <w:iCs/>
      <w:color w:val="2F5496" w:themeColor="accent1" w:themeShade="BF"/>
    </w:rPr>
  </w:style>
  <w:style w:type="paragraph" w:styleId="IntenseQuote">
    <w:name w:val="Intense Quote"/>
    <w:basedOn w:val="Normal"/>
    <w:next w:val="Normal"/>
    <w:link w:val="IntenseQuoteChar"/>
    <w:uiPriority w:val="30"/>
    <w:qFormat/>
    <w:rsid w:val="00911A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11A55"/>
    <w:rPr>
      <w:i/>
      <w:iCs/>
      <w:color w:val="2F5496" w:themeColor="accent1" w:themeShade="BF"/>
    </w:rPr>
  </w:style>
  <w:style w:type="character" w:styleId="IntenseReference">
    <w:name w:val="Intense Reference"/>
    <w:basedOn w:val="DefaultParagraphFont"/>
    <w:uiPriority w:val="32"/>
    <w:qFormat/>
    <w:rsid w:val="00911A55"/>
    <w:rPr>
      <w:b/>
      <w:bCs/>
      <w:smallCaps/>
      <w:color w:val="2F5496" w:themeColor="accent1" w:themeShade="BF"/>
      <w:spacing w:val="5"/>
    </w:rPr>
  </w:style>
  <w:style w:type="paragraph" w:styleId="TOCHeading">
    <w:name w:val="TOC Heading"/>
    <w:basedOn w:val="Heading1"/>
    <w:next w:val="Normal"/>
    <w:uiPriority w:val="39"/>
    <w:unhideWhenUsed/>
    <w:qFormat/>
    <w:rsid w:val="00DA0ABD"/>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A0ABD"/>
    <w:pPr>
      <w:spacing w:before="120"/>
      <w:jc w:val="left"/>
    </w:pPr>
    <w:rPr>
      <w:rFonts w:asciiTheme="minorHAnsi" w:hAnsiTheme="minorHAnsi" w:cstheme="minorHAnsi"/>
      <w:b/>
      <w:bCs/>
      <w:i/>
      <w:iCs/>
    </w:rPr>
  </w:style>
  <w:style w:type="paragraph" w:styleId="TOC2">
    <w:name w:val="toc 2"/>
    <w:basedOn w:val="Normal"/>
    <w:next w:val="Normal"/>
    <w:autoRedefine/>
    <w:uiPriority w:val="39"/>
    <w:semiHidden/>
    <w:unhideWhenUsed/>
    <w:rsid w:val="00DA0ABD"/>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DA0ABD"/>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A0ABD"/>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A0ABD"/>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A0ABD"/>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A0ABD"/>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A0ABD"/>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A0ABD"/>
    <w:pPr>
      <w:ind w:left="1920"/>
      <w:jc w:val="left"/>
    </w:pPr>
    <w:rPr>
      <w:rFonts w:asciiTheme="minorHAnsi" w:hAnsiTheme="minorHAnsi" w:cstheme="minorHAnsi"/>
      <w:sz w:val="20"/>
      <w:szCs w:val="20"/>
    </w:rPr>
  </w:style>
  <w:style w:type="paragraph" w:styleId="TableofFigures">
    <w:name w:val="table of figures"/>
    <w:basedOn w:val="Normal"/>
    <w:next w:val="Normal"/>
    <w:uiPriority w:val="99"/>
    <w:unhideWhenUsed/>
    <w:rsid w:val="00DA0ABD"/>
    <w:pPr>
      <w:ind w:left="480" w:hanging="480"/>
    </w:pPr>
    <w:rPr>
      <w:rFonts w:cstheme="minorHAnsi"/>
      <w:b/>
      <w:bCs/>
      <w:sz w:val="20"/>
      <w:szCs w:val="20"/>
    </w:rPr>
  </w:style>
  <w:style w:type="paragraph" w:customStyle="1" w:styleId="AssignmentHeading1">
    <w:name w:val="Assignment Heading 1"/>
    <w:basedOn w:val="Heading1"/>
    <w:next w:val="Normal"/>
    <w:autoRedefine/>
    <w:qFormat/>
    <w:rsid w:val="0039627B"/>
    <w:pPr>
      <w:jc w:val="left"/>
    </w:pPr>
    <w:rPr>
      <w:rFonts w:ascii="Arial" w:hAnsi="Arial"/>
      <w:b/>
      <w:color w:val="000000" w:themeColor="text1"/>
      <w:sz w:val="28"/>
      <w:u w:val="single"/>
    </w:rPr>
  </w:style>
  <w:style w:type="character" w:styleId="Hyperlink">
    <w:name w:val="Hyperlink"/>
    <w:basedOn w:val="DefaultParagraphFont"/>
    <w:uiPriority w:val="99"/>
    <w:unhideWhenUsed/>
    <w:rsid w:val="00A16374"/>
    <w:rPr>
      <w:color w:val="0563C1" w:themeColor="hyperlink"/>
      <w:u w:val="single"/>
    </w:rPr>
  </w:style>
  <w:style w:type="paragraph" w:styleId="NoSpacing">
    <w:name w:val="No Spacing"/>
    <w:uiPriority w:val="1"/>
    <w:qFormat/>
    <w:rsid w:val="00A16374"/>
    <w:pPr>
      <w:jc w:val="both"/>
    </w:pPr>
    <w:rPr>
      <w:rFonts w:ascii="Arial" w:hAnsi="Arial"/>
    </w:rPr>
  </w:style>
  <w:style w:type="paragraph" w:styleId="Caption">
    <w:name w:val="caption"/>
    <w:basedOn w:val="Normal"/>
    <w:next w:val="Normal"/>
    <w:uiPriority w:val="35"/>
    <w:unhideWhenUsed/>
    <w:qFormat/>
    <w:rsid w:val="00A73A59"/>
    <w:pPr>
      <w:spacing w:after="200"/>
    </w:pPr>
    <w:rPr>
      <w:i/>
      <w:iCs/>
      <w:color w:val="44546A" w:themeColor="text2"/>
      <w:sz w:val="18"/>
      <w:szCs w:val="18"/>
    </w:rPr>
  </w:style>
  <w:style w:type="paragraph" w:styleId="Header">
    <w:name w:val="header"/>
    <w:basedOn w:val="Normal"/>
    <w:link w:val="HeaderChar"/>
    <w:uiPriority w:val="99"/>
    <w:unhideWhenUsed/>
    <w:rsid w:val="004C5584"/>
    <w:pPr>
      <w:tabs>
        <w:tab w:val="center" w:pos="4513"/>
        <w:tab w:val="right" w:pos="9026"/>
      </w:tabs>
    </w:pPr>
  </w:style>
  <w:style w:type="character" w:customStyle="1" w:styleId="HeaderChar">
    <w:name w:val="Header Char"/>
    <w:basedOn w:val="DefaultParagraphFont"/>
    <w:link w:val="Header"/>
    <w:uiPriority w:val="99"/>
    <w:rsid w:val="004C5584"/>
    <w:rPr>
      <w:rFonts w:ascii="Arial" w:hAnsi="Arial"/>
    </w:rPr>
  </w:style>
  <w:style w:type="paragraph" w:styleId="Footer">
    <w:name w:val="footer"/>
    <w:basedOn w:val="Normal"/>
    <w:link w:val="FooterChar"/>
    <w:uiPriority w:val="99"/>
    <w:unhideWhenUsed/>
    <w:rsid w:val="004C5584"/>
    <w:pPr>
      <w:tabs>
        <w:tab w:val="center" w:pos="4513"/>
        <w:tab w:val="right" w:pos="9026"/>
      </w:tabs>
    </w:pPr>
  </w:style>
  <w:style w:type="character" w:customStyle="1" w:styleId="FooterChar">
    <w:name w:val="Footer Char"/>
    <w:basedOn w:val="DefaultParagraphFont"/>
    <w:link w:val="Footer"/>
    <w:uiPriority w:val="99"/>
    <w:rsid w:val="004C5584"/>
    <w:rPr>
      <w:rFonts w:ascii="Arial" w:hAnsi="Arial"/>
    </w:rPr>
  </w:style>
  <w:style w:type="character" w:styleId="PlaceholderText">
    <w:name w:val="Placeholder Text"/>
    <w:basedOn w:val="DefaultParagraphFont"/>
    <w:uiPriority w:val="99"/>
    <w:semiHidden/>
    <w:rsid w:val="000F289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27080">
      <w:bodyDiv w:val="1"/>
      <w:marLeft w:val="0"/>
      <w:marRight w:val="0"/>
      <w:marTop w:val="0"/>
      <w:marBottom w:val="0"/>
      <w:divBdr>
        <w:top w:val="none" w:sz="0" w:space="0" w:color="auto"/>
        <w:left w:val="none" w:sz="0" w:space="0" w:color="auto"/>
        <w:bottom w:val="none" w:sz="0" w:space="0" w:color="auto"/>
        <w:right w:val="none" w:sz="0" w:space="0" w:color="auto"/>
      </w:divBdr>
    </w:div>
    <w:div w:id="51929427">
      <w:bodyDiv w:val="1"/>
      <w:marLeft w:val="0"/>
      <w:marRight w:val="0"/>
      <w:marTop w:val="0"/>
      <w:marBottom w:val="0"/>
      <w:divBdr>
        <w:top w:val="none" w:sz="0" w:space="0" w:color="auto"/>
        <w:left w:val="none" w:sz="0" w:space="0" w:color="auto"/>
        <w:bottom w:val="none" w:sz="0" w:space="0" w:color="auto"/>
        <w:right w:val="none" w:sz="0" w:space="0" w:color="auto"/>
      </w:divBdr>
    </w:div>
    <w:div w:id="57481228">
      <w:bodyDiv w:val="1"/>
      <w:marLeft w:val="0"/>
      <w:marRight w:val="0"/>
      <w:marTop w:val="0"/>
      <w:marBottom w:val="0"/>
      <w:divBdr>
        <w:top w:val="none" w:sz="0" w:space="0" w:color="auto"/>
        <w:left w:val="none" w:sz="0" w:space="0" w:color="auto"/>
        <w:bottom w:val="none" w:sz="0" w:space="0" w:color="auto"/>
        <w:right w:val="none" w:sz="0" w:space="0" w:color="auto"/>
      </w:divBdr>
    </w:div>
    <w:div w:id="105663375">
      <w:bodyDiv w:val="1"/>
      <w:marLeft w:val="0"/>
      <w:marRight w:val="0"/>
      <w:marTop w:val="0"/>
      <w:marBottom w:val="0"/>
      <w:divBdr>
        <w:top w:val="none" w:sz="0" w:space="0" w:color="auto"/>
        <w:left w:val="none" w:sz="0" w:space="0" w:color="auto"/>
        <w:bottom w:val="none" w:sz="0" w:space="0" w:color="auto"/>
        <w:right w:val="none" w:sz="0" w:space="0" w:color="auto"/>
      </w:divBdr>
    </w:div>
    <w:div w:id="188107436">
      <w:bodyDiv w:val="1"/>
      <w:marLeft w:val="0"/>
      <w:marRight w:val="0"/>
      <w:marTop w:val="0"/>
      <w:marBottom w:val="0"/>
      <w:divBdr>
        <w:top w:val="none" w:sz="0" w:space="0" w:color="auto"/>
        <w:left w:val="none" w:sz="0" w:space="0" w:color="auto"/>
        <w:bottom w:val="none" w:sz="0" w:space="0" w:color="auto"/>
        <w:right w:val="none" w:sz="0" w:space="0" w:color="auto"/>
      </w:divBdr>
    </w:div>
    <w:div w:id="240484244">
      <w:bodyDiv w:val="1"/>
      <w:marLeft w:val="0"/>
      <w:marRight w:val="0"/>
      <w:marTop w:val="0"/>
      <w:marBottom w:val="0"/>
      <w:divBdr>
        <w:top w:val="none" w:sz="0" w:space="0" w:color="auto"/>
        <w:left w:val="none" w:sz="0" w:space="0" w:color="auto"/>
        <w:bottom w:val="none" w:sz="0" w:space="0" w:color="auto"/>
        <w:right w:val="none" w:sz="0" w:space="0" w:color="auto"/>
      </w:divBdr>
    </w:div>
    <w:div w:id="242956311">
      <w:bodyDiv w:val="1"/>
      <w:marLeft w:val="0"/>
      <w:marRight w:val="0"/>
      <w:marTop w:val="0"/>
      <w:marBottom w:val="0"/>
      <w:divBdr>
        <w:top w:val="none" w:sz="0" w:space="0" w:color="auto"/>
        <w:left w:val="none" w:sz="0" w:space="0" w:color="auto"/>
        <w:bottom w:val="none" w:sz="0" w:space="0" w:color="auto"/>
        <w:right w:val="none" w:sz="0" w:space="0" w:color="auto"/>
      </w:divBdr>
    </w:div>
    <w:div w:id="249657460">
      <w:bodyDiv w:val="1"/>
      <w:marLeft w:val="0"/>
      <w:marRight w:val="0"/>
      <w:marTop w:val="0"/>
      <w:marBottom w:val="0"/>
      <w:divBdr>
        <w:top w:val="none" w:sz="0" w:space="0" w:color="auto"/>
        <w:left w:val="none" w:sz="0" w:space="0" w:color="auto"/>
        <w:bottom w:val="none" w:sz="0" w:space="0" w:color="auto"/>
        <w:right w:val="none" w:sz="0" w:space="0" w:color="auto"/>
      </w:divBdr>
    </w:div>
    <w:div w:id="262886486">
      <w:bodyDiv w:val="1"/>
      <w:marLeft w:val="0"/>
      <w:marRight w:val="0"/>
      <w:marTop w:val="0"/>
      <w:marBottom w:val="0"/>
      <w:divBdr>
        <w:top w:val="none" w:sz="0" w:space="0" w:color="auto"/>
        <w:left w:val="none" w:sz="0" w:space="0" w:color="auto"/>
        <w:bottom w:val="none" w:sz="0" w:space="0" w:color="auto"/>
        <w:right w:val="none" w:sz="0" w:space="0" w:color="auto"/>
      </w:divBdr>
    </w:div>
    <w:div w:id="363333749">
      <w:bodyDiv w:val="1"/>
      <w:marLeft w:val="0"/>
      <w:marRight w:val="0"/>
      <w:marTop w:val="0"/>
      <w:marBottom w:val="0"/>
      <w:divBdr>
        <w:top w:val="none" w:sz="0" w:space="0" w:color="auto"/>
        <w:left w:val="none" w:sz="0" w:space="0" w:color="auto"/>
        <w:bottom w:val="none" w:sz="0" w:space="0" w:color="auto"/>
        <w:right w:val="none" w:sz="0" w:space="0" w:color="auto"/>
      </w:divBdr>
    </w:div>
    <w:div w:id="413628137">
      <w:bodyDiv w:val="1"/>
      <w:marLeft w:val="0"/>
      <w:marRight w:val="0"/>
      <w:marTop w:val="0"/>
      <w:marBottom w:val="0"/>
      <w:divBdr>
        <w:top w:val="none" w:sz="0" w:space="0" w:color="auto"/>
        <w:left w:val="none" w:sz="0" w:space="0" w:color="auto"/>
        <w:bottom w:val="none" w:sz="0" w:space="0" w:color="auto"/>
        <w:right w:val="none" w:sz="0" w:space="0" w:color="auto"/>
      </w:divBdr>
    </w:div>
    <w:div w:id="451443293">
      <w:bodyDiv w:val="1"/>
      <w:marLeft w:val="0"/>
      <w:marRight w:val="0"/>
      <w:marTop w:val="0"/>
      <w:marBottom w:val="0"/>
      <w:divBdr>
        <w:top w:val="none" w:sz="0" w:space="0" w:color="auto"/>
        <w:left w:val="none" w:sz="0" w:space="0" w:color="auto"/>
        <w:bottom w:val="none" w:sz="0" w:space="0" w:color="auto"/>
        <w:right w:val="none" w:sz="0" w:space="0" w:color="auto"/>
      </w:divBdr>
    </w:div>
    <w:div w:id="485632783">
      <w:bodyDiv w:val="1"/>
      <w:marLeft w:val="0"/>
      <w:marRight w:val="0"/>
      <w:marTop w:val="0"/>
      <w:marBottom w:val="0"/>
      <w:divBdr>
        <w:top w:val="none" w:sz="0" w:space="0" w:color="auto"/>
        <w:left w:val="none" w:sz="0" w:space="0" w:color="auto"/>
        <w:bottom w:val="none" w:sz="0" w:space="0" w:color="auto"/>
        <w:right w:val="none" w:sz="0" w:space="0" w:color="auto"/>
      </w:divBdr>
    </w:div>
    <w:div w:id="489518381">
      <w:bodyDiv w:val="1"/>
      <w:marLeft w:val="0"/>
      <w:marRight w:val="0"/>
      <w:marTop w:val="0"/>
      <w:marBottom w:val="0"/>
      <w:divBdr>
        <w:top w:val="none" w:sz="0" w:space="0" w:color="auto"/>
        <w:left w:val="none" w:sz="0" w:space="0" w:color="auto"/>
        <w:bottom w:val="none" w:sz="0" w:space="0" w:color="auto"/>
        <w:right w:val="none" w:sz="0" w:space="0" w:color="auto"/>
      </w:divBdr>
    </w:div>
    <w:div w:id="497035665">
      <w:bodyDiv w:val="1"/>
      <w:marLeft w:val="0"/>
      <w:marRight w:val="0"/>
      <w:marTop w:val="0"/>
      <w:marBottom w:val="0"/>
      <w:divBdr>
        <w:top w:val="none" w:sz="0" w:space="0" w:color="auto"/>
        <w:left w:val="none" w:sz="0" w:space="0" w:color="auto"/>
        <w:bottom w:val="none" w:sz="0" w:space="0" w:color="auto"/>
        <w:right w:val="none" w:sz="0" w:space="0" w:color="auto"/>
      </w:divBdr>
    </w:div>
    <w:div w:id="549269353">
      <w:bodyDiv w:val="1"/>
      <w:marLeft w:val="0"/>
      <w:marRight w:val="0"/>
      <w:marTop w:val="0"/>
      <w:marBottom w:val="0"/>
      <w:divBdr>
        <w:top w:val="none" w:sz="0" w:space="0" w:color="auto"/>
        <w:left w:val="none" w:sz="0" w:space="0" w:color="auto"/>
        <w:bottom w:val="none" w:sz="0" w:space="0" w:color="auto"/>
        <w:right w:val="none" w:sz="0" w:space="0" w:color="auto"/>
      </w:divBdr>
    </w:div>
    <w:div w:id="555313310">
      <w:bodyDiv w:val="1"/>
      <w:marLeft w:val="0"/>
      <w:marRight w:val="0"/>
      <w:marTop w:val="0"/>
      <w:marBottom w:val="0"/>
      <w:divBdr>
        <w:top w:val="none" w:sz="0" w:space="0" w:color="auto"/>
        <w:left w:val="none" w:sz="0" w:space="0" w:color="auto"/>
        <w:bottom w:val="none" w:sz="0" w:space="0" w:color="auto"/>
        <w:right w:val="none" w:sz="0" w:space="0" w:color="auto"/>
      </w:divBdr>
    </w:div>
    <w:div w:id="616107101">
      <w:bodyDiv w:val="1"/>
      <w:marLeft w:val="0"/>
      <w:marRight w:val="0"/>
      <w:marTop w:val="0"/>
      <w:marBottom w:val="0"/>
      <w:divBdr>
        <w:top w:val="none" w:sz="0" w:space="0" w:color="auto"/>
        <w:left w:val="none" w:sz="0" w:space="0" w:color="auto"/>
        <w:bottom w:val="none" w:sz="0" w:space="0" w:color="auto"/>
        <w:right w:val="none" w:sz="0" w:space="0" w:color="auto"/>
      </w:divBdr>
    </w:div>
    <w:div w:id="745152637">
      <w:bodyDiv w:val="1"/>
      <w:marLeft w:val="0"/>
      <w:marRight w:val="0"/>
      <w:marTop w:val="0"/>
      <w:marBottom w:val="0"/>
      <w:divBdr>
        <w:top w:val="none" w:sz="0" w:space="0" w:color="auto"/>
        <w:left w:val="none" w:sz="0" w:space="0" w:color="auto"/>
        <w:bottom w:val="none" w:sz="0" w:space="0" w:color="auto"/>
        <w:right w:val="none" w:sz="0" w:space="0" w:color="auto"/>
      </w:divBdr>
      <w:divsChild>
        <w:div w:id="187842959">
          <w:marLeft w:val="0"/>
          <w:marRight w:val="0"/>
          <w:marTop w:val="0"/>
          <w:marBottom w:val="0"/>
          <w:divBdr>
            <w:top w:val="none" w:sz="0" w:space="0" w:color="auto"/>
            <w:left w:val="none" w:sz="0" w:space="0" w:color="auto"/>
            <w:bottom w:val="none" w:sz="0" w:space="0" w:color="auto"/>
            <w:right w:val="none" w:sz="0" w:space="0" w:color="auto"/>
          </w:divBdr>
        </w:div>
      </w:divsChild>
    </w:div>
    <w:div w:id="785855732">
      <w:bodyDiv w:val="1"/>
      <w:marLeft w:val="0"/>
      <w:marRight w:val="0"/>
      <w:marTop w:val="0"/>
      <w:marBottom w:val="0"/>
      <w:divBdr>
        <w:top w:val="none" w:sz="0" w:space="0" w:color="auto"/>
        <w:left w:val="none" w:sz="0" w:space="0" w:color="auto"/>
        <w:bottom w:val="none" w:sz="0" w:space="0" w:color="auto"/>
        <w:right w:val="none" w:sz="0" w:space="0" w:color="auto"/>
      </w:divBdr>
    </w:div>
    <w:div w:id="930547384">
      <w:bodyDiv w:val="1"/>
      <w:marLeft w:val="0"/>
      <w:marRight w:val="0"/>
      <w:marTop w:val="0"/>
      <w:marBottom w:val="0"/>
      <w:divBdr>
        <w:top w:val="none" w:sz="0" w:space="0" w:color="auto"/>
        <w:left w:val="none" w:sz="0" w:space="0" w:color="auto"/>
        <w:bottom w:val="none" w:sz="0" w:space="0" w:color="auto"/>
        <w:right w:val="none" w:sz="0" w:space="0" w:color="auto"/>
      </w:divBdr>
      <w:divsChild>
        <w:div w:id="25717152">
          <w:marLeft w:val="0"/>
          <w:marRight w:val="0"/>
          <w:marTop w:val="0"/>
          <w:marBottom w:val="0"/>
          <w:divBdr>
            <w:top w:val="none" w:sz="0" w:space="0" w:color="auto"/>
            <w:left w:val="none" w:sz="0" w:space="0" w:color="auto"/>
            <w:bottom w:val="none" w:sz="0" w:space="0" w:color="auto"/>
            <w:right w:val="none" w:sz="0" w:space="0" w:color="auto"/>
          </w:divBdr>
        </w:div>
      </w:divsChild>
    </w:div>
    <w:div w:id="935135846">
      <w:bodyDiv w:val="1"/>
      <w:marLeft w:val="0"/>
      <w:marRight w:val="0"/>
      <w:marTop w:val="0"/>
      <w:marBottom w:val="0"/>
      <w:divBdr>
        <w:top w:val="none" w:sz="0" w:space="0" w:color="auto"/>
        <w:left w:val="none" w:sz="0" w:space="0" w:color="auto"/>
        <w:bottom w:val="none" w:sz="0" w:space="0" w:color="auto"/>
        <w:right w:val="none" w:sz="0" w:space="0" w:color="auto"/>
      </w:divBdr>
    </w:div>
    <w:div w:id="963535453">
      <w:bodyDiv w:val="1"/>
      <w:marLeft w:val="0"/>
      <w:marRight w:val="0"/>
      <w:marTop w:val="0"/>
      <w:marBottom w:val="0"/>
      <w:divBdr>
        <w:top w:val="none" w:sz="0" w:space="0" w:color="auto"/>
        <w:left w:val="none" w:sz="0" w:space="0" w:color="auto"/>
        <w:bottom w:val="none" w:sz="0" w:space="0" w:color="auto"/>
        <w:right w:val="none" w:sz="0" w:space="0" w:color="auto"/>
      </w:divBdr>
    </w:div>
    <w:div w:id="967661775">
      <w:bodyDiv w:val="1"/>
      <w:marLeft w:val="0"/>
      <w:marRight w:val="0"/>
      <w:marTop w:val="0"/>
      <w:marBottom w:val="0"/>
      <w:divBdr>
        <w:top w:val="none" w:sz="0" w:space="0" w:color="auto"/>
        <w:left w:val="none" w:sz="0" w:space="0" w:color="auto"/>
        <w:bottom w:val="none" w:sz="0" w:space="0" w:color="auto"/>
        <w:right w:val="none" w:sz="0" w:space="0" w:color="auto"/>
      </w:divBdr>
    </w:div>
    <w:div w:id="1001008206">
      <w:bodyDiv w:val="1"/>
      <w:marLeft w:val="0"/>
      <w:marRight w:val="0"/>
      <w:marTop w:val="0"/>
      <w:marBottom w:val="0"/>
      <w:divBdr>
        <w:top w:val="none" w:sz="0" w:space="0" w:color="auto"/>
        <w:left w:val="none" w:sz="0" w:space="0" w:color="auto"/>
        <w:bottom w:val="none" w:sz="0" w:space="0" w:color="auto"/>
        <w:right w:val="none" w:sz="0" w:space="0" w:color="auto"/>
      </w:divBdr>
    </w:div>
    <w:div w:id="1030567174">
      <w:bodyDiv w:val="1"/>
      <w:marLeft w:val="0"/>
      <w:marRight w:val="0"/>
      <w:marTop w:val="0"/>
      <w:marBottom w:val="0"/>
      <w:divBdr>
        <w:top w:val="none" w:sz="0" w:space="0" w:color="auto"/>
        <w:left w:val="none" w:sz="0" w:space="0" w:color="auto"/>
        <w:bottom w:val="none" w:sz="0" w:space="0" w:color="auto"/>
        <w:right w:val="none" w:sz="0" w:space="0" w:color="auto"/>
      </w:divBdr>
    </w:div>
    <w:div w:id="1067073917">
      <w:bodyDiv w:val="1"/>
      <w:marLeft w:val="0"/>
      <w:marRight w:val="0"/>
      <w:marTop w:val="0"/>
      <w:marBottom w:val="0"/>
      <w:divBdr>
        <w:top w:val="none" w:sz="0" w:space="0" w:color="auto"/>
        <w:left w:val="none" w:sz="0" w:space="0" w:color="auto"/>
        <w:bottom w:val="none" w:sz="0" w:space="0" w:color="auto"/>
        <w:right w:val="none" w:sz="0" w:space="0" w:color="auto"/>
      </w:divBdr>
    </w:div>
    <w:div w:id="1219168677">
      <w:bodyDiv w:val="1"/>
      <w:marLeft w:val="0"/>
      <w:marRight w:val="0"/>
      <w:marTop w:val="0"/>
      <w:marBottom w:val="0"/>
      <w:divBdr>
        <w:top w:val="none" w:sz="0" w:space="0" w:color="auto"/>
        <w:left w:val="none" w:sz="0" w:space="0" w:color="auto"/>
        <w:bottom w:val="none" w:sz="0" w:space="0" w:color="auto"/>
        <w:right w:val="none" w:sz="0" w:space="0" w:color="auto"/>
      </w:divBdr>
    </w:div>
    <w:div w:id="1263107025">
      <w:bodyDiv w:val="1"/>
      <w:marLeft w:val="0"/>
      <w:marRight w:val="0"/>
      <w:marTop w:val="0"/>
      <w:marBottom w:val="0"/>
      <w:divBdr>
        <w:top w:val="none" w:sz="0" w:space="0" w:color="auto"/>
        <w:left w:val="none" w:sz="0" w:space="0" w:color="auto"/>
        <w:bottom w:val="none" w:sz="0" w:space="0" w:color="auto"/>
        <w:right w:val="none" w:sz="0" w:space="0" w:color="auto"/>
      </w:divBdr>
    </w:div>
    <w:div w:id="1283808438">
      <w:bodyDiv w:val="1"/>
      <w:marLeft w:val="0"/>
      <w:marRight w:val="0"/>
      <w:marTop w:val="0"/>
      <w:marBottom w:val="0"/>
      <w:divBdr>
        <w:top w:val="none" w:sz="0" w:space="0" w:color="auto"/>
        <w:left w:val="none" w:sz="0" w:space="0" w:color="auto"/>
        <w:bottom w:val="none" w:sz="0" w:space="0" w:color="auto"/>
        <w:right w:val="none" w:sz="0" w:space="0" w:color="auto"/>
      </w:divBdr>
    </w:div>
    <w:div w:id="1334719855">
      <w:bodyDiv w:val="1"/>
      <w:marLeft w:val="0"/>
      <w:marRight w:val="0"/>
      <w:marTop w:val="0"/>
      <w:marBottom w:val="0"/>
      <w:divBdr>
        <w:top w:val="none" w:sz="0" w:space="0" w:color="auto"/>
        <w:left w:val="none" w:sz="0" w:space="0" w:color="auto"/>
        <w:bottom w:val="none" w:sz="0" w:space="0" w:color="auto"/>
        <w:right w:val="none" w:sz="0" w:space="0" w:color="auto"/>
      </w:divBdr>
    </w:div>
    <w:div w:id="1337884583">
      <w:bodyDiv w:val="1"/>
      <w:marLeft w:val="0"/>
      <w:marRight w:val="0"/>
      <w:marTop w:val="0"/>
      <w:marBottom w:val="0"/>
      <w:divBdr>
        <w:top w:val="none" w:sz="0" w:space="0" w:color="auto"/>
        <w:left w:val="none" w:sz="0" w:space="0" w:color="auto"/>
        <w:bottom w:val="none" w:sz="0" w:space="0" w:color="auto"/>
        <w:right w:val="none" w:sz="0" w:space="0" w:color="auto"/>
      </w:divBdr>
    </w:div>
    <w:div w:id="1406102596">
      <w:bodyDiv w:val="1"/>
      <w:marLeft w:val="0"/>
      <w:marRight w:val="0"/>
      <w:marTop w:val="0"/>
      <w:marBottom w:val="0"/>
      <w:divBdr>
        <w:top w:val="none" w:sz="0" w:space="0" w:color="auto"/>
        <w:left w:val="none" w:sz="0" w:space="0" w:color="auto"/>
        <w:bottom w:val="none" w:sz="0" w:space="0" w:color="auto"/>
        <w:right w:val="none" w:sz="0" w:space="0" w:color="auto"/>
      </w:divBdr>
    </w:div>
    <w:div w:id="1432631229">
      <w:bodyDiv w:val="1"/>
      <w:marLeft w:val="0"/>
      <w:marRight w:val="0"/>
      <w:marTop w:val="0"/>
      <w:marBottom w:val="0"/>
      <w:divBdr>
        <w:top w:val="none" w:sz="0" w:space="0" w:color="auto"/>
        <w:left w:val="none" w:sz="0" w:space="0" w:color="auto"/>
        <w:bottom w:val="none" w:sz="0" w:space="0" w:color="auto"/>
        <w:right w:val="none" w:sz="0" w:space="0" w:color="auto"/>
      </w:divBdr>
      <w:divsChild>
        <w:div w:id="1486774664">
          <w:marLeft w:val="0"/>
          <w:marRight w:val="0"/>
          <w:marTop w:val="0"/>
          <w:marBottom w:val="0"/>
          <w:divBdr>
            <w:top w:val="none" w:sz="0" w:space="0" w:color="auto"/>
            <w:left w:val="none" w:sz="0" w:space="0" w:color="auto"/>
            <w:bottom w:val="none" w:sz="0" w:space="0" w:color="auto"/>
            <w:right w:val="none" w:sz="0" w:space="0" w:color="auto"/>
          </w:divBdr>
        </w:div>
      </w:divsChild>
    </w:div>
    <w:div w:id="1445148124">
      <w:bodyDiv w:val="1"/>
      <w:marLeft w:val="0"/>
      <w:marRight w:val="0"/>
      <w:marTop w:val="0"/>
      <w:marBottom w:val="0"/>
      <w:divBdr>
        <w:top w:val="none" w:sz="0" w:space="0" w:color="auto"/>
        <w:left w:val="none" w:sz="0" w:space="0" w:color="auto"/>
        <w:bottom w:val="none" w:sz="0" w:space="0" w:color="auto"/>
        <w:right w:val="none" w:sz="0" w:space="0" w:color="auto"/>
      </w:divBdr>
    </w:div>
    <w:div w:id="1457718819">
      <w:bodyDiv w:val="1"/>
      <w:marLeft w:val="0"/>
      <w:marRight w:val="0"/>
      <w:marTop w:val="0"/>
      <w:marBottom w:val="0"/>
      <w:divBdr>
        <w:top w:val="none" w:sz="0" w:space="0" w:color="auto"/>
        <w:left w:val="none" w:sz="0" w:space="0" w:color="auto"/>
        <w:bottom w:val="none" w:sz="0" w:space="0" w:color="auto"/>
        <w:right w:val="none" w:sz="0" w:space="0" w:color="auto"/>
      </w:divBdr>
    </w:div>
    <w:div w:id="1492869605">
      <w:bodyDiv w:val="1"/>
      <w:marLeft w:val="0"/>
      <w:marRight w:val="0"/>
      <w:marTop w:val="0"/>
      <w:marBottom w:val="0"/>
      <w:divBdr>
        <w:top w:val="none" w:sz="0" w:space="0" w:color="auto"/>
        <w:left w:val="none" w:sz="0" w:space="0" w:color="auto"/>
        <w:bottom w:val="none" w:sz="0" w:space="0" w:color="auto"/>
        <w:right w:val="none" w:sz="0" w:space="0" w:color="auto"/>
      </w:divBdr>
    </w:div>
    <w:div w:id="1534004062">
      <w:bodyDiv w:val="1"/>
      <w:marLeft w:val="0"/>
      <w:marRight w:val="0"/>
      <w:marTop w:val="0"/>
      <w:marBottom w:val="0"/>
      <w:divBdr>
        <w:top w:val="none" w:sz="0" w:space="0" w:color="auto"/>
        <w:left w:val="none" w:sz="0" w:space="0" w:color="auto"/>
        <w:bottom w:val="none" w:sz="0" w:space="0" w:color="auto"/>
        <w:right w:val="none" w:sz="0" w:space="0" w:color="auto"/>
      </w:divBdr>
    </w:div>
    <w:div w:id="1633319882">
      <w:bodyDiv w:val="1"/>
      <w:marLeft w:val="0"/>
      <w:marRight w:val="0"/>
      <w:marTop w:val="0"/>
      <w:marBottom w:val="0"/>
      <w:divBdr>
        <w:top w:val="none" w:sz="0" w:space="0" w:color="auto"/>
        <w:left w:val="none" w:sz="0" w:space="0" w:color="auto"/>
        <w:bottom w:val="none" w:sz="0" w:space="0" w:color="auto"/>
        <w:right w:val="none" w:sz="0" w:space="0" w:color="auto"/>
      </w:divBdr>
    </w:div>
    <w:div w:id="1634482382">
      <w:bodyDiv w:val="1"/>
      <w:marLeft w:val="0"/>
      <w:marRight w:val="0"/>
      <w:marTop w:val="0"/>
      <w:marBottom w:val="0"/>
      <w:divBdr>
        <w:top w:val="none" w:sz="0" w:space="0" w:color="auto"/>
        <w:left w:val="none" w:sz="0" w:space="0" w:color="auto"/>
        <w:bottom w:val="none" w:sz="0" w:space="0" w:color="auto"/>
        <w:right w:val="none" w:sz="0" w:space="0" w:color="auto"/>
      </w:divBdr>
    </w:div>
    <w:div w:id="1710454267">
      <w:bodyDiv w:val="1"/>
      <w:marLeft w:val="0"/>
      <w:marRight w:val="0"/>
      <w:marTop w:val="0"/>
      <w:marBottom w:val="0"/>
      <w:divBdr>
        <w:top w:val="none" w:sz="0" w:space="0" w:color="auto"/>
        <w:left w:val="none" w:sz="0" w:space="0" w:color="auto"/>
        <w:bottom w:val="none" w:sz="0" w:space="0" w:color="auto"/>
        <w:right w:val="none" w:sz="0" w:space="0" w:color="auto"/>
      </w:divBdr>
    </w:div>
    <w:div w:id="1730806280">
      <w:bodyDiv w:val="1"/>
      <w:marLeft w:val="0"/>
      <w:marRight w:val="0"/>
      <w:marTop w:val="0"/>
      <w:marBottom w:val="0"/>
      <w:divBdr>
        <w:top w:val="none" w:sz="0" w:space="0" w:color="auto"/>
        <w:left w:val="none" w:sz="0" w:space="0" w:color="auto"/>
        <w:bottom w:val="none" w:sz="0" w:space="0" w:color="auto"/>
        <w:right w:val="none" w:sz="0" w:space="0" w:color="auto"/>
      </w:divBdr>
    </w:div>
    <w:div w:id="1770082257">
      <w:bodyDiv w:val="1"/>
      <w:marLeft w:val="0"/>
      <w:marRight w:val="0"/>
      <w:marTop w:val="0"/>
      <w:marBottom w:val="0"/>
      <w:divBdr>
        <w:top w:val="none" w:sz="0" w:space="0" w:color="auto"/>
        <w:left w:val="none" w:sz="0" w:space="0" w:color="auto"/>
        <w:bottom w:val="none" w:sz="0" w:space="0" w:color="auto"/>
        <w:right w:val="none" w:sz="0" w:space="0" w:color="auto"/>
      </w:divBdr>
    </w:div>
    <w:div w:id="2037457947">
      <w:bodyDiv w:val="1"/>
      <w:marLeft w:val="0"/>
      <w:marRight w:val="0"/>
      <w:marTop w:val="0"/>
      <w:marBottom w:val="0"/>
      <w:divBdr>
        <w:top w:val="none" w:sz="0" w:space="0" w:color="auto"/>
        <w:left w:val="none" w:sz="0" w:space="0" w:color="auto"/>
        <w:bottom w:val="none" w:sz="0" w:space="0" w:color="auto"/>
        <w:right w:val="none" w:sz="0" w:space="0" w:color="auto"/>
      </w:divBdr>
    </w:div>
    <w:div w:id="2041584258">
      <w:bodyDiv w:val="1"/>
      <w:marLeft w:val="0"/>
      <w:marRight w:val="0"/>
      <w:marTop w:val="0"/>
      <w:marBottom w:val="0"/>
      <w:divBdr>
        <w:top w:val="none" w:sz="0" w:space="0" w:color="auto"/>
        <w:left w:val="none" w:sz="0" w:space="0" w:color="auto"/>
        <w:bottom w:val="none" w:sz="0" w:space="0" w:color="auto"/>
        <w:right w:val="none" w:sz="0" w:space="0" w:color="auto"/>
      </w:divBdr>
    </w:div>
    <w:div w:id="2090156258">
      <w:bodyDiv w:val="1"/>
      <w:marLeft w:val="0"/>
      <w:marRight w:val="0"/>
      <w:marTop w:val="0"/>
      <w:marBottom w:val="0"/>
      <w:divBdr>
        <w:top w:val="none" w:sz="0" w:space="0" w:color="auto"/>
        <w:left w:val="none" w:sz="0" w:space="0" w:color="auto"/>
        <w:bottom w:val="none" w:sz="0" w:space="0" w:color="auto"/>
        <w:right w:val="none" w:sz="0" w:space="0" w:color="auto"/>
      </w:divBdr>
    </w:div>
    <w:div w:id="2108384429">
      <w:bodyDiv w:val="1"/>
      <w:marLeft w:val="0"/>
      <w:marRight w:val="0"/>
      <w:marTop w:val="0"/>
      <w:marBottom w:val="0"/>
      <w:divBdr>
        <w:top w:val="none" w:sz="0" w:space="0" w:color="auto"/>
        <w:left w:val="none" w:sz="0" w:space="0" w:color="auto"/>
        <w:bottom w:val="none" w:sz="0" w:space="0" w:color="auto"/>
        <w:right w:val="none" w:sz="0" w:space="0" w:color="auto"/>
      </w:divBdr>
    </w:div>
    <w:div w:id="212673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microsoft.com/office/2014/relationships/chartEx" Target="charts/chartEx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Users\ffionmorgan\Desktop\CIPD%20L5\BMPD5017%20-%20Evidence%20Based%20Practice\EBP%20Spreadsheet.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Users\ffionmorgan\Desktop\CIPD%20L5\BMPD5017%20-%20Evidence%20Based%20Practice\EBP%20Spread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ffionmorgan\Desktop\CIPD%20L5\BMPD5017%20-%20Evidence%20Based%20Practice\EBP%20Spread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ffionmorgan\Desktop\CIPD%20L5\BMPD5017%20-%20Evidence%20Based%20Practice\EBP%20Spreadsheet.xlsx" TargetMode="External"/><Relationship Id="rId2" Type="http://schemas.microsoft.com/office/2011/relationships/chartColorStyle" Target="colors4.xml"/><Relationship Id="rId1" Type="http://schemas.microsoft.com/office/2011/relationships/chartStyle" Target="style4.xml"/></Relationships>
</file>

<file path=word/charts/_rels/chartEx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Users\ffionmorgan\Desktop\CIPD%20L5\BMPD5017%20-%20Evidence%20Based%20Practice\EBP%20Spread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Quarter 1 Average Performance (Per Department)</a:t>
            </a:r>
          </a:p>
        </c:rich>
      </c:tx>
      <c:layout>
        <c:manualLayout>
          <c:xMode val="edge"/>
          <c:yMode val="edge"/>
          <c:x val="0.15799971296850229"/>
          <c:y val="3.8776614508428696E-2"/>
        </c:manualLayout>
      </c:layout>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Percentages!$A$38</c:f>
              <c:strCache>
                <c:ptCount val="1"/>
                <c:pt idx="0">
                  <c:v>Administration</c:v>
                </c:pt>
              </c:strCache>
            </c:strRef>
          </c:tx>
          <c:spPr>
            <a:solidFill>
              <a:srgbClr val="AAFEF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Percentages!$B$36:$G$37</c:f>
              <c:strCache>
                <c:ptCount val="6"/>
                <c:pt idx="0">
                  <c:v>No Performance Data</c:v>
                </c:pt>
                <c:pt idx="1">
                  <c:v>Outstanding</c:v>
                </c:pt>
                <c:pt idx="2">
                  <c:v>Meeting KPIs</c:v>
                </c:pt>
                <c:pt idx="3">
                  <c:v>Not Quite There Yet</c:v>
                </c:pt>
                <c:pt idx="4">
                  <c:v>Under Performing</c:v>
                </c:pt>
                <c:pt idx="5">
                  <c:v>Absent</c:v>
                </c:pt>
              </c:strCache>
            </c:strRef>
          </c:cat>
          <c:val>
            <c:numRef>
              <c:f>Percentages!$B$38:$G$38</c:f>
              <c:numCache>
                <c:formatCode>0%</c:formatCode>
                <c:ptCount val="6"/>
                <c:pt idx="0">
                  <c:v>0</c:v>
                </c:pt>
                <c:pt idx="1">
                  <c:v>0.18181818181818182</c:v>
                </c:pt>
                <c:pt idx="2">
                  <c:v>0.18181818181818182</c:v>
                </c:pt>
                <c:pt idx="3">
                  <c:v>0.27272727272727271</c:v>
                </c:pt>
                <c:pt idx="4">
                  <c:v>0.27272727272727271</c:v>
                </c:pt>
                <c:pt idx="5">
                  <c:v>9.0909090909090912E-2</c:v>
                </c:pt>
              </c:numCache>
            </c:numRef>
          </c:val>
          <c:extLst>
            <c:ext xmlns:c16="http://schemas.microsoft.com/office/drawing/2014/chart" uri="{C3380CC4-5D6E-409C-BE32-E72D297353CC}">
              <c16:uniqueId val="{00000000-BD31-46EB-9F75-3DD8DFBD6B55}"/>
            </c:ext>
          </c:extLst>
        </c:ser>
        <c:ser>
          <c:idx val="1"/>
          <c:order val="1"/>
          <c:tx>
            <c:strRef>
              <c:f>Percentages!$A$39</c:f>
              <c:strCache>
                <c:ptCount val="1"/>
                <c:pt idx="0">
                  <c:v>Sales </c:v>
                </c:pt>
              </c:strCache>
            </c:strRef>
          </c:tx>
          <c:spPr>
            <a:solidFill>
              <a:srgbClr val="FFFF6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Percentages!$B$36:$G$37</c:f>
              <c:strCache>
                <c:ptCount val="6"/>
                <c:pt idx="0">
                  <c:v>No Performance Data</c:v>
                </c:pt>
                <c:pt idx="1">
                  <c:v>Outstanding</c:v>
                </c:pt>
                <c:pt idx="2">
                  <c:v>Meeting KPIs</c:v>
                </c:pt>
                <c:pt idx="3">
                  <c:v>Not Quite There Yet</c:v>
                </c:pt>
                <c:pt idx="4">
                  <c:v>Under Performing</c:v>
                </c:pt>
                <c:pt idx="5">
                  <c:v>Absent</c:v>
                </c:pt>
              </c:strCache>
            </c:strRef>
          </c:cat>
          <c:val>
            <c:numRef>
              <c:f>Percentages!$B$39:$G$39</c:f>
              <c:numCache>
                <c:formatCode>0%</c:formatCode>
                <c:ptCount val="6"/>
                <c:pt idx="0">
                  <c:v>0</c:v>
                </c:pt>
                <c:pt idx="1">
                  <c:v>0</c:v>
                </c:pt>
                <c:pt idx="2">
                  <c:v>1</c:v>
                </c:pt>
                <c:pt idx="3">
                  <c:v>0</c:v>
                </c:pt>
                <c:pt idx="4">
                  <c:v>0</c:v>
                </c:pt>
                <c:pt idx="5">
                  <c:v>0</c:v>
                </c:pt>
              </c:numCache>
            </c:numRef>
          </c:val>
          <c:extLst>
            <c:ext xmlns:c16="http://schemas.microsoft.com/office/drawing/2014/chart" uri="{C3380CC4-5D6E-409C-BE32-E72D297353CC}">
              <c16:uniqueId val="{00000001-BD31-46EB-9F75-3DD8DFBD6B55}"/>
            </c:ext>
          </c:extLst>
        </c:ser>
        <c:ser>
          <c:idx val="2"/>
          <c:order val="2"/>
          <c:tx>
            <c:strRef>
              <c:f>Percentages!$A$40</c:f>
              <c:strCache>
                <c:ptCount val="1"/>
                <c:pt idx="0">
                  <c:v>Logistics </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Percentages!$B$36:$G$37</c:f>
              <c:strCache>
                <c:ptCount val="6"/>
                <c:pt idx="0">
                  <c:v>No Performance Data</c:v>
                </c:pt>
                <c:pt idx="1">
                  <c:v>Outstanding</c:v>
                </c:pt>
                <c:pt idx="2">
                  <c:v>Meeting KPIs</c:v>
                </c:pt>
                <c:pt idx="3">
                  <c:v>Not Quite There Yet</c:v>
                </c:pt>
                <c:pt idx="4">
                  <c:v>Under Performing</c:v>
                </c:pt>
                <c:pt idx="5">
                  <c:v>Absent</c:v>
                </c:pt>
              </c:strCache>
            </c:strRef>
          </c:cat>
          <c:val>
            <c:numRef>
              <c:f>Percentages!$B$40:$G$40</c:f>
              <c:numCache>
                <c:formatCode>0%</c:formatCode>
                <c:ptCount val="6"/>
                <c:pt idx="0">
                  <c:v>0</c:v>
                </c:pt>
                <c:pt idx="1">
                  <c:v>0.2</c:v>
                </c:pt>
                <c:pt idx="2">
                  <c:v>0.4</c:v>
                </c:pt>
                <c:pt idx="3">
                  <c:v>0.3</c:v>
                </c:pt>
                <c:pt idx="4">
                  <c:v>0.1</c:v>
                </c:pt>
                <c:pt idx="5">
                  <c:v>0</c:v>
                </c:pt>
              </c:numCache>
            </c:numRef>
          </c:val>
          <c:extLst>
            <c:ext xmlns:c16="http://schemas.microsoft.com/office/drawing/2014/chart" uri="{C3380CC4-5D6E-409C-BE32-E72D297353CC}">
              <c16:uniqueId val="{00000002-BD31-46EB-9F75-3DD8DFBD6B55}"/>
            </c:ext>
          </c:extLst>
        </c:ser>
        <c:ser>
          <c:idx val="3"/>
          <c:order val="3"/>
          <c:tx>
            <c:strRef>
              <c:f>Percentages!$A$41</c:f>
              <c:strCache>
                <c:ptCount val="1"/>
                <c:pt idx="0">
                  <c:v>Research &amp; Development</c:v>
                </c:pt>
              </c:strCache>
            </c:strRef>
          </c:tx>
          <c:spPr>
            <a:solidFill>
              <a:srgbClr val="E7719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Percentages!$B$36:$G$37</c:f>
              <c:strCache>
                <c:ptCount val="6"/>
                <c:pt idx="0">
                  <c:v>No Performance Data</c:v>
                </c:pt>
                <c:pt idx="1">
                  <c:v>Outstanding</c:v>
                </c:pt>
                <c:pt idx="2">
                  <c:v>Meeting KPIs</c:v>
                </c:pt>
                <c:pt idx="3">
                  <c:v>Not Quite There Yet</c:v>
                </c:pt>
                <c:pt idx="4">
                  <c:v>Under Performing</c:v>
                </c:pt>
                <c:pt idx="5">
                  <c:v>Absent</c:v>
                </c:pt>
              </c:strCache>
            </c:strRef>
          </c:cat>
          <c:val>
            <c:numRef>
              <c:f>Percentages!$B$41:$G$41</c:f>
              <c:numCache>
                <c:formatCode>0%</c:formatCode>
                <c:ptCount val="6"/>
                <c:pt idx="0">
                  <c:v>0</c:v>
                </c:pt>
                <c:pt idx="1">
                  <c:v>0.3</c:v>
                </c:pt>
                <c:pt idx="2">
                  <c:v>0.3</c:v>
                </c:pt>
                <c:pt idx="3">
                  <c:v>0.1</c:v>
                </c:pt>
                <c:pt idx="4">
                  <c:v>0.3</c:v>
                </c:pt>
                <c:pt idx="5">
                  <c:v>0</c:v>
                </c:pt>
              </c:numCache>
            </c:numRef>
          </c:val>
          <c:extLst>
            <c:ext xmlns:c16="http://schemas.microsoft.com/office/drawing/2014/chart" uri="{C3380CC4-5D6E-409C-BE32-E72D297353CC}">
              <c16:uniqueId val="{00000003-BD31-46EB-9F75-3DD8DFBD6B55}"/>
            </c:ext>
          </c:extLst>
        </c:ser>
        <c:dLbls>
          <c:dLblPos val="outEnd"/>
          <c:showLegendKey val="0"/>
          <c:showVal val="1"/>
          <c:showCatName val="0"/>
          <c:showSerName val="0"/>
          <c:showPercent val="0"/>
          <c:showBubbleSize val="0"/>
        </c:dLbls>
        <c:gapWidth val="80"/>
        <c:overlap val="25"/>
        <c:axId val="1099379344"/>
        <c:axId val="1099607376"/>
      </c:barChart>
      <c:catAx>
        <c:axId val="1099379344"/>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1099607376"/>
        <c:crosses val="autoZero"/>
        <c:auto val="1"/>
        <c:lblAlgn val="ctr"/>
        <c:lblOffset val="100"/>
        <c:noMultiLvlLbl val="0"/>
      </c:catAx>
      <c:valAx>
        <c:axId val="1099607376"/>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1099379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GB"/>
              <a:t>Quarter 2 Average Performance (Per Department)</a:t>
            </a:r>
          </a:p>
        </c:rich>
      </c:tx>
      <c:layout>
        <c:manualLayout>
          <c:xMode val="edge"/>
          <c:yMode val="edge"/>
          <c:x val="0.15738775536531208"/>
          <c:y val="3.2026318015741649E-2"/>
        </c:manualLayout>
      </c:layout>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en-US"/>
        </a:p>
      </c:txPr>
    </c:title>
    <c:autoTitleDeleted val="0"/>
    <c:plotArea>
      <c:layout/>
      <c:barChart>
        <c:barDir val="col"/>
        <c:grouping val="clustered"/>
        <c:varyColors val="0"/>
        <c:ser>
          <c:idx val="0"/>
          <c:order val="0"/>
          <c:tx>
            <c:strRef>
              <c:f>Percentages!$A$46</c:f>
              <c:strCache>
                <c:ptCount val="1"/>
                <c:pt idx="0">
                  <c:v>Administration</c:v>
                </c:pt>
              </c:strCache>
            </c:strRef>
          </c:tx>
          <c:spPr>
            <a:solidFill>
              <a:srgbClr val="AAFEF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Percentages!$B$44:$G$45</c:f>
              <c:strCache>
                <c:ptCount val="6"/>
                <c:pt idx="0">
                  <c:v>No Performance Data</c:v>
                </c:pt>
                <c:pt idx="1">
                  <c:v>Outstanding</c:v>
                </c:pt>
                <c:pt idx="2">
                  <c:v>Meeting KPIs</c:v>
                </c:pt>
                <c:pt idx="3">
                  <c:v>Not Quite There Yet</c:v>
                </c:pt>
                <c:pt idx="4">
                  <c:v>Under Performing</c:v>
                </c:pt>
                <c:pt idx="5">
                  <c:v>Absent</c:v>
                </c:pt>
              </c:strCache>
            </c:strRef>
          </c:cat>
          <c:val>
            <c:numRef>
              <c:f>Percentages!$B$46:$G$46</c:f>
              <c:numCache>
                <c:formatCode>0%</c:formatCode>
                <c:ptCount val="6"/>
                <c:pt idx="0">
                  <c:v>0.09</c:v>
                </c:pt>
                <c:pt idx="1">
                  <c:v>9.0909090909090912E-2</c:v>
                </c:pt>
                <c:pt idx="2">
                  <c:v>0.36363636363636365</c:v>
                </c:pt>
                <c:pt idx="3">
                  <c:v>0.36363636363636365</c:v>
                </c:pt>
                <c:pt idx="4">
                  <c:v>9.0909090909090912E-2</c:v>
                </c:pt>
                <c:pt idx="5">
                  <c:v>9.0909090909090912E-2</c:v>
                </c:pt>
              </c:numCache>
            </c:numRef>
          </c:val>
          <c:extLst>
            <c:ext xmlns:c16="http://schemas.microsoft.com/office/drawing/2014/chart" uri="{C3380CC4-5D6E-409C-BE32-E72D297353CC}">
              <c16:uniqueId val="{00000000-CDC9-4638-B57B-5B4EDE031220}"/>
            </c:ext>
          </c:extLst>
        </c:ser>
        <c:ser>
          <c:idx val="1"/>
          <c:order val="1"/>
          <c:tx>
            <c:strRef>
              <c:f>Percentages!$A$47</c:f>
              <c:strCache>
                <c:ptCount val="1"/>
                <c:pt idx="0">
                  <c:v>Sales </c:v>
                </c:pt>
              </c:strCache>
            </c:strRef>
          </c:tx>
          <c:spPr>
            <a:solidFill>
              <a:srgbClr val="FFFF6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Percentages!$B$44:$G$45</c:f>
              <c:strCache>
                <c:ptCount val="6"/>
                <c:pt idx="0">
                  <c:v>No Performance Data</c:v>
                </c:pt>
                <c:pt idx="1">
                  <c:v>Outstanding</c:v>
                </c:pt>
                <c:pt idx="2">
                  <c:v>Meeting KPIs</c:v>
                </c:pt>
                <c:pt idx="3">
                  <c:v>Not Quite There Yet</c:v>
                </c:pt>
                <c:pt idx="4">
                  <c:v>Under Performing</c:v>
                </c:pt>
                <c:pt idx="5">
                  <c:v>Absent</c:v>
                </c:pt>
              </c:strCache>
            </c:strRef>
          </c:cat>
          <c:val>
            <c:numRef>
              <c:f>Percentages!$B$47:$G$47</c:f>
              <c:numCache>
                <c:formatCode>0%</c:formatCode>
                <c:ptCount val="6"/>
                <c:pt idx="0">
                  <c:v>0</c:v>
                </c:pt>
                <c:pt idx="1">
                  <c:v>0</c:v>
                </c:pt>
                <c:pt idx="2">
                  <c:v>1</c:v>
                </c:pt>
                <c:pt idx="3">
                  <c:v>0</c:v>
                </c:pt>
                <c:pt idx="4">
                  <c:v>0</c:v>
                </c:pt>
                <c:pt idx="5">
                  <c:v>0</c:v>
                </c:pt>
              </c:numCache>
            </c:numRef>
          </c:val>
          <c:extLst>
            <c:ext xmlns:c16="http://schemas.microsoft.com/office/drawing/2014/chart" uri="{C3380CC4-5D6E-409C-BE32-E72D297353CC}">
              <c16:uniqueId val="{00000001-CDC9-4638-B57B-5B4EDE031220}"/>
            </c:ext>
          </c:extLst>
        </c:ser>
        <c:ser>
          <c:idx val="2"/>
          <c:order val="2"/>
          <c:tx>
            <c:strRef>
              <c:f>Percentages!$A$48</c:f>
              <c:strCache>
                <c:ptCount val="1"/>
                <c:pt idx="0">
                  <c:v>Logistics </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Percentages!$B$44:$G$45</c:f>
              <c:strCache>
                <c:ptCount val="6"/>
                <c:pt idx="0">
                  <c:v>No Performance Data</c:v>
                </c:pt>
                <c:pt idx="1">
                  <c:v>Outstanding</c:v>
                </c:pt>
                <c:pt idx="2">
                  <c:v>Meeting KPIs</c:v>
                </c:pt>
                <c:pt idx="3">
                  <c:v>Not Quite There Yet</c:v>
                </c:pt>
                <c:pt idx="4">
                  <c:v>Under Performing</c:v>
                </c:pt>
                <c:pt idx="5">
                  <c:v>Absent</c:v>
                </c:pt>
              </c:strCache>
            </c:strRef>
          </c:cat>
          <c:val>
            <c:numRef>
              <c:f>Percentages!$B$48:$G$48</c:f>
              <c:numCache>
                <c:formatCode>0%</c:formatCode>
                <c:ptCount val="6"/>
                <c:pt idx="0">
                  <c:v>0</c:v>
                </c:pt>
                <c:pt idx="1">
                  <c:v>0.25</c:v>
                </c:pt>
                <c:pt idx="2">
                  <c:v>0.45</c:v>
                </c:pt>
                <c:pt idx="3">
                  <c:v>0.2</c:v>
                </c:pt>
                <c:pt idx="4">
                  <c:v>0</c:v>
                </c:pt>
                <c:pt idx="5">
                  <c:v>0.1</c:v>
                </c:pt>
              </c:numCache>
            </c:numRef>
          </c:val>
          <c:extLst>
            <c:ext xmlns:c16="http://schemas.microsoft.com/office/drawing/2014/chart" uri="{C3380CC4-5D6E-409C-BE32-E72D297353CC}">
              <c16:uniqueId val="{00000002-CDC9-4638-B57B-5B4EDE031220}"/>
            </c:ext>
          </c:extLst>
        </c:ser>
        <c:ser>
          <c:idx val="3"/>
          <c:order val="3"/>
          <c:tx>
            <c:strRef>
              <c:f>Percentages!$A$49</c:f>
              <c:strCache>
                <c:ptCount val="1"/>
                <c:pt idx="0">
                  <c:v>Research &amp; Development</c:v>
                </c:pt>
              </c:strCache>
            </c:strRef>
          </c:tx>
          <c:spPr>
            <a:solidFill>
              <a:srgbClr val="E7719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Percentages!$B$44:$G$45</c:f>
              <c:strCache>
                <c:ptCount val="6"/>
                <c:pt idx="0">
                  <c:v>No Performance Data</c:v>
                </c:pt>
                <c:pt idx="1">
                  <c:v>Outstanding</c:v>
                </c:pt>
                <c:pt idx="2">
                  <c:v>Meeting KPIs</c:v>
                </c:pt>
                <c:pt idx="3">
                  <c:v>Not Quite There Yet</c:v>
                </c:pt>
                <c:pt idx="4">
                  <c:v>Under Performing</c:v>
                </c:pt>
                <c:pt idx="5">
                  <c:v>Absent</c:v>
                </c:pt>
              </c:strCache>
            </c:strRef>
          </c:cat>
          <c:val>
            <c:numRef>
              <c:f>Percentages!$B$49:$G$49</c:f>
              <c:numCache>
                <c:formatCode>0%</c:formatCode>
                <c:ptCount val="6"/>
                <c:pt idx="0">
                  <c:v>0</c:v>
                </c:pt>
                <c:pt idx="1">
                  <c:v>0.5</c:v>
                </c:pt>
                <c:pt idx="2">
                  <c:v>0.3</c:v>
                </c:pt>
                <c:pt idx="3">
                  <c:v>0.1</c:v>
                </c:pt>
                <c:pt idx="4">
                  <c:v>0</c:v>
                </c:pt>
                <c:pt idx="5">
                  <c:v>0.1</c:v>
                </c:pt>
              </c:numCache>
            </c:numRef>
          </c:val>
          <c:extLst>
            <c:ext xmlns:c16="http://schemas.microsoft.com/office/drawing/2014/chart" uri="{C3380CC4-5D6E-409C-BE32-E72D297353CC}">
              <c16:uniqueId val="{00000003-CDC9-4638-B57B-5B4EDE031220}"/>
            </c:ext>
          </c:extLst>
        </c:ser>
        <c:dLbls>
          <c:dLblPos val="outEnd"/>
          <c:showLegendKey val="0"/>
          <c:showVal val="1"/>
          <c:showCatName val="0"/>
          <c:showSerName val="0"/>
          <c:showPercent val="0"/>
          <c:showBubbleSize val="0"/>
        </c:dLbls>
        <c:gapWidth val="80"/>
        <c:overlap val="25"/>
        <c:axId val="271093328"/>
        <c:axId val="271095040"/>
      </c:barChart>
      <c:catAx>
        <c:axId val="271093328"/>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271095040"/>
        <c:crosses val="autoZero"/>
        <c:auto val="1"/>
        <c:lblAlgn val="ctr"/>
        <c:lblOffset val="100"/>
        <c:noMultiLvlLbl val="0"/>
      </c:catAx>
      <c:valAx>
        <c:axId val="271095040"/>
        <c:scaling>
          <c:orientation val="minMax"/>
        </c:scaling>
        <c:delete val="0"/>
        <c:axPos val="l"/>
        <c:majorGridlines>
          <c:spPr>
            <a:ln w="9525" cap="flat" cmpd="sng" algn="ctr">
              <a:solidFill>
                <a:schemeClr val="tx1">
                  <a:lumMod val="5000"/>
                  <a:lumOff val="9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271093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Average</a:t>
            </a:r>
            <a:r>
              <a:rPr lang="en-US" baseline="0"/>
              <a:t> Company Performance over two quarters</a:t>
            </a:r>
            <a:endParaRPr lang="en-US"/>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Percentages!$A$33</c:f>
              <c:strCache>
                <c:ptCount val="1"/>
                <c:pt idx="0">
                  <c:v>Company Average</c:v>
                </c:pt>
              </c:strCache>
            </c:strRef>
          </c:tx>
          <c:spPr>
            <a:solidFill>
              <a:srgbClr val="FF9933"/>
            </a:solidFill>
          </c:spPr>
          <c:dPt>
            <c:idx val="0"/>
            <c:bubble3D val="0"/>
            <c:spPr>
              <a:solidFill>
                <a:schemeClr val="bg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068-407B-899A-46348224CF47}"/>
              </c:ext>
            </c:extLst>
          </c:dPt>
          <c:dPt>
            <c:idx val="1"/>
            <c:bubble3D val="0"/>
            <c:spPr>
              <a:solidFill>
                <a:srgbClr val="FF993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068-407B-899A-46348224CF47}"/>
              </c:ext>
            </c:extLst>
          </c:dPt>
          <c:dPt>
            <c:idx val="2"/>
            <c:bubble3D val="0"/>
            <c:spPr>
              <a:solidFill>
                <a:srgbClr val="92D05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068-407B-899A-46348224CF47}"/>
              </c:ext>
            </c:extLst>
          </c:dPt>
          <c:dPt>
            <c:idx val="3"/>
            <c:bubble3D val="0"/>
            <c:spPr>
              <a:solidFill>
                <a:srgbClr val="FFFF6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068-407B-899A-46348224CF47}"/>
              </c:ext>
            </c:extLst>
          </c:dPt>
          <c:dPt>
            <c:idx val="4"/>
            <c:bubble3D val="0"/>
            <c:spPr>
              <a:solidFill>
                <a:srgbClr val="FF505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D068-407B-899A-46348224CF47}"/>
              </c:ext>
            </c:extLst>
          </c:dPt>
          <c:dPt>
            <c:idx val="5"/>
            <c:bubble3D val="0"/>
            <c:spPr>
              <a:solidFill>
                <a:schemeClr val="bg2">
                  <a:lumMod val="75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D068-407B-899A-46348224CF47}"/>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Percentages!$B$32:$G$32</c:f>
              <c:strCache>
                <c:ptCount val="6"/>
                <c:pt idx="0">
                  <c:v>No Performance Data</c:v>
                </c:pt>
                <c:pt idx="1">
                  <c:v>Outstanding</c:v>
                </c:pt>
                <c:pt idx="2">
                  <c:v>Meeting KPIs</c:v>
                </c:pt>
                <c:pt idx="3">
                  <c:v>Not Quite There Yet</c:v>
                </c:pt>
                <c:pt idx="4">
                  <c:v>Under Performing</c:v>
                </c:pt>
                <c:pt idx="5">
                  <c:v>Absent</c:v>
                </c:pt>
              </c:strCache>
            </c:strRef>
          </c:cat>
          <c:val>
            <c:numRef>
              <c:f>Percentages!$B$33:$G$33</c:f>
              <c:numCache>
                <c:formatCode>0%</c:formatCode>
                <c:ptCount val="6"/>
                <c:pt idx="0">
                  <c:v>1.1363636363636364E-2</c:v>
                </c:pt>
                <c:pt idx="1">
                  <c:v>0.4</c:v>
                </c:pt>
                <c:pt idx="2">
                  <c:v>0.3</c:v>
                </c:pt>
                <c:pt idx="3">
                  <c:v>0.1</c:v>
                </c:pt>
                <c:pt idx="4">
                  <c:v>0.15</c:v>
                </c:pt>
                <c:pt idx="5">
                  <c:v>0.05</c:v>
                </c:pt>
              </c:numCache>
            </c:numRef>
          </c:val>
          <c:extLst>
            <c:ext xmlns:c16="http://schemas.microsoft.com/office/drawing/2014/chart" uri="{C3380CC4-5D6E-409C-BE32-E72D297353CC}">
              <c16:uniqueId val="{0000000C-D068-407B-899A-46348224CF47}"/>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Cost of Bonuses per Department, per Quarter</a:t>
            </a:r>
          </a:p>
        </c:rich>
      </c:tx>
      <c:layout>
        <c:manualLayout>
          <c:xMode val="edge"/>
          <c:yMode val="edge"/>
          <c:x val="0.21281037763849364"/>
          <c:y val="3.848929516478229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Bonuses!$E$23</c:f>
              <c:strCache>
                <c:ptCount val="1"/>
                <c:pt idx="0">
                  <c:v>Administration</c:v>
                </c:pt>
              </c:strCache>
            </c:strRef>
          </c:tx>
          <c:spPr>
            <a:solidFill>
              <a:srgbClr val="AAFEF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Bonuses!$F$22:$G$22</c:f>
              <c:strCache>
                <c:ptCount val="2"/>
                <c:pt idx="0">
                  <c:v>Q1</c:v>
                </c:pt>
                <c:pt idx="1">
                  <c:v>Q2</c:v>
                </c:pt>
              </c:strCache>
            </c:strRef>
          </c:cat>
          <c:val>
            <c:numRef>
              <c:f>Bonuses!$F$23:$G$23</c:f>
              <c:numCache>
                <c:formatCode>"£"#,##0.00</c:formatCode>
                <c:ptCount val="2"/>
                <c:pt idx="0" formatCode="&quot;£&quot;#,##0_);[Red]\(&quot;£&quot;#,##0\)">
                  <c:v>2220</c:v>
                </c:pt>
                <c:pt idx="1">
                  <c:v>960</c:v>
                </c:pt>
              </c:numCache>
            </c:numRef>
          </c:val>
          <c:extLst>
            <c:ext xmlns:c16="http://schemas.microsoft.com/office/drawing/2014/chart" uri="{C3380CC4-5D6E-409C-BE32-E72D297353CC}">
              <c16:uniqueId val="{00000000-81CC-4020-9B60-A7763C0B5CE9}"/>
            </c:ext>
          </c:extLst>
        </c:ser>
        <c:ser>
          <c:idx val="1"/>
          <c:order val="1"/>
          <c:tx>
            <c:strRef>
              <c:f>Bonuses!$E$24</c:f>
              <c:strCache>
                <c:ptCount val="1"/>
                <c:pt idx="0">
                  <c:v>Logistics</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Bonuses!$F$22:$G$22</c:f>
              <c:strCache>
                <c:ptCount val="2"/>
                <c:pt idx="0">
                  <c:v>Q1</c:v>
                </c:pt>
                <c:pt idx="1">
                  <c:v>Q2</c:v>
                </c:pt>
              </c:strCache>
            </c:strRef>
          </c:cat>
          <c:val>
            <c:numRef>
              <c:f>Bonuses!$F$24:$G$24</c:f>
              <c:numCache>
                <c:formatCode>"£"#,##0.00</c:formatCode>
                <c:ptCount val="2"/>
                <c:pt idx="0">
                  <c:v>3290</c:v>
                </c:pt>
                <c:pt idx="1">
                  <c:v>4500</c:v>
                </c:pt>
              </c:numCache>
            </c:numRef>
          </c:val>
          <c:extLst>
            <c:ext xmlns:c16="http://schemas.microsoft.com/office/drawing/2014/chart" uri="{C3380CC4-5D6E-409C-BE32-E72D297353CC}">
              <c16:uniqueId val="{00000001-81CC-4020-9B60-A7763C0B5CE9}"/>
            </c:ext>
          </c:extLst>
        </c:ser>
        <c:ser>
          <c:idx val="2"/>
          <c:order val="2"/>
          <c:tx>
            <c:strRef>
              <c:f>Bonuses!$E$25</c:f>
              <c:strCache>
                <c:ptCount val="1"/>
                <c:pt idx="0">
                  <c:v>Research &amp; Development</c:v>
                </c:pt>
              </c:strCache>
            </c:strRef>
          </c:tx>
          <c:spPr>
            <a:solidFill>
              <a:srgbClr val="E7719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Bonuses!$F$22:$G$22</c:f>
              <c:strCache>
                <c:ptCount val="2"/>
                <c:pt idx="0">
                  <c:v>Q1</c:v>
                </c:pt>
                <c:pt idx="1">
                  <c:v>Q2</c:v>
                </c:pt>
              </c:strCache>
            </c:strRef>
          </c:cat>
          <c:val>
            <c:numRef>
              <c:f>Bonuses!$F$25:$G$25</c:f>
              <c:numCache>
                <c:formatCode>"£"#,##0.00</c:formatCode>
                <c:ptCount val="2"/>
                <c:pt idx="0">
                  <c:v>3660</c:v>
                </c:pt>
                <c:pt idx="1">
                  <c:v>6140</c:v>
                </c:pt>
              </c:numCache>
            </c:numRef>
          </c:val>
          <c:extLst>
            <c:ext xmlns:c16="http://schemas.microsoft.com/office/drawing/2014/chart" uri="{C3380CC4-5D6E-409C-BE32-E72D297353CC}">
              <c16:uniqueId val="{00000002-81CC-4020-9B60-A7763C0B5CE9}"/>
            </c:ext>
          </c:extLst>
        </c:ser>
        <c:ser>
          <c:idx val="3"/>
          <c:order val="3"/>
          <c:tx>
            <c:strRef>
              <c:f>Bonuses!$E$26</c:f>
              <c:strCache>
                <c:ptCount val="1"/>
                <c:pt idx="0">
                  <c:v>Sales </c:v>
                </c:pt>
              </c:strCache>
            </c:strRef>
          </c:tx>
          <c:spPr>
            <a:solidFill>
              <a:srgbClr val="FFFF6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Bonuses!$F$22:$G$22</c:f>
              <c:strCache>
                <c:ptCount val="2"/>
                <c:pt idx="0">
                  <c:v>Q1</c:v>
                </c:pt>
                <c:pt idx="1">
                  <c:v>Q2</c:v>
                </c:pt>
              </c:strCache>
            </c:strRef>
          </c:cat>
          <c:val>
            <c:numRef>
              <c:f>Bonuses!$F$26:$G$26</c:f>
              <c:numCache>
                <c:formatCode>"£"#,##0_);[Red]\("£"#,##0\)</c:formatCode>
                <c:ptCount val="2"/>
                <c:pt idx="0">
                  <c:v>0</c:v>
                </c:pt>
                <c:pt idx="1">
                  <c:v>0</c:v>
                </c:pt>
              </c:numCache>
            </c:numRef>
          </c:val>
          <c:extLst>
            <c:ext xmlns:c16="http://schemas.microsoft.com/office/drawing/2014/chart" uri="{C3380CC4-5D6E-409C-BE32-E72D297353CC}">
              <c16:uniqueId val="{00000003-81CC-4020-9B60-A7763C0B5CE9}"/>
            </c:ext>
          </c:extLst>
        </c:ser>
        <c:dLbls>
          <c:dLblPos val="inEnd"/>
          <c:showLegendKey val="0"/>
          <c:showVal val="1"/>
          <c:showCatName val="0"/>
          <c:showSerName val="0"/>
          <c:showPercent val="0"/>
          <c:showBubbleSize val="0"/>
        </c:dLbls>
        <c:gapWidth val="182"/>
        <c:axId val="686100000"/>
        <c:axId val="686089168"/>
      </c:barChart>
      <c:catAx>
        <c:axId val="6861000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6089168"/>
        <c:crosses val="autoZero"/>
        <c:auto val="1"/>
        <c:lblAlgn val="ctr"/>
        <c:lblOffset val="100"/>
        <c:noMultiLvlLbl val="0"/>
      </c:catAx>
      <c:valAx>
        <c:axId val="686089168"/>
        <c:scaling>
          <c:orientation val="minMax"/>
        </c:scaling>
        <c:delete val="0"/>
        <c:axPos val="b"/>
        <c:majorGridlines>
          <c:spPr>
            <a:ln w="9525" cap="flat" cmpd="sng" algn="ctr">
              <a:solidFill>
                <a:schemeClr val="tx1">
                  <a:lumMod val="15000"/>
                  <a:lumOff val="85000"/>
                </a:schemeClr>
              </a:solidFill>
              <a:round/>
            </a:ln>
            <a:effectLst/>
          </c:spPr>
        </c:majorGridlines>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6100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Bonuses!$E$31:$E$33</cx:f>
        <cx:lvl ptCount="3">
          <cx:pt idx="0">Q1</cx:pt>
          <cx:pt idx="1">Q2</cx:pt>
          <cx:pt idx="2">Total</cx:pt>
        </cx:lvl>
      </cx:strDim>
      <cx:numDim type="val">
        <cx:f>Bonuses!$F$31:$F$33</cx:f>
        <cx:lvl ptCount="3" formatCode="&quot;£&quot;#,##0;[Red]\-&quot;£&quot;#,##0">
          <cx:pt idx="0">9170</cx:pt>
          <cx:pt idx="1">11600</cx:pt>
          <cx:pt idx="2">20770</cx:pt>
        </cx:lvl>
      </cx:numDim>
    </cx:data>
  </cx:chartData>
  <cx:chart>
    <cx:title pos="t" align="ctr" overlay="0">
      <cx:tx>
        <cx:txData>
          <cx:v>Total Cost of Bonuses</cx:v>
        </cx:txData>
      </cx:tx>
      <cx:txPr>
        <a:bodyPr spcFirstLastPara="1" vertOverflow="ellipsis" horzOverflow="overflow" wrap="square" lIns="0" tIns="0" rIns="0" bIns="0" anchor="ctr" anchorCtr="1"/>
        <a:lstStyle/>
        <a:p>
          <a:pPr algn="ctr" rtl="0">
            <a:defRPr/>
          </a:pPr>
          <a:r>
            <a:rPr lang="en-GB" sz="1400" b="0" i="0" u="none" strike="noStrike" baseline="0">
              <a:solidFill>
                <a:sysClr val="windowText" lastClr="000000">
                  <a:lumMod val="65000"/>
                  <a:lumOff val="35000"/>
                </a:sysClr>
              </a:solidFill>
              <a:latin typeface="Aptos Narrow" panose="02110004020202020204"/>
            </a:rPr>
            <a:t>Total Cost of Bonuses</a:t>
          </a:r>
        </a:p>
      </cx:txPr>
    </cx:title>
    <cx:plotArea>
      <cx:plotAreaRegion>
        <cx:series layoutId="funnel" uniqueId="{6711F834-62F5-0048-89D9-76F1AE24A24A}">
          <cx:tx>
            <cx:txData>
              <cx:f>Bonuses!$F$30</cx:f>
              <cx:v>Total cost of Bonuses </cx:v>
            </cx:txData>
          </cx:tx>
          <cx:spPr>
            <a:solidFill>
              <a:srgbClr val="02BFDF"/>
            </a:solidFill>
          </cx:spPr>
          <cx:dataLabels>
            <cx:txPr>
              <a:bodyPr spcFirstLastPara="1" vertOverflow="ellipsis" horzOverflow="overflow" wrap="square" lIns="0" tIns="0" rIns="0" bIns="0" anchor="ctr" anchorCtr="1"/>
              <a:lstStyle/>
              <a:p>
                <a:pPr algn="ctr" rtl="0">
                  <a:defRPr>
                    <a:solidFill>
                      <a:sysClr val="windowText" lastClr="000000"/>
                    </a:solidFill>
                  </a:defRPr>
                </a:pPr>
                <a:endParaRPr lang="en-GB" sz="900" b="0" i="0" u="none" strike="noStrike" baseline="0">
                  <a:solidFill>
                    <a:sysClr val="windowText" lastClr="000000"/>
                  </a:solidFill>
                  <a:latin typeface="Calibri" panose="020F0502020204030204"/>
                </a:endParaRPr>
              </a:p>
            </cx:txPr>
            <cx:visibility seriesName="0" categoryName="0" value="1"/>
          </cx:dataLabels>
          <cx:dataId val="0"/>
        </cx:series>
      </cx:plotAreaRegion>
      <cx:axis id="0">
        <cx:catScaling gapWidth="0.0599999987"/>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419">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130E8-817E-494C-B5DD-42B0F2248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37</Pages>
  <Words>8021</Words>
  <Characters>45722</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dc:creator>
  <cp:keywords/>
  <dc:description/>
  <cp:lastModifiedBy>Ffion Morgan</cp:lastModifiedBy>
  <cp:revision>3</cp:revision>
  <dcterms:created xsi:type="dcterms:W3CDTF">2025-02-23T19:03:00Z</dcterms:created>
  <dcterms:modified xsi:type="dcterms:W3CDTF">2025-02-23T20:25:00Z</dcterms:modified>
</cp:coreProperties>
</file>