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23693" w14:textId="77777777" w:rsidR="004D76E0" w:rsidRDefault="00000000">
      <w:pPr>
        <w:spacing w:before="240" w:after="240"/>
      </w:pPr>
      <w:r>
        <w:rPr>
          <w:noProof/>
        </w:rPr>
        <w:drawing>
          <wp:inline distT="114300" distB="114300" distL="114300" distR="114300" wp14:anchorId="4EFFED9B" wp14:editId="4B4B2AD3">
            <wp:extent cx="2044618" cy="95350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
                    <a:srcRect/>
                    <a:stretch>
                      <a:fillRect/>
                    </a:stretch>
                  </pic:blipFill>
                  <pic:spPr>
                    <a:xfrm>
                      <a:off x="0" y="0"/>
                      <a:ext cx="2044618" cy="953500"/>
                    </a:xfrm>
                    <a:prstGeom prst="rect">
                      <a:avLst/>
                    </a:prstGeom>
                    <a:ln/>
                  </pic:spPr>
                </pic:pic>
              </a:graphicData>
            </a:graphic>
          </wp:inline>
        </w:drawing>
      </w:r>
    </w:p>
    <w:p w14:paraId="21749FB0" w14:textId="77777777" w:rsidR="004D76E0" w:rsidRDefault="004D76E0">
      <w:pPr>
        <w:spacing w:line="240" w:lineRule="auto"/>
        <w:jc w:val="center"/>
        <w:rPr>
          <w:b/>
          <w:sz w:val="28"/>
          <w:szCs w:val="28"/>
        </w:rPr>
      </w:pPr>
    </w:p>
    <w:p w14:paraId="121EE733" w14:textId="77777777" w:rsidR="004D76E0" w:rsidRDefault="00000000">
      <w:pPr>
        <w:spacing w:line="360" w:lineRule="auto"/>
        <w:jc w:val="center"/>
        <w:rPr>
          <w:b/>
          <w:sz w:val="28"/>
          <w:szCs w:val="28"/>
        </w:rPr>
      </w:pPr>
      <w:r>
        <w:rPr>
          <w:b/>
          <w:sz w:val="28"/>
          <w:szCs w:val="28"/>
        </w:rPr>
        <w:t>BMIH6007</w:t>
      </w:r>
    </w:p>
    <w:p w14:paraId="46985536" w14:textId="77777777" w:rsidR="004D76E0" w:rsidRDefault="00000000">
      <w:pPr>
        <w:spacing w:line="360" w:lineRule="auto"/>
        <w:jc w:val="center"/>
        <w:rPr>
          <w:b/>
          <w:sz w:val="28"/>
          <w:szCs w:val="28"/>
        </w:rPr>
      </w:pPr>
      <w:r>
        <w:rPr>
          <w:b/>
          <w:sz w:val="28"/>
          <w:szCs w:val="28"/>
        </w:rPr>
        <w:t>International Hotel Management (BA)</w:t>
      </w:r>
    </w:p>
    <w:p w14:paraId="5D09CF9C" w14:textId="77777777" w:rsidR="004D76E0" w:rsidRDefault="00000000">
      <w:pPr>
        <w:spacing w:line="360" w:lineRule="auto"/>
        <w:jc w:val="center"/>
        <w:rPr>
          <w:b/>
          <w:sz w:val="28"/>
          <w:szCs w:val="28"/>
        </w:rPr>
      </w:pPr>
      <w:r>
        <w:rPr>
          <w:b/>
          <w:sz w:val="28"/>
          <w:szCs w:val="28"/>
        </w:rPr>
        <w:t>International Meetings Management for the Hotel Industry</w:t>
      </w:r>
    </w:p>
    <w:p w14:paraId="5C6E6917" w14:textId="77777777" w:rsidR="004D76E0" w:rsidRDefault="00000000">
      <w:pPr>
        <w:spacing w:line="360" w:lineRule="auto"/>
        <w:jc w:val="center"/>
        <w:rPr>
          <w:b/>
          <w:sz w:val="28"/>
          <w:szCs w:val="28"/>
        </w:rPr>
      </w:pPr>
      <w:r>
        <w:rPr>
          <w:b/>
          <w:sz w:val="28"/>
          <w:szCs w:val="28"/>
        </w:rPr>
        <w:t xml:space="preserve">Assignment 1 </w:t>
      </w:r>
    </w:p>
    <w:p w14:paraId="12C273E5" w14:textId="77777777" w:rsidR="004D76E0" w:rsidRDefault="00000000">
      <w:pPr>
        <w:spacing w:line="360" w:lineRule="auto"/>
        <w:jc w:val="center"/>
        <w:rPr>
          <w:b/>
          <w:sz w:val="28"/>
          <w:szCs w:val="28"/>
        </w:rPr>
      </w:pPr>
      <w:r>
        <w:rPr>
          <w:b/>
          <w:sz w:val="28"/>
          <w:szCs w:val="28"/>
        </w:rPr>
        <w:t>Feasibility Plan for an International Meeting</w:t>
      </w:r>
    </w:p>
    <w:p w14:paraId="48E4D82E" w14:textId="77777777" w:rsidR="004D76E0" w:rsidRDefault="00000000">
      <w:pPr>
        <w:spacing w:line="360" w:lineRule="auto"/>
        <w:jc w:val="center"/>
        <w:rPr>
          <w:b/>
          <w:sz w:val="28"/>
          <w:szCs w:val="28"/>
          <w:lang w:val="bg-BG"/>
        </w:rPr>
      </w:pPr>
      <w:r>
        <w:rPr>
          <w:b/>
          <w:sz w:val="28"/>
          <w:szCs w:val="28"/>
        </w:rPr>
        <w:t>Individual Presentation</w:t>
      </w:r>
    </w:p>
    <w:p w14:paraId="72604E75" w14:textId="77777777" w:rsidR="00474BC6" w:rsidRDefault="00474BC6">
      <w:pPr>
        <w:spacing w:line="360" w:lineRule="auto"/>
        <w:jc w:val="center"/>
        <w:rPr>
          <w:b/>
          <w:sz w:val="28"/>
          <w:szCs w:val="28"/>
          <w:lang w:val="bg-BG"/>
        </w:rPr>
      </w:pPr>
    </w:p>
    <w:p w14:paraId="1435B370" w14:textId="77777777" w:rsidR="00474BC6" w:rsidRPr="00474BC6" w:rsidRDefault="00474BC6">
      <w:pPr>
        <w:spacing w:line="360" w:lineRule="auto"/>
        <w:jc w:val="center"/>
        <w:rPr>
          <w:b/>
          <w:sz w:val="28"/>
          <w:szCs w:val="28"/>
          <w:lang w:val="bg-BG"/>
        </w:rPr>
      </w:pPr>
    </w:p>
    <w:p w14:paraId="15A59EE7" w14:textId="686F391F" w:rsidR="00474BC6" w:rsidRDefault="00474BC6">
      <w:pPr>
        <w:spacing w:line="360" w:lineRule="auto"/>
        <w:jc w:val="center"/>
        <w:rPr>
          <w:b/>
          <w:sz w:val="28"/>
          <w:szCs w:val="28"/>
          <w:lang w:val="bg-BG"/>
        </w:rPr>
      </w:pPr>
      <w:r>
        <w:rPr>
          <w:b/>
          <w:sz w:val="28"/>
          <w:szCs w:val="28"/>
          <w:lang w:val="bg-BG"/>
        </w:rPr>
        <w:t>Student Name: Daniel Fieraru</w:t>
      </w:r>
    </w:p>
    <w:p w14:paraId="300CF452" w14:textId="54AC747C" w:rsidR="00474BC6" w:rsidRDefault="00474BC6">
      <w:pPr>
        <w:spacing w:line="360" w:lineRule="auto"/>
        <w:jc w:val="center"/>
        <w:rPr>
          <w:b/>
          <w:sz w:val="28"/>
          <w:szCs w:val="28"/>
          <w:lang w:val="bg-BG"/>
        </w:rPr>
      </w:pPr>
      <w:r>
        <w:rPr>
          <w:b/>
          <w:sz w:val="28"/>
          <w:szCs w:val="28"/>
          <w:lang w:val="bg-BG"/>
        </w:rPr>
        <w:t>Student ID: 2232199</w:t>
      </w:r>
    </w:p>
    <w:p w14:paraId="788E84EB" w14:textId="480812B9" w:rsidR="00474BC6" w:rsidRPr="00474BC6" w:rsidRDefault="00474BC6">
      <w:pPr>
        <w:spacing w:line="360" w:lineRule="auto"/>
        <w:jc w:val="center"/>
        <w:rPr>
          <w:b/>
          <w:sz w:val="28"/>
          <w:szCs w:val="28"/>
          <w:lang w:val="bg-BG"/>
        </w:rPr>
      </w:pPr>
      <w:r>
        <w:rPr>
          <w:b/>
          <w:sz w:val="28"/>
          <w:szCs w:val="28"/>
          <w:lang w:val="bg-BG"/>
        </w:rPr>
        <w:t>Tutor‘s Name: Cris Wilkin</w:t>
      </w:r>
    </w:p>
    <w:p w14:paraId="0E463B33" w14:textId="77777777" w:rsidR="004D76E0" w:rsidRDefault="004D76E0">
      <w:pPr>
        <w:spacing w:line="360" w:lineRule="auto"/>
        <w:jc w:val="center"/>
        <w:rPr>
          <w:b/>
          <w:sz w:val="28"/>
          <w:szCs w:val="28"/>
        </w:rPr>
      </w:pPr>
    </w:p>
    <w:p w14:paraId="3759C8E1" w14:textId="77777777" w:rsidR="004D76E0" w:rsidRDefault="004D76E0">
      <w:pPr>
        <w:spacing w:before="240" w:after="240"/>
        <w:rPr>
          <w:b/>
          <w:sz w:val="28"/>
          <w:szCs w:val="28"/>
        </w:rPr>
      </w:pPr>
    </w:p>
    <w:p w14:paraId="0A7C1FCE" w14:textId="77777777" w:rsidR="004D76E0" w:rsidRDefault="00000000">
      <w:pPr>
        <w:spacing w:before="240" w:after="240"/>
        <w:rPr>
          <w:b/>
          <w:sz w:val="28"/>
          <w:szCs w:val="28"/>
        </w:rPr>
      </w:pPr>
      <w:r>
        <w:br w:type="page"/>
      </w:r>
    </w:p>
    <w:p w14:paraId="56DCE0ED" w14:textId="77777777" w:rsidR="004D76E0" w:rsidRDefault="00000000">
      <w:pPr>
        <w:spacing w:before="240" w:after="240"/>
        <w:rPr>
          <w:b/>
          <w:sz w:val="28"/>
          <w:szCs w:val="28"/>
        </w:rPr>
      </w:pPr>
      <w:r>
        <w:rPr>
          <w:b/>
          <w:sz w:val="28"/>
          <w:szCs w:val="28"/>
        </w:rPr>
        <w:lastRenderedPageBreak/>
        <w:t>Title Slide</w:t>
      </w:r>
    </w:p>
    <w:p w14:paraId="72ADBBB0" w14:textId="77777777" w:rsidR="004D76E0" w:rsidRDefault="00000000">
      <w:pPr>
        <w:spacing w:before="240" w:after="240"/>
        <w:rPr>
          <w:b/>
          <w:sz w:val="28"/>
          <w:szCs w:val="28"/>
        </w:rPr>
      </w:pPr>
      <w:r>
        <w:rPr>
          <w:b/>
          <w:noProof/>
          <w:sz w:val="28"/>
          <w:szCs w:val="28"/>
        </w:rPr>
        <w:drawing>
          <wp:inline distT="114300" distB="114300" distL="114300" distR="114300" wp14:anchorId="1DB6C07D" wp14:editId="07033B1A">
            <wp:extent cx="5943600" cy="33401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r>
        <w:br w:type="page"/>
      </w:r>
    </w:p>
    <w:p w14:paraId="0E0635BE" w14:textId="77777777" w:rsidR="004D76E0" w:rsidRDefault="00000000">
      <w:pPr>
        <w:spacing w:before="240" w:after="240"/>
        <w:rPr>
          <w:b/>
          <w:sz w:val="28"/>
          <w:szCs w:val="28"/>
        </w:rPr>
      </w:pPr>
      <w:r>
        <w:rPr>
          <w:b/>
          <w:sz w:val="28"/>
          <w:szCs w:val="28"/>
        </w:rPr>
        <w:lastRenderedPageBreak/>
        <w:t>Contents</w:t>
      </w:r>
    </w:p>
    <w:p w14:paraId="1F487598" w14:textId="77777777" w:rsidR="004D76E0" w:rsidRDefault="00000000">
      <w:pPr>
        <w:pStyle w:val="Heading1"/>
        <w:spacing w:before="240" w:after="240"/>
        <w:rPr>
          <w:b/>
        </w:rPr>
      </w:pPr>
      <w:bookmarkStart w:id="0" w:name="_l3485pqta2az" w:colFirst="0" w:colLast="0"/>
      <w:bookmarkEnd w:id="0"/>
      <w:r>
        <w:rPr>
          <w:b/>
          <w:noProof/>
        </w:rPr>
        <w:drawing>
          <wp:inline distT="114300" distB="114300" distL="114300" distR="114300" wp14:anchorId="21FF170F" wp14:editId="52246048">
            <wp:extent cx="5943600" cy="33401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r>
        <w:br w:type="page"/>
      </w:r>
    </w:p>
    <w:p w14:paraId="39D40B35" w14:textId="77777777" w:rsidR="004D76E0" w:rsidRDefault="00000000">
      <w:pPr>
        <w:pStyle w:val="Heading1"/>
        <w:spacing w:before="240" w:after="240"/>
        <w:rPr>
          <w:b/>
        </w:rPr>
      </w:pPr>
      <w:bookmarkStart w:id="1" w:name="_g5kgk1na6aqr" w:colFirst="0" w:colLast="0"/>
      <w:bookmarkEnd w:id="1"/>
      <w:r>
        <w:rPr>
          <w:b/>
        </w:rPr>
        <w:lastRenderedPageBreak/>
        <w:t>Introduction</w:t>
      </w:r>
    </w:p>
    <w:p w14:paraId="16BEB291" w14:textId="77777777" w:rsidR="004D76E0" w:rsidRDefault="00000000">
      <w:r>
        <w:rPr>
          <w:noProof/>
        </w:rPr>
        <w:drawing>
          <wp:inline distT="114300" distB="114300" distL="114300" distR="114300" wp14:anchorId="588E8F15" wp14:editId="70140C2A">
            <wp:extent cx="5943600" cy="33401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2CD53500" w14:textId="77777777" w:rsidR="004D76E0" w:rsidRDefault="00000000">
      <w:pPr>
        <w:spacing w:before="240" w:after="240" w:line="360" w:lineRule="auto"/>
        <w:jc w:val="both"/>
      </w:pPr>
      <w:r>
        <w:t>Hello Everyone, Welcome to the presentation. The hospitality industry is dynamic, multi-cultural and very diverse. There is perhaps no explicit problem on the topic of equality, diversity and inclusion (EDI), however, the problems are compounded by the lack of EDI in recruitment, career progression and leadership representation. In this study, it's also suggested that the hospitality industry could hold a virtual conference on EDI in the UK with inputs from the industry leaders for the beneficiation of knowledge in meaningful discussions. The study investigates the viability of the event and what it could do vis-à-vis the event’s content, market factors, operation requirements, and financial considerations as well as strategic planning. Feasibility is assessed based on industry trends and demand as much as competitive positioning. Moreover, it also aims to show the relationship of the proposed event to current business priorities, ethical issues in the current period of business, and stakeholders' interests. The event also transfers to the hospitality industry, generating concrete steps which can be taken by raising awareness, pushing for the best practices and forming partnerships between hospitality industry players. From the sector point of view, this feasibility study confirms that the event is feasible and of value.</w:t>
      </w:r>
    </w:p>
    <w:p w14:paraId="0A5F100E" w14:textId="77777777" w:rsidR="004D76E0" w:rsidRDefault="004D76E0">
      <w:pPr>
        <w:spacing w:before="240" w:after="240" w:line="360" w:lineRule="auto"/>
        <w:jc w:val="both"/>
      </w:pPr>
    </w:p>
    <w:p w14:paraId="7BF78E66" w14:textId="77777777" w:rsidR="004D76E0" w:rsidRDefault="00000000">
      <w:pPr>
        <w:pStyle w:val="Heading1"/>
        <w:spacing w:before="240" w:after="240"/>
        <w:rPr>
          <w:b/>
        </w:rPr>
      </w:pPr>
      <w:bookmarkStart w:id="2" w:name="_ky893mwvdona" w:colFirst="0" w:colLast="0"/>
      <w:bookmarkEnd w:id="2"/>
      <w:r>
        <w:rPr>
          <w:b/>
        </w:rPr>
        <w:lastRenderedPageBreak/>
        <w:t xml:space="preserve">Event Concept and Context </w:t>
      </w:r>
    </w:p>
    <w:p w14:paraId="631ECA6D" w14:textId="77777777" w:rsidR="004D76E0" w:rsidRDefault="00000000">
      <w:r>
        <w:rPr>
          <w:noProof/>
        </w:rPr>
        <w:drawing>
          <wp:inline distT="114300" distB="114300" distL="114300" distR="114300" wp14:anchorId="4C23AAE8" wp14:editId="0F6065AB">
            <wp:extent cx="5943600" cy="33401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2F489CAD" w14:textId="77777777" w:rsidR="004D76E0" w:rsidRDefault="00000000">
      <w:pPr>
        <w:spacing w:before="240" w:after="240" w:line="360" w:lineRule="auto"/>
        <w:jc w:val="both"/>
        <w:rPr>
          <w:sz w:val="24"/>
          <w:szCs w:val="24"/>
        </w:rPr>
      </w:pPr>
      <w:r>
        <w:rPr>
          <w:sz w:val="24"/>
          <w:szCs w:val="24"/>
        </w:rPr>
        <w:t xml:space="preserve">Event Proposals Here, proposes the virtual conference “Hospitality for All: Striving for Equality, Diversity and Inclusion” that will include panel discussions, keynote speeches and workshops (Agarwal, 2020). This will be hosted from London, UK, which will mean it will be accessible to the industry professionals, policymakers and students around the country and </w:t>
      </w:r>
      <w:proofErr w:type="spellStart"/>
      <w:r>
        <w:rPr>
          <w:sz w:val="24"/>
          <w:szCs w:val="24"/>
        </w:rPr>
        <w:t>abroad.This</w:t>
      </w:r>
      <w:proofErr w:type="spellEnd"/>
      <w:r>
        <w:rPr>
          <w:sz w:val="24"/>
          <w:szCs w:val="24"/>
        </w:rPr>
        <w:t xml:space="preserve"> conference intends to offer a structured platform for discussing the best practices, challenges and the strategies to improve inclusivity in the hospitality sector. There is a big demand for such an event in an era when corporate social responsibility and ethical business practices are considered high priority. Naturally, many competitors have been focusing on sustainability, but only a few have an overall EDI strategy (</w:t>
      </w:r>
      <w:proofErr w:type="spellStart"/>
      <w:r>
        <w:rPr>
          <w:sz w:val="24"/>
          <w:szCs w:val="24"/>
        </w:rPr>
        <w:t>Bingjie</w:t>
      </w:r>
      <w:proofErr w:type="spellEnd"/>
      <w:r>
        <w:rPr>
          <w:sz w:val="24"/>
          <w:szCs w:val="24"/>
        </w:rPr>
        <w:t xml:space="preserve"> Liu-Lastres, Wen, &amp; Fevzi </w:t>
      </w:r>
      <w:proofErr w:type="spellStart"/>
      <w:r>
        <w:rPr>
          <w:sz w:val="24"/>
          <w:szCs w:val="24"/>
        </w:rPr>
        <w:t>Okumus</w:t>
      </w:r>
      <w:proofErr w:type="spellEnd"/>
      <w:r>
        <w:rPr>
          <w:sz w:val="24"/>
          <w:szCs w:val="24"/>
        </w:rPr>
        <w:t xml:space="preserve">, 2024).The event will enable </w:t>
      </w:r>
      <w:proofErr w:type="spellStart"/>
      <w:r>
        <w:rPr>
          <w:sz w:val="24"/>
          <w:szCs w:val="24"/>
        </w:rPr>
        <w:t>organisations</w:t>
      </w:r>
      <w:proofErr w:type="spellEnd"/>
      <w:r>
        <w:rPr>
          <w:sz w:val="24"/>
          <w:szCs w:val="24"/>
        </w:rPr>
        <w:t xml:space="preserve"> to develop inclusive policies and align with wider social movements aimed at promoting workplace equality by sharing knowledge, networking and taking meaningful actions.</w:t>
      </w:r>
    </w:p>
    <w:p w14:paraId="0FAF73F7" w14:textId="77777777" w:rsidR="004D76E0" w:rsidRDefault="004D76E0">
      <w:pPr>
        <w:spacing w:before="240" w:after="240" w:line="360" w:lineRule="auto"/>
        <w:jc w:val="both"/>
        <w:rPr>
          <w:sz w:val="24"/>
          <w:szCs w:val="24"/>
        </w:rPr>
      </w:pPr>
    </w:p>
    <w:p w14:paraId="59007969" w14:textId="77777777" w:rsidR="004D76E0" w:rsidRDefault="004D76E0">
      <w:pPr>
        <w:spacing w:before="240" w:after="240" w:line="360" w:lineRule="auto"/>
        <w:jc w:val="both"/>
        <w:rPr>
          <w:sz w:val="24"/>
          <w:szCs w:val="24"/>
        </w:rPr>
      </w:pPr>
    </w:p>
    <w:p w14:paraId="023E9135" w14:textId="77777777" w:rsidR="004D76E0" w:rsidRDefault="00000000">
      <w:pPr>
        <w:pStyle w:val="Heading1"/>
        <w:spacing w:before="240" w:after="240"/>
        <w:rPr>
          <w:b/>
        </w:rPr>
      </w:pPr>
      <w:bookmarkStart w:id="3" w:name="_qxo4hr77sldh" w:colFirst="0" w:colLast="0"/>
      <w:bookmarkEnd w:id="3"/>
      <w:r>
        <w:rPr>
          <w:b/>
        </w:rPr>
        <w:lastRenderedPageBreak/>
        <w:t xml:space="preserve">Target Market and Demand </w:t>
      </w:r>
    </w:p>
    <w:p w14:paraId="35554C7C" w14:textId="77777777" w:rsidR="004D76E0" w:rsidRDefault="00000000">
      <w:r>
        <w:rPr>
          <w:noProof/>
        </w:rPr>
        <w:drawing>
          <wp:inline distT="114300" distB="114300" distL="114300" distR="114300" wp14:anchorId="00290D5E" wp14:editId="41F2841F">
            <wp:extent cx="5943600" cy="33401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24640DAA" w14:textId="77777777" w:rsidR="004D76E0" w:rsidRDefault="00000000">
      <w:pPr>
        <w:spacing w:before="240" w:after="240" w:line="360" w:lineRule="auto"/>
        <w:jc w:val="both"/>
        <w:rPr>
          <w:sz w:val="24"/>
          <w:szCs w:val="24"/>
        </w:rPr>
      </w:pPr>
      <w:r>
        <w:rPr>
          <w:sz w:val="24"/>
          <w:szCs w:val="24"/>
        </w:rPr>
        <w:t>This event has been designed as the primary audience for hospitality professionals, HR managers, recruiters, policymakers and university students wishing to enter the sector. Research on EDI notes that there are industries where there are representation gaps, and discussions in those industries, and therefore calls for targeted initiatives (</w:t>
      </w:r>
      <w:proofErr w:type="spellStart"/>
      <w:r>
        <w:rPr>
          <w:sz w:val="24"/>
          <w:szCs w:val="24"/>
        </w:rPr>
        <w:t>Damiasih</w:t>
      </w:r>
      <w:proofErr w:type="spellEnd"/>
      <w:r>
        <w:rPr>
          <w:sz w:val="24"/>
          <w:szCs w:val="24"/>
        </w:rPr>
        <w:t xml:space="preserve">, 2025). With businesses under greater pressure to practice fair hiring, this conference offers useful ideas to organizations aiming to improve workplace culture and compliance with diversity rules. Recent trends in employee well-being and social justice movements have reinforced the rising importance of EDI in corporate structures. This means </w:t>
      </w:r>
      <w:proofErr w:type="spellStart"/>
      <w:r>
        <w:rPr>
          <w:sz w:val="24"/>
          <w:szCs w:val="24"/>
        </w:rPr>
        <w:t>organisations</w:t>
      </w:r>
      <w:proofErr w:type="spellEnd"/>
      <w:r>
        <w:rPr>
          <w:sz w:val="24"/>
          <w:szCs w:val="24"/>
        </w:rPr>
        <w:t xml:space="preserve"> are placing big emphasis on having inclusive work environments that are fair and equitable (Eger, Munar and Hsu, 2021). It is an event where industry leaders can revisit their diversity strategy, learn from other’s best practices, and have meaningful conversations. It also allows university students to learn about inclusive employment practices and gives them the knowledge needed to make change. In the end, the conference will aid the sector in the long run, also helping it to stand up for its ethical position.</w:t>
      </w:r>
    </w:p>
    <w:p w14:paraId="2D6CEA5B" w14:textId="77777777" w:rsidR="004D76E0" w:rsidRDefault="00000000">
      <w:pPr>
        <w:pStyle w:val="Heading1"/>
        <w:spacing w:before="240" w:after="240"/>
        <w:rPr>
          <w:b/>
        </w:rPr>
      </w:pPr>
      <w:bookmarkStart w:id="4" w:name="_tbpn5iw4gkyk" w:colFirst="0" w:colLast="0"/>
      <w:bookmarkEnd w:id="4"/>
      <w:r>
        <w:rPr>
          <w:b/>
        </w:rPr>
        <w:lastRenderedPageBreak/>
        <w:t>Competitive Landscape</w:t>
      </w:r>
    </w:p>
    <w:p w14:paraId="4667765B" w14:textId="77777777" w:rsidR="004D76E0" w:rsidRDefault="00000000">
      <w:r>
        <w:rPr>
          <w:noProof/>
        </w:rPr>
        <w:drawing>
          <wp:inline distT="114300" distB="114300" distL="114300" distR="114300" wp14:anchorId="0FC38337" wp14:editId="5A8D90B2">
            <wp:extent cx="5943600" cy="334010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0A345DF9" w14:textId="77777777" w:rsidR="004D76E0" w:rsidRDefault="00000000">
      <w:pPr>
        <w:spacing w:before="240" w:after="240" w:line="360" w:lineRule="auto"/>
        <w:jc w:val="both"/>
        <w:rPr>
          <w:sz w:val="24"/>
          <w:szCs w:val="24"/>
        </w:rPr>
      </w:pPr>
      <w:r>
        <w:rPr>
          <w:sz w:val="24"/>
          <w:szCs w:val="24"/>
        </w:rPr>
        <w:t xml:space="preserve">EDI is a topic of interest, and there are many hospitality conferences in the UK. However, there aren’t many </w:t>
      </w:r>
      <w:proofErr w:type="spellStart"/>
      <w:r>
        <w:rPr>
          <w:sz w:val="24"/>
          <w:szCs w:val="24"/>
        </w:rPr>
        <w:t>organisations</w:t>
      </w:r>
      <w:proofErr w:type="spellEnd"/>
      <w:r>
        <w:rPr>
          <w:sz w:val="24"/>
          <w:szCs w:val="24"/>
        </w:rPr>
        <w:t xml:space="preserve"> that are solely focused on equality, diversity and inclusion. For about 30 years, most industry events have been focused on larger themes such as sustainability, technological advancements and customer experience; a space has been left for a dedicated discussion around workplace inclusion (Foday Yaya Drammeh, 2024). This will be a unique conference as a dedicated platform for organizations that are dedicated to creating diverse and inclusive work environments, and it will be a very important part of the event landscape of the industry. There is competition from general HR conferences and hospitality expos in which EDI is a subtopic, but they do not have a specific, industry-focused approach. Unlike these broader forums, this conference will stand out as a very specialized conference and will draw an audience of professionals directly looking for guidance on what is best practice in EDI. The event will focus on addressing the challenges and solutions relevant to the hospitality business and will be of help to the companies to improve their diversity strategies (Georges El </w:t>
      </w:r>
      <w:proofErr w:type="spellStart"/>
      <w:r>
        <w:rPr>
          <w:sz w:val="24"/>
          <w:szCs w:val="24"/>
        </w:rPr>
        <w:t>Hajal</w:t>
      </w:r>
      <w:proofErr w:type="spellEnd"/>
      <w:r>
        <w:rPr>
          <w:sz w:val="24"/>
          <w:szCs w:val="24"/>
        </w:rPr>
        <w:t xml:space="preserve"> and Yeoman, 2024). Additionally, the conference will also have strategic partnerships with industry leaders and influential speakers that will help increase the credibility of the </w:t>
      </w:r>
      <w:r>
        <w:rPr>
          <w:sz w:val="24"/>
          <w:szCs w:val="24"/>
        </w:rPr>
        <w:lastRenderedPageBreak/>
        <w:t xml:space="preserve">conference. Working with the most respected professionals and </w:t>
      </w:r>
      <w:proofErr w:type="spellStart"/>
      <w:r>
        <w:rPr>
          <w:sz w:val="24"/>
          <w:szCs w:val="24"/>
        </w:rPr>
        <w:t>organisations</w:t>
      </w:r>
      <w:proofErr w:type="spellEnd"/>
      <w:r>
        <w:rPr>
          <w:sz w:val="24"/>
          <w:szCs w:val="24"/>
        </w:rPr>
        <w:t xml:space="preserve"> will make the event competitive within the hospitality sector, providing the attendees with exclusive insights and actionable strategies. Its unique positioning, specific to EDI, will guarantee that the conference will be impactful and a crucial resource to organizations seeking to build inclusive workplaces.</w:t>
      </w:r>
    </w:p>
    <w:p w14:paraId="1605D5ED" w14:textId="77777777" w:rsidR="004D76E0" w:rsidRDefault="004D76E0">
      <w:pPr>
        <w:spacing w:before="240" w:after="240"/>
      </w:pPr>
    </w:p>
    <w:p w14:paraId="78ECAEF9" w14:textId="77777777" w:rsidR="004D76E0" w:rsidRDefault="00000000">
      <w:pPr>
        <w:pStyle w:val="Heading1"/>
        <w:spacing w:before="240" w:after="240"/>
        <w:rPr>
          <w:b/>
        </w:rPr>
      </w:pPr>
      <w:bookmarkStart w:id="5" w:name="_nn478vja2rt2" w:colFirst="0" w:colLast="0"/>
      <w:bookmarkEnd w:id="5"/>
      <w:r>
        <w:br w:type="page"/>
      </w:r>
    </w:p>
    <w:p w14:paraId="2B018A68" w14:textId="77777777" w:rsidR="004D76E0" w:rsidRDefault="00000000">
      <w:pPr>
        <w:pStyle w:val="Heading1"/>
        <w:spacing w:before="240" w:after="240"/>
        <w:rPr>
          <w:b/>
        </w:rPr>
      </w:pPr>
      <w:bookmarkStart w:id="6" w:name="_xw4r69s4ke7a" w:colFirst="0" w:colLast="0"/>
      <w:bookmarkEnd w:id="6"/>
      <w:r>
        <w:rPr>
          <w:b/>
        </w:rPr>
        <w:lastRenderedPageBreak/>
        <w:t>Operational Factors</w:t>
      </w:r>
    </w:p>
    <w:p w14:paraId="75278CAC" w14:textId="77777777" w:rsidR="004D76E0" w:rsidRDefault="00000000">
      <w:r>
        <w:rPr>
          <w:noProof/>
        </w:rPr>
        <w:drawing>
          <wp:inline distT="114300" distB="114300" distL="114300" distR="114300" wp14:anchorId="03F4F3F4" wp14:editId="673F91B5">
            <wp:extent cx="5943600" cy="33401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094C9AF9" w14:textId="77777777" w:rsidR="004D76E0" w:rsidRDefault="00000000">
      <w:pPr>
        <w:spacing w:before="240" w:after="240" w:line="360" w:lineRule="auto"/>
        <w:jc w:val="both"/>
        <w:rPr>
          <w:sz w:val="24"/>
          <w:szCs w:val="24"/>
        </w:rPr>
      </w:pPr>
      <w:r>
        <w:rPr>
          <w:sz w:val="24"/>
          <w:szCs w:val="24"/>
        </w:rPr>
        <w:t xml:space="preserve">The conference will take place virtually, therefore there won’t be any venue, hence it will be accessible to a broader audience (Georges El </w:t>
      </w:r>
      <w:proofErr w:type="spellStart"/>
      <w:r>
        <w:rPr>
          <w:sz w:val="24"/>
          <w:szCs w:val="24"/>
        </w:rPr>
        <w:t>Hajal</w:t>
      </w:r>
      <w:proofErr w:type="spellEnd"/>
      <w:r>
        <w:rPr>
          <w:sz w:val="24"/>
          <w:szCs w:val="24"/>
        </w:rPr>
        <w:t xml:space="preserve"> and Yeoman, 2024). This hosting of the event online makes the event inclusive to people who are situated all over the world. You will need a digital platform that will be able to do live streaming, breakout sessions, and Q&amp;A interaction. To achieve such engagement all participants need to be able to do so, the chosen platform must therefore be accessible, meaning that closed captioning or sign language interpretation is supported (Getz, 2024). Also, networking opportunities will be integrated into virtual meeting rooms and discussion forums to keep the attendees engaged. Also, the event is digital so it allows it to cut down on logistical challenges, cutting down on costs of physical venues while increasing reach to a global audience seamlessly.</w:t>
      </w:r>
    </w:p>
    <w:p w14:paraId="5AE1F8EE" w14:textId="77777777" w:rsidR="004D76E0" w:rsidRDefault="00000000">
      <w:pPr>
        <w:pStyle w:val="Heading1"/>
        <w:spacing w:before="240" w:after="240"/>
        <w:rPr>
          <w:b/>
        </w:rPr>
      </w:pPr>
      <w:bookmarkStart w:id="7" w:name="_u9de1hkairax" w:colFirst="0" w:colLast="0"/>
      <w:bookmarkEnd w:id="7"/>
      <w:r>
        <w:br w:type="page"/>
      </w:r>
    </w:p>
    <w:p w14:paraId="2A179E53" w14:textId="77777777" w:rsidR="004D76E0" w:rsidRDefault="00000000">
      <w:pPr>
        <w:pStyle w:val="Heading1"/>
        <w:spacing w:before="240" w:after="240"/>
        <w:rPr>
          <w:b/>
        </w:rPr>
      </w:pPr>
      <w:bookmarkStart w:id="8" w:name="_ruvvdtfo05oc" w:colFirst="0" w:colLast="0"/>
      <w:bookmarkEnd w:id="8"/>
      <w:r>
        <w:rPr>
          <w:b/>
        </w:rPr>
        <w:lastRenderedPageBreak/>
        <w:t xml:space="preserve">Staffing and Resource Allocation </w:t>
      </w:r>
    </w:p>
    <w:p w14:paraId="6721A427" w14:textId="77777777" w:rsidR="004D76E0" w:rsidRDefault="00000000">
      <w:r>
        <w:rPr>
          <w:noProof/>
        </w:rPr>
        <w:drawing>
          <wp:inline distT="114300" distB="114300" distL="114300" distR="114300" wp14:anchorId="0CC5C431" wp14:editId="1A0453CF">
            <wp:extent cx="5943600" cy="33401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10A34962" w14:textId="77777777" w:rsidR="004D76E0" w:rsidRDefault="00000000">
      <w:pPr>
        <w:spacing w:before="240" w:after="240" w:line="360" w:lineRule="auto"/>
        <w:jc w:val="both"/>
        <w:rPr>
          <w:sz w:val="24"/>
          <w:szCs w:val="24"/>
        </w:rPr>
      </w:pPr>
      <w:r>
        <w:rPr>
          <w:sz w:val="24"/>
          <w:szCs w:val="24"/>
        </w:rPr>
        <w:t>Event Logistics, Speaker Coordination, Technical Support, etc. Will need a dedicated team for event logistics, speaker coordination, technical support, and marketing. There are an event manager, technical support staff, moderators, and marketing professionals among the key roles (Gómez-Bruna, Martín-Duque and Juan José Fernández-Muñoz, 2024). Video production, IT infrastructure and customer support will be a must. Also, industry bodies and sponsors can offer added resources and expertise in partnerships. There must be a skilled workforce for content moderation and audience engagement for the event (Irani, Kiliç and Adeshola, 2022). Training of staff on digital event management tools will be adequate. A structured workflow with defined responsibilities will make the events run professionally and meet its objectives.</w:t>
      </w:r>
    </w:p>
    <w:p w14:paraId="6342E694" w14:textId="77777777" w:rsidR="004D76E0" w:rsidRDefault="00000000">
      <w:pPr>
        <w:pStyle w:val="Heading1"/>
        <w:spacing w:before="240" w:after="240"/>
        <w:rPr>
          <w:b/>
        </w:rPr>
      </w:pPr>
      <w:bookmarkStart w:id="9" w:name="_r51h5hhmx55k" w:colFirst="0" w:colLast="0"/>
      <w:bookmarkEnd w:id="9"/>
      <w:r>
        <w:br w:type="page"/>
      </w:r>
    </w:p>
    <w:p w14:paraId="18949B87" w14:textId="77777777" w:rsidR="004D76E0" w:rsidRDefault="00000000">
      <w:pPr>
        <w:pStyle w:val="Heading1"/>
        <w:spacing w:before="240" w:after="240"/>
        <w:rPr>
          <w:b/>
        </w:rPr>
      </w:pPr>
      <w:bookmarkStart w:id="10" w:name="_on9fvhaaktrf" w:colFirst="0" w:colLast="0"/>
      <w:bookmarkEnd w:id="10"/>
      <w:r>
        <w:rPr>
          <w:b/>
        </w:rPr>
        <w:lastRenderedPageBreak/>
        <w:t>Financial Factors</w:t>
      </w:r>
    </w:p>
    <w:p w14:paraId="181F42C4" w14:textId="77777777" w:rsidR="004D76E0" w:rsidRDefault="00000000">
      <w:r>
        <w:rPr>
          <w:noProof/>
        </w:rPr>
        <w:drawing>
          <wp:inline distT="114300" distB="114300" distL="114300" distR="114300" wp14:anchorId="330FF508" wp14:editId="0637FCAA">
            <wp:extent cx="5943600" cy="33401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02511FF1" w14:textId="77777777" w:rsidR="004D76E0" w:rsidRDefault="00000000">
      <w:pPr>
        <w:spacing w:before="240" w:after="240" w:line="360" w:lineRule="auto"/>
        <w:jc w:val="both"/>
        <w:rPr>
          <w:sz w:val="24"/>
          <w:szCs w:val="24"/>
        </w:rPr>
      </w:pPr>
      <w:r>
        <w:rPr>
          <w:sz w:val="24"/>
          <w:szCs w:val="24"/>
        </w:rPr>
        <w:t>The event’s revenue model is based on a budget that includes licensing platform, marketing, speaker honorariums and technical support. Total cost is estimated at £45,000 (platform and technical support (£15,000); speaker fees (£10,000) marketing and promotion (£8,000); staff wages (£7,000) and miscellaneous expenses (£5,000)). Income will be raised through sponsorship, ticket sales and exhibitor fees, the latter estimated to gross £30,000 (600 attendees x £50 per ticket) (Je, Khoo and Yang, 2023). This model has a reliable profit margin and is of the same quality as the event. There will be effective financial management strategies put in place to control expenses and maintain profitability (</w:t>
      </w:r>
      <w:proofErr w:type="spellStart"/>
      <w:r>
        <w:rPr>
          <w:sz w:val="24"/>
          <w:szCs w:val="24"/>
        </w:rPr>
        <w:t>Karsavuran</w:t>
      </w:r>
      <w:proofErr w:type="spellEnd"/>
      <w:r>
        <w:rPr>
          <w:sz w:val="24"/>
          <w:szCs w:val="24"/>
        </w:rPr>
        <w:t>, 2020). The event will be able to cover its operational costs and it will generate surplus funds towards its long-term sustainability and being a persistent contributor to promoting equality, diversity and inclusion in the hospitality industry.</w:t>
      </w:r>
    </w:p>
    <w:p w14:paraId="7D42FFA5" w14:textId="77777777" w:rsidR="004D76E0" w:rsidRDefault="00000000">
      <w:pPr>
        <w:pStyle w:val="Heading1"/>
        <w:spacing w:before="240" w:after="240"/>
        <w:rPr>
          <w:b/>
        </w:rPr>
      </w:pPr>
      <w:bookmarkStart w:id="11" w:name="_okxomo5kmf4r" w:colFirst="0" w:colLast="0"/>
      <w:bookmarkEnd w:id="11"/>
      <w:r>
        <w:br w:type="page"/>
      </w:r>
    </w:p>
    <w:p w14:paraId="0E564566" w14:textId="77777777" w:rsidR="004D76E0" w:rsidRDefault="00000000">
      <w:pPr>
        <w:pStyle w:val="Heading1"/>
        <w:spacing w:before="240" w:after="240"/>
        <w:rPr>
          <w:b/>
        </w:rPr>
      </w:pPr>
      <w:bookmarkStart w:id="12" w:name="_ewk9he3691q9" w:colFirst="0" w:colLast="0"/>
      <w:bookmarkEnd w:id="12"/>
      <w:r>
        <w:rPr>
          <w:b/>
        </w:rPr>
        <w:lastRenderedPageBreak/>
        <w:t xml:space="preserve">Funding and Revenue Generation </w:t>
      </w:r>
    </w:p>
    <w:p w14:paraId="1EB10631" w14:textId="77777777" w:rsidR="004D76E0" w:rsidRDefault="00000000">
      <w:r>
        <w:rPr>
          <w:noProof/>
        </w:rPr>
        <w:drawing>
          <wp:inline distT="114300" distB="114300" distL="114300" distR="114300" wp14:anchorId="2CE4C78C" wp14:editId="5FC80BC4">
            <wp:extent cx="5943600" cy="33401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084738C1" w14:textId="77777777" w:rsidR="004D76E0" w:rsidRDefault="00000000">
      <w:pPr>
        <w:spacing w:line="360" w:lineRule="auto"/>
        <w:jc w:val="both"/>
        <w:rPr>
          <w:sz w:val="24"/>
          <w:szCs w:val="24"/>
        </w:rPr>
      </w:pPr>
      <w:r>
        <w:rPr>
          <w:sz w:val="24"/>
          <w:szCs w:val="24"/>
        </w:rPr>
        <w:t>Revenue Generation will be generated from corporate sponsors, industry associations and ticket sales. Brands will be exposed through digital banners, sponsored sessions and speaking opportunities through a tiered sponsorship model (Mousa and Arslan, 2025). The ticket sales will be driven by partnerships with universities and hospitality businesses (Seyfi et al., 2025). An early bird pricing strategy will encourage early registrations to generate enough cash flow before the event (Munawar et al., 2022). To be financially sustainable, the revenue streams will be diversified through exhibitor packages and premium access options. Funding will be secured by engaging influential sponsors who align with EDI values, and the event will also become more credible in the industry (Úbeda-García et al., 2021).</w:t>
      </w:r>
    </w:p>
    <w:p w14:paraId="2F590B5F" w14:textId="77777777" w:rsidR="004D76E0" w:rsidRDefault="004D76E0">
      <w:pPr>
        <w:spacing w:before="240" w:after="240" w:line="360" w:lineRule="auto"/>
        <w:jc w:val="both"/>
        <w:rPr>
          <w:sz w:val="24"/>
          <w:szCs w:val="24"/>
        </w:rPr>
      </w:pPr>
    </w:p>
    <w:p w14:paraId="06160B64" w14:textId="77777777" w:rsidR="004D76E0" w:rsidRDefault="00000000">
      <w:pPr>
        <w:pStyle w:val="Heading1"/>
        <w:spacing w:before="240" w:after="240"/>
        <w:rPr>
          <w:b/>
        </w:rPr>
      </w:pPr>
      <w:bookmarkStart w:id="13" w:name="_dfy93s5gc4t8" w:colFirst="0" w:colLast="0"/>
      <w:bookmarkEnd w:id="13"/>
      <w:r>
        <w:br w:type="page"/>
      </w:r>
    </w:p>
    <w:p w14:paraId="16BFA092" w14:textId="77777777" w:rsidR="004D76E0" w:rsidRDefault="00000000">
      <w:pPr>
        <w:pStyle w:val="Heading1"/>
        <w:spacing w:before="240" w:after="240"/>
        <w:rPr>
          <w:b/>
        </w:rPr>
      </w:pPr>
      <w:bookmarkStart w:id="14" w:name="_ajjeiviiy647" w:colFirst="0" w:colLast="0"/>
      <w:bookmarkEnd w:id="14"/>
      <w:r>
        <w:rPr>
          <w:b/>
        </w:rPr>
        <w:lastRenderedPageBreak/>
        <w:t xml:space="preserve">Strategic Pre-Planning Considerations </w:t>
      </w:r>
    </w:p>
    <w:p w14:paraId="507FBF14" w14:textId="77777777" w:rsidR="004D76E0" w:rsidRDefault="00000000">
      <w:r>
        <w:rPr>
          <w:noProof/>
        </w:rPr>
        <w:drawing>
          <wp:inline distT="114300" distB="114300" distL="114300" distR="114300" wp14:anchorId="18784A1A" wp14:editId="59BF9080">
            <wp:extent cx="5943600" cy="33401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4FD24B64" w14:textId="77777777" w:rsidR="004D76E0" w:rsidRDefault="00000000">
      <w:pPr>
        <w:spacing w:before="240" w:after="240" w:line="360" w:lineRule="auto"/>
        <w:jc w:val="both"/>
        <w:rPr>
          <w:sz w:val="24"/>
          <w:szCs w:val="24"/>
        </w:rPr>
      </w:pPr>
      <w:r>
        <w:rPr>
          <w:sz w:val="24"/>
          <w:szCs w:val="24"/>
        </w:rPr>
        <w:t xml:space="preserve">The success of the conference depends on comprehensive planning, securing high-profile speakers, promoting the conference through the industry network and ensuring robust technical infrastructure (Pan, Lin and Weng, 2025). There will be a structured timeline showing the important milestones, such as when content is </w:t>
      </w:r>
      <w:proofErr w:type="spellStart"/>
      <w:r>
        <w:rPr>
          <w:sz w:val="24"/>
          <w:szCs w:val="24"/>
        </w:rPr>
        <w:t>finalised</w:t>
      </w:r>
      <w:proofErr w:type="spellEnd"/>
      <w:r>
        <w:rPr>
          <w:sz w:val="24"/>
          <w:szCs w:val="24"/>
        </w:rPr>
        <w:t>, when marketing is launched and when testing is complete (Robinson, Yan and Jiang, 2024). Contingency plans can be made to address potential challenges like technical failures or low ticket sales, and risk management strategies will address these potential challenges (Votto et al., 2021). Webinars and promotional campaigns as pre-event engagement activities will create anticipation (Wilton, 2022). Having an advisory board with industry experts will help to get valuable insights into establishing a decision-making strategy that will be in line with market expectations.</w:t>
      </w:r>
    </w:p>
    <w:p w14:paraId="51A30F19" w14:textId="77777777" w:rsidR="004D76E0" w:rsidRDefault="00000000">
      <w:pPr>
        <w:pStyle w:val="Heading1"/>
        <w:spacing w:before="240" w:after="240"/>
        <w:rPr>
          <w:b/>
        </w:rPr>
      </w:pPr>
      <w:bookmarkStart w:id="15" w:name="_sg2p7wmmntqd" w:colFirst="0" w:colLast="0"/>
      <w:bookmarkEnd w:id="15"/>
      <w:r>
        <w:br w:type="page"/>
      </w:r>
    </w:p>
    <w:p w14:paraId="77870EC4" w14:textId="77777777" w:rsidR="004D76E0" w:rsidRDefault="00000000">
      <w:pPr>
        <w:pStyle w:val="Heading1"/>
        <w:spacing w:before="240" w:after="240"/>
        <w:rPr>
          <w:b/>
        </w:rPr>
      </w:pPr>
      <w:bookmarkStart w:id="16" w:name="_cuzgknlovmn3" w:colFirst="0" w:colLast="0"/>
      <w:bookmarkEnd w:id="16"/>
      <w:r>
        <w:rPr>
          <w:b/>
        </w:rPr>
        <w:lastRenderedPageBreak/>
        <w:t>Conclusion</w:t>
      </w:r>
    </w:p>
    <w:p w14:paraId="134E697F" w14:textId="77777777" w:rsidR="004D76E0" w:rsidRDefault="00000000">
      <w:pPr>
        <w:pStyle w:val="Heading1"/>
        <w:spacing w:before="240" w:after="240"/>
        <w:rPr>
          <w:b/>
        </w:rPr>
      </w:pPr>
      <w:bookmarkStart w:id="17" w:name="_7qb2a4q9r7dw" w:colFirst="0" w:colLast="0"/>
      <w:bookmarkEnd w:id="17"/>
      <w:r>
        <w:rPr>
          <w:b/>
          <w:noProof/>
        </w:rPr>
        <w:drawing>
          <wp:inline distT="114300" distB="114300" distL="114300" distR="114300" wp14:anchorId="25175C2A" wp14:editId="0C376CAF">
            <wp:extent cx="5943600" cy="33401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r>
        <w:rPr>
          <w:b/>
        </w:rPr>
        <w:t xml:space="preserve"> </w:t>
      </w:r>
    </w:p>
    <w:p w14:paraId="4231DD04" w14:textId="77777777" w:rsidR="004D76E0" w:rsidRDefault="00000000">
      <w:pPr>
        <w:spacing w:before="240" w:after="240" w:line="360" w:lineRule="auto"/>
        <w:jc w:val="both"/>
        <w:rPr>
          <w:sz w:val="24"/>
          <w:szCs w:val="24"/>
        </w:rPr>
      </w:pPr>
      <w:r>
        <w:rPr>
          <w:sz w:val="24"/>
          <w:szCs w:val="24"/>
        </w:rPr>
        <w:t>From the standpoint of equality, diversity and inclusion, the proposed virtual conference fits well within the hospitality industry’s drive towards these areas. Market demand, financial sustainability and operational viability support the feasibility of the proposal. The event will use digital platforms and industry partnerships to create an impactful, meaningful space for discussion and pervasive meaningful change in the sector. Unlike most hospitality conferences, this one focuses on an underserved yet highly important area, so it is very important to businesses that want to improve workplace inclusivity. The focus on EDI helps attract people from the industry who are looking for practical solutions and best practices so that the event remains relevant. Its success can be ensured by strategic execution and careful planning and turn it into a valuable annual conference that will help to advance inclusivity in hospitality. The very well-structured financial model and strong industry engagement make it possible for this to become a prominent platform for encouraging various and inclusive work environments for businesses, their employees and future professionals in this sector.</w:t>
      </w:r>
      <w:r>
        <w:br w:type="page"/>
      </w:r>
    </w:p>
    <w:p w14:paraId="0DF8BEEB" w14:textId="77777777" w:rsidR="004D76E0" w:rsidRDefault="00000000">
      <w:pPr>
        <w:pStyle w:val="Heading1"/>
        <w:keepNext w:val="0"/>
        <w:keepLines w:val="0"/>
        <w:spacing w:before="0" w:after="360"/>
        <w:rPr>
          <w:b/>
          <w:sz w:val="36"/>
          <w:szCs w:val="36"/>
        </w:rPr>
      </w:pPr>
      <w:bookmarkStart w:id="18" w:name="_obty9lrxdnma" w:colFirst="0" w:colLast="0"/>
      <w:bookmarkEnd w:id="18"/>
      <w:r>
        <w:rPr>
          <w:b/>
          <w:sz w:val="36"/>
          <w:szCs w:val="36"/>
        </w:rPr>
        <w:lastRenderedPageBreak/>
        <w:t>Reference list</w:t>
      </w:r>
    </w:p>
    <w:p w14:paraId="1AC0F665" w14:textId="77777777" w:rsidR="004D76E0" w:rsidRDefault="00000000">
      <w:r>
        <w:rPr>
          <w:noProof/>
        </w:rPr>
        <w:drawing>
          <wp:inline distT="114300" distB="114300" distL="114300" distR="114300" wp14:anchorId="45513C9B" wp14:editId="588EE7A4">
            <wp:extent cx="5943600" cy="3340100"/>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77B93CEE" w14:textId="77777777" w:rsidR="004D76E0" w:rsidRDefault="00000000">
      <w:pPr>
        <w:spacing w:after="240" w:line="360" w:lineRule="auto"/>
        <w:jc w:val="both"/>
        <w:rPr>
          <w:sz w:val="24"/>
          <w:szCs w:val="24"/>
        </w:rPr>
      </w:pPr>
      <w:r>
        <w:rPr>
          <w:sz w:val="24"/>
          <w:szCs w:val="24"/>
        </w:rPr>
        <w:t xml:space="preserve">Agarwal, P. (2020). Shattered but Smiling: Human Resource Management and the Wellbeing of Hotel Employees during COVID-19. </w:t>
      </w:r>
      <w:r>
        <w:rPr>
          <w:i/>
          <w:sz w:val="24"/>
          <w:szCs w:val="24"/>
        </w:rPr>
        <w:t>International Journal of Hospitality Management</w:t>
      </w:r>
      <w:r>
        <w:rPr>
          <w:sz w:val="24"/>
          <w:szCs w:val="24"/>
        </w:rPr>
        <w:t xml:space="preserve">, [online] 93(102765), p.102765. </w:t>
      </w:r>
      <w:proofErr w:type="spellStart"/>
      <w:r>
        <w:rPr>
          <w:sz w:val="24"/>
          <w:szCs w:val="24"/>
        </w:rPr>
        <w:t>doi:https</w:t>
      </w:r>
      <w:proofErr w:type="spellEnd"/>
      <w:r>
        <w:rPr>
          <w:sz w:val="24"/>
          <w:szCs w:val="24"/>
        </w:rPr>
        <w:t>://doi.org/10.1016/j.ijhm.2020.102765.</w:t>
      </w:r>
    </w:p>
    <w:p w14:paraId="1863782A" w14:textId="77777777" w:rsidR="004D76E0" w:rsidRPr="00474BC6" w:rsidRDefault="00000000">
      <w:pPr>
        <w:spacing w:after="240" w:line="360" w:lineRule="auto"/>
        <w:jc w:val="both"/>
        <w:rPr>
          <w:sz w:val="24"/>
          <w:szCs w:val="24"/>
          <w:lang w:val="fr-FR"/>
        </w:rPr>
      </w:pPr>
      <w:proofErr w:type="spellStart"/>
      <w:r>
        <w:rPr>
          <w:sz w:val="24"/>
          <w:szCs w:val="24"/>
        </w:rPr>
        <w:t>Bingjie</w:t>
      </w:r>
      <w:proofErr w:type="spellEnd"/>
      <w:r>
        <w:rPr>
          <w:sz w:val="24"/>
          <w:szCs w:val="24"/>
        </w:rPr>
        <w:t xml:space="preserve"> Liu-Lastres, Wen, H. and Fevzi </w:t>
      </w:r>
      <w:proofErr w:type="spellStart"/>
      <w:r>
        <w:rPr>
          <w:sz w:val="24"/>
          <w:szCs w:val="24"/>
        </w:rPr>
        <w:t>Okumus</w:t>
      </w:r>
      <w:proofErr w:type="spellEnd"/>
      <w:r>
        <w:rPr>
          <w:sz w:val="24"/>
          <w:szCs w:val="24"/>
        </w:rPr>
        <w:t xml:space="preserve"> (2024). Exploring the impacts of internal crisis communication on tourism employees insights from a mixed-methods study. </w:t>
      </w:r>
      <w:proofErr w:type="spellStart"/>
      <w:r w:rsidRPr="00474BC6">
        <w:rPr>
          <w:i/>
          <w:sz w:val="24"/>
          <w:szCs w:val="24"/>
          <w:lang w:val="fr-FR"/>
        </w:rPr>
        <w:t>Tourism</w:t>
      </w:r>
      <w:proofErr w:type="spellEnd"/>
      <w:r w:rsidRPr="00474BC6">
        <w:rPr>
          <w:i/>
          <w:sz w:val="24"/>
          <w:szCs w:val="24"/>
          <w:lang w:val="fr-FR"/>
        </w:rPr>
        <w:t xml:space="preserve"> Management</w:t>
      </w:r>
      <w:r w:rsidRPr="00474BC6">
        <w:rPr>
          <w:sz w:val="24"/>
          <w:szCs w:val="24"/>
          <w:lang w:val="fr-FR"/>
        </w:rPr>
        <w:t xml:space="preserve">, 100, pp.104796–104796. </w:t>
      </w:r>
      <w:proofErr w:type="spellStart"/>
      <w:r w:rsidRPr="00474BC6">
        <w:rPr>
          <w:sz w:val="24"/>
          <w:szCs w:val="24"/>
          <w:lang w:val="fr-FR"/>
        </w:rPr>
        <w:t>doi:https</w:t>
      </w:r>
      <w:proofErr w:type="spellEnd"/>
      <w:r w:rsidRPr="00474BC6">
        <w:rPr>
          <w:sz w:val="24"/>
          <w:szCs w:val="24"/>
          <w:lang w:val="fr-FR"/>
        </w:rPr>
        <w:t>://doi.org/10.1016/j.tourman.2023.104796.</w:t>
      </w:r>
    </w:p>
    <w:p w14:paraId="3B05A6EB" w14:textId="77777777" w:rsidR="004D76E0" w:rsidRDefault="00000000">
      <w:pPr>
        <w:spacing w:after="240" w:line="360" w:lineRule="auto"/>
        <w:jc w:val="both"/>
        <w:rPr>
          <w:sz w:val="24"/>
          <w:szCs w:val="24"/>
        </w:rPr>
      </w:pPr>
      <w:proofErr w:type="spellStart"/>
      <w:r w:rsidRPr="00474BC6">
        <w:rPr>
          <w:sz w:val="24"/>
          <w:szCs w:val="24"/>
          <w:lang w:val="fr-FR"/>
        </w:rPr>
        <w:t>Damiasih</w:t>
      </w:r>
      <w:proofErr w:type="spellEnd"/>
      <w:r w:rsidRPr="00474BC6">
        <w:rPr>
          <w:sz w:val="24"/>
          <w:szCs w:val="24"/>
          <w:lang w:val="fr-FR"/>
        </w:rPr>
        <w:t xml:space="preserve">, D. (2025). </w:t>
      </w:r>
      <w:r>
        <w:rPr>
          <w:sz w:val="24"/>
          <w:szCs w:val="24"/>
        </w:rPr>
        <w:t xml:space="preserve">Crisis Management in Tourism: Applied Psychological Strategies for Resilience and Recovery. </w:t>
      </w:r>
      <w:r>
        <w:rPr>
          <w:i/>
          <w:sz w:val="24"/>
          <w:szCs w:val="24"/>
        </w:rPr>
        <w:t>Golden Ratio of Data in Summary</w:t>
      </w:r>
      <w:r>
        <w:rPr>
          <w:sz w:val="24"/>
          <w:szCs w:val="24"/>
        </w:rPr>
        <w:t xml:space="preserve">, [online] 5(1), pp.32–43. </w:t>
      </w:r>
      <w:proofErr w:type="spellStart"/>
      <w:r>
        <w:rPr>
          <w:sz w:val="24"/>
          <w:szCs w:val="24"/>
        </w:rPr>
        <w:t>doi:https</w:t>
      </w:r>
      <w:proofErr w:type="spellEnd"/>
      <w:r>
        <w:rPr>
          <w:sz w:val="24"/>
          <w:szCs w:val="24"/>
        </w:rPr>
        <w:t>://doi.org/10.52970/grdis.v5i1.874.</w:t>
      </w:r>
    </w:p>
    <w:p w14:paraId="62E16008" w14:textId="77777777" w:rsidR="004D76E0" w:rsidRDefault="00000000">
      <w:pPr>
        <w:spacing w:after="240" w:line="360" w:lineRule="auto"/>
        <w:jc w:val="both"/>
        <w:rPr>
          <w:sz w:val="24"/>
          <w:szCs w:val="24"/>
        </w:rPr>
      </w:pPr>
      <w:r>
        <w:rPr>
          <w:sz w:val="24"/>
          <w:szCs w:val="24"/>
        </w:rPr>
        <w:t xml:space="preserve">Eger, C., Munar, A.M. and Hsu, C. (2021). Gender and tourism sustainability. </w:t>
      </w:r>
      <w:r>
        <w:rPr>
          <w:i/>
          <w:sz w:val="24"/>
          <w:szCs w:val="24"/>
        </w:rPr>
        <w:t>Journal of Sustainable Tourism</w:t>
      </w:r>
      <w:r>
        <w:rPr>
          <w:sz w:val="24"/>
          <w:szCs w:val="24"/>
        </w:rPr>
        <w:t xml:space="preserve">, pp.1–17. </w:t>
      </w:r>
      <w:proofErr w:type="spellStart"/>
      <w:r>
        <w:rPr>
          <w:sz w:val="24"/>
          <w:szCs w:val="24"/>
        </w:rPr>
        <w:t>doi:https</w:t>
      </w:r>
      <w:proofErr w:type="spellEnd"/>
      <w:r>
        <w:rPr>
          <w:sz w:val="24"/>
          <w:szCs w:val="24"/>
        </w:rPr>
        <w:t>://doi.org/10.1080/09669582.2021.1963975.</w:t>
      </w:r>
    </w:p>
    <w:p w14:paraId="7B2E0ADD" w14:textId="77777777" w:rsidR="004D76E0" w:rsidRDefault="00000000">
      <w:pPr>
        <w:spacing w:after="240" w:line="360" w:lineRule="auto"/>
        <w:jc w:val="both"/>
        <w:rPr>
          <w:sz w:val="24"/>
          <w:szCs w:val="24"/>
        </w:rPr>
      </w:pPr>
      <w:r>
        <w:rPr>
          <w:sz w:val="24"/>
          <w:szCs w:val="24"/>
        </w:rPr>
        <w:lastRenderedPageBreak/>
        <w:t xml:space="preserve">Foday Yaya Drammeh (2024). Managing tourism during the COVID-19 pandemic. A systematic review of crisis management in the tourism industry. </w:t>
      </w:r>
      <w:r>
        <w:rPr>
          <w:i/>
          <w:sz w:val="24"/>
          <w:szCs w:val="24"/>
        </w:rPr>
        <w:t>Cogent Social Sciences</w:t>
      </w:r>
      <w:r>
        <w:rPr>
          <w:sz w:val="24"/>
          <w:szCs w:val="24"/>
        </w:rPr>
        <w:t xml:space="preserve">, 10(1). </w:t>
      </w:r>
      <w:proofErr w:type="spellStart"/>
      <w:r>
        <w:rPr>
          <w:sz w:val="24"/>
          <w:szCs w:val="24"/>
        </w:rPr>
        <w:t>doi:https</w:t>
      </w:r>
      <w:proofErr w:type="spellEnd"/>
      <w:r>
        <w:rPr>
          <w:sz w:val="24"/>
          <w:szCs w:val="24"/>
        </w:rPr>
        <w:t>://doi.org/10.1080/23311886.2024.2311955.</w:t>
      </w:r>
    </w:p>
    <w:p w14:paraId="3063B912" w14:textId="77777777" w:rsidR="004D76E0" w:rsidRDefault="00000000">
      <w:pPr>
        <w:spacing w:after="240" w:line="360" w:lineRule="auto"/>
        <w:jc w:val="both"/>
        <w:rPr>
          <w:sz w:val="24"/>
          <w:szCs w:val="24"/>
        </w:rPr>
      </w:pPr>
      <w:r>
        <w:rPr>
          <w:sz w:val="24"/>
          <w:szCs w:val="24"/>
        </w:rPr>
        <w:t xml:space="preserve">Georges El </w:t>
      </w:r>
      <w:proofErr w:type="spellStart"/>
      <w:r>
        <w:rPr>
          <w:sz w:val="24"/>
          <w:szCs w:val="24"/>
        </w:rPr>
        <w:t>Hajal</w:t>
      </w:r>
      <w:proofErr w:type="spellEnd"/>
      <w:r>
        <w:rPr>
          <w:sz w:val="24"/>
          <w:szCs w:val="24"/>
        </w:rPr>
        <w:t xml:space="preserve"> and Yeoman, I. (2024). AI and the future of talent management in tourism and hospitality. </w:t>
      </w:r>
      <w:r>
        <w:rPr>
          <w:i/>
          <w:sz w:val="24"/>
          <w:szCs w:val="24"/>
        </w:rPr>
        <w:t>Current Issues in Tourism</w:t>
      </w:r>
      <w:r>
        <w:rPr>
          <w:sz w:val="24"/>
          <w:szCs w:val="24"/>
        </w:rPr>
        <w:t xml:space="preserve">, pp.1–18. </w:t>
      </w:r>
      <w:proofErr w:type="spellStart"/>
      <w:r>
        <w:rPr>
          <w:sz w:val="24"/>
          <w:szCs w:val="24"/>
        </w:rPr>
        <w:t>doi:https</w:t>
      </w:r>
      <w:proofErr w:type="spellEnd"/>
      <w:r>
        <w:rPr>
          <w:sz w:val="24"/>
          <w:szCs w:val="24"/>
        </w:rPr>
        <w:t>://doi.org/10.1080/13683500.2024.2439395.</w:t>
      </w:r>
    </w:p>
    <w:p w14:paraId="7CBFB9E2" w14:textId="77777777" w:rsidR="004D76E0" w:rsidRDefault="00000000">
      <w:pPr>
        <w:spacing w:after="240" w:line="360" w:lineRule="auto"/>
        <w:jc w:val="both"/>
        <w:rPr>
          <w:sz w:val="24"/>
          <w:szCs w:val="24"/>
        </w:rPr>
      </w:pPr>
      <w:r>
        <w:rPr>
          <w:sz w:val="24"/>
          <w:szCs w:val="24"/>
        </w:rPr>
        <w:t xml:space="preserve">Getz, D. (2024). Festival and Event Tourism. pp.391–395. </w:t>
      </w:r>
      <w:proofErr w:type="spellStart"/>
      <w:r>
        <w:rPr>
          <w:sz w:val="24"/>
          <w:szCs w:val="24"/>
        </w:rPr>
        <w:t>doi:https</w:t>
      </w:r>
      <w:proofErr w:type="spellEnd"/>
      <w:r>
        <w:rPr>
          <w:sz w:val="24"/>
          <w:szCs w:val="24"/>
        </w:rPr>
        <w:t>://doi.org/10.1007/978-3-030-74923-1_84.</w:t>
      </w:r>
    </w:p>
    <w:p w14:paraId="624B04D7" w14:textId="77777777" w:rsidR="004D76E0" w:rsidRDefault="00000000">
      <w:pPr>
        <w:spacing w:after="240" w:line="360" w:lineRule="auto"/>
        <w:jc w:val="both"/>
        <w:rPr>
          <w:sz w:val="24"/>
          <w:szCs w:val="24"/>
        </w:rPr>
      </w:pPr>
      <w:r>
        <w:rPr>
          <w:sz w:val="24"/>
          <w:szCs w:val="24"/>
        </w:rPr>
        <w:t xml:space="preserve">Gómez-Bruna, D., Martín-Duque, C. and Juan José Fernández-Muñoz (2024). Determinants of residents’ support for urban tourism in times of uncertainty: Exploring the case of the city of Madrid. </w:t>
      </w:r>
      <w:r>
        <w:rPr>
          <w:i/>
          <w:sz w:val="24"/>
          <w:szCs w:val="24"/>
        </w:rPr>
        <w:t>Tourism and Hospitality Research</w:t>
      </w:r>
      <w:r>
        <w:rPr>
          <w:sz w:val="24"/>
          <w:szCs w:val="24"/>
        </w:rPr>
        <w:t xml:space="preserve">. </w:t>
      </w:r>
      <w:proofErr w:type="spellStart"/>
      <w:r>
        <w:rPr>
          <w:sz w:val="24"/>
          <w:szCs w:val="24"/>
        </w:rPr>
        <w:t>doi:https</w:t>
      </w:r>
      <w:proofErr w:type="spellEnd"/>
      <w:r>
        <w:rPr>
          <w:sz w:val="24"/>
          <w:szCs w:val="24"/>
        </w:rPr>
        <w:t>://doi.org/10.1177/14673584241228759.</w:t>
      </w:r>
    </w:p>
    <w:p w14:paraId="7305A21D" w14:textId="77777777" w:rsidR="004D76E0" w:rsidRDefault="00000000">
      <w:pPr>
        <w:spacing w:after="240" w:line="360" w:lineRule="auto"/>
        <w:jc w:val="both"/>
        <w:rPr>
          <w:sz w:val="24"/>
          <w:szCs w:val="24"/>
        </w:rPr>
      </w:pPr>
      <w:r>
        <w:rPr>
          <w:sz w:val="24"/>
          <w:szCs w:val="24"/>
        </w:rPr>
        <w:t xml:space="preserve">Irani, F., Kiliç, H. and Adeshola, I. (2022). Impact of green human resource management practices on the environmental performance of green hotels. </w:t>
      </w:r>
      <w:r>
        <w:rPr>
          <w:i/>
          <w:sz w:val="24"/>
          <w:szCs w:val="24"/>
        </w:rPr>
        <w:t>Journal of Hospitality Marketing &amp; Management</w:t>
      </w:r>
      <w:r>
        <w:rPr>
          <w:sz w:val="24"/>
          <w:szCs w:val="24"/>
        </w:rPr>
        <w:t xml:space="preserve">, 31(5), pp.1–31. </w:t>
      </w:r>
      <w:proofErr w:type="spellStart"/>
      <w:r>
        <w:rPr>
          <w:sz w:val="24"/>
          <w:szCs w:val="24"/>
        </w:rPr>
        <w:t>doi:https</w:t>
      </w:r>
      <w:proofErr w:type="spellEnd"/>
      <w:r>
        <w:rPr>
          <w:sz w:val="24"/>
          <w:szCs w:val="24"/>
        </w:rPr>
        <w:t>://doi.org/10.1080/19368623.2022.2022554.</w:t>
      </w:r>
    </w:p>
    <w:p w14:paraId="3A2935F6" w14:textId="77777777" w:rsidR="004D76E0" w:rsidRDefault="00000000">
      <w:pPr>
        <w:spacing w:after="240" w:line="360" w:lineRule="auto"/>
        <w:jc w:val="both"/>
        <w:rPr>
          <w:sz w:val="24"/>
          <w:szCs w:val="24"/>
        </w:rPr>
      </w:pPr>
      <w:r>
        <w:rPr>
          <w:sz w:val="24"/>
          <w:szCs w:val="24"/>
        </w:rPr>
        <w:t xml:space="preserve">Je, J.S., Khoo, C. and Yang, E.C.L. (2023). Gender issues in tourism </w:t>
      </w:r>
      <w:proofErr w:type="spellStart"/>
      <w:r>
        <w:rPr>
          <w:sz w:val="24"/>
          <w:szCs w:val="24"/>
        </w:rPr>
        <w:t>organisations</w:t>
      </w:r>
      <w:proofErr w:type="spellEnd"/>
      <w:r>
        <w:rPr>
          <w:sz w:val="24"/>
          <w:szCs w:val="24"/>
        </w:rPr>
        <w:t xml:space="preserve">: insights from a two-phased pragmatic systematic literature review. </w:t>
      </w:r>
      <w:r>
        <w:rPr>
          <w:i/>
          <w:sz w:val="24"/>
          <w:szCs w:val="24"/>
        </w:rPr>
        <w:t>Gender and Tourism Sustainability</w:t>
      </w:r>
      <w:r>
        <w:rPr>
          <w:sz w:val="24"/>
          <w:szCs w:val="24"/>
        </w:rPr>
        <w:t xml:space="preserve">, pp.205–228. </w:t>
      </w:r>
      <w:proofErr w:type="spellStart"/>
      <w:r>
        <w:rPr>
          <w:sz w:val="24"/>
          <w:szCs w:val="24"/>
        </w:rPr>
        <w:t>doi:https</w:t>
      </w:r>
      <w:proofErr w:type="spellEnd"/>
      <w:r>
        <w:rPr>
          <w:sz w:val="24"/>
          <w:szCs w:val="24"/>
        </w:rPr>
        <w:t>://doi.org/10.4324/9781003329541-13.</w:t>
      </w:r>
    </w:p>
    <w:p w14:paraId="5A07E8EB" w14:textId="77777777" w:rsidR="004D76E0" w:rsidRDefault="00000000">
      <w:pPr>
        <w:spacing w:after="240" w:line="360" w:lineRule="auto"/>
        <w:jc w:val="both"/>
        <w:rPr>
          <w:sz w:val="24"/>
          <w:szCs w:val="24"/>
        </w:rPr>
      </w:pPr>
      <w:proofErr w:type="spellStart"/>
      <w:r>
        <w:rPr>
          <w:sz w:val="24"/>
          <w:szCs w:val="24"/>
        </w:rPr>
        <w:t>Karsavuran</w:t>
      </w:r>
      <w:proofErr w:type="spellEnd"/>
      <w:r>
        <w:rPr>
          <w:sz w:val="24"/>
          <w:szCs w:val="24"/>
        </w:rPr>
        <w:t xml:space="preserve">, Z. (2020). Surviving a major crisis: the case of dismissed tourism and hospitality employees. </w:t>
      </w:r>
      <w:r>
        <w:rPr>
          <w:i/>
          <w:sz w:val="24"/>
          <w:szCs w:val="24"/>
        </w:rPr>
        <w:t>Journal of Policy Research in Tourism, Leisure and Events</w:t>
      </w:r>
      <w:r>
        <w:rPr>
          <w:sz w:val="24"/>
          <w:szCs w:val="24"/>
        </w:rPr>
        <w:t xml:space="preserve">, 13(2), pp.243–265. </w:t>
      </w:r>
      <w:proofErr w:type="spellStart"/>
      <w:r>
        <w:rPr>
          <w:sz w:val="24"/>
          <w:szCs w:val="24"/>
        </w:rPr>
        <w:t>doi:https</w:t>
      </w:r>
      <w:proofErr w:type="spellEnd"/>
      <w:r>
        <w:rPr>
          <w:sz w:val="24"/>
          <w:szCs w:val="24"/>
        </w:rPr>
        <w:t>://doi.org/10.1080/19407963.2020.1787421.</w:t>
      </w:r>
    </w:p>
    <w:p w14:paraId="7C7F754E" w14:textId="77777777" w:rsidR="004D76E0" w:rsidRDefault="00000000">
      <w:pPr>
        <w:spacing w:after="240" w:line="360" w:lineRule="auto"/>
        <w:jc w:val="both"/>
        <w:rPr>
          <w:sz w:val="24"/>
          <w:szCs w:val="24"/>
        </w:rPr>
      </w:pPr>
      <w:r>
        <w:rPr>
          <w:sz w:val="24"/>
          <w:szCs w:val="24"/>
        </w:rPr>
        <w:t xml:space="preserve">Katarzyna Czernek-Marszałek, Dagmara Wójcik, Juszczyk, P., Piotrowski, P. and Richard, B. (2024). Turning crisis into chances: Tourism entrepreneurs’ timing strategies amidst emergencies. </w:t>
      </w:r>
      <w:r>
        <w:rPr>
          <w:i/>
          <w:sz w:val="24"/>
          <w:szCs w:val="24"/>
        </w:rPr>
        <w:t>Journal of Entrepreneurship Management and Innovation</w:t>
      </w:r>
      <w:r>
        <w:rPr>
          <w:sz w:val="24"/>
          <w:szCs w:val="24"/>
        </w:rPr>
        <w:t xml:space="preserve">, [online] 20(3), pp.78–103. </w:t>
      </w:r>
      <w:proofErr w:type="spellStart"/>
      <w:r>
        <w:rPr>
          <w:sz w:val="24"/>
          <w:szCs w:val="24"/>
        </w:rPr>
        <w:t>doi:https</w:t>
      </w:r>
      <w:proofErr w:type="spellEnd"/>
      <w:r>
        <w:rPr>
          <w:sz w:val="24"/>
          <w:szCs w:val="24"/>
        </w:rPr>
        <w:t>://doi.org/10.7341/20242035.</w:t>
      </w:r>
    </w:p>
    <w:p w14:paraId="40C42DCB" w14:textId="77777777" w:rsidR="004D76E0" w:rsidRDefault="00000000">
      <w:pPr>
        <w:spacing w:after="240" w:line="360" w:lineRule="auto"/>
        <w:jc w:val="both"/>
        <w:rPr>
          <w:sz w:val="24"/>
          <w:szCs w:val="24"/>
        </w:rPr>
      </w:pPr>
      <w:r>
        <w:rPr>
          <w:sz w:val="24"/>
          <w:szCs w:val="24"/>
        </w:rPr>
        <w:lastRenderedPageBreak/>
        <w:t xml:space="preserve">Mousa, M. and Arslan, A. (2025). Strategic human resources management in times of economic uncertainty: a lifebuoy for employees? </w:t>
      </w:r>
      <w:r>
        <w:rPr>
          <w:i/>
          <w:sz w:val="24"/>
          <w:szCs w:val="24"/>
        </w:rPr>
        <w:t>Journal of Organizational Effectiveness People and Performance</w:t>
      </w:r>
      <w:r>
        <w:rPr>
          <w:sz w:val="24"/>
          <w:szCs w:val="24"/>
        </w:rPr>
        <w:t xml:space="preserve">. </w:t>
      </w:r>
      <w:proofErr w:type="spellStart"/>
      <w:r>
        <w:rPr>
          <w:sz w:val="24"/>
          <w:szCs w:val="24"/>
        </w:rPr>
        <w:t>doi:https</w:t>
      </w:r>
      <w:proofErr w:type="spellEnd"/>
      <w:r>
        <w:rPr>
          <w:sz w:val="24"/>
          <w:szCs w:val="24"/>
        </w:rPr>
        <w:t>://doi.org/10.1108/joepp-06-2024-0279.</w:t>
      </w:r>
    </w:p>
    <w:p w14:paraId="411D9359" w14:textId="77777777" w:rsidR="004D76E0" w:rsidRDefault="00000000">
      <w:pPr>
        <w:spacing w:after="240" w:line="360" w:lineRule="auto"/>
        <w:jc w:val="both"/>
        <w:rPr>
          <w:sz w:val="24"/>
          <w:szCs w:val="24"/>
        </w:rPr>
      </w:pPr>
      <w:r>
        <w:rPr>
          <w:sz w:val="24"/>
          <w:szCs w:val="24"/>
        </w:rPr>
        <w:t xml:space="preserve">Munawar, S., Yousaf, D.H.Q., Ahmed, M. and Rehman, D.S. (2022). Effects of green human resource management on green innovation through green human capital, environmental knowledge, and managerial environmental concern. </w:t>
      </w:r>
      <w:r>
        <w:rPr>
          <w:i/>
          <w:sz w:val="24"/>
          <w:szCs w:val="24"/>
        </w:rPr>
        <w:t>Journal of Hospitality and Tourism Management</w:t>
      </w:r>
      <w:r>
        <w:rPr>
          <w:sz w:val="24"/>
          <w:szCs w:val="24"/>
        </w:rPr>
        <w:t xml:space="preserve">, 52, pp.141–150. </w:t>
      </w:r>
      <w:proofErr w:type="spellStart"/>
      <w:r>
        <w:rPr>
          <w:sz w:val="24"/>
          <w:szCs w:val="24"/>
        </w:rPr>
        <w:t>doi:https</w:t>
      </w:r>
      <w:proofErr w:type="spellEnd"/>
      <w:r>
        <w:rPr>
          <w:sz w:val="24"/>
          <w:szCs w:val="24"/>
        </w:rPr>
        <w:t>://doi.org/10.1016/j.jhtm.2022.06.009.</w:t>
      </w:r>
    </w:p>
    <w:p w14:paraId="26AA8591" w14:textId="77777777" w:rsidR="004D76E0" w:rsidRDefault="00000000">
      <w:pPr>
        <w:spacing w:after="240" w:line="360" w:lineRule="auto"/>
        <w:jc w:val="both"/>
        <w:rPr>
          <w:sz w:val="24"/>
          <w:szCs w:val="24"/>
        </w:rPr>
      </w:pPr>
      <w:r>
        <w:rPr>
          <w:sz w:val="24"/>
          <w:szCs w:val="24"/>
        </w:rPr>
        <w:t xml:space="preserve">Pan, S.-Y., Lin, Y. and Weng, J. (2025). The dark side of robot usage for hotel employees: An uncertainty management perspective. </w:t>
      </w:r>
      <w:r>
        <w:rPr>
          <w:i/>
          <w:sz w:val="24"/>
          <w:szCs w:val="24"/>
        </w:rPr>
        <w:t>Tourism management</w:t>
      </w:r>
      <w:r>
        <w:rPr>
          <w:sz w:val="24"/>
          <w:szCs w:val="24"/>
        </w:rPr>
        <w:t xml:space="preserve">, 106, pp.104994–104994. </w:t>
      </w:r>
      <w:proofErr w:type="spellStart"/>
      <w:r>
        <w:rPr>
          <w:sz w:val="24"/>
          <w:szCs w:val="24"/>
        </w:rPr>
        <w:t>doi:https</w:t>
      </w:r>
      <w:proofErr w:type="spellEnd"/>
      <w:r>
        <w:rPr>
          <w:sz w:val="24"/>
          <w:szCs w:val="24"/>
        </w:rPr>
        <w:t>://doi.org/10.1016/j.tourman.2024.104994.</w:t>
      </w:r>
    </w:p>
    <w:p w14:paraId="76D2C30B" w14:textId="77777777" w:rsidR="004D76E0" w:rsidRDefault="00000000">
      <w:pPr>
        <w:spacing w:after="240" w:line="360" w:lineRule="auto"/>
        <w:jc w:val="both"/>
        <w:rPr>
          <w:sz w:val="24"/>
          <w:szCs w:val="24"/>
        </w:rPr>
      </w:pPr>
      <w:r>
        <w:rPr>
          <w:sz w:val="24"/>
          <w:szCs w:val="24"/>
        </w:rPr>
        <w:t xml:space="preserve">Robinson, R.N.S., Yan, H. and Jiang, Y. (2024). Employee resilience during crisis: A three-tiered perspective on its ‘can-do’ and ‘reason-to’ motivational factors. </w:t>
      </w:r>
      <w:r>
        <w:rPr>
          <w:i/>
          <w:sz w:val="24"/>
          <w:szCs w:val="24"/>
        </w:rPr>
        <w:t>Tourism Management</w:t>
      </w:r>
      <w:r>
        <w:rPr>
          <w:sz w:val="24"/>
          <w:szCs w:val="24"/>
        </w:rPr>
        <w:t xml:space="preserve">, 103, pp.104912–104912. </w:t>
      </w:r>
      <w:proofErr w:type="spellStart"/>
      <w:r>
        <w:rPr>
          <w:sz w:val="24"/>
          <w:szCs w:val="24"/>
        </w:rPr>
        <w:t>doi:https</w:t>
      </w:r>
      <w:proofErr w:type="spellEnd"/>
      <w:r>
        <w:rPr>
          <w:sz w:val="24"/>
          <w:szCs w:val="24"/>
        </w:rPr>
        <w:t>://doi.org/10.1016/j.tourman.2024.104912.</w:t>
      </w:r>
    </w:p>
    <w:p w14:paraId="0E91861E" w14:textId="77777777" w:rsidR="004D76E0" w:rsidRDefault="00000000">
      <w:pPr>
        <w:spacing w:after="240" w:line="360" w:lineRule="auto"/>
        <w:jc w:val="both"/>
        <w:rPr>
          <w:sz w:val="24"/>
          <w:szCs w:val="24"/>
        </w:rPr>
      </w:pPr>
      <w:r>
        <w:rPr>
          <w:sz w:val="24"/>
          <w:szCs w:val="24"/>
        </w:rPr>
        <w:t xml:space="preserve">Seyfi, S., </w:t>
      </w:r>
      <w:proofErr w:type="spellStart"/>
      <w:r>
        <w:rPr>
          <w:sz w:val="24"/>
          <w:szCs w:val="24"/>
        </w:rPr>
        <w:t>Kimbu</w:t>
      </w:r>
      <w:proofErr w:type="spellEnd"/>
      <w:r>
        <w:rPr>
          <w:sz w:val="24"/>
          <w:szCs w:val="24"/>
        </w:rPr>
        <w:t xml:space="preserve">, A.N., </w:t>
      </w:r>
      <w:proofErr w:type="spellStart"/>
      <w:r>
        <w:rPr>
          <w:sz w:val="24"/>
          <w:szCs w:val="24"/>
        </w:rPr>
        <w:t>Tavangar</w:t>
      </w:r>
      <w:proofErr w:type="spellEnd"/>
      <w:r>
        <w:rPr>
          <w:sz w:val="24"/>
          <w:szCs w:val="24"/>
        </w:rPr>
        <w:t xml:space="preserve">, M., Vo-Thanh, T. and Zaman, M. (2025). Surviving crisis: Building tourism entrepreneurial resilience as a woman in a sanctions-ravaged destination. </w:t>
      </w:r>
      <w:r>
        <w:rPr>
          <w:i/>
          <w:sz w:val="24"/>
          <w:szCs w:val="24"/>
        </w:rPr>
        <w:t>Tourism Management</w:t>
      </w:r>
      <w:r>
        <w:rPr>
          <w:sz w:val="24"/>
          <w:szCs w:val="24"/>
        </w:rPr>
        <w:t xml:space="preserve">, 106, p.105025. </w:t>
      </w:r>
      <w:proofErr w:type="spellStart"/>
      <w:r>
        <w:rPr>
          <w:sz w:val="24"/>
          <w:szCs w:val="24"/>
        </w:rPr>
        <w:t>doi:https</w:t>
      </w:r>
      <w:proofErr w:type="spellEnd"/>
      <w:r>
        <w:rPr>
          <w:sz w:val="24"/>
          <w:szCs w:val="24"/>
        </w:rPr>
        <w:t>://doi.org/10.1016/j.tourman.2024.105025.</w:t>
      </w:r>
    </w:p>
    <w:p w14:paraId="7FD2EFF5" w14:textId="77777777" w:rsidR="004D76E0" w:rsidRDefault="00000000">
      <w:pPr>
        <w:spacing w:after="240" w:line="360" w:lineRule="auto"/>
        <w:jc w:val="both"/>
        <w:rPr>
          <w:sz w:val="24"/>
          <w:szCs w:val="24"/>
        </w:rPr>
      </w:pPr>
      <w:r>
        <w:rPr>
          <w:sz w:val="24"/>
          <w:szCs w:val="24"/>
        </w:rPr>
        <w:t xml:space="preserve">Úbeda-García, M., </w:t>
      </w:r>
      <w:proofErr w:type="spellStart"/>
      <w:r>
        <w:rPr>
          <w:sz w:val="24"/>
          <w:szCs w:val="24"/>
        </w:rPr>
        <w:t>Claver</w:t>
      </w:r>
      <w:proofErr w:type="spellEnd"/>
      <w:r>
        <w:rPr>
          <w:sz w:val="24"/>
          <w:szCs w:val="24"/>
        </w:rPr>
        <w:t xml:space="preserve">-Cortés, E., Marco-Lajara, B. and Zaragoza-Sáez, P. (2021). Corporate social responsibility and firm performance in the hotel industry. The mediating role of green human resource management and environmental outcomes. </w:t>
      </w:r>
      <w:r>
        <w:rPr>
          <w:i/>
          <w:sz w:val="24"/>
          <w:szCs w:val="24"/>
        </w:rPr>
        <w:t>Journal of Business Research</w:t>
      </w:r>
      <w:r>
        <w:rPr>
          <w:sz w:val="24"/>
          <w:szCs w:val="24"/>
        </w:rPr>
        <w:t xml:space="preserve">, 123, pp.57–69. </w:t>
      </w:r>
      <w:proofErr w:type="spellStart"/>
      <w:r>
        <w:rPr>
          <w:sz w:val="24"/>
          <w:szCs w:val="24"/>
        </w:rPr>
        <w:t>doi:https</w:t>
      </w:r>
      <w:proofErr w:type="spellEnd"/>
      <w:r>
        <w:rPr>
          <w:sz w:val="24"/>
          <w:szCs w:val="24"/>
        </w:rPr>
        <w:t>://doi.org/10.1016/j.jbusres.2020.09.055.</w:t>
      </w:r>
    </w:p>
    <w:p w14:paraId="5A4C79A5" w14:textId="77777777" w:rsidR="004D76E0" w:rsidRDefault="00000000">
      <w:pPr>
        <w:spacing w:after="240" w:line="360" w:lineRule="auto"/>
        <w:jc w:val="both"/>
        <w:rPr>
          <w:sz w:val="24"/>
          <w:szCs w:val="24"/>
        </w:rPr>
      </w:pPr>
      <w:r>
        <w:rPr>
          <w:sz w:val="24"/>
          <w:szCs w:val="24"/>
        </w:rPr>
        <w:t xml:space="preserve">Votto, A.M., Valecha, R., </w:t>
      </w:r>
      <w:proofErr w:type="spellStart"/>
      <w:r>
        <w:rPr>
          <w:sz w:val="24"/>
          <w:szCs w:val="24"/>
        </w:rPr>
        <w:t>Najafirad</w:t>
      </w:r>
      <w:proofErr w:type="spellEnd"/>
      <w:r>
        <w:rPr>
          <w:sz w:val="24"/>
          <w:szCs w:val="24"/>
        </w:rPr>
        <w:t xml:space="preserve">, P. and Rao, H.R. (2021). Artificial Intelligence in Tactical Human Resource Management: A Systematic Literature Review. </w:t>
      </w:r>
      <w:r>
        <w:rPr>
          <w:i/>
          <w:sz w:val="24"/>
          <w:szCs w:val="24"/>
        </w:rPr>
        <w:t>International Journal of Information Management Data Insights</w:t>
      </w:r>
      <w:r>
        <w:rPr>
          <w:sz w:val="24"/>
          <w:szCs w:val="24"/>
        </w:rPr>
        <w:t xml:space="preserve">, [online] 1(2). </w:t>
      </w:r>
      <w:proofErr w:type="spellStart"/>
      <w:r>
        <w:rPr>
          <w:sz w:val="24"/>
          <w:szCs w:val="24"/>
        </w:rPr>
        <w:t>doi:https</w:t>
      </w:r>
      <w:proofErr w:type="spellEnd"/>
      <w:r>
        <w:rPr>
          <w:sz w:val="24"/>
          <w:szCs w:val="24"/>
        </w:rPr>
        <w:t>://doi.org/10.1016/j.jjimei.2021.100047.</w:t>
      </w:r>
    </w:p>
    <w:p w14:paraId="42E3A1A8" w14:textId="77777777" w:rsidR="004D76E0" w:rsidRDefault="00000000">
      <w:pPr>
        <w:spacing w:after="240" w:line="360" w:lineRule="auto"/>
        <w:jc w:val="both"/>
        <w:rPr>
          <w:sz w:val="24"/>
          <w:szCs w:val="24"/>
        </w:rPr>
      </w:pPr>
      <w:r>
        <w:rPr>
          <w:sz w:val="24"/>
          <w:szCs w:val="24"/>
        </w:rPr>
        <w:lastRenderedPageBreak/>
        <w:t xml:space="preserve">Wilton, N. (2022). An Introduction to Human Resource Management. </w:t>
      </w:r>
      <w:r>
        <w:rPr>
          <w:i/>
          <w:sz w:val="24"/>
          <w:szCs w:val="24"/>
        </w:rPr>
        <w:t>An Introduction to Human Resource Management</w:t>
      </w:r>
      <w:r>
        <w:rPr>
          <w:sz w:val="24"/>
          <w:szCs w:val="24"/>
        </w:rPr>
        <w:t>, 1(1), pp.1–100.</w:t>
      </w:r>
    </w:p>
    <w:p w14:paraId="31BD8765" w14:textId="77777777" w:rsidR="004D76E0" w:rsidRDefault="004D76E0"/>
    <w:sectPr w:rsidR="004D76E0">
      <w:footerReference w:type="default" r:id="rId20"/>
      <w:footerReference w:type="first" r:id="rId2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90226" w14:textId="77777777" w:rsidR="00F41A61" w:rsidRDefault="00F41A61">
      <w:pPr>
        <w:spacing w:line="240" w:lineRule="auto"/>
      </w:pPr>
      <w:r>
        <w:separator/>
      </w:r>
    </w:p>
  </w:endnote>
  <w:endnote w:type="continuationSeparator" w:id="0">
    <w:p w14:paraId="707D9762" w14:textId="77777777" w:rsidR="00F41A61" w:rsidRDefault="00F41A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C70933" w14:textId="77777777" w:rsidR="004D76E0" w:rsidRDefault="00000000">
    <w:pPr>
      <w:jc w:val="right"/>
    </w:pPr>
    <w:r>
      <w:fldChar w:fldCharType="begin"/>
    </w:r>
    <w:r>
      <w:instrText>PAGE</w:instrText>
    </w:r>
    <w:r>
      <w:fldChar w:fldCharType="separate"/>
    </w:r>
    <w:r w:rsidR="00474BC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0D085" w14:textId="77777777" w:rsidR="004D76E0" w:rsidRDefault="004D76E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B9786" w14:textId="77777777" w:rsidR="00F41A61" w:rsidRDefault="00F41A61">
      <w:pPr>
        <w:spacing w:line="240" w:lineRule="auto"/>
      </w:pPr>
      <w:r>
        <w:separator/>
      </w:r>
    </w:p>
  </w:footnote>
  <w:footnote w:type="continuationSeparator" w:id="0">
    <w:p w14:paraId="178B3A12" w14:textId="77777777" w:rsidR="00F41A61" w:rsidRDefault="00F41A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6E0"/>
    <w:rsid w:val="00474BC6"/>
    <w:rsid w:val="004D76E0"/>
    <w:rsid w:val="007A067E"/>
    <w:rsid w:val="00F41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D2B47"/>
  <w15:docId w15:val="{8E690AB1-B20F-4969-8EB5-14B0EECB7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2449</Words>
  <Characters>13961</Characters>
  <Application>Microsoft Office Word</Application>
  <DocSecurity>0</DocSecurity>
  <Lines>116</Lines>
  <Paragraphs>32</Paragraphs>
  <ScaleCrop>false</ScaleCrop>
  <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Katerina Hristova</cp:lastModifiedBy>
  <cp:revision>2</cp:revision>
  <dcterms:created xsi:type="dcterms:W3CDTF">2025-02-07T20:50:00Z</dcterms:created>
  <dcterms:modified xsi:type="dcterms:W3CDTF">2025-02-07T20:53:00Z</dcterms:modified>
</cp:coreProperties>
</file>