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6FD15E" w14:textId="67B36886" w:rsidR="00E61304" w:rsidRDefault="00E61304" w:rsidP="00E61304">
      <w:pPr>
        <w:spacing w:after="160" w:line="259" w:lineRule="auto"/>
        <w:jc w:val="left"/>
        <w:rPr>
          <w:rFonts w:eastAsiaTheme="majorEastAsia" w:cstheme="majorBidi"/>
          <w:b/>
          <w:sz w:val="36"/>
          <w:szCs w:val="32"/>
        </w:rPr>
      </w:pPr>
      <w:r>
        <w:rPr>
          <w:noProof/>
          <w14:ligatures w14:val="standardContextual"/>
        </w:rPr>
        <w:drawing>
          <wp:inline distT="0" distB="0" distL="0" distR="0" wp14:anchorId="68BDCA4C" wp14:editId="5406BBD8">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6EF8EB3" w14:textId="77777777" w:rsidR="00E61304" w:rsidRDefault="00E61304" w:rsidP="00E61304">
      <w:pPr>
        <w:spacing w:after="160" w:line="259" w:lineRule="auto"/>
        <w:jc w:val="center"/>
        <w:rPr>
          <w:rFonts w:eastAsiaTheme="majorEastAsia" w:cstheme="majorBidi"/>
          <w:b/>
          <w:sz w:val="36"/>
          <w:szCs w:val="32"/>
        </w:rPr>
      </w:pPr>
    </w:p>
    <w:p w14:paraId="24961B80" w14:textId="6CBFD8DD" w:rsidR="00E61304" w:rsidRDefault="00E61304" w:rsidP="00E61304">
      <w:pPr>
        <w:spacing w:after="160" w:line="259" w:lineRule="auto"/>
        <w:jc w:val="center"/>
        <w:rPr>
          <w:rFonts w:eastAsiaTheme="majorEastAsia" w:cstheme="majorBidi"/>
          <w:b/>
          <w:sz w:val="36"/>
          <w:szCs w:val="32"/>
        </w:rPr>
      </w:pPr>
      <w:r w:rsidRPr="00E61304">
        <w:rPr>
          <w:rFonts w:eastAsiaTheme="majorEastAsia" w:cstheme="majorBidi"/>
          <w:b/>
          <w:sz w:val="36"/>
          <w:szCs w:val="32"/>
        </w:rPr>
        <w:t>BSc Health and Social Care</w:t>
      </w:r>
    </w:p>
    <w:p w14:paraId="3047F7B5" w14:textId="77777777" w:rsidR="00E61304" w:rsidRDefault="00E61304" w:rsidP="00E61304">
      <w:pPr>
        <w:spacing w:after="160" w:line="259" w:lineRule="auto"/>
        <w:jc w:val="center"/>
        <w:rPr>
          <w:rFonts w:eastAsiaTheme="majorEastAsia" w:cstheme="majorBidi"/>
          <w:b/>
          <w:sz w:val="36"/>
          <w:szCs w:val="32"/>
        </w:rPr>
      </w:pPr>
      <w:r w:rsidRPr="00E61304">
        <w:rPr>
          <w:rFonts w:eastAsiaTheme="majorEastAsia" w:cstheme="majorBidi"/>
          <w:b/>
          <w:sz w:val="36"/>
          <w:szCs w:val="32"/>
        </w:rPr>
        <w:t>Principles of Health and Social Care Practice</w:t>
      </w:r>
    </w:p>
    <w:p w14:paraId="4CB4A356" w14:textId="77777777" w:rsidR="00E61304" w:rsidRDefault="00E61304" w:rsidP="00E61304">
      <w:pPr>
        <w:spacing w:after="160" w:line="259" w:lineRule="auto"/>
        <w:jc w:val="center"/>
        <w:rPr>
          <w:rFonts w:eastAsiaTheme="majorEastAsia" w:cstheme="majorBidi"/>
          <w:b/>
          <w:sz w:val="36"/>
          <w:szCs w:val="32"/>
        </w:rPr>
      </w:pPr>
      <w:r w:rsidRPr="00E61304">
        <w:rPr>
          <w:rFonts w:eastAsiaTheme="majorEastAsia" w:cstheme="majorBidi"/>
          <w:b/>
          <w:sz w:val="36"/>
          <w:szCs w:val="32"/>
        </w:rPr>
        <w:t>BMHP5016</w:t>
      </w:r>
    </w:p>
    <w:p w14:paraId="7994106F" w14:textId="77777777" w:rsidR="00E61304" w:rsidRDefault="00E61304" w:rsidP="00E61304">
      <w:pPr>
        <w:spacing w:after="160" w:line="259" w:lineRule="auto"/>
        <w:jc w:val="center"/>
        <w:rPr>
          <w:rFonts w:eastAsiaTheme="majorEastAsia" w:cstheme="majorBidi"/>
          <w:b/>
          <w:sz w:val="36"/>
          <w:szCs w:val="32"/>
        </w:rPr>
      </w:pPr>
    </w:p>
    <w:p w14:paraId="0FCDB91F" w14:textId="77777777" w:rsidR="00E61304" w:rsidRDefault="00E61304" w:rsidP="00E61304">
      <w:pPr>
        <w:spacing w:after="160" w:line="259" w:lineRule="auto"/>
        <w:jc w:val="center"/>
        <w:rPr>
          <w:rFonts w:eastAsiaTheme="majorEastAsia" w:cstheme="majorBidi"/>
          <w:b/>
          <w:sz w:val="36"/>
          <w:szCs w:val="32"/>
        </w:rPr>
      </w:pPr>
    </w:p>
    <w:p w14:paraId="773AD46A" w14:textId="77777777" w:rsidR="00E61304" w:rsidRDefault="00E61304" w:rsidP="00E61304">
      <w:pPr>
        <w:spacing w:after="160" w:line="259" w:lineRule="auto"/>
        <w:jc w:val="center"/>
        <w:rPr>
          <w:rFonts w:eastAsiaTheme="majorEastAsia" w:cstheme="majorBidi"/>
          <w:b/>
          <w:sz w:val="36"/>
          <w:szCs w:val="32"/>
        </w:rPr>
      </w:pPr>
      <w:r w:rsidRPr="00E61304">
        <w:rPr>
          <w:rFonts w:eastAsiaTheme="majorEastAsia" w:cstheme="majorBidi"/>
          <w:b/>
          <w:sz w:val="36"/>
          <w:szCs w:val="32"/>
        </w:rPr>
        <w:t>Component 1</w:t>
      </w:r>
    </w:p>
    <w:p w14:paraId="776214CA" w14:textId="77777777" w:rsidR="00E61304" w:rsidRDefault="00E61304" w:rsidP="00E61304">
      <w:pPr>
        <w:spacing w:after="160" w:line="259" w:lineRule="auto"/>
        <w:jc w:val="center"/>
        <w:rPr>
          <w:rFonts w:eastAsiaTheme="majorEastAsia" w:cstheme="majorBidi"/>
          <w:b/>
          <w:sz w:val="36"/>
          <w:szCs w:val="32"/>
        </w:rPr>
      </w:pPr>
      <w:r w:rsidRPr="00E61304">
        <w:rPr>
          <w:rFonts w:eastAsiaTheme="majorEastAsia" w:cstheme="majorBidi"/>
          <w:b/>
          <w:sz w:val="36"/>
          <w:szCs w:val="32"/>
        </w:rPr>
        <w:t xml:space="preserve">Written Assignment </w:t>
      </w:r>
    </w:p>
    <w:p w14:paraId="76D0B1F5" w14:textId="77777777" w:rsidR="00E61304" w:rsidRDefault="00E61304" w:rsidP="00E61304">
      <w:pPr>
        <w:spacing w:after="160" w:line="259" w:lineRule="auto"/>
        <w:jc w:val="center"/>
        <w:rPr>
          <w:rFonts w:eastAsiaTheme="majorEastAsia" w:cstheme="majorBidi"/>
          <w:b/>
          <w:bCs/>
          <w:sz w:val="36"/>
          <w:szCs w:val="32"/>
        </w:rPr>
      </w:pPr>
      <w:r w:rsidRPr="00E61304">
        <w:rPr>
          <w:rFonts w:eastAsiaTheme="majorEastAsia" w:cstheme="majorBidi"/>
          <w:b/>
          <w:sz w:val="36"/>
          <w:szCs w:val="32"/>
        </w:rPr>
        <w:t>(</w:t>
      </w:r>
      <w:r w:rsidRPr="00E61304">
        <w:rPr>
          <w:rFonts w:eastAsiaTheme="majorEastAsia" w:cstheme="majorBidi"/>
          <w:b/>
          <w:bCs/>
          <w:sz w:val="36"/>
          <w:szCs w:val="32"/>
        </w:rPr>
        <w:t>Reflective Report)</w:t>
      </w:r>
    </w:p>
    <w:p w14:paraId="48325E72" w14:textId="77777777" w:rsidR="00E61304" w:rsidRDefault="00E61304" w:rsidP="00E61304">
      <w:pPr>
        <w:spacing w:after="160" w:line="259" w:lineRule="auto"/>
        <w:jc w:val="center"/>
        <w:rPr>
          <w:rFonts w:eastAsiaTheme="majorEastAsia" w:cstheme="majorBidi"/>
          <w:b/>
          <w:bCs/>
          <w:sz w:val="36"/>
          <w:szCs w:val="32"/>
        </w:rPr>
      </w:pPr>
    </w:p>
    <w:p w14:paraId="6A1CB0DB" w14:textId="77777777" w:rsidR="00E61304" w:rsidRDefault="00E61304" w:rsidP="00E61304">
      <w:pPr>
        <w:spacing w:after="160" w:line="259" w:lineRule="auto"/>
        <w:jc w:val="center"/>
        <w:rPr>
          <w:rFonts w:eastAsiaTheme="majorEastAsia" w:cstheme="majorBidi"/>
          <w:b/>
          <w:bCs/>
          <w:sz w:val="36"/>
          <w:szCs w:val="32"/>
        </w:rPr>
      </w:pPr>
    </w:p>
    <w:p w14:paraId="15A18F25" w14:textId="77777777" w:rsidR="00E61304" w:rsidRDefault="00E61304" w:rsidP="00E61304">
      <w:pPr>
        <w:spacing w:after="160" w:line="259" w:lineRule="auto"/>
        <w:jc w:val="center"/>
        <w:rPr>
          <w:rFonts w:eastAsiaTheme="majorEastAsia" w:cstheme="majorBidi"/>
          <w:b/>
          <w:bCs/>
          <w:sz w:val="36"/>
          <w:szCs w:val="32"/>
        </w:rPr>
      </w:pPr>
    </w:p>
    <w:p w14:paraId="1B50E073" w14:textId="77777777" w:rsidR="00E61304" w:rsidRDefault="00E61304" w:rsidP="00E61304">
      <w:pPr>
        <w:spacing w:after="160" w:line="259" w:lineRule="auto"/>
        <w:jc w:val="center"/>
        <w:rPr>
          <w:rFonts w:eastAsiaTheme="majorEastAsia" w:cstheme="majorBidi"/>
          <w:b/>
          <w:bCs/>
          <w:sz w:val="36"/>
          <w:szCs w:val="32"/>
        </w:rPr>
      </w:pPr>
    </w:p>
    <w:p w14:paraId="7DC0EB93" w14:textId="0F1F214D" w:rsidR="00E61304" w:rsidRDefault="00E61304" w:rsidP="00E61304">
      <w:pPr>
        <w:spacing w:after="160" w:line="259" w:lineRule="auto"/>
        <w:jc w:val="center"/>
        <w:rPr>
          <w:rFonts w:eastAsiaTheme="majorEastAsia" w:cstheme="majorBidi"/>
          <w:b/>
          <w:bCs/>
          <w:sz w:val="36"/>
          <w:szCs w:val="32"/>
        </w:rPr>
      </w:pPr>
      <w:r>
        <w:rPr>
          <w:rFonts w:eastAsiaTheme="majorEastAsia" w:cstheme="majorBidi"/>
          <w:b/>
          <w:bCs/>
          <w:sz w:val="36"/>
          <w:szCs w:val="32"/>
        </w:rPr>
        <w:t>Student ID:</w:t>
      </w:r>
      <w:r w:rsidR="00AD672C">
        <w:rPr>
          <w:rFonts w:eastAsiaTheme="majorEastAsia" w:cstheme="majorBidi"/>
          <w:b/>
          <w:bCs/>
          <w:sz w:val="36"/>
          <w:szCs w:val="32"/>
        </w:rPr>
        <w:t xml:space="preserve"> 2409581</w:t>
      </w:r>
    </w:p>
    <w:p w14:paraId="535BA6D1" w14:textId="51849BAA" w:rsidR="00E61304" w:rsidRDefault="00E61304" w:rsidP="00E61304">
      <w:pPr>
        <w:spacing w:after="160" w:line="259" w:lineRule="auto"/>
        <w:jc w:val="center"/>
        <w:rPr>
          <w:rFonts w:eastAsiaTheme="majorEastAsia" w:cstheme="majorBidi"/>
          <w:b/>
          <w:bCs/>
          <w:sz w:val="36"/>
          <w:szCs w:val="32"/>
        </w:rPr>
      </w:pPr>
      <w:r>
        <w:rPr>
          <w:rFonts w:eastAsiaTheme="majorEastAsia" w:cstheme="majorBidi"/>
          <w:b/>
          <w:bCs/>
          <w:sz w:val="36"/>
          <w:szCs w:val="32"/>
        </w:rPr>
        <w:t>Student Name:</w:t>
      </w:r>
      <w:r w:rsidR="00AD672C">
        <w:rPr>
          <w:rFonts w:eastAsiaTheme="majorEastAsia" w:cstheme="majorBidi"/>
          <w:b/>
          <w:bCs/>
          <w:sz w:val="36"/>
          <w:szCs w:val="32"/>
        </w:rPr>
        <w:t xml:space="preserve"> Andreea </w:t>
      </w:r>
      <w:proofErr w:type="spellStart"/>
      <w:r w:rsidR="00AD672C">
        <w:rPr>
          <w:rFonts w:eastAsiaTheme="majorEastAsia" w:cstheme="majorBidi"/>
          <w:b/>
          <w:bCs/>
          <w:sz w:val="36"/>
          <w:szCs w:val="32"/>
        </w:rPr>
        <w:t>Talmaciu</w:t>
      </w:r>
      <w:proofErr w:type="spellEnd"/>
    </w:p>
    <w:p w14:paraId="332D1C65" w14:textId="381E9026" w:rsidR="00822EEB" w:rsidRDefault="00822EEB" w:rsidP="00AD672C">
      <w:pPr>
        <w:spacing w:after="160" w:line="259" w:lineRule="auto"/>
        <w:rPr>
          <w:rFonts w:eastAsiaTheme="majorEastAsia" w:cstheme="majorBidi"/>
          <w:b/>
          <w:sz w:val="36"/>
          <w:szCs w:val="32"/>
          <w:lang w:val="en-IN"/>
        </w:rPr>
      </w:pPr>
      <w:r>
        <w:rPr>
          <w:rFonts w:eastAsiaTheme="majorEastAsia" w:cstheme="majorBidi"/>
          <w:b/>
          <w:sz w:val="36"/>
          <w:szCs w:val="32"/>
          <w:lang w:val="en-IN"/>
        </w:rPr>
        <w:br w:type="page"/>
      </w:r>
    </w:p>
    <w:sdt>
      <w:sdtPr>
        <w:rPr>
          <w:rFonts w:ascii="Times New Roman" w:eastAsiaTheme="minorHAnsi" w:hAnsi="Times New Roman" w:cstheme="minorBidi"/>
          <w:color w:val="000000" w:themeColor="text1"/>
          <w:sz w:val="24"/>
          <w:lang w:val="en-GB" w:bidi="ar-SA"/>
        </w:rPr>
        <w:id w:val="-962570740"/>
        <w:docPartObj>
          <w:docPartGallery w:val="Table of Contents"/>
          <w:docPartUnique/>
        </w:docPartObj>
      </w:sdtPr>
      <w:sdtEndPr>
        <w:rPr>
          <w:rFonts w:ascii="Arial" w:hAnsi="Arial"/>
          <w:b/>
          <w:bCs/>
          <w:sz w:val="22"/>
        </w:rPr>
      </w:sdtEndPr>
      <w:sdtContent>
        <w:p w14:paraId="459B1D06" w14:textId="704351DB" w:rsidR="00D216DF" w:rsidRPr="00D216DF" w:rsidRDefault="00D216DF">
          <w:pPr>
            <w:pStyle w:val="TOCHeading"/>
            <w:rPr>
              <w:rFonts w:asciiTheme="majorBidi" w:hAnsiTheme="majorBidi"/>
              <w:b/>
              <w:bCs/>
              <w:color w:val="000000" w:themeColor="text1"/>
            </w:rPr>
          </w:pPr>
          <w:r w:rsidRPr="00D216DF">
            <w:rPr>
              <w:rFonts w:asciiTheme="majorBidi" w:hAnsiTheme="majorBidi"/>
              <w:b/>
              <w:bCs/>
              <w:color w:val="000000" w:themeColor="text1"/>
              <w:lang w:val="en-GB"/>
            </w:rPr>
            <w:t>Table of Contents</w:t>
          </w:r>
        </w:p>
        <w:p w14:paraId="377F34BD" w14:textId="1A60439A" w:rsidR="009369E9" w:rsidRDefault="00D216DF">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r>
            <w:fldChar w:fldCharType="begin"/>
          </w:r>
          <w:r>
            <w:instrText xml:space="preserve"> TOC \o "1-3" \h \z \u </w:instrText>
          </w:r>
          <w:r>
            <w:fldChar w:fldCharType="separate"/>
          </w:r>
          <w:hyperlink w:anchor="_Toc210741212" w:history="1">
            <w:r w:rsidR="009369E9" w:rsidRPr="00EE0B8E">
              <w:rPr>
                <w:rStyle w:val="Hyperlink"/>
                <w:noProof/>
              </w:rPr>
              <w:t>1. Introduction</w:t>
            </w:r>
            <w:r w:rsidR="009369E9">
              <w:rPr>
                <w:noProof/>
                <w:webHidden/>
              </w:rPr>
              <w:tab/>
            </w:r>
            <w:r w:rsidR="009369E9">
              <w:rPr>
                <w:noProof/>
                <w:webHidden/>
              </w:rPr>
              <w:fldChar w:fldCharType="begin"/>
            </w:r>
            <w:r w:rsidR="009369E9">
              <w:rPr>
                <w:noProof/>
                <w:webHidden/>
              </w:rPr>
              <w:instrText xml:space="preserve"> PAGEREF _Toc210741212 \h </w:instrText>
            </w:r>
            <w:r w:rsidR="009369E9">
              <w:rPr>
                <w:noProof/>
                <w:webHidden/>
              </w:rPr>
            </w:r>
            <w:r w:rsidR="009369E9">
              <w:rPr>
                <w:noProof/>
                <w:webHidden/>
              </w:rPr>
              <w:fldChar w:fldCharType="separate"/>
            </w:r>
            <w:r w:rsidR="009369E9">
              <w:rPr>
                <w:noProof/>
                <w:webHidden/>
              </w:rPr>
              <w:t>3</w:t>
            </w:r>
            <w:r w:rsidR="009369E9">
              <w:rPr>
                <w:noProof/>
                <w:webHidden/>
              </w:rPr>
              <w:fldChar w:fldCharType="end"/>
            </w:r>
          </w:hyperlink>
        </w:p>
        <w:p w14:paraId="2617167F" w14:textId="0DC2A39B" w:rsidR="009369E9" w:rsidRDefault="009369E9">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213" w:history="1">
            <w:r w:rsidRPr="00EE0B8E">
              <w:rPr>
                <w:rStyle w:val="Hyperlink"/>
                <w:noProof/>
              </w:rPr>
              <w:t>2. Task 1: Reflection on the Importance of Principles of Health and Social Care</w:t>
            </w:r>
            <w:r>
              <w:rPr>
                <w:noProof/>
                <w:webHidden/>
              </w:rPr>
              <w:tab/>
            </w:r>
            <w:r>
              <w:rPr>
                <w:noProof/>
                <w:webHidden/>
              </w:rPr>
              <w:fldChar w:fldCharType="begin"/>
            </w:r>
            <w:r>
              <w:rPr>
                <w:noProof/>
                <w:webHidden/>
              </w:rPr>
              <w:instrText xml:space="preserve"> PAGEREF _Toc210741213 \h </w:instrText>
            </w:r>
            <w:r>
              <w:rPr>
                <w:noProof/>
                <w:webHidden/>
              </w:rPr>
            </w:r>
            <w:r>
              <w:rPr>
                <w:noProof/>
                <w:webHidden/>
              </w:rPr>
              <w:fldChar w:fldCharType="separate"/>
            </w:r>
            <w:r>
              <w:rPr>
                <w:noProof/>
                <w:webHidden/>
              </w:rPr>
              <w:t>3</w:t>
            </w:r>
            <w:r>
              <w:rPr>
                <w:noProof/>
                <w:webHidden/>
              </w:rPr>
              <w:fldChar w:fldCharType="end"/>
            </w:r>
          </w:hyperlink>
        </w:p>
        <w:p w14:paraId="5EC6C5D3" w14:textId="67A09AEF" w:rsidR="009369E9" w:rsidRDefault="009369E9">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214" w:history="1">
            <w:r w:rsidRPr="00EE0B8E">
              <w:rPr>
                <w:rStyle w:val="Hyperlink"/>
                <w:noProof/>
              </w:rPr>
              <w:t>3. Task 2: Practical Examples of Concepts in Practice</w:t>
            </w:r>
            <w:r>
              <w:rPr>
                <w:noProof/>
                <w:webHidden/>
              </w:rPr>
              <w:tab/>
            </w:r>
            <w:r>
              <w:rPr>
                <w:noProof/>
                <w:webHidden/>
              </w:rPr>
              <w:fldChar w:fldCharType="begin"/>
            </w:r>
            <w:r>
              <w:rPr>
                <w:noProof/>
                <w:webHidden/>
              </w:rPr>
              <w:instrText xml:space="preserve"> PAGEREF _Toc210741214 \h </w:instrText>
            </w:r>
            <w:r>
              <w:rPr>
                <w:noProof/>
                <w:webHidden/>
              </w:rPr>
            </w:r>
            <w:r>
              <w:rPr>
                <w:noProof/>
                <w:webHidden/>
              </w:rPr>
              <w:fldChar w:fldCharType="separate"/>
            </w:r>
            <w:r>
              <w:rPr>
                <w:noProof/>
                <w:webHidden/>
              </w:rPr>
              <w:t>4</w:t>
            </w:r>
            <w:r>
              <w:rPr>
                <w:noProof/>
                <w:webHidden/>
              </w:rPr>
              <w:fldChar w:fldCharType="end"/>
            </w:r>
          </w:hyperlink>
        </w:p>
        <w:p w14:paraId="0AA018A1" w14:textId="0C8CD865" w:rsidR="009369E9" w:rsidRDefault="009369E9">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215" w:history="1">
            <w:r w:rsidRPr="00EE0B8E">
              <w:rPr>
                <w:rStyle w:val="Hyperlink"/>
                <w:noProof/>
              </w:rPr>
              <w:t>4. Task 3: Self-Reflection as a Health and Social Care Professional</w:t>
            </w:r>
            <w:r>
              <w:rPr>
                <w:noProof/>
                <w:webHidden/>
              </w:rPr>
              <w:tab/>
            </w:r>
            <w:r>
              <w:rPr>
                <w:noProof/>
                <w:webHidden/>
              </w:rPr>
              <w:fldChar w:fldCharType="begin"/>
            </w:r>
            <w:r>
              <w:rPr>
                <w:noProof/>
                <w:webHidden/>
              </w:rPr>
              <w:instrText xml:space="preserve"> PAGEREF _Toc210741215 \h </w:instrText>
            </w:r>
            <w:r>
              <w:rPr>
                <w:noProof/>
                <w:webHidden/>
              </w:rPr>
            </w:r>
            <w:r>
              <w:rPr>
                <w:noProof/>
                <w:webHidden/>
              </w:rPr>
              <w:fldChar w:fldCharType="separate"/>
            </w:r>
            <w:r>
              <w:rPr>
                <w:noProof/>
                <w:webHidden/>
              </w:rPr>
              <w:t>5</w:t>
            </w:r>
            <w:r>
              <w:rPr>
                <w:noProof/>
                <w:webHidden/>
              </w:rPr>
              <w:fldChar w:fldCharType="end"/>
            </w:r>
          </w:hyperlink>
        </w:p>
        <w:p w14:paraId="3ADD9E52" w14:textId="15324B96" w:rsidR="009369E9" w:rsidRDefault="009369E9">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216" w:history="1">
            <w:r w:rsidRPr="00EE0B8E">
              <w:rPr>
                <w:rStyle w:val="Hyperlink"/>
                <w:noProof/>
              </w:rPr>
              <w:t>5. Conclusion</w:t>
            </w:r>
            <w:r>
              <w:rPr>
                <w:noProof/>
                <w:webHidden/>
              </w:rPr>
              <w:tab/>
            </w:r>
            <w:r>
              <w:rPr>
                <w:noProof/>
                <w:webHidden/>
              </w:rPr>
              <w:fldChar w:fldCharType="begin"/>
            </w:r>
            <w:r>
              <w:rPr>
                <w:noProof/>
                <w:webHidden/>
              </w:rPr>
              <w:instrText xml:space="preserve"> PAGEREF _Toc210741216 \h </w:instrText>
            </w:r>
            <w:r>
              <w:rPr>
                <w:noProof/>
                <w:webHidden/>
              </w:rPr>
            </w:r>
            <w:r>
              <w:rPr>
                <w:noProof/>
                <w:webHidden/>
              </w:rPr>
              <w:fldChar w:fldCharType="separate"/>
            </w:r>
            <w:r>
              <w:rPr>
                <w:noProof/>
                <w:webHidden/>
              </w:rPr>
              <w:t>9</w:t>
            </w:r>
            <w:r>
              <w:rPr>
                <w:noProof/>
                <w:webHidden/>
              </w:rPr>
              <w:fldChar w:fldCharType="end"/>
            </w:r>
          </w:hyperlink>
        </w:p>
        <w:p w14:paraId="630F94B7" w14:textId="6DF88FEE" w:rsidR="009369E9" w:rsidRDefault="009369E9">
          <w:pPr>
            <w:pStyle w:val="TOC1"/>
            <w:tabs>
              <w:tab w:val="right" w:leader="dot" w:pos="9016"/>
            </w:tabs>
            <w:rPr>
              <w:rFonts w:asciiTheme="minorHAnsi" w:eastAsiaTheme="minorEastAsia" w:hAnsiTheme="minorHAnsi"/>
              <w:noProof/>
              <w:color w:val="auto"/>
              <w:kern w:val="2"/>
              <w:sz w:val="24"/>
              <w:szCs w:val="24"/>
              <w:lang w:val="en-IN" w:eastAsia="en-IN"/>
              <w14:ligatures w14:val="standardContextual"/>
            </w:rPr>
          </w:pPr>
          <w:hyperlink w:anchor="_Toc210741217" w:history="1">
            <w:r w:rsidRPr="00EE0B8E">
              <w:rPr>
                <w:rStyle w:val="Hyperlink"/>
                <w:noProof/>
              </w:rPr>
              <w:t>References</w:t>
            </w:r>
            <w:r>
              <w:rPr>
                <w:noProof/>
                <w:webHidden/>
              </w:rPr>
              <w:tab/>
            </w:r>
            <w:r>
              <w:rPr>
                <w:noProof/>
                <w:webHidden/>
              </w:rPr>
              <w:fldChar w:fldCharType="begin"/>
            </w:r>
            <w:r>
              <w:rPr>
                <w:noProof/>
                <w:webHidden/>
              </w:rPr>
              <w:instrText xml:space="preserve"> PAGEREF _Toc210741217 \h </w:instrText>
            </w:r>
            <w:r>
              <w:rPr>
                <w:noProof/>
                <w:webHidden/>
              </w:rPr>
            </w:r>
            <w:r>
              <w:rPr>
                <w:noProof/>
                <w:webHidden/>
              </w:rPr>
              <w:fldChar w:fldCharType="separate"/>
            </w:r>
            <w:r>
              <w:rPr>
                <w:noProof/>
                <w:webHidden/>
              </w:rPr>
              <w:t>10</w:t>
            </w:r>
            <w:r>
              <w:rPr>
                <w:noProof/>
                <w:webHidden/>
              </w:rPr>
              <w:fldChar w:fldCharType="end"/>
            </w:r>
          </w:hyperlink>
        </w:p>
        <w:p w14:paraId="6AB54113" w14:textId="67C92405" w:rsidR="00D216DF" w:rsidRDefault="00D216DF">
          <w:r>
            <w:rPr>
              <w:b/>
              <w:bCs/>
            </w:rPr>
            <w:fldChar w:fldCharType="end"/>
          </w:r>
        </w:p>
      </w:sdtContent>
    </w:sdt>
    <w:p w14:paraId="28B54553" w14:textId="4D31517A" w:rsidR="00822EEB" w:rsidRDefault="00822EEB">
      <w:pPr>
        <w:spacing w:after="160" w:line="259" w:lineRule="auto"/>
        <w:jc w:val="left"/>
        <w:rPr>
          <w:lang w:val="en-US"/>
        </w:rPr>
      </w:pPr>
      <w:r>
        <w:rPr>
          <w:lang w:val="en-US"/>
        </w:rPr>
        <w:br w:type="page"/>
      </w:r>
    </w:p>
    <w:p w14:paraId="74D1A73B" w14:textId="77777777" w:rsidR="00F17641" w:rsidRPr="00507448" w:rsidRDefault="00F17641" w:rsidP="00F959A4">
      <w:pPr>
        <w:pStyle w:val="Heading1"/>
      </w:pPr>
      <w:bookmarkStart w:id="0" w:name="_Toc210667092"/>
      <w:bookmarkStart w:id="1" w:name="_Toc210741212"/>
      <w:r w:rsidRPr="00507448">
        <w:lastRenderedPageBreak/>
        <w:t>1. Introduction</w:t>
      </w:r>
      <w:bookmarkEnd w:id="0"/>
      <w:bookmarkEnd w:id="1"/>
    </w:p>
    <w:p w14:paraId="2A098842" w14:textId="77777777" w:rsidR="00F17641" w:rsidRPr="00507448" w:rsidRDefault="00F17641" w:rsidP="00F17641">
      <w:r w:rsidRPr="00507448">
        <w:t>Health and social care ethics and practice are anchored on the principles of high-quality, compassionate, and effective care delivery in the United Kingdom. The three key principles to be taken into account in this report will be person-centred care (PCC), partnership working (PW) and ethics. It will discuss how they are involved in supporting individual wellbeing, facilitating collaborative practice and informing complicated decision making. This report will first examine the theoretical importance of the principles using the case of Robyn, who has a spinal injury. It shall then give a real-life illustration of how they might be implemented in the transition of the failing agency model to a transformative Personal Health Budget (PHB) in the case of Robyn. It will be concluded with a personal reflection of how these principles would influence my future practice and professional development as a health and social care professional.</w:t>
      </w:r>
    </w:p>
    <w:p w14:paraId="4ABD0F56" w14:textId="77777777" w:rsidR="00F17641" w:rsidRPr="00507448" w:rsidRDefault="00F17641" w:rsidP="00F959A4">
      <w:pPr>
        <w:pStyle w:val="Heading1"/>
      </w:pPr>
      <w:bookmarkStart w:id="2" w:name="_Toc210667093"/>
      <w:bookmarkStart w:id="3" w:name="_Toc210741213"/>
      <w:r w:rsidRPr="00507448">
        <w:t>2. Task 1: Reflection on the Importance of Principles of Health and Social Care</w:t>
      </w:r>
      <w:bookmarkEnd w:id="2"/>
      <w:bookmarkEnd w:id="3"/>
    </w:p>
    <w:p w14:paraId="52023B65" w14:textId="77777777" w:rsidR="00F17641" w:rsidRPr="00507448" w:rsidRDefault="00F17641" w:rsidP="00F17641">
      <w:r w:rsidRPr="00507448">
        <w:t>Person-centred care (PCC) is a care/support approach that involves placing the person at the centre. It requires an acknowledgement of the patient as an expert in their own life and valuing their own preferences, values and needs (Da Costa, Corlett and Dodds, 2020). This is the importance of PCC, which lies in its ability to go beyond a medical, task-based model to one that supports a person's entire well-being holistically. This is the principle that is legislatively enshrined in the Care Act 2014, which states that local authorities should support an individual's well-being, which encompasses engagement with society, choice and control over everyday life and dignity (Joseph et al., 2020). When used properly, PCC ensures better patient satisfaction, better treatment compliance, and better patient outcomes. However, some of the barriers to its implementation include a lack of resources, a lack of training for staff, and the deeply embedded organisational practices which are resistant to change (Kadri et al., 2018).</w:t>
      </w:r>
    </w:p>
    <w:p w14:paraId="3AAD73C6" w14:textId="77777777" w:rsidR="00F17641" w:rsidRPr="00507448" w:rsidRDefault="00F17641" w:rsidP="00F17641">
      <w:r w:rsidRPr="00507448">
        <w:t xml:space="preserve">Partnership working is described as working collaboratively between different organisations and professionals, service users and users to deliver integrated care. PW is not only applicable to a complex system like the UK, where health and social care are often structured in a structurally distinct manner, but necessary. It is used to coordinate care, ensure no duplication of services and provide a seamless experience for the individual (Charles et al., 2018). This has been formalised in the Health and Care Act 2022 through the establishment of Integrated Care Systems (ICSs) aimed at breaking down long-established barriers between the NHS, local authorities and other partners. Successful PW is based on trust, transparency and </w:t>
      </w:r>
      <w:r w:rsidRPr="00507448">
        <w:lastRenderedPageBreak/>
        <w:t>common goals. Without it, there is a risk that services will be fragmented, leaving people with gaps in their care, poor communication and poor outcomes (as we have seen in historic scandals like Winterbourne View, which resulted in the deaths of people in their care).</w:t>
      </w:r>
    </w:p>
    <w:p w14:paraId="2B3F43DB" w14:textId="77777777" w:rsidR="00F17641" w:rsidRPr="00507448" w:rsidRDefault="00F17641" w:rsidP="00F17641">
      <w:r w:rsidRPr="00507448">
        <w:t>Ethics provides the moral context for work in health and social care. In particular, the four basic principles of biomedical ethics: the principles of autonomy, beneficence, non-maleficence, and justice, are of most significance (Beauchamp and Childress, 2019). Autonomy acknowledges man's right to make his own informed decision. Beneficence - the duty to do good to the patient, while non-maleficence means that the professionals "do not harm." Justice - there must be equity in the distribution of resources and care. These values are adopted through codes of conduct of the profession (e.g. Health and Care Professions Council (Leslie et al., 2021) and legislation, such as the Mental Capacity Act 2005, which provides a framework for supporting autonomy where capacity may be compromised. In fact, the ethical principles would assist the professionals who encounter dilemma situations (e.g., between the patient's right of confidentiality and the duty to protect) to make rational decisions based on reasons and be defensible.</w:t>
      </w:r>
    </w:p>
    <w:p w14:paraId="351AE2A1" w14:textId="77777777" w:rsidR="00F17641" w:rsidRPr="00507448" w:rsidRDefault="00F17641" w:rsidP="00F17641">
      <w:r w:rsidRPr="00507448">
        <w:t>Together, these three principles are interrelated, as follows. Person-centred care cannot be delivered without effective partnership working between everyone involved, and both are informed and limited by a strong ethical framework. Their combined efforts contribute to ensuring that care in the UK is not merely a treatment of a disease, but the maintenance of the dignity, rights, and potential of each individual</w:t>
      </w:r>
      <w:r w:rsidRPr="00507448">
        <w:rPr>
          <w:sz w:val="24"/>
          <w:szCs w:val="24"/>
          <w:lang w:val="en-US"/>
        </w:rPr>
        <w:t>.</w:t>
      </w:r>
    </w:p>
    <w:p w14:paraId="63750B8F" w14:textId="77777777" w:rsidR="00F17641" w:rsidRPr="00507448" w:rsidRDefault="00F17641" w:rsidP="00F959A4">
      <w:pPr>
        <w:pStyle w:val="Heading1"/>
      </w:pPr>
      <w:bookmarkStart w:id="4" w:name="_Toc210667094"/>
      <w:bookmarkStart w:id="5" w:name="_Toc210741214"/>
      <w:r w:rsidRPr="00507448">
        <w:t>3. Task 2: Practical Examples of Concepts in Practice</w:t>
      </w:r>
      <w:bookmarkEnd w:id="4"/>
      <w:bookmarkEnd w:id="5"/>
    </w:p>
    <w:p w14:paraId="1C495B52" w14:textId="77777777" w:rsidR="00F17641" w:rsidRPr="00507448" w:rsidRDefault="00F17641" w:rsidP="00F17641">
      <w:r w:rsidRPr="00507448">
        <w:t>The situation of a woman, Robyn, who was tetraplegic due to a spinal injury, provides a compelling real-life demonstration of person-centred care and partnership working and ethics in practice within a UK setting. She is a symbol of the effects of the lack of these ideals and an ode to their changeability when they are practised correctly.</w:t>
      </w:r>
    </w:p>
    <w:p w14:paraId="7B15451A" w14:textId="628E2354" w:rsidR="00F17641" w:rsidRPr="00507448" w:rsidRDefault="00F17641" w:rsidP="00F17641">
      <w:r w:rsidRPr="00507448">
        <w:t xml:space="preserve">First, the care provided to Robyn was being organised through a specialist agency, which model lacked PCC in its essence. She was only left with being given her basic needs and being safe. The agency did not consider her name or her desires; she is an animal lover who loves going to see her ponies, but none of her consecutive PAs could drive or even were allergic to animals, which is why they could not make her visit her ponies. This is a direct breach of the fundamental PCC principle of 'providing individualised care, support or treatment' (Ballard et al., 2018). With 36 different PAs in one year, there was a lack of continuity most important feature of PCC-with a decline in her health and well-being. The ethical failures in this first model are notable. Robyn had no independence as a result of having </w:t>
      </w:r>
      <w:r w:rsidRPr="00507448">
        <w:lastRenderedPageBreak/>
        <w:t>no choice as to who was able to visit her and how she was able to live her life. Regardless of whether or not the action of the agency was malicious, her mental and physical health suffered damage (non-maleficence). The system was also unfair, as it denied her a reasonable chance to live a fulfilling life despite her entitlement to state support.</w:t>
      </w:r>
      <w:r w:rsidR="009369E9">
        <w:t xml:space="preserve"> </w:t>
      </w:r>
      <w:r w:rsidRPr="00507448">
        <w:t>A key policy change in this regard has been the introduction of a Personal Health Budget (PHB), which is closely linked to the Care Act 2014 and the NHS Long Term Plan (</w:t>
      </w:r>
      <w:proofErr w:type="spellStart"/>
      <w:r w:rsidRPr="00507448">
        <w:t>Alderwick</w:t>
      </w:r>
      <w:proofErr w:type="spellEnd"/>
      <w:r w:rsidRPr="00507448">
        <w:t xml:space="preserve"> and Dixon, 2019). All three </w:t>
      </w:r>
      <w:proofErr w:type="spellStart"/>
      <w:r w:rsidR="009369E9">
        <w:t>principles</w:t>
      </w:r>
      <w:proofErr w:type="spellEnd"/>
      <w:r w:rsidRPr="00507448">
        <w:t xml:space="preserve"> were emphasised by this turn. It was started by successful partnership working. Robyn was assessed by her social care team, her Continuing Healthcare (CHC) team, and a dedicated PHB nurse to assess Robyn's needs and have a conversation about her wishes and how to support her. </w:t>
      </w:r>
    </w:p>
    <w:p w14:paraId="50367005" w14:textId="0CDD5EA6" w:rsidR="00F17641" w:rsidRPr="00507448" w:rsidRDefault="00F17641" w:rsidP="00F17641">
      <w:r w:rsidRPr="00507448">
        <w:t>The PHB is the ultimate expression of person-centred care. It gave Robyn control and choice, and enabled her to use her own PAs directly. She was now able to choose people who not only offered a clinical service but were also like her, who shared her lifestyle and allowed her to return to her passions. She re-wrote her own care plan to reflect her identity better, so that a generic document was re-written into a truly personalised one. Ethically, the PHB gave Robyn back her autonomy, making her the director of her own care. It allowed for beneficence through actively promoting her good and reducing harm by offering consistent, competent PAs. The allocation of an indicative budget based on her assessed needs was also a fairer allocation of resources, one that funded what she needed to thrive, as opposed to funding a dysfunctional agency model.</w:t>
      </w:r>
      <w:r w:rsidR="009369E9">
        <w:t xml:space="preserve"> </w:t>
      </w:r>
      <w:r w:rsidRPr="00507448">
        <w:t xml:space="preserve">While the process was successful, it was not without challenges. The 18-month transition period was daunting for Robyn, and she saw a need for better peer support - that partnership working could be further increased by integrating service user networks. </w:t>
      </w:r>
    </w:p>
    <w:p w14:paraId="53745113" w14:textId="77777777" w:rsidR="00F17641" w:rsidRPr="00507448" w:rsidRDefault="00F17641" w:rsidP="00F959A4">
      <w:pPr>
        <w:pStyle w:val="Heading1"/>
      </w:pPr>
      <w:bookmarkStart w:id="6" w:name="_Toc210667095"/>
      <w:bookmarkStart w:id="7" w:name="_Toc210741215"/>
      <w:r w:rsidRPr="00507448">
        <w:t>4. Task 3: Self-Reflection as a Health and Social Care Professional</w:t>
      </w:r>
      <w:bookmarkEnd w:id="6"/>
      <w:bookmarkEnd w:id="7"/>
    </w:p>
    <w:p w14:paraId="305716E7" w14:textId="77777777" w:rsidR="00F17641" w:rsidRPr="00507448" w:rsidRDefault="00F17641" w:rsidP="00F17641">
      <w:r w:rsidRPr="00507448">
        <w:t xml:space="preserve">Reflecting on the harrowing, but ultimately transformative narrative of Robyn's journey, I have come to an enormous realisation: the principles of person-centred care (PCC), partnership working (PW), and ethics are not the abstract principles to be learned for an assignment, but rather the very moral and practical bedrock upon which I need to build my future professional practise. They are the compass by which I will make decisions, interact and be professional. To organise this self-reflection process, I will use the structure of the ERA cycle (Experience, Reflection, Action), a cycle which goes beyond passive learning towards proactive professional development, where I can pick apart my current understanding and work on </w:t>
      </w:r>
      <w:r w:rsidRPr="00507448">
        <w:lastRenderedPageBreak/>
        <w:t>identifying my own strengths and weaknesses and create a real-world plan for my personal professional development</w:t>
      </w:r>
      <w:r w:rsidRPr="00507448">
        <w:rPr>
          <w:lang w:val="en-US"/>
        </w:rPr>
        <w:t>.</w:t>
      </w:r>
    </w:p>
    <w:p w14:paraId="18165CF5" w14:textId="77777777" w:rsidR="00F17641" w:rsidRPr="00507448" w:rsidRDefault="00F17641" w:rsidP="00F17641">
      <w:pPr>
        <w:rPr>
          <w:lang w:val="en-US"/>
        </w:rPr>
      </w:pPr>
      <w:r w:rsidRPr="00507448">
        <w:rPr>
          <w:b/>
          <w:bCs/>
          <w:lang w:val="en-US"/>
        </w:rPr>
        <w:t>Experience and Reflection</w:t>
      </w:r>
    </w:p>
    <w:p w14:paraId="2CF8EFF5" w14:textId="1E0E2415" w:rsidR="00F17641" w:rsidRPr="00507448" w:rsidRDefault="00F17641" w:rsidP="00F17641">
      <w:r w:rsidRPr="00507448">
        <w:t xml:space="preserve">My academic journey through this module has given me the necessary theoretical scaffolding. Learning about models such as the Social Model of Disability was originally an intellectual exercise; I understood its critique of the concept of the medical model in the conceptual sense. However, it was the lived experience of Robyn that was able to breathe searing life into this theory. Her story was a masterclass in the Social Model in action, or rather, in violent absence. Her spinal injury was an impairment, but her disability was manufactured by the care agency - a toxic concoction of unsuitable personal assistants, lack of drivers and an inflexible, impersonal rota system. This was not a personal tragedy that was caused by her physical condition, but a social injustice that was caused by a dysfunctional system. This epiphany has revolutionised my perspective. I now understand that my role in the future is not to "fix" people to fit into pre-existing service boxes, but rather to be an ally and an agent in the dismantling of the barriers that create disability, such as attitudinal, environmental and institutional. </w:t>
      </w:r>
    </w:p>
    <w:p w14:paraId="651A5262" w14:textId="77777777" w:rsidR="00F17641" w:rsidRPr="00507448" w:rsidRDefault="00F17641" w:rsidP="00F17641">
      <w:r w:rsidRPr="00507448">
        <w:t xml:space="preserve">Similarly, while I have always perceived myself as an empathetic and good listener, two of the attributes I believe are important in creating the trust needed to do PCC, Robyn's case revealed a more complicated picture. Listening is the first step, but it is futile if there </w:t>
      </w:r>
      <w:proofErr w:type="gramStart"/>
      <w:r w:rsidRPr="00507448">
        <w:t>is</w:t>
      </w:r>
      <w:proofErr w:type="gramEnd"/>
      <w:r w:rsidRPr="00507448">
        <w:t xml:space="preserve"> no courage and knowledge to act. Self-reflection on personal readiness and my own personal readiness is critical. If I were a support worker in the failing agency, would I have had the practical confidence to move through the complex legal and ethical terrain to advocate for Robyn? I have the freedom of theory, but would I have had the perseverance to question a whole system on her behalf, by reference to the Care Act 2014 and its well-being principle? This reflection shows one of the key areas of improvement, which is that there is a disparity between my theoretical understanding of legislation, ethics and systems, including the Integrated Care Systems (ICSs) and my practical competence levels to apply the knowledge in high-stress, real-life conditions. I know in my current understanding of the Health and Care Act 2022, and I need to know how I would fit into an ICS working with a multi-agency team to know what it is and how it functions, in the field.</w:t>
      </w:r>
    </w:p>
    <w:p w14:paraId="3DD76546" w14:textId="77777777" w:rsidR="00F17641" w:rsidRPr="00507448" w:rsidRDefault="00F17641" w:rsidP="00F17641">
      <w:pPr>
        <w:rPr>
          <w:lang w:val="en-US"/>
        </w:rPr>
      </w:pPr>
      <w:r w:rsidRPr="00507448">
        <w:t>This reflection has also made me aware of the ethical tensions in our field. The issue of conflicting, to some extent, duty of care (beneficence) with the right to take risks (autonomy) is a delicate balance. In Robyn's case, the agency hid behind the minimalist interpretation of "safety", thus violating all other principles of ethics. I have to have the moral courage to support risk-enabled, not just risk-averse, practice where safety is part of the purpose of enabling a fulfilling life, not just preventing harm</w:t>
      </w:r>
      <w:r w:rsidRPr="00507448">
        <w:rPr>
          <w:lang w:val="en-US"/>
        </w:rPr>
        <w:t>.</w:t>
      </w:r>
    </w:p>
    <w:p w14:paraId="0B5508F2" w14:textId="77777777" w:rsidR="00F17641" w:rsidRPr="00507448" w:rsidRDefault="00F17641" w:rsidP="00F17641">
      <w:pPr>
        <w:rPr>
          <w:lang w:val="en-US"/>
        </w:rPr>
      </w:pPr>
      <w:r w:rsidRPr="00507448">
        <w:rPr>
          <w:b/>
          <w:bCs/>
          <w:lang w:val="en-US"/>
        </w:rPr>
        <w:lastRenderedPageBreak/>
        <w:t>Action Plan for Future Development</w:t>
      </w:r>
    </w:p>
    <w:p w14:paraId="5844EF93" w14:textId="77777777" w:rsidR="00F17641" w:rsidRPr="00507448" w:rsidRDefault="00F17641" w:rsidP="00F17641">
      <w:pPr>
        <w:spacing w:after="160"/>
        <w:rPr>
          <w:lang w:val="en-US"/>
        </w:rPr>
      </w:pPr>
      <w:r w:rsidRPr="00507448">
        <w:rPr>
          <w:lang w:val="en-US"/>
        </w:rPr>
        <w:t>In order to bridge the gap between reflection and competent practice, I have come up with a detailed action plan for my professional growth, which is built around the key areas which I have identified.</w:t>
      </w:r>
    </w:p>
    <w:p w14:paraId="67A7B510" w14:textId="74633C53" w:rsidR="00F17641" w:rsidRPr="00507448" w:rsidRDefault="00F17641" w:rsidP="00F17641">
      <w:pPr>
        <w:spacing w:after="160"/>
        <w:rPr>
          <w:lang w:val="en-US"/>
        </w:rPr>
      </w:pPr>
      <w:r w:rsidRPr="00507448">
        <w:rPr>
          <w:lang w:val="en-US"/>
        </w:rPr>
        <w:t xml:space="preserve">To Develop Theory with Practice: I would take my learning outside the classroom through the application for a volunteer position or student placement with a Disabled People's User Led Organisation (DPULO) or a charity that specialises in working with individuals using direct payments. This direct exposure is very important. It will enable me to see firsthand the struggles and successes of co-production, to learn about the administrative realities of managing a personal budget and learn from the strength of expertise of those with lived experience. </w:t>
      </w:r>
    </w:p>
    <w:p w14:paraId="27DA1EC6" w14:textId="0020A592" w:rsidR="00F17641" w:rsidRPr="00507448" w:rsidRDefault="00F17641" w:rsidP="00F17641">
      <w:pPr>
        <w:spacing w:after="160"/>
        <w:rPr>
          <w:lang w:val="en-US"/>
        </w:rPr>
      </w:pPr>
      <w:r w:rsidRPr="00507448">
        <w:rPr>
          <w:lang w:val="en-US"/>
        </w:rPr>
        <w:t xml:space="preserve">To Develop Competence in Legislation and Ethics: I will be proactive in the future during all practice placements. In particular, I will be asking to shadow social workers and community nurses to observe how they utilise the Care Act 2014 in assessment and the Mental Capacity Act 2005 in complex decision-making. In addition, I will attend official online courses on Adult Safeguarding and Mental Capacity Act training to formalise and further my knowledge. </w:t>
      </w:r>
      <w:r w:rsidRPr="00507448">
        <w:t>By being exposed to the structured decision-making tools in simulated ethical cases where conflicting values can be balanced, I will begin to believe that there are tools that can be used to assist in shaping the correct legal and ethical judgments to defend individuals such as Robyn</w:t>
      </w:r>
      <w:r w:rsidRPr="00507448">
        <w:rPr>
          <w:lang w:val="en-US"/>
        </w:rPr>
        <w:t>.</w:t>
      </w:r>
    </w:p>
    <w:p w14:paraId="75DB6459" w14:textId="18E0B8DD" w:rsidR="00F17641" w:rsidRPr="00507448" w:rsidRDefault="00F17641" w:rsidP="00F17641">
      <w:pPr>
        <w:spacing w:after="160"/>
        <w:rPr>
          <w:lang w:val="en-US"/>
        </w:rPr>
      </w:pPr>
      <w:r w:rsidRPr="00507448">
        <w:rPr>
          <w:lang w:val="en-US"/>
        </w:rPr>
        <w:t>To Develop Partnership and Advocacy Skills: I understand that effective PW is the driving force of PCC. I will, therefore, give priority to researching the ICS of the region where I am based or placed. I will determine its main partners, strategic focus and its governance structure. In addition, I will apply to attend the Multi-Disciplinary Team (MDT) meetings as an observer. This will be a useful resource in gaining an insight into the dynamics of professional interactions, the terminology used, and common pitfalls encountered. To consolidate my skills as an advocate, I will learn to communicate the needs and rights of a service user clearly and confidently using the language of legislation and policy to build the strongest case possible so that I can be an effective ally when faced with organisational resistance (</w:t>
      </w:r>
      <w:r w:rsidRPr="00507448">
        <w:t>Brickley et al., 2021)</w:t>
      </w:r>
      <w:r w:rsidRPr="00507448">
        <w:rPr>
          <w:lang w:val="en-US"/>
        </w:rPr>
        <w:t>.</w:t>
      </w:r>
    </w:p>
    <w:p w14:paraId="7CA5A30A" w14:textId="2A8584AC" w:rsidR="00F17641" w:rsidRPr="00507448" w:rsidRDefault="00F17641" w:rsidP="00F17641">
      <w:pPr>
        <w:spacing w:after="160"/>
        <w:rPr>
          <w:lang w:val="en-US"/>
        </w:rPr>
      </w:pPr>
      <w:r w:rsidRPr="00507448">
        <w:rPr>
          <w:lang w:val="en-US"/>
        </w:rPr>
        <w:t xml:space="preserve">To Commit to Continuous Professional Development (CPD) - it is not the end of learning but the start. I will apply straight away for student membership with the Health and Care Professions Council (HCPC) and incorporate a quarterly cheque of their Standards of Conduct, Performance and Ethics into my practice and use them as a checklist for myself. I will ensure that I subscribe to key journals, such as the Journal of Integrated Care and The </w:t>
      </w:r>
      <w:r w:rsidRPr="00507448">
        <w:rPr>
          <w:lang w:val="en-US"/>
        </w:rPr>
        <w:lastRenderedPageBreak/>
        <w:t>Journal of Social Work, and spend time each month critically engaging with new research to ensure that I am current with developing best practice</w:t>
      </w:r>
      <w:r w:rsidR="009369E9">
        <w:rPr>
          <w:lang w:val="en-US"/>
        </w:rPr>
        <w:t xml:space="preserve"> </w:t>
      </w:r>
      <w:r w:rsidRPr="00507448">
        <w:rPr>
          <w:lang w:val="en-US"/>
        </w:rPr>
        <w:t>(</w:t>
      </w:r>
      <w:r w:rsidRPr="00507448">
        <w:t>Hearle and Lawson, 2019)</w:t>
      </w:r>
      <w:r w:rsidRPr="00507448">
        <w:rPr>
          <w:lang w:val="en-US"/>
        </w:rPr>
        <w:t>.</w:t>
      </w:r>
    </w:p>
    <w:p w14:paraId="58871A51" w14:textId="77777777" w:rsidR="00F17641" w:rsidRPr="00507448" w:rsidRDefault="00F17641" w:rsidP="00F17641">
      <w:pPr>
        <w:spacing w:after="160" w:line="259" w:lineRule="auto"/>
        <w:jc w:val="left"/>
        <w:rPr>
          <w:lang w:val="en-US"/>
        </w:rPr>
      </w:pPr>
      <w:r w:rsidRPr="00507448">
        <w:rPr>
          <w:lang w:val="en-US"/>
        </w:rPr>
        <w:br w:type="page"/>
      </w:r>
    </w:p>
    <w:p w14:paraId="52098DD6" w14:textId="77777777" w:rsidR="00F17641" w:rsidRPr="00F959A4" w:rsidRDefault="00F17641" w:rsidP="00F959A4">
      <w:pPr>
        <w:pStyle w:val="Heading1"/>
      </w:pPr>
      <w:bookmarkStart w:id="8" w:name="_Toc210667096"/>
      <w:bookmarkStart w:id="9" w:name="_Toc210741216"/>
      <w:r w:rsidRPr="00507448">
        <w:lastRenderedPageBreak/>
        <w:t>5. Conclusion</w:t>
      </w:r>
      <w:bookmarkEnd w:id="8"/>
      <w:bookmarkEnd w:id="9"/>
    </w:p>
    <w:p w14:paraId="5393209C" w14:textId="77777777" w:rsidR="00F17641" w:rsidRPr="00507448" w:rsidRDefault="00F17641" w:rsidP="00F17641">
      <w:pPr>
        <w:rPr>
          <w:lang w:val="en-US"/>
        </w:rPr>
      </w:pPr>
      <w:r w:rsidRPr="00507448">
        <w:rPr>
          <w:lang w:val="en-US"/>
        </w:rPr>
        <w:t>This publication has considered the importance of person-centred care, partnership working, and ethics as pivotal principles in UK health and social care. The principles are interdependent and not isolated concepts, but each strengthens the other to produce a system that is humane, effective, and just. The case study of Robyn clearly showed the dramatic difference between a system ignoring these principles and one adopting them, and convinced me of the direct link between their implementation and a better quality of life. Finally, through self-reflection, we understand clearly that the values embedded in practice are supported by a dedication to lifelong learning, an awareness of critical self-reflection, and an active approach to professional development. For any aspiring health and social care professional, these principles will serve as the guiding star of ethical, effective and compassionate practice.</w:t>
      </w:r>
    </w:p>
    <w:p w14:paraId="780F845E" w14:textId="5581EF99" w:rsidR="00D216DF" w:rsidRDefault="001D2AA4" w:rsidP="001D2AA4">
      <w:pPr>
        <w:spacing w:after="160"/>
        <w:rPr>
          <w:lang w:val="en-US"/>
        </w:rPr>
      </w:pPr>
      <w:r w:rsidRPr="001D2AA4">
        <w:rPr>
          <w:lang w:val="en-US"/>
        </w:rPr>
        <w:t>.</w:t>
      </w:r>
      <w:r w:rsidR="00D216DF">
        <w:rPr>
          <w:lang w:val="en-US"/>
        </w:rPr>
        <w:br w:type="page"/>
      </w:r>
    </w:p>
    <w:p w14:paraId="090D74FB" w14:textId="213A4DAA" w:rsidR="00AD70A6" w:rsidRDefault="00D216DF" w:rsidP="00D216DF">
      <w:pPr>
        <w:pStyle w:val="Heading1"/>
      </w:pPr>
      <w:bookmarkStart w:id="10" w:name="_Toc210741217"/>
      <w:r>
        <w:lastRenderedPageBreak/>
        <w:t>References</w:t>
      </w:r>
      <w:bookmarkEnd w:id="10"/>
    </w:p>
    <w:p w14:paraId="31EDCA7B" w14:textId="77777777" w:rsidR="009369E9" w:rsidRPr="006A3C92" w:rsidRDefault="009369E9" w:rsidP="006A3C92">
      <w:pPr>
        <w:rPr>
          <w:lang w:val="en-US"/>
        </w:rPr>
      </w:pPr>
      <w:proofErr w:type="spellStart"/>
      <w:r w:rsidRPr="00D239E6">
        <w:t>Alderwick</w:t>
      </w:r>
      <w:proofErr w:type="spellEnd"/>
      <w:r w:rsidRPr="00D239E6">
        <w:t xml:space="preserve">, H. and Dixon, J. </w:t>
      </w:r>
      <w:r>
        <w:t>(</w:t>
      </w:r>
      <w:r w:rsidRPr="00D239E6">
        <w:t>2019</w:t>
      </w:r>
      <w:r>
        <w:t>)</w:t>
      </w:r>
      <w:r w:rsidRPr="00D239E6">
        <w:t xml:space="preserve">. The NHS </w:t>
      </w:r>
      <w:r>
        <w:t>long-term</w:t>
      </w:r>
      <w:r w:rsidRPr="00D239E6">
        <w:t xml:space="preserve"> plan. </w:t>
      </w:r>
      <w:r>
        <w:rPr>
          <w:i/>
          <w:iCs/>
        </w:rPr>
        <w:t>BMJ</w:t>
      </w:r>
      <w:r w:rsidRPr="00D239E6">
        <w:t>, </w:t>
      </w:r>
      <w:r w:rsidRPr="00D239E6">
        <w:rPr>
          <w:i/>
          <w:iCs/>
        </w:rPr>
        <w:t>364</w:t>
      </w:r>
      <w:r w:rsidRPr="00D239E6">
        <w:t>.</w:t>
      </w:r>
      <w:r>
        <w:rPr>
          <w:lang w:val="en-US"/>
        </w:rPr>
        <w:t xml:space="preserve"> </w:t>
      </w:r>
      <w:hyperlink r:id="rId10" w:history="1">
        <w:r w:rsidRPr="00FC25DA">
          <w:rPr>
            <w:rStyle w:val="Hyperlink"/>
            <w:lang w:val="en-US"/>
          </w:rPr>
          <w:t>https://doi.org/10.1136/bmj.l84</w:t>
        </w:r>
      </w:hyperlink>
      <w:r>
        <w:rPr>
          <w:lang w:val="en-US"/>
        </w:rPr>
        <w:t xml:space="preserve"> </w:t>
      </w:r>
    </w:p>
    <w:p w14:paraId="0A7DA488" w14:textId="77777777" w:rsidR="009369E9" w:rsidRDefault="009369E9" w:rsidP="006A3C92">
      <w:pPr>
        <w:rPr>
          <w:lang w:val="en-US"/>
        </w:rPr>
      </w:pPr>
      <w:r w:rsidRPr="008C598C">
        <w:t xml:space="preserve">Ballard, C., Corbett, A., Orrell, M., Williams, G., Moniz-Cook, E., Romeo, R., Woods, B., Garrod, L., </w:t>
      </w:r>
      <w:proofErr w:type="spellStart"/>
      <w:r w:rsidRPr="008C598C">
        <w:t>Testad</w:t>
      </w:r>
      <w:proofErr w:type="spellEnd"/>
      <w:r w:rsidRPr="008C598C">
        <w:t xml:space="preserve">, I., Woodward-Carlton, B. and </w:t>
      </w:r>
      <w:proofErr w:type="spellStart"/>
      <w:r w:rsidRPr="008C598C">
        <w:t>Wenborn</w:t>
      </w:r>
      <w:proofErr w:type="spellEnd"/>
      <w:r w:rsidRPr="008C598C">
        <w:t xml:space="preserve">, J. </w:t>
      </w:r>
      <w:r>
        <w:t>(</w:t>
      </w:r>
      <w:r w:rsidRPr="008C598C">
        <w:t>2018</w:t>
      </w:r>
      <w:r>
        <w:t>)</w:t>
      </w:r>
      <w:r w:rsidRPr="008C598C">
        <w:t>. Impact of person-centred care training and person-centred activities on quality of life, agitation, and antipsychotic use in people with dementia living in nursing homes: A cluster-randomised controlled trial. </w:t>
      </w:r>
      <w:proofErr w:type="spellStart"/>
      <w:r w:rsidRPr="008C598C">
        <w:rPr>
          <w:i/>
          <w:iCs/>
        </w:rPr>
        <w:t>PLoS</w:t>
      </w:r>
      <w:proofErr w:type="spellEnd"/>
      <w:r w:rsidRPr="008C598C">
        <w:rPr>
          <w:i/>
          <w:iCs/>
        </w:rPr>
        <w:t xml:space="preserve"> medicine</w:t>
      </w:r>
      <w:r w:rsidRPr="008C598C">
        <w:t>, </w:t>
      </w:r>
      <w:r w:rsidRPr="008C598C">
        <w:rPr>
          <w:i/>
          <w:iCs/>
        </w:rPr>
        <w:t>15</w:t>
      </w:r>
      <w:r w:rsidRPr="008C598C">
        <w:t>(2), p.e1002500.</w:t>
      </w:r>
    </w:p>
    <w:p w14:paraId="111DB2B3" w14:textId="77777777" w:rsidR="009369E9" w:rsidRPr="006A3C92" w:rsidRDefault="009369E9" w:rsidP="006A3C92">
      <w:pPr>
        <w:rPr>
          <w:lang w:val="en-US"/>
        </w:rPr>
      </w:pPr>
      <w:r w:rsidRPr="00B5746C">
        <w:t xml:space="preserve">Beauchamp, T. and Childress, J. </w:t>
      </w:r>
      <w:r>
        <w:t>(</w:t>
      </w:r>
      <w:r w:rsidRPr="00B5746C">
        <w:t>2019</w:t>
      </w:r>
      <w:r>
        <w:t>)</w:t>
      </w:r>
      <w:r w:rsidRPr="00B5746C">
        <w:t>. Principles of biomedical ethics: marking its fortieth anniversary. </w:t>
      </w:r>
      <w:r w:rsidRPr="00B5746C">
        <w:rPr>
          <w:i/>
          <w:iCs/>
        </w:rPr>
        <w:t>The American journal of bioethics</w:t>
      </w:r>
      <w:r w:rsidRPr="00B5746C">
        <w:t>, </w:t>
      </w:r>
      <w:r w:rsidRPr="00B5746C">
        <w:rPr>
          <w:i/>
          <w:iCs/>
        </w:rPr>
        <w:t>19</w:t>
      </w:r>
      <w:r w:rsidRPr="00B5746C">
        <w:t>(11), pp.9-</w:t>
      </w:r>
      <w:proofErr w:type="gramStart"/>
      <w:r w:rsidRPr="00B5746C">
        <w:t>12.</w:t>
      </w:r>
      <w:r w:rsidRPr="006A3C92">
        <w:rPr>
          <w:lang w:val="en-US"/>
        </w:rPr>
        <w:t>.</w:t>
      </w:r>
      <w:proofErr w:type="gramEnd"/>
    </w:p>
    <w:p w14:paraId="3B5D46D5" w14:textId="77777777" w:rsidR="009369E9" w:rsidRPr="006A3C92" w:rsidRDefault="009369E9" w:rsidP="006A3C92">
      <w:pPr>
        <w:rPr>
          <w:lang w:val="en-US"/>
        </w:rPr>
      </w:pPr>
      <w:r w:rsidRPr="00615C3F">
        <w:t xml:space="preserve">Brickley, B., Williams, L.T., Morgan, M., Ross, A., Trigger, K. and Ball, L. </w:t>
      </w:r>
      <w:r>
        <w:t>(</w:t>
      </w:r>
      <w:r w:rsidRPr="00615C3F">
        <w:t>2021</w:t>
      </w:r>
      <w:r>
        <w:t>)</w:t>
      </w:r>
      <w:r w:rsidRPr="00615C3F">
        <w:t>. Putting patients first: development of a patient advocate and general practitioner-informed model of patient-centred care. </w:t>
      </w:r>
      <w:r w:rsidRPr="00615C3F">
        <w:rPr>
          <w:i/>
          <w:iCs/>
        </w:rPr>
        <w:t>BMC Health Services Research</w:t>
      </w:r>
      <w:r w:rsidRPr="00615C3F">
        <w:t>, </w:t>
      </w:r>
      <w:r w:rsidRPr="00615C3F">
        <w:rPr>
          <w:i/>
          <w:iCs/>
        </w:rPr>
        <w:t>21</w:t>
      </w:r>
      <w:r w:rsidRPr="00615C3F">
        <w:t>(1), p.261.</w:t>
      </w:r>
    </w:p>
    <w:p w14:paraId="04733000" w14:textId="77777777" w:rsidR="009369E9" w:rsidRPr="006A3C92" w:rsidRDefault="009369E9" w:rsidP="006A3C92">
      <w:pPr>
        <w:rPr>
          <w:lang w:val="en-US"/>
        </w:rPr>
      </w:pPr>
      <w:r w:rsidRPr="00497A90">
        <w:t xml:space="preserve">Charles, A., Wenzel, L., Kershaw, M., Ham, C. and Walsh, N. </w:t>
      </w:r>
      <w:r>
        <w:t>(</w:t>
      </w:r>
      <w:r w:rsidRPr="00497A90">
        <w:t>2018</w:t>
      </w:r>
      <w:r>
        <w:t>)</w:t>
      </w:r>
      <w:r w:rsidRPr="00497A90">
        <w:t>. A year of integrated care systems. </w:t>
      </w:r>
      <w:r w:rsidRPr="00497A90">
        <w:rPr>
          <w:i/>
          <w:iCs/>
        </w:rPr>
        <w:t>Reviewing the journey so far. London: The King’s Fund</w:t>
      </w:r>
      <w:r w:rsidRPr="00497A90">
        <w:t>, </w:t>
      </w:r>
      <w:r w:rsidRPr="00497A90">
        <w:rPr>
          <w:i/>
          <w:iCs/>
        </w:rPr>
        <w:t>2009</w:t>
      </w:r>
      <w:r w:rsidRPr="00497A90">
        <w:t>, p.</w:t>
      </w:r>
      <w:proofErr w:type="gramStart"/>
      <w:r w:rsidRPr="00497A90">
        <w:t>2018.</w:t>
      </w:r>
      <w:r w:rsidRPr="006A3C92">
        <w:rPr>
          <w:lang w:val="en-US"/>
        </w:rPr>
        <w:t>.</w:t>
      </w:r>
      <w:proofErr w:type="gramEnd"/>
    </w:p>
    <w:p w14:paraId="52052293" w14:textId="77777777" w:rsidR="009369E9" w:rsidRPr="006A3C92" w:rsidRDefault="009369E9" w:rsidP="006A3C92">
      <w:pPr>
        <w:rPr>
          <w:lang w:val="en-US"/>
        </w:rPr>
      </w:pPr>
      <w:r w:rsidRPr="00E441EE">
        <w:t xml:space="preserve">Da Costa, D.L., Corlett, S.A. and Dodds, L.J. </w:t>
      </w:r>
      <w:r>
        <w:t>(</w:t>
      </w:r>
      <w:r w:rsidRPr="00E441EE">
        <w:t>2020</w:t>
      </w:r>
      <w:r>
        <w:t>)</w:t>
      </w:r>
      <w:r w:rsidRPr="00E441EE">
        <w:t xml:space="preserve">. A narrative review on the consultation tools available for pharmacists in the United Kingdom: do they facilitate person-centred </w:t>
      </w:r>
      <w:proofErr w:type="gramStart"/>
      <w:r w:rsidRPr="00E441EE">
        <w:t>care?.</w:t>
      </w:r>
      <w:proofErr w:type="gramEnd"/>
      <w:r w:rsidRPr="00E441EE">
        <w:t> </w:t>
      </w:r>
      <w:r w:rsidRPr="00E441EE">
        <w:rPr>
          <w:i/>
          <w:iCs/>
        </w:rPr>
        <w:t>International Journal of Pharmacy Practice</w:t>
      </w:r>
      <w:r w:rsidRPr="00E441EE">
        <w:t>, </w:t>
      </w:r>
      <w:r w:rsidRPr="00E441EE">
        <w:rPr>
          <w:i/>
          <w:iCs/>
        </w:rPr>
        <w:t>28</w:t>
      </w:r>
      <w:r w:rsidRPr="00E441EE">
        <w:t>(4), pp.301-</w:t>
      </w:r>
      <w:proofErr w:type="gramStart"/>
      <w:r w:rsidRPr="00E441EE">
        <w:t>311.</w:t>
      </w:r>
      <w:r w:rsidRPr="006A3C92">
        <w:rPr>
          <w:lang w:val="en-US"/>
        </w:rPr>
        <w:t>.</w:t>
      </w:r>
      <w:proofErr w:type="gramEnd"/>
    </w:p>
    <w:p w14:paraId="2A0C528C" w14:textId="77777777" w:rsidR="009369E9" w:rsidRPr="006A3C92" w:rsidRDefault="009369E9" w:rsidP="006A3C92">
      <w:pPr>
        <w:rPr>
          <w:lang w:val="en-US"/>
        </w:rPr>
      </w:pPr>
      <w:r w:rsidRPr="00AD3930">
        <w:t xml:space="preserve">Hearle, D. and Lawson, S. </w:t>
      </w:r>
      <w:r>
        <w:t>(</w:t>
      </w:r>
      <w:r w:rsidRPr="00AD3930">
        <w:t>2019</w:t>
      </w:r>
      <w:r>
        <w:t>)</w:t>
      </w:r>
      <w:r w:rsidRPr="00AD3930">
        <w:t>. Continuing professional development engagement—A UK-based concept analysis. </w:t>
      </w:r>
      <w:r w:rsidRPr="00AD3930">
        <w:rPr>
          <w:i/>
          <w:iCs/>
        </w:rPr>
        <w:t>Journal of Continuing Education in the Health Professions</w:t>
      </w:r>
      <w:r w:rsidRPr="00AD3930">
        <w:t>, </w:t>
      </w:r>
      <w:r w:rsidRPr="00AD3930">
        <w:rPr>
          <w:i/>
          <w:iCs/>
        </w:rPr>
        <w:t>39</w:t>
      </w:r>
      <w:r w:rsidRPr="00AD3930">
        <w:t>(4), pp.251-259.</w:t>
      </w:r>
    </w:p>
    <w:p w14:paraId="35C782FA" w14:textId="77777777" w:rsidR="009369E9" w:rsidRPr="006A3C92" w:rsidRDefault="009369E9" w:rsidP="006A3C92">
      <w:pPr>
        <w:rPr>
          <w:lang w:val="en-US"/>
        </w:rPr>
      </w:pPr>
      <w:r w:rsidRPr="00B5746C">
        <w:t xml:space="preserve">Joseph, S., </w:t>
      </w:r>
      <w:proofErr w:type="spellStart"/>
      <w:r w:rsidRPr="00B5746C">
        <w:t>Sempik</w:t>
      </w:r>
      <w:proofErr w:type="spellEnd"/>
      <w:r w:rsidRPr="00B5746C">
        <w:t xml:space="preserve">, J., Leu, A. and Becker, S. </w:t>
      </w:r>
      <w:r>
        <w:t>(</w:t>
      </w:r>
      <w:r w:rsidRPr="00B5746C">
        <w:t>2020</w:t>
      </w:r>
      <w:r>
        <w:t>)</w:t>
      </w:r>
      <w:r w:rsidRPr="00B5746C">
        <w:t>. Young carers research, practice and policy: An overview and critical perspective on possible future directions. </w:t>
      </w:r>
      <w:r w:rsidRPr="00B5746C">
        <w:rPr>
          <w:i/>
          <w:iCs/>
        </w:rPr>
        <w:t>Adolescent Research Review</w:t>
      </w:r>
      <w:r w:rsidRPr="00B5746C">
        <w:t>, </w:t>
      </w:r>
      <w:r w:rsidRPr="00B5746C">
        <w:rPr>
          <w:i/>
          <w:iCs/>
        </w:rPr>
        <w:t>5</w:t>
      </w:r>
      <w:r w:rsidRPr="00B5746C">
        <w:t>(1), pp.77-89.</w:t>
      </w:r>
    </w:p>
    <w:p w14:paraId="41F87A8D" w14:textId="77777777" w:rsidR="009369E9" w:rsidRPr="006A3C92" w:rsidRDefault="009369E9" w:rsidP="006A3C92">
      <w:pPr>
        <w:rPr>
          <w:lang w:val="en-US"/>
        </w:rPr>
      </w:pPr>
      <w:r w:rsidRPr="00434265">
        <w:t xml:space="preserve">Kadri, A., Rapaport, P., Livingston, G., Cooper, C., Robertson, S. and Higgs, P. </w:t>
      </w:r>
      <w:r>
        <w:t>(</w:t>
      </w:r>
      <w:r w:rsidRPr="00434265">
        <w:t>2018</w:t>
      </w:r>
      <w:r>
        <w:t>)</w:t>
      </w:r>
      <w:r w:rsidRPr="00434265">
        <w:t>. Care workers, the unacknowledged persons in person-centred care: A secondary qualitative analysis of UK care home staff interviews. </w:t>
      </w:r>
      <w:proofErr w:type="spellStart"/>
      <w:r w:rsidRPr="00434265">
        <w:rPr>
          <w:i/>
          <w:iCs/>
        </w:rPr>
        <w:t>PLoS</w:t>
      </w:r>
      <w:proofErr w:type="spellEnd"/>
      <w:r w:rsidRPr="00434265">
        <w:rPr>
          <w:i/>
          <w:iCs/>
        </w:rPr>
        <w:t xml:space="preserve"> One</w:t>
      </w:r>
      <w:r w:rsidRPr="00434265">
        <w:t>, </w:t>
      </w:r>
      <w:r w:rsidRPr="00434265">
        <w:rPr>
          <w:i/>
          <w:iCs/>
        </w:rPr>
        <w:t>13</w:t>
      </w:r>
      <w:r w:rsidRPr="00434265">
        <w:t xml:space="preserve">(7), </w:t>
      </w:r>
      <w:proofErr w:type="gramStart"/>
      <w:r w:rsidRPr="00434265">
        <w:t>p.e0200031.</w:t>
      </w:r>
      <w:r w:rsidRPr="006A3C92">
        <w:rPr>
          <w:lang w:val="en-US"/>
        </w:rPr>
        <w:t>.</w:t>
      </w:r>
      <w:proofErr w:type="gramEnd"/>
    </w:p>
    <w:p w14:paraId="748242DE" w14:textId="77777777" w:rsidR="009369E9" w:rsidRPr="006A3C92" w:rsidRDefault="009369E9" w:rsidP="006A3C92">
      <w:pPr>
        <w:rPr>
          <w:lang w:val="en-US"/>
        </w:rPr>
      </w:pPr>
      <w:r w:rsidRPr="00CA3CF3">
        <w:t xml:space="preserve">Leslie, K., Moore, J., Robertson, C., </w:t>
      </w:r>
      <w:proofErr w:type="spellStart"/>
      <w:r w:rsidRPr="00CA3CF3">
        <w:t>Bilton</w:t>
      </w:r>
      <w:proofErr w:type="spellEnd"/>
      <w:r w:rsidRPr="00CA3CF3">
        <w:t xml:space="preserve">, D., Hirschkorn, K., Langelier, M.H. and Bourgeault, I.L. </w:t>
      </w:r>
      <w:r>
        <w:t>(</w:t>
      </w:r>
      <w:r w:rsidRPr="00CA3CF3">
        <w:t>2021</w:t>
      </w:r>
      <w:r>
        <w:t>)</w:t>
      </w:r>
      <w:r w:rsidRPr="00CA3CF3">
        <w:t>. Regulating health professional scopes of practice: comparing institutional arrangements and approaches in the US, Canada, Australia and the UK. </w:t>
      </w:r>
      <w:r w:rsidRPr="00CA3CF3">
        <w:rPr>
          <w:i/>
          <w:iCs/>
        </w:rPr>
        <w:t>Human Resources for Health</w:t>
      </w:r>
      <w:r w:rsidRPr="00CA3CF3">
        <w:t>, </w:t>
      </w:r>
      <w:r w:rsidRPr="00CA3CF3">
        <w:rPr>
          <w:i/>
          <w:iCs/>
        </w:rPr>
        <w:t>19</w:t>
      </w:r>
      <w:r w:rsidRPr="00CA3CF3">
        <w:t>(1), p.</w:t>
      </w:r>
      <w:proofErr w:type="gramStart"/>
      <w:r w:rsidRPr="00CA3CF3">
        <w:t>15.</w:t>
      </w:r>
      <w:r w:rsidRPr="006A3C92">
        <w:rPr>
          <w:lang w:val="en-US"/>
        </w:rPr>
        <w:t>.</w:t>
      </w:r>
      <w:proofErr w:type="gramEnd"/>
    </w:p>
    <w:sectPr w:rsidR="009369E9" w:rsidRPr="006A3C92" w:rsidSect="004F600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CE463" w14:textId="77777777" w:rsidR="00091673" w:rsidRDefault="00091673" w:rsidP="00E61304">
      <w:pPr>
        <w:spacing w:after="0" w:line="240" w:lineRule="auto"/>
      </w:pPr>
      <w:r>
        <w:separator/>
      </w:r>
    </w:p>
  </w:endnote>
  <w:endnote w:type="continuationSeparator" w:id="0">
    <w:p w14:paraId="5C3A8D20" w14:textId="77777777" w:rsidR="00091673" w:rsidRDefault="00091673" w:rsidP="00E61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851883"/>
      <w:docPartObj>
        <w:docPartGallery w:val="Page Numbers (Bottom of Page)"/>
        <w:docPartUnique/>
      </w:docPartObj>
    </w:sdtPr>
    <w:sdtEndPr>
      <w:rPr>
        <w:noProof/>
      </w:rPr>
    </w:sdtEndPr>
    <w:sdtContent>
      <w:p w14:paraId="746E66D9" w14:textId="62560EDE" w:rsidR="00E61304" w:rsidRDefault="00E613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DA029A" w14:textId="77777777" w:rsidR="00E61304" w:rsidRDefault="00E613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02F3E2" w14:textId="77777777" w:rsidR="00091673" w:rsidRDefault="00091673" w:rsidP="00E61304">
      <w:pPr>
        <w:spacing w:after="0" w:line="240" w:lineRule="auto"/>
      </w:pPr>
      <w:r>
        <w:separator/>
      </w:r>
    </w:p>
  </w:footnote>
  <w:footnote w:type="continuationSeparator" w:id="0">
    <w:p w14:paraId="35617158" w14:textId="77777777" w:rsidR="00091673" w:rsidRDefault="00091673" w:rsidP="00E613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493868"/>
    <w:multiLevelType w:val="multilevel"/>
    <w:tmpl w:val="4560F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52CDE"/>
    <w:multiLevelType w:val="multilevel"/>
    <w:tmpl w:val="15F81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C1D62A8"/>
    <w:multiLevelType w:val="multilevel"/>
    <w:tmpl w:val="38C66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A4268F"/>
    <w:multiLevelType w:val="multilevel"/>
    <w:tmpl w:val="C7E8C10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68CC17BD"/>
    <w:multiLevelType w:val="multilevel"/>
    <w:tmpl w:val="DAC42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6A336D"/>
    <w:multiLevelType w:val="multilevel"/>
    <w:tmpl w:val="123E130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29254337">
    <w:abstractNumId w:val="2"/>
  </w:num>
  <w:num w:numId="2" w16cid:durableId="686172685">
    <w:abstractNumId w:val="0"/>
  </w:num>
  <w:num w:numId="3" w16cid:durableId="2118719357">
    <w:abstractNumId w:val="4"/>
  </w:num>
  <w:num w:numId="4" w16cid:durableId="918752551">
    <w:abstractNumId w:val="3"/>
  </w:num>
  <w:num w:numId="5" w16cid:durableId="1628927737">
    <w:abstractNumId w:val="1"/>
  </w:num>
  <w:num w:numId="6" w16cid:durableId="9181017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EEB"/>
    <w:rsid w:val="00030CD6"/>
    <w:rsid w:val="00035372"/>
    <w:rsid w:val="00056292"/>
    <w:rsid w:val="00091673"/>
    <w:rsid w:val="00091804"/>
    <w:rsid w:val="000D3DE5"/>
    <w:rsid w:val="00166918"/>
    <w:rsid w:val="001C476E"/>
    <w:rsid w:val="001D2AA4"/>
    <w:rsid w:val="001E290F"/>
    <w:rsid w:val="001F1167"/>
    <w:rsid w:val="001F1B13"/>
    <w:rsid w:val="001F1D2C"/>
    <w:rsid w:val="002132C1"/>
    <w:rsid w:val="00225792"/>
    <w:rsid w:val="00243ED5"/>
    <w:rsid w:val="002563FE"/>
    <w:rsid w:val="002D411F"/>
    <w:rsid w:val="002D7055"/>
    <w:rsid w:val="002E1FF9"/>
    <w:rsid w:val="002E5865"/>
    <w:rsid w:val="002F24E8"/>
    <w:rsid w:val="002F7C7F"/>
    <w:rsid w:val="00337F9E"/>
    <w:rsid w:val="00393932"/>
    <w:rsid w:val="00425DF3"/>
    <w:rsid w:val="0042620C"/>
    <w:rsid w:val="0043220E"/>
    <w:rsid w:val="00434265"/>
    <w:rsid w:val="004346A2"/>
    <w:rsid w:val="00435508"/>
    <w:rsid w:val="0046124B"/>
    <w:rsid w:val="00466C33"/>
    <w:rsid w:val="00476775"/>
    <w:rsid w:val="0049221B"/>
    <w:rsid w:val="00497A90"/>
    <w:rsid w:val="004D2024"/>
    <w:rsid w:val="004D3A34"/>
    <w:rsid w:val="004F600B"/>
    <w:rsid w:val="005D47FE"/>
    <w:rsid w:val="005D548A"/>
    <w:rsid w:val="005E5DF6"/>
    <w:rsid w:val="005E77EA"/>
    <w:rsid w:val="005F4AE2"/>
    <w:rsid w:val="006038ED"/>
    <w:rsid w:val="00613B8B"/>
    <w:rsid w:val="00615C3F"/>
    <w:rsid w:val="00661E9F"/>
    <w:rsid w:val="00671713"/>
    <w:rsid w:val="00681872"/>
    <w:rsid w:val="00682108"/>
    <w:rsid w:val="0069665D"/>
    <w:rsid w:val="006A3C92"/>
    <w:rsid w:val="006C5708"/>
    <w:rsid w:val="006D2B9F"/>
    <w:rsid w:val="006E7C63"/>
    <w:rsid w:val="007529E4"/>
    <w:rsid w:val="00756791"/>
    <w:rsid w:val="00782FDA"/>
    <w:rsid w:val="007A476E"/>
    <w:rsid w:val="007B64BD"/>
    <w:rsid w:val="007E0D79"/>
    <w:rsid w:val="007E51D8"/>
    <w:rsid w:val="007F6C7D"/>
    <w:rsid w:val="00822EEB"/>
    <w:rsid w:val="00840653"/>
    <w:rsid w:val="00854339"/>
    <w:rsid w:val="008867A1"/>
    <w:rsid w:val="008B22BC"/>
    <w:rsid w:val="008C598C"/>
    <w:rsid w:val="008D1441"/>
    <w:rsid w:val="008D468F"/>
    <w:rsid w:val="008E2525"/>
    <w:rsid w:val="00922B62"/>
    <w:rsid w:val="009267E2"/>
    <w:rsid w:val="009369E9"/>
    <w:rsid w:val="00943D6A"/>
    <w:rsid w:val="00946C87"/>
    <w:rsid w:val="009716B3"/>
    <w:rsid w:val="00971CF7"/>
    <w:rsid w:val="00975DF2"/>
    <w:rsid w:val="009776DD"/>
    <w:rsid w:val="0099479D"/>
    <w:rsid w:val="009B67AF"/>
    <w:rsid w:val="00A03AB3"/>
    <w:rsid w:val="00A5098F"/>
    <w:rsid w:val="00A56D71"/>
    <w:rsid w:val="00A9560E"/>
    <w:rsid w:val="00AB7E4F"/>
    <w:rsid w:val="00AC687E"/>
    <w:rsid w:val="00AD3930"/>
    <w:rsid w:val="00AD48A4"/>
    <w:rsid w:val="00AD672C"/>
    <w:rsid w:val="00AD70A6"/>
    <w:rsid w:val="00AE6BC9"/>
    <w:rsid w:val="00B4269A"/>
    <w:rsid w:val="00B502A8"/>
    <w:rsid w:val="00B5746C"/>
    <w:rsid w:val="00B62F0B"/>
    <w:rsid w:val="00B72ABA"/>
    <w:rsid w:val="00B76A8D"/>
    <w:rsid w:val="00B92E00"/>
    <w:rsid w:val="00BA1FDF"/>
    <w:rsid w:val="00BB3841"/>
    <w:rsid w:val="00BD1C36"/>
    <w:rsid w:val="00BE2FCB"/>
    <w:rsid w:val="00BF4858"/>
    <w:rsid w:val="00C302BF"/>
    <w:rsid w:val="00C54C6D"/>
    <w:rsid w:val="00C63DD2"/>
    <w:rsid w:val="00C72DB1"/>
    <w:rsid w:val="00C93E69"/>
    <w:rsid w:val="00CA3CF3"/>
    <w:rsid w:val="00CB5B2F"/>
    <w:rsid w:val="00CD1E59"/>
    <w:rsid w:val="00CE2DE5"/>
    <w:rsid w:val="00D0052D"/>
    <w:rsid w:val="00D06968"/>
    <w:rsid w:val="00D11DA5"/>
    <w:rsid w:val="00D216DF"/>
    <w:rsid w:val="00D239E6"/>
    <w:rsid w:val="00D26575"/>
    <w:rsid w:val="00D30EAE"/>
    <w:rsid w:val="00D415C6"/>
    <w:rsid w:val="00D512F0"/>
    <w:rsid w:val="00D62EC4"/>
    <w:rsid w:val="00DD7313"/>
    <w:rsid w:val="00DE1E0B"/>
    <w:rsid w:val="00DE3FFB"/>
    <w:rsid w:val="00E029C9"/>
    <w:rsid w:val="00E04DBF"/>
    <w:rsid w:val="00E24B28"/>
    <w:rsid w:val="00E441EE"/>
    <w:rsid w:val="00E61304"/>
    <w:rsid w:val="00EC13F8"/>
    <w:rsid w:val="00EC76AA"/>
    <w:rsid w:val="00ED1F62"/>
    <w:rsid w:val="00ED3824"/>
    <w:rsid w:val="00EF3B38"/>
    <w:rsid w:val="00F01FBA"/>
    <w:rsid w:val="00F038C3"/>
    <w:rsid w:val="00F04874"/>
    <w:rsid w:val="00F1325E"/>
    <w:rsid w:val="00F17641"/>
    <w:rsid w:val="00F34E4F"/>
    <w:rsid w:val="00F51659"/>
    <w:rsid w:val="00F65FB4"/>
    <w:rsid w:val="00F74783"/>
    <w:rsid w:val="00F959A4"/>
    <w:rsid w:val="00FC059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880330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2BC"/>
    <w:pPr>
      <w:spacing w:after="200" w:line="360" w:lineRule="auto"/>
      <w:jc w:val="both"/>
    </w:pPr>
    <w:rPr>
      <w:rFonts w:ascii="Arial" w:hAnsi="Arial"/>
      <w:color w:val="000000" w:themeColor="text1"/>
      <w:lang w:val="en-GB"/>
      <w14:ligatures w14:val="none"/>
    </w:rPr>
  </w:style>
  <w:style w:type="paragraph" w:styleId="Heading1">
    <w:name w:val="heading 1"/>
    <w:basedOn w:val="Normal"/>
    <w:next w:val="Normal"/>
    <w:link w:val="Heading1Char"/>
    <w:autoRedefine/>
    <w:uiPriority w:val="9"/>
    <w:qFormat/>
    <w:rsid w:val="00F959A4"/>
    <w:pPr>
      <w:keepNext/>
      <w:keepLines/>
      <w:spacing w:before="240" w:after="0"/>
      <w:outlineLvl w:val="0"/>
    </w:pPr>
    <w:rPr>
      <w:rFonts w:eastAsiaTheme="majorEastAsia" w:cstheme="majorBidi"/>
      <w:b/>
      <w:sz w:val="36"/>
      <w:lang w:val="en-IN"/>
    </w:rPr>
  </w:style>
  <w:style w:type="paragraph" w:styleId="Heading2">
    <w:name w:val="heading 2"/>
    <w:basedOn w:val="Normal"/>
    <w:next w:val="Normal"/>
    <w:link w:val="Heading2Char"/>
    <w:autoRedefine/>
    <w:uiPriority w:val="9"/>
    <w:unhideWhenUsed/>
    <w:qFormat/>
    <w:rsid w:val="00F34E4F"/>
    <w:pPr>
      <w:keepNext/>
      <w:keepLines/>
      <w:spacing w:before="40" w:after="0"/>
      <w:outlineLvl w:val="1"/>
    </w:pPr>
    <w:rPr>
      <w:rFonts w:eastAsiaTheme="majorEastAsia" w:cstheme="majorBidi"/>
      <w:b/>
      <w:kern w:val="2"/>
      <w:sz w:val="32"/>
      <w:szCs w:val="26"/>
      <w:lang w:val="en-IN"/>
      <w14:ligatures w14:val="standardContextual"/>
    </w:rPr>
  </w:style>
  <w:style w:type="paragraph" w:styleId="Heading3">
    <w:name w:val="heading 3"/>
    <w:basedOn w:val="Normal"/>
    <w:next w:val="Normal"/>
    <w:link w:val="Heading3Char"/>
    <w:uiPriority w:val="9"/>
    <w:unhideWhenUsed/>
    <w:qFormat/>
    <w:rsid w:val="00B72ABA"/>
    <w:pPr>
      <w:keepNext/>
      <w:keepLines/>
      <w:suppressAutoHyphens/>
      <w:autoSpaceDN w:val="0"/>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822EE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22EE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22EE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22EE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22EE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22EE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9A4"/>
    <w:rPr>
      <w:rFonts w:ascii="Arial" w:eastAsiaTheme="majorEastAsia" w:hAnsi="Arial" w:cstheme="majorBidi"/>
      <w:b/>
      <w:color w:val="000000" w:themeColor="text1"/>
      <w:sz w:val="36"/>
      <w:lang w:val="en-IN"/>
      <w14:ligatures w14:val="none"/>
    </w:rPr>
  </w:style>
  <w:style w:type="character" w:customStyle="1" w:styleId="Heading2Char">
    <w:name w:val="Heading 2 Char"/>
    <w:basedOn w:val="DefaultParagraphFont"/>
    <w:link w:val="Heading2"/>
    <w:uiPriority w:val="9"/>
    <w:rsid w:val="00F34E4F"/>
    <w:rPr>
      <w:rFonts w:ascii="Times New Roman" w:eastAsiaTheme="majorEastAsia" w:hAnsi="Times New Roman" w:cstheme="majorBidi"/>
      <w:b/>
      <w:color w:val="000000" w:themeColor="text1"/>
      <w:kern w:val="2"/>
      <w:sz w:val="32"/>
      <w:szCs w:val="26"/>
      <w:lang w:val="en-IN"/>
    </w:rPr>
  </w:style>
  <w:style w:type="character" w:customStyle="1" w:styleId="Heading3Char">
    <w:name w:val="Heading 3 Char"/>
    <w:basedOn w:val="DefaultParagraphFont"/>
    <w:link w:val="Heading3"/>
    <w:uiPriority w:val="9"/>
    <w:rsid w:val="00B72ABA"/>
    <w:rPr>
      <w:rFonts w:ascii="Times New Roman" w:eastAsiaTheme="majorEastAsia" w:hAnsi="Times New Roman" w:cstheme="majorBidi"/>
      <w:b/>
      <w:color w:val="000000" w:themeColor="text1"/>
      <w:kern w:val="0"/>
      <w:sz w:val="24"/>
      <w:szCs w:val="24"/>
      <w:lang w:val="en-GB"/>
    </w:rPr>
  </w:style>
  <w:style w:type="character" w:customStyle="1" w:styleId="Heading4Char">
    <w:name w:val="Heading 4 Char"/>
    <w:basedOn w:val="DefaultParagraphFont"/>
    <w:link w:val="Heading4"/>
    <w:uiPriority w:val="9"/>
    <w:semiHidden/>
    <w:rsid w:val="00822EEB"/>
    <w:rPr>
      <w:rFonts w:eastAsiaTheme="majorEastAsia" w:cstheme="majorBidi"/>
      <w:i/>
      <w:iCs/>
      <w:color w:val="2F5496" w:themeColor="accent1" w:themeShade="BF"/>
      <w:sz w:val="24"/>
      <w:lang w:val="en-GB"/>
      <w14:ligatures w14:val="none"/>
    </w:rPr>
  </w:style>
  <w:style w:type="character" w:customStyle="1" w:styleId="Heading5Char">
    <w:name w:val="Heading 5 Char"/>
    <w:basedOn w:val="DefaultParagraphFont"/>
    <w:link w:val="Heading5"/>
    <w:uiPriority w:val="9"/>
    <w:semiHidden/>
    <w:rsid w:val="00822EEB"/>
    <w:rPr>
      <w:rFonts w:eastAsiaTheme="majorEastAsia" w:cstheme="majorBidi"/>
      <w:color w:val="2F5496" w:themeColor="accent1" w:themeShade="BF"/>
      <w:sz w:val="24"/>
      <w:lang w:val="en-GB"/>
      <w14:ligatures w14:val="none"/>
    </w:rPr>
  </w:style>
  <w:style w:type="character" w:customStyle="1" w:styleId="Heading6Char">
    <w:name w:val="Heading 6 Char"/>
    <w:basedOn w:val="DefaultParagraphFont"/>
    <w:link w:val="Heading6"/>
    <w:uiPriority w:val="9"/>
    <w:semiHidden/>
    <w:rsid w:val="00822EEB"/>
    <w:rPr>
      <w:rFonts w:eastAsiaTheme="majorEastAsia" w:cstheme="majorBidi"/>
      <w:i/>
      <w:iCs/>
      <w:color w:val="595959" w:themeColor="text1" w:themeTint="A6"/>
      <w:sz w:val="24"/>
      <w:lang w:val="en-GB"/>
      <w14:ligatures w14:val="none"/>
    </w:rPr>
  </w:style>
  <w:style w:type="character" w:customStyle="1" w:styleId="Heading7Char">
    <w:name w:val="Heading 7 Char"/>
    <w:basedOn w:val="DefaultParagraphFont"/>
    <w:link w:val="Heading7"/>
    <w:uiPriority w:val="9"/>
    <w:semiHidden/>
    <w:rsid w:val="00822EEB"/>
    <w:rPr>
      <w:rFonts w:eastAsiaTheme="majorEastAsia" w:cstheme="majorBidi"/>
      <w:color w:val="595959" w:themeColor="text1" w:themeTint="A6"/>
      <w:sz w:val="24"/>
      <w:lang w:val="en-GB"/>
      <w14:ligatures w14:val="none"/>
    </w:rPr>
  </w:style>
  <w:style w:type="character" w:customStyle="1" w:styleId="Heading8Char">
    <w:name w:val="Heading 8 Char"/>
    <w:basedOn w:val="DefaultParagraphFont"/>
    <w:link w:val="Heading8"/>
    <w:uiPriority w:val="9"/>
    <w:semiHidden/>
    <w:rsid w:val="00822EEB"/>
    <w:rPr>
      <w:rFonts w:eastAsiaTheme="majorEastAsia" w:cstheme="majorBidi"/>
      <w:i/>
      <w:iCs/>
      <w:color w:val="272727" w:themeColor="text1" w:themeTint="D8"/>
      <w:sz w:val="24"/>
      <w:lang w:val="en-GB"/>
      <w14:ligatures w14:val="none"/>
    </w:rPr>
  </w:style>
  <w:style w:type="character" w:customStyle="1" w:styleId="Heading9Char">
    <w:name w:val="Heading 9 Char"/>
    <w:basedOn w:val="DefaultParagraphFont"/>
    <w:link w:val="Heading9"/>
    <w:uiPriority w:val="9"/>
    <w:semiHidden/>
    <w:rsid w:val="00822EEB"/>
    <w:rPr>
      <w:rFonts w:eastAsiaTheme="majorEastAsia" w:cstheme="majorBidi"/>
      <w:color w:val="272727" w:themeColor="text1" w:themeTint="D8"/>
      <w:sz w:val="24"/>
      <w:lang w:val="en-GB"/>
      <w14:ligatures w14:val="none"/>
    </w:rPr>
  </w:style>
  <w:style w:type="paragraph" w:styleId="Title">
    <w:name w:val="Title"/>
    <w:basedOn w:val="Normal"/>
    <w:next w:val="Normal"/>
    <w:link w:val="TitleChar"/>
    <w:uiPriority w:val="10"/>
    <w:qFormat/>
    <w:rsid w:val="00822EEB"/>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22EEB"/>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822EE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2EEB"/>
    <w:rPr>
      <w:rFonts w:eastAsiaTheme="majorEastAsia" w:cstheme="majorBidi"/>
      <w:color w:val="595959" w:themeColor="text1" w:themeTint="A6"/>
      <w:spacing w:val="15"/>
      <w:sz w:val="28"/>
      <w:szCs w:val="28"/>
      <w:lang w:val="en-GB"/>
      <w14:ligatures w14:val="none"/>
    </w:rPr>
  </w:style>
  <w:style w:type="paragraph" w:styleId="Quote">
    <w:name w:val="Quote"/>
    <w:basedOn w:val="Normal"/>
    <w:next w:val="Normal"/>
    <w:link w:val="QuoteChar"/>
    <w:uiPriority w:val="29"/>
    <w:qFormat/>
    <w:rsid w:val="00822EE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22EEB"/>
    <w:rPr>
      <w:rFonts w:ascii="Times New Roman" w:hAnsi="Times New Roman"/>
      <w:i/>
      <w:iCs/>
      <w:color w:val="404040" w:themeColor="text1" w:themeTint="BF"/>
      <w:sz w:val="24"/>
      <w:lang w:val="en-GB"/>
      <w14:ligatures w14:val="none"/>
    </w:rPr>
  </w:style>
  <w:style w:type="paragraph" w:styleId="ListParagraph">
    <w:name w:val="List Paragraph"/>
    <w:basedOn w:val="Normal"/>
    <w:uiPriority w:val="34"/>
    <w:qFormat/>
    <w:rsid w:val="00822EEB"/>
    <w:pPr>
      <w:ind w:left="720"/>
      <w:contextualSpacing/>
    </w:pPr>
  </w:style>
  <w:style w:type="character" w:styleId="IntenseEmphasis">
    <w:name w:val="Intense Emphasis"/>
    <w:basedOn w:val="DefaultParagraphFont"/>
    <w:uiPriority w:val="21"/>
    <w:qFormat/>
    <w:rsid w:val="00822EEB"/>
    <w:rPr>
      <w:i/>
      <w:iCs/>
      <w:color w:val="2F5496" w:themeColor="accent1" w:themeShade="BF"/>
    </w:rPr>
  </w:style>
  <w:style w:type="paragraph" w:styleId="IntenseQuote">
    <w:name w:val="Intense Quote"/>
    <w:basedOn w:val="Normal"/>
    <w:next w:val="Normal"/>
    <w:link w:val="IntenseQuoteChar"/>
    <w:uiPriority w:val="30"/>
    <w:qFormat/>
    <w:rsid w:val="00822E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2EEB"/>
    <w:rPr>
      <w:rFonts w:ascii="Times New Roman" w:hAnsi="Times New Roman"/>
      <w:i/>
      <w:iCs/>
      <w:color w:val="2F5496" w:themeColor="accent1" w:themeShade="BF"/>
      <w:sz w:val="24"/>
      <w:lang w:val="en-GB"/>
      <w14:ligatures w14:val="none"/>
    </w:rPr>
  </w:style>
  <w:style w:type="character" w:styleId="IntenseReference">
    <w:name w:val="Intense Reference"/>
    <w:basedOn w:val="DefaultParagraphFont"/>
    <w:uiPriority w:val="32"/>
    <w:qFormat/>
    <w:rsid w:val="00822EEB"/>
    <w:rPr>
      <w:b/>
      <w:bCs/>
      <w:smallCaps/>
      <w:color w:val="2F5496" w:themeColor="accent1" w:themeShade="BF"/>
      <w:spacing w:val="5"/>
    </w:rPr>
  </w:style>
  <w:style w:type="paragraph" w:styleId="TOCHeading">
    <w:name w:val="TOC Heading"/>
    <w:basedOn w:val="Heading1"/>
    <w:next w:val="Normal"/>
    <w:uiPriority w:val="39"/>
    <w:unhideWhenUsed/>
    <w:qFormat/>
    <w:rsid w:val="00D216DF"/>
    <w:pPr>
      <w:spacing w:line="259" w:lineRule="auto"/>
      <w:jc w:val="left"/>
      <w:outlineLvl w:val="9"/>
    </w:pPr>
    <w:rPr>
      <w:rFonts w:asciiTheme="majorHAnsi" w:hAnsiTheme="majorHAnsi"/>
      <w:b w:val="0"/>
      <w:color w:val="2F5496" w:themeColor="accent1" w:themeShade="BF"/>
      <w:sz w:val="32"/>
      <w:lang w:val="en-US" w:bidi="hi-IN"/>
    </w:rPr>
  </w:style>
  <w:style w:type="paragraph" w:styleId="TOC1">
    <w:name w:val="toc 1"/>
    <w:basedOn w:val="Normal"/>
    <w:next w:val="Normal"/>
    <w:autoRedefine/>
    <w:uiPriority w:val="39"/>
    <w:unhideWhenUsed/>
    <w:rsid w:val="00D216DF"/>
    <w:pPr>
      <w:spacing w:after="100"/>
    </w:pPr>
  </w:style>
  <w:style w:type="character" w:styleId="Hyperlink">
    <w:name w:val="Hyperlink"/>
    <w:basedOn w:val="DefaultParagraphFont"/>
    <w:uiPriority w:val="99"/>
    <w:unhideWhenUsed/>
    <w:rsid w:val="00D216DF"/>
    <w:rPr>
      <w:color w:val="0563C1" w:themeColor="hyperlink"/>
      <w:u w:val="single"/>
    </w:rPr>
  </w:style>
  <w:style w:type="paragraph" w:styleId="Header">
    <w:name w:val="header"/>
    <w:basedOn w:val="Normal"/>
    <w:link w:val="HeaderChar"/>
    <w:uiPriority w:val="99"/>
    <w:unhideWhenUsed/>
    <w:rsid w:val="00E613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304"/>
    <w:rPr>
      <w:rFonts w:ascii="Times New Roman" w:hAnsi="Times New Roman"/>
      <w:color w:val="000000" w:themeColor="text1"/>
      <w:sz w:val="24"/>
      <w:lang w:val="en-GB"/>
      <w14:ligatures w14:val="none"/>
    </w:rPr>
  </w:style>
  <w:style w:type="paragraph" w:styleId="Footer">
    <w:name w:val="footer"/>
    <w:basedOn w:val="Normal"/>
    <w:link w:val="FooterChar"/>
    <w:uiPriority w:val="99"/>
    <w:unhideWhenUsed/>
    <w:rsid w:val="00E613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304"/>
    <w:rPr>
      <w:rFonts w:ascii="Times New Roman" w:hAnsi="Times New Roman"/>
      <w:color w:val="000000" w:themeColor="text1"/>
      <w:sz w:val="24"/>
      <w:lang w:val="en-GB"/>
      <w14:ligatures w14:val="none"/>
    </w:rPr>
  </w:style>
  <w:style w:type="character" w:styleId="UnresolvedMention">
    <w:name w:val="Unresolved Mention"/>
    <w:basedOn w:val="DefaultParagraphFont"/>
    <w:uiPriority w:val="99"/>
    <w:semiHidden/>
    <w:unhideWhenUsed/>
    <w:rsid w:val="006A3C92"/>
    <w:rPr>
      <w:color w:val="605E5C"/>
      <w:shd w:val="clear" w:color="auto" w:fill="E1DFDD"/>
    </w:rPr>
  </w:style>
  <w:style w:type="character" w:styleId="FollowedHyperlink">
    <w:name w:val="FollowedHyperlink"/>
    <w:basedOn w:val="DefaultParagraphFont"/>
    <w:uiPriority w:val="99"/>
    <w:semiHidden/>
    <w:unhideWhenUsed/>
    <w:rsid w:val="00B574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36/bmj.l84"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9BC54E-09CC-4CFB-AC0B-709D90BC7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2790</Words>
  <Characters>15904</Characters>
  <Application>Microsoft Office Word</Application>
  <DocSecurity>0</DocSecurity>
  <Lines>132</Lines>
  <Paragraphs>37</Paragraphs>
  <ScaleCrop>false</ScaleCrop>
  <Company/>
  <LinksUpToDate>false</LinksUpToDate>
  <CharactersWithSpaces>18657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2025-10-06T11:05:00Z</dcterms:created>
  <dcterms:modified xsi:type="dcterms:W3CDTF">2025-10-08T10:38:00Z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760665fd-1b2f-4ea4-ad9d-d2ec1528e3be</vt:lpwstr>
  </property>
</Properties>
</file>