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C9FD3" w14:textId="77777777" w:rsidR="0030060A" w:rsidRPr="005B51DC" w:rsidRDefault="005B51DC">
      <w:pPr>
        <w:pStyle w:val="Heading1"/>
        <w:rPr>
          <w:rFonts w:ascii="Arial" w:hAnsi="Arial" w:cs="Arial"/>
        </w:rPr>
      </w:pPr>
      <w:r w:rsidRPr="005B51DC">
        <w:rPr>
          <w:rFonts w:ascii="Arial" w:hAnsi="Arial" w:cs="Arial"/>
        </w:rPr>
        <w:t>An Evaluation of Person-Centred Care and Partnership Working in Health and Social Care</w:t>
      </w:r>
    </w:p>
    <w:p w14:paraId="483C26E3" w14:textId="7BBA18B9" w:rsidR="0030060A" w:rsidRPr="005B51DC" w:rsidRDefault="005B51DC">
      <w:pPr>
        <w:rPr>
          <w:rFonts w:ascii="Arial" w:hAnsi="Arial" w:cs="Arial"/>
        </w:rPr>
      </w:pPr>
      <w:r w:rsidRPr="005B51DC">
        <w:rPr>
          <w:rFonts w:ascii="Arial" w:hAnsi="Arial" w:cs="Arial"/>
        </w:rPr>
        <w:t>Student Name:</w:t>
      </w:r>
      <w:r>
        <w:rPr>
          <w:rFonts w:ascii="Arial" w:hAnsi="Arial" w:cs="Arial"/>
        </w:rPr>
        <w:t xml:space="preserve"> Rafael Milea </w:t>
      </w:r>
      <w:r w:rsidRPr="005B51DC">
        <w:rPr>
          <w:rFonts w:ascii="Arial" w:hAnsi="Arial" w:cs="Arial"/>
        </w:rPr>
        <w:br/>
        <w:t>Student Number:</w:t>
      </w:r>
      <w:r>
        <w:rPr>
          <w:rFonts w:ascii="Arial" w:hAnsi="Arial" w:cs="Arial"/>
        </w:rPr>
        <w:t xml:space="preserve"> 2415215</w:t>
      </w:r>
      <w:r w:rsidRPr="005B51DC">
        <w:rPr>
          <w:rFonts w:ascii="Arial" w:hAnsi="Arial" w:cs="Arial"/>
        </w:rPr>
        <w:br/>
        <w:t>Assignment Title: Component 2 – Written Report</w:t>
      </w:r>
    </w:p>
    <w:p w14:paraId="46ACA603" w14:textId="77777777" w:rsidR="0030060A" w:rsidRPr="005B51DC" w:rsidRDefault="005B51DC">
      <w:pPr>
        <w:rPr>
          <w:rFonts w:ascii="Arial" w:hAnsi="Arial" w:cs="Arial"/>
        </w:rPr>
      </w:pPr>
      <w:r w:rsidRPr="005B51DC">
        <w:rPr>
          <w:rFonts w:ascii="Arial" w:hAnsi="Arial" w:cs="Arial"/>
        </w:rPr>
        <w:br w:type="page"/>
      </w:r>
    </w:p>
    <w:p w14:paraId="686988DE" w14:textId="0ACB71AA" w:rsidR="0030060A" w:rsidRPr="005B51DC" w:rsidRDefault="005B51DC" w:rsidP="005B51DC">
      <w:pPr>
        <w:pStyle w:val="Heading2"/>
        <w:numPr>
          <w:ilvl w:val="0"/>
          <w:numId w:val="10"/>
        </w:numPr>
        <w:rPr>
          <w:rFonts w:ascii="Arial" w:hAnsi="Arial" w:cs="Arial"/>
        </w:rPr>
      </w:pPr>
      <w:r w:rsidRPr="005B51DC">
        <w:rPr>
          <w:rFonts w:ascii="Arial" w:hAnsi="Arial" w:cs="Arial"/>
        </w:rPr>
        <w:lastRenderedPageBreak/>
        <w:t>Introduction</w:t>
      </w:r>
    </w:p>
    <w:p w14:paraId="6CDCFE3A" w14:textId="77777777" w:rsidR="005B51DC" w:rsidRPr="005B51DC" w:rsidRDefault="005B51DC" w:rsidP="005B51DC">
      <w:pPr>
        <w:spacing w:before="100" w:beforeAutospacing="1" w:after="100" w:afterAutospacing="1" w:line="240" w:lineRule="auto"/>
        <w:rPr>
          <w:rFonts w:ascii="Arial" w:eastAsia="Times New Roman" w:hAnsi="Arial" w:cs="Arial"/>
          <w:sz w:val="24"/>
          <w:szCs w:val="24"/>
        </w:rPr>
      </w:pPr>
      <w:r w:rsidRPr="005B51DC">
        <w:rPr>
          <w:rFonts w:ascii="Arial" w:eastAsia="Times New Roman" w:hAnsi="Arial" w:cs="Arial"/>
          <w:sz w:val="24"/>
          <w:szCs w:val="24"/>
        </w:rPr>
        <w:t>Person-</w:t>
      </w:r>
      <w:proofErr w:type="spellStart"/>
      <w:r w:rsidRPr="005B51DC">
        <w:rPr>
          <w:rFonts w:ascii="Arial" w:eastAsia="Times New Roman" w:hAnsi="Arial" w:cs="Arial"/>
          <w:sz w:val="24"/>
          <w:szCs w:val="24"/>
        </w:rPr>
        <w:t>centred</w:t>
      </w:r>
      <w:proofErr w:type="spellEnd"/>
      <w:r w:rsidRPr="005B51DC">
        <w:rPr>
          <w:rFonts w:ascii="Arial" w:eastAsia="Times New Roman" w:hAnsi="Arial" w:cs="Arial"/>
          <w:sz w:val="24"/>
          <w:szCs w:val="24"/>
        </w:rPr>
        <w:t xml:space="preserve"> care (PCC) and partnership working (PW) are central pillars of contemporary health and social care practice in the United Kingdom. Both concepts reflect a national commitment to ensuring that individuals are treated not merely as recipients of care but as active participants throughout their health and wellbeing journey. The modern shift away from paternalistic care models </w:t>
      </w:r>
      <w:proofErr w:type="spellStart"/>
      <w:r w:rsidRPr="005B51DC">
        <w:rPr>
          <w:rFonts w:ascii="Arial" w:eastAsia="Times New Roman" w:hAnsi="Arial" w:cs="Arial"/>
          <w:sz w:val="24"/>
          <w:szCs w:val="24"/>
        </w:rPr>
        <w:t>recognises</w:t>
      </w:r>
      <w:proofErr w:type="spellEnd"/>
      <w:r w:rsidRPr="005B51DC">
        <w:rPr>
          <w:rFonts w:ascii="Arial" w:eastAsia="Times New Roman" w:hAnsi="Arial" w:cs="Arial"/>
          <w:sz w:val="24"/>
          <w:szCs w:val="24"/>
        </w:rPr>
        <w:t xml:space="preserve"> the importance of autonomy, dignity, collaboration and shared decision-making, aligning with wider societal expectations for greater transparency, empowerment and respect within public services.</w:t>
      </w:r>
    </w:p>
    <w:p w14:paraId="7511E2BD" w14:textId="77777777" w:rsidR="005B51DC" w:rsidRPr="005B51DC" w:rsidRDefault="005B51DC" w:rsidP="005B51DC">
      <w:pPr>
        <w:spacing w:before="100" w:beforeAutospacing="1" w:after="100" w:afterAutospacing="1" w:line="240" w:lineRule="auto"/>
        <w:rPr>
          <w:rFonts w:ascii="Arial" w:eastAsia="Times New Roman" w:hAnsi="Arial" w:cs="Arial"/>
          <w:sz w:val="24"/>
          <w:szCs w:val="24"/>
        </w:rPr>
      </w:pPr>
      <w:r w:rsidRPr="005B51DC">
        <w:rPr>
          <w:rFonts w:ascii="Arial" w:eastAsia="Times New Roman" w:hAnsi="Arial" w:cs="Arial"/>
          <w:sz w:val="24"/>
          <w:szCs w:val="24"/>
        </w:rPr>
        <w:t xml:space="preserve">PCC focuses on personal needs, preferences and lived experiences, ensuring that care is shaped around what matters most to the individual rather than solely what is clinically required. PW, by contrast, </w:t>
      </w:r>
      <w:proofErr w:type="spellStart"/>
      <w:r w:rsidRPr="005B51DC">
        <w:rPr>
          <w:rFonts w:ascii="Arial" w:eastAsia="Times New Roman" w:hAnsi="Arial" w:cs="Arial"/>
          <w:sz w:val="24"/>
          <w:szCs w:val="24"/>
        </w:rPr>
        <w:t>emphasises</w:t>
      </w:r>
      <w:proofErr w:type="spellEnd"/>
      <w:r w:rsidRPr="005B51DC">
        <w:rPr>
          <w:rFonts w:ascii="Arial" w:eastAsia="Times New Roman" w:hAnsi="Arial" w:cs="Arial"/>
          <w:sz w:val="24"/>
          <w:szCs w:val="24"/>
        </w:rPr>
        <w:t xml:space="preserve"> coordinated support across multiple professionals, agencies and community networks, acknowledging that complex health and social needs cannot be met by one service alone. Together, these principles guide integrated care, person-led service planning and improved health outcomes by promoting continuity, communication and shared responsibility.</w:t>
      </w:r>
    </w:p>
    <w:p w14:paraId="4A346D9D" w14:textId="77777777" w:rsidR="005B51DC" w:rsidRPr="005B51DC" w:rsidRDefault="005B51DC" w:rsidP="005B51DC">
      <w:pPr>
        <w:spacing w:before="100" w:beforeAutospacing="1" w:after="100" w:afterAutospacing="1" w:line="240" w:lineRule="auto"/>
        <w:rPr>
          <w:rFonts w:ascii="Arial" w:eastAsia="Times New Roman" w:hAnsi="Arial" w:cs="Arial"/>
          <w:sz w:val="24"/>
          <w:szCs w:val="24"/>
        </w:rPr>
      </w:pPr>
      <w:r w:rsidRPr="005B51DC">
        <w:rPr>
          <w:rFonts w:ascii="Arial" w:eastAsia="Times New Roman" w:hAnsi="Arial" w:cs="Arial"/>
          <w:sz w:val="24"/>
          <w:szCs w:val="24"/>
        </w:rPr>
        <w:t>This report critically explores PCC and PW, examining their theoretical foundations, ethical principles, legislative context, practical implementation, strengths and limitations. It also provides informed recommendations for strengthening these approaches within the evolving health and social care landscape, where innovation, inclusivity and collaboration remain essential for meeting the diverse needs of service users.</w:t>
      </w:r>
    </w:p>
    <w:p w14:paraId="585DEABD" w14:textId="77777777" w:rsidR="005B51DC" w:rsidRPr="005B51DC" w:rsidRDefault="005B51DC" w:rsidP="005B51DC">
      <w:pPr>
        <w:pStyle w:val="ListParagraph"/>
        <w:numPr>
          <w:ilvl w:val="0"/>
          <w:numId w:val="10"/>
        </w:numPr>
        <w:pBdr>
          <w:bottom w:val="single" w:sz="6" w:space="1" w:color="auto"/>
        </w:pBdr>
        <w:spacing w:after="0" w:line="240" w:lineRule="auto"/>
        <w:jc w:val="center"/>
        <w:rPr>
          <w:rFonts w:ascii="Arial" w:eastAsia="Times New Roman" w:hAnsi="Arial" w:cs="Arial"/>
          <w:vanish/>
          <w:sz w:val="16"/>
          <w:szCs w:val="16"/>
        </w:rPr>
      </w:pPr>
      <w:r w:rsidRPr="005B51DC">
        <w:rPr>
          <w:rFonts w:ascii="Arial" w:eastAsia="Times New Roman" w:hAnsi="Arial" w:cs="Arial"/>
          <w:vanish/>
          <w:sz w:val="16"/>
          <w:szCs w:val="16"/>
        </w:rPr>
        <w:t>Top of Form</w:t>
      </w:r>
    </w:p>
    <w:p w14:paraId="2603322C" w14:textId="77777777" w:rsidR="005B51DC" w:rsidRPr="005B51DC" w:rsidRDefault="005B51DC" w:rsidP="005B51DC">
      <w:pPr>
        <w:pStyle w:val="ListParagraph"/>
        <w:numPr>
          <w:ilvl w:val="0"/>
          <w:numId w:val="10"/>
        </w:numPr>
        <w:pBdr>
          <w:top w:val="single" w:sz="6" w:space="1" w:color="auto"/>
        </w:pBdr>
        <w:spacing w:after="0" w:line="240" w:lineRule="auto"/>
        <w:jc w:val="center"/>
        <w:rPr>
          <w:rFonts w:ascii="Arial" w:eastAsia="Times New Roman" w:hAnsi="Arial" w:cs="Arial"/>
          <w:vanish/>
          <w:sz w:val="16"/>
          <w:szCs w:val="16"/>
        </w:rPr>
      </w:pPr>
      <w:r w:rsidRPr="005B51DC">
        <w:rPr>
          <w:rFonts w:ascii="Arial" w:eastAsia="Times New Roman" w:hAnsi="Arial" w:cs="Arial"/>
          <w:vanish/>
          <w:sz w:val="16"/>
          <w:szCs w:val="16"/>
        </w:rPr>
        <w:t>Bottom of Form</w:t>
      </w:r>
    </w:p>
    <w:p w14:paraId="0B3EFF0E" w14:textId="77777777" w:rsidR="005B51DC" w:rsidRPr="005B51DC" w:rsidRDefault="005B51DC" w:rsidP="005B51DC">
      <w:pPr>
        <w:rPr>
          <w:rFonts w:ascii="Arial" w:hAnsi="Arial" w:cs="Arial"/>
        </w:rPr>
      </w:pPr>
    </w:p>
    <w:p w14:paraId="4336CD13" w14:textId="77777777" w:rsidR="0030060A" w:rsidRPr="005B51DC" w:rsidRDefault="005B51DC">
      <w:pPr>
        <w:pStyle w:val="Heading2"/>
        <w:rPr>
          <w:rFonts w:ascii="Arial" w:hAnsi="Arial" w:cs="Arial"/>
        </w:rPr>
      </w:pPr>
      <w:r w:rsidRPr="005B51DC">
        <w:rPr>
          <w:rFonts w:ascii="Arial" w:hAnsi="Arial" w:cs="Arial"/>
        </w:rPr>
        <w:t>2.0 Defining Person-</w:t>
      </w:r>
      <w:proofErr w:type="spellStart"/>
      <w:r w:rsidRPr="005B51DC">
        <w:rPr>
          <w:rFonts w:ascii="Arial" w:hAnsi="Arial" w:cs="Arial"/>
        </w:rPr>
        <w:t>Centred</w:t>
      </w:r>
      <w:proofErr w:type="spellEnd"/>
      <w:r w:rsidRPr="005B51DC">
        <w:rPr>
          <w:rFonts w:ascii="Arial" w:hAnsi="Arial" w:cs="Arial"/>
        </w:rPr>
        <w:t xml:space="preserve"> Care: Benefits and Limitations</w:t>
      </w:r>
    </w:p>
    <w:p w14:paraId="1C628937" w14:textId="77777777" w:rsidR="005B51DC" w:rsidRPr="005B51DC" w:rsidRDefault="005B51DC" w:rsidP="005B51DC">
      <w:pPr>
        <w:rPr>
          <w:rFonts w:ascii="Arial" w:hAnsi="Arial" w:cs="Arial"/>
        </w:rPr>
      </w:pPr>
      <w:r w:rsidRPr="005B51DC">
        <w:rPr>
          <w:rFonts w:ascii="Arial" w:hAnsi="Arial" w:cs="Arial"/>
        </w:rPr>
        <w:t>Person-</w:t>
      </w:r>
      <w:proofErr w:type="spellStart"/>
      <w:r w:rsidRPr="005B51DC">
        <w:rPr>
          <w:rFonts w:ascii="Arial" w:hAnsi="Arial" w:cs="Arial"/>
        </w:rPr>
        <w:t>centred</w:t>
      </w:r>
      <w:proofErr w:type="spellEnd"/>
      <w:r w:rsidRPr="005B51DC">
        <w:rPr>
          <w:rFonts w:ascii="Arial" w:hAnsi="Arial" w:cs="Arial"/>
        </w:rPr>
        <w:t xml:space="preserve"> care positions individuals at the core of decisions about their health and wellbeing. It encourages professionals to </w:t>
      </w:r>
      <w:proofErr w:type="spellStart"/>
      <w:r w:rsidRPr="005B51DC">
        <w:rPr>
          <w:rFonts w:ascii="Arial" w:hAnsi="Arial" w:cs="Arial"/>
        </w:rPr>
        <w:t>recognise</w:t>
      </w:r>
      <w:proofErr w:type="spellEnd"/>
      <w:r w:rsidRPr="005B51DC">
        <w:rPr>
          <w:rFonts w:ascii="Arial" w:hAnsi="Arial" w:cs="Arial"/>
        </w:rPr>
        <w:t xml:space="preserve"> the uniqueness of each person, including their background, values, strengths and personal goals. PCC promotes positive relationships, meaningful engagement and respect for individuality. It also challenges traditional assumptions about professional authority by fostering shared responsibility between practitioners and service users. By viewing the person as an expert in their own life, PCC helps create more balanced power dynamics and builds trust, which is essential for effective long-term care and support.</w:t>
      </w:r>
    </w:p>
    <w:p w14:paraId="0B36C5D2" w14:textId="77777777" w:rsidR="005B51DC" w:rsidRPr="005B51DC" w:rsidRDefault="005B51DC" w:rsidP="005B51DC">
      <w:pPr>
        <w:rPr>
          <w:rFonts w:ascii="Arial" w:hAnsi="Arial" w:cs="Arial"/>
        </w:rPr>
      </w:pPr>
      <w:r w:rsidRPr="005B51DC">
        <w:rPr>
          <w:rFonts w:ascii="Arial" w:hAnsi="Arial" w:cs="Arial"/>
        </w:rPr>
        <w:t xml:space="preserve">The benefits of PCC are well evidenced within research and practice. Individuals who experience </w:t>
      </w:r>
      <w:proofErr w:type="spellStart"/>
      <w:r w:rsidRPr="005B51DC">
        <w:rPr>
          <w:rFonts w:ascii="Arial" w:hAnsi="Arial" w:cs="Arial"/>
        </w:rPr>
        <w:t>personalised</w:t>
      </w:r>
      <w:proofErr w:type="spellEnd"/>
      <w:r w:rsidRPr="005B51DC">
        <w:rPr>
          <w:rFonts w:ascii="Arial" w:hAnsi="Arial" w:cs="Arial"/>
        </w:rPr>
        <w:t xml:space="preserve">, respectful communication often report higher satisfaction and a stronger sense of control over their care. Improved communication allows for clearer understanding of treatment options, resulting in better adherence and more informed choices. PCC also promotes self-efficacy, enabling individuals to manage long-term conditions more confidently. By addressing emotional, cultural, social and spiritual needs alongside clinical ones, PCC contributes to holistic wellbeing. It supports continuity of </w:t>
      </w:r>
      <w:r w:rsidRPr="005B51DC">
        <w:rPr>
          <w:rFonts w:ascii="Arial" w:hAnsi="Arial" w:cs="Arial"/>
        </w:rPr>
        <w:lastRenderedPageBreak/>
        <w:t>care, enhances safety through clearer information sharing and encourages collaborative relationships between professionals, carers and families.</w:t>
      </w:r>
    </w:p>
    <w:p w14:paraId="4F4FBDAA" w14:textId="77777777" w:rsidR="005B51DC" w:rsidRPr="005B51DC" w:rsidRDefault="005B51DC" w:rsidP="005B51DC">
      <w:pPr>
        <w:rPr>
          <w:rFonts w:ascii="Arial" w:hAnsi="Arial" w:cs="Arial"/>
        </w:rPr>
      </w:pPr>
      <w:r w:rsidRPr="005B51DC">
        <w:rPr>
          <w:rFonts w:ascii="Arial" w:hAnsi="Arial" w:cs="Arial"/>
        </w:rPr>
        <w:t xml:space="preserve">However, despite its clear value, PCC can be challenging to implement consistently. Limitations arise from workforce pressures, inadequate training, </w:t>
      </w:r>
      <w:proofErr w:type="spellStart"/>
      <w:r w:rsidRPr="005B51DC">
        <w:rPr>
          <w:rFonts w:ascii="Arial" w:hAnsi="Arial" w:cs="Arial"/>
        </w:rPr>
        <w:t>organisational</w:t>
      </w:r>
      <w:proofErr w:type="spellEnd"/>
      <w:r w:rsidRPr="005B51DC">
        <w:rPr>
          <w:rFonts w:ascii="Arial" w:hAnsi="Arial" w:cs="Arial"/>
        </w:rPr>
        <w:t xml:space="preserve"> constraints and health literacy challenges. Time constraints and high caseloads can restrict meaningful engagement, making it difficult for staff to develop strong therapeutic relationships. Cultural or communication barriers may hinder shared decision-making, especially when services lack the resources to provide interpreters or accessible information formats. Structural inequalities, such as digital exclusion or socioeconomic disadvantage, may also limit individuals’ ability to participate fully in their care. These issues highlight the need for systemic support, investment and equity-focused approaches to ensure PCC is achievable in practice. Strengthening workforce development, improving communication tools and promoting inclusive service design are essential steps toward embedding PCC across all health and social care settings.</w:t>
      </w:r>
    </w:p>
    <w:p w14:paraId="00D4B3B4" w14:textId="77777777" w:rsidR="005B51DC" w:rsidRPr="005B51DC" w:rsidRDefault="005B51DC" w:rsidP="005B51DC">
      <w:pPr>
        <w:rPr>
          <w:rFonts w:ascii="Arial" w:hAnsi="Arial" w:cs="Arial"/>
        </w:rPr>
      </w:pPr>
    </w:p>
    <w:p w14:paraId="14463FD0" w14:textId="77777777" w:rsidR="0030060A" w:rsidRPr="005B51DC" w:rsidRDefault="005B51DC">
      <w:pPr>
        <w:pStyle w:val="Heading2"/>
        <w:rPr>
          <w:rFonts w:ascii="Arial" w:hAnsi="Arial" w:cs="Arial"/>
        </w:rPr>
      </w:pPr>
      <w:r w:rsidRPr="005B51DC">
        <w:rPr>
          <w:rFonts w:ascii="Arial" w:hAnsi="Arial" w:cs="Arial"/>
        </w:rPr>
        <w:t>3.0 Theory Underpinning Person-</w:t>
      </w:r>
      <w:proofErr w:type="spellStart"/>
      <w:r w:rsidRPr="005B51DC">
        <w:rPr>
          <w:rFonts w:ascii="Arial" w:hAnsi="Arial" w:cs="Arial"/>
        </w:rPr>
        <w:t>Centred</w:t>
      </w:r>
      <w:proofErr w:type="spellEnd"/>
      <w:r w:rsidRPr="005B51DC">
        <w:rPr>
          <w:rFonts w:ascii="Arial" w:hAnsi="Arial" w:cs="Arial"/>
        </w:rPr>
        <w:t xml:space="preserve"> Care</w:t>
      </w:r>
    </w:p>
    <w:p w14:paraId="660ACE53" w14:textId="77777777" w:rsidR="0030060A" w:rsidRPr="005B51DC" w:rsidRDefault="005B51DC">
      <w:pPr>
        <w:rPr>
          <w:rFonts w:ascii="Arial" w:hAnsi="Arial" w:cs="Arial"/>
        </w:rPr>
      </w:pPr>
      <w:r w:rsidRPr="005B51DC">
        <w:rPr>
          <w:rFonts w:ascii="Arial" w:hAnsi="Arial" w:cs="Arial"/>
        </w:rPr>
        <w:t>Carl Rogers’ humanistic theory is a foundational model underpinning PCC. Rogers emphasised empathy, genuineness and unconditional positive regard as conditions that support individual growth and wellbeing. His theory aligns with PCC principles by encouraging professionals to listen deeply, reduce power imbalances and value the person’s lived experience.</w:t>
      </w:r>
    </w:p>
    <w:p w14:paraId="479A3618" w14:textId="77777777" w:rsidR="0030060A" w:rsidRPr="005B51DC" w:rsidRDefault="0030060A">
      <w:pPr>
        <w:rPr>
          <w:rFonts w:ascii="Arial" w:hAnsi="Arial" w:cs="Arial"/>
        </w:rPr>
      </w:pPr>
    </w:p>
    <w:p w14:paraId="021A1ECC" w14:textId="77777777" w:rsidR="0030060A" w:rsidRPr="005B51DC" w:rsidRDefault="005B51DC">
      <w:pPr>
        <w:rPr>
          <w:rFonts w:ascii="Arial" w:hAnsi="Arial" w:cs="Arial"/>
        </w:rPr>
      </w:pPr>
      <w:r w:rsidRPr="005B51DC">
        <w:rPr>
          <w:rFonts w:ascii="Arial" w:hAnsi="Arial" w:cs="Arial"/>
        </w:rPr>
        <w:t>Other models such as recovery-oriented approaches, strengths-based practice and relational autonomy frameworks further support PCC. Strengths-based approaches highlight resilience, capabilities and personal goals, moving away from deficit-focused interventions. Recovery models emphasise hope, empowerment and collaboration—essential elements of PCC, particularly in mental health care.</w:t>
      </w:r>
    </w:p>
    <w:p w14:paraId="3F1C370D" w14:textId="77777777" w:rsidR="0030060A" w:rsidRPr="005B51DC" w:rsidRDefault="0030060A">
      <w:pPr>
        <w:rPr>
          <w:rFonts w:ascii="Arial" w:hAnsi="Arial" w:cs="Arial"/>
        </w:rPr>
      </w:pPr>
    </w:p>
    <w:p w14:paraId="3878B761" w14:textId="77777777" w:rsidR="0030060A" w:rsidRPr="005B51DC" w:rsidRDefault="005B51DC">
      <w:pPr>
        <w:rPr>
          <w:rFonts w:ascii="Arial" w:hAnsi="Arial" w:cs="Arial"/>
        </w:rPr>
      </w:pPr>
      <w:r w:rsidRPr="005B51DC">
        <w:rPr>
          <w:rFonts w:ascii="Arial" w:hAnsi="Arial" w:cs="Arial"/>
        </w:rPr>
        <w:t>While humanistic and strengths-based approaches have clear benefits, they can be challenging in crisis or risk-heavy environments where autonomy must be balanced with safety. Nevertheless, these models remain essential for shaping compassionate, person-led practice.</w:t>
      </w:r>
    </w:p>
    <w:p w14:paraId="0A1FE3ED" w14:textId="77777777" w:rsidR="0030060A" w:rsidRPr="005B51DC" w:rsidRDefault="005B51DC">
      <w:pPr>
        <w:pStyle w:val="Heading2"/>
        <w:rPr>
          <w:rFonts w:ascii="Arial" w:hAnsi="Arial" w:cs="Arial"/>
        </w:rPr>
      </w:pPr>
      <w:r w:rsidRPr="005B51DC">
        <w:rPr>
          <w:rFonts w:ascii="Arial" w:hAnsi="Arial" w:cs="Arial"/>
        </w:rPr>
        <w:t>4.0 Ethical Fundamentals in Health and Social Care</w:t>
      </w:r>
    </w:p>
    <w:p w14:paraId="068311C7" w14:textId="77777777" w:rsidR="005B51DC" w:rsidRPr="005B51DC" w:rsidRDefault="005B51DC" w:rsidP="005B51DC">
      <w:pPr>
        <w:rPr>
          <w:rFonts w:ascii="Arial" w:hAnsi="Arial" w:cs="Arial"/>
        </w:rPr>
      </w:pPr>
      <w:r w:rsidRPr="005B51DC">
        <w:rPr>
          <w:rFonts w:ascii="Arial" w:hAnsi="Arial" w:cs="Arial"/>
        </w:rPr>
        <w:t xml:space="preserve">Ethics are central to PCC and PW, guiding responsible and respectful practice. The four ethical principles—autonomy, beneficence, non-maleficence and justice—provide a structured framework for ethical deliberation and underpin decision-making in diverse health and social care contexts. These principles help practitioners navigate complex situations where competing needs, professional responsibilities and individual rights </w:t>
      </w:r>
      <w:r w:rsidRPr="005B51DC">
        <w:rPr>
          <w:rFonts w:ascii="Arial" w:hAnsi="Arial" w:cs="Arial"/>
        </w:rPr>
        <w:lastRenderedPageBreak/>
        <w:t xml:space="preserve">must be carefully balanced. Ethical considerations are especially important in contemporary practice, where service users often present with multifaceted health and social needs, and where </w:t>
      </w:r>
      <w:proofErr w:type="spellStart"/>
      <w:r w:rsidRPr="005B51DC">
        <w:rPr>
          <w:rFonts w:ascii="Arial" w:hAnsi="Arial" w:cs="Arial"/>
        </w:rPr>
        <w:t>organisational</w:t>
      </w:r>
      <w:proofErr w:type="spellEnd"/>
      <w:r w:rsidRPr="005B51DC">
        <w:rPr>
          <w:rFonts w:ascii="Arial" w:hAnsi="Arial" w:cs="Arial"/>
        </w:rPr>
        <w:t xml:space="preserve"> pressures can challenge the delivery of compassionate, person-led care.</w:t>
      </w:r>
    </w:p>
    <w:p w14:paraId="6D4DB577" w14:textId="77777777" w:rsidR="005B51DC" w:rsidRPr="005B51DC" w:rsidRDefault="005B51DC" w:rsidP="005B51DC">
      <w:pPr>
        <w:rPr>
          <w:rFonts w:ascii="Arial" w:hAnsi="Arial" w:cs="Arial"/>
        </w:rPr>
      </w:pPr>
      <w:r w:rsidRPr="005B51DC">
        <w:rPr>
          <w:rFonts w:ascii="Arial" w:hAnsi="Arial" w:cs="Arial"/>
        </w:rPr>
        <w:t xml:space="preserve">Autonomy supports PCC by </w:t>
      </w:r>
      <w:proofErr w:type="spellStart"/>
      <w:r w:rsidRPr="005B51DC">
        <w:rPr>
          <w:rFonts w:ascii="Arial" w:hAnsi="Arial" w:cs="Arial"/>
        </w:rPr>
        <w:t>emphasising</w:t>
      </w:r>
      <w:proofErr w:type="spellEnd"/>
      <w:r w:rsidRPr="005B51DC">
        <w:rPr>
          <w:rFonts w:ascii="Arial" w:hAnsi="Arial" w:cs="Arial"/>
        </w:rPr>
        <w:t xml:space="preserve"> individuals’ rights to choice and self-determination. Ensuring autonomy means providing clear information, supporting informed consent and </w:t>
      </w:r>
      <w:proofErr w:type="spellStart"/>
      <w:r w:rsidRPr="005B51DC">
        <w:rPr>
          <w:rFonts w:ascii="Arial" w:hAnsi="Arial" w:cs="Arial"/>
        </w:rPr>
        <w:t>recognising</w:t>
      </w:r>
      <w:proofErr w:type="spellEnd"/>
      <w:r w:rsidRPr="005B51DC">
        <w:rPr>
          <w:rFonts w:ascii="Arial" w:hAnsi="Arial" w:cs="Arial"/>
        </w:rPr>
        <w:t xml:space="preserve"> the service user as an active partner in decision-making. Beneficence and non-maleficence require professionals to act in the person’s best interest while preventing harm. These principles are crucial when managing risks, such </w:t>
      </w:r>
      <w:proofErr w:type="gramStart"/>
      <w:r w:rsidRPr="005B51DC">
        <w:rPr>
          <w:rFonts w:ascii="Arial" w:hAnsi="Arial" w:cs="Arial"/>
        </w:rPr>
        <w:t>as in</w:t>
      </w:r>
      <w:proofErr w:type="gramEnd"/>
      <w:r w:rsidRPr="005B51DC">
        <w:rPr>
          <w:rFonts w:ascii="Arial" w:hAnsi="Arial" w:cs="Arial"/>
        </w:rPr>
        <w:t xml:space="preserve"> mental health, safeguarding or end-of-life care, where difficult decisions may be required. Justice ensures fairness, equity and non-discrimination, supported by legislation such as the Equality Act, which protects individuals from discriminatory practices based on protected characteristics.</w:t>
      </w:r>
    </w:p>
    <w:p w14:paraId="59377C95" w14:textId="77777777" w:rsidR="005B51DC" w:rsidRPr="005B51DC" w:rsidRDefault="005B51DC" w:rsidP="005B51DC">
      <w:pPr>
        <w:rPr>
          <w:rFonts w:ascii="Arial" w:hAnsi="Arial" w:cs="Arial"/>
        </w:rPr>
      </w:pPr>
      <w:r w:rsidRPr="005B51DC">
        <w:rPr>
          <w:rFonts w:ascii="Arial" w:hAnsi="Arial" w:cs="Arial"/>
        </w:rPr>
        <w:t>Ethical practice also includes maintaining confidentiality, safeguarding vulnerable individuals, upholding dignity and demonstrating accountability. Professional codes from the NMC and HCPC clearly outline expectations around respect, honesty, integrity and responsibility, guiding practitioners in maintaining public trust. Ethical reflection further ensures that care decisions respect rights, wellbeing and professional responsibility. Reflective practice enables professionals to examine their own assumptions, challenge biases and learn from complex or emotionally challenging situations. By engaging in ongoing ethical reflection, practitioners strengthen their ability to deliver safe, inclusive and person-</w:t>
      </w:r>
      <w:proofErr w:type="spellStart"/>
      <w:r w:rsidRPr="005B51DC">
        <w:rPr>
          <w:rFonts w:ascii="Arial" w:hAnsi="Arial" w:cs="Arial"/>
        </w:rPr>
        <w:t>centred</w:t>
      </w:r>
      <w:proofErr w:type="spellEnd"/>
      <w:r w:rsidRPr="005B51DC">
        <w:rPr>
          <w:rFonts w:ascii="Arial" w:hAnsi="Arial" w:cs="Arial"/>
        </w:rPr>
        <w:t xml:space="preserve"> care while collaborating effectively within multidisciplinary teams.</w:t>
      </w:r>
    </w:p>
    <w:p w14:paraId="38B95FF7" w14:textId="18944904" w:rsidR="0030060A" w:rsidRPr="005B51DC" w:rsidRDefault="0030060A">
      <w:pPr>
        <w:rPr>
          <w:rFonts w:ascii="Arial" w:hAnsi="Arial" w:cs="Arial"/>
        </w:rPr>
      </w:pPr>
    </w:p>
    <w:p w14:paraId="3AA35807" w14:textId="77777777" w:rsidR="0030060A" w:rsidRPr="005B51DC" w:rsidRDefault="005B51DC">
      <w:pPr>
        <w:pStyle w:val="Heading2"/>
        <w:rPr>
          <w:rFonts w:ascii="Arial" w:hAnsi="Arial" w:cs="Arial"/>
        </w:rPr>
      </w:pPr>
      <w:r w:rsidRPr="005B51DC">
        <w:rPr>
          <w:rFonts w:ascii="Arial" w:hAnsi="Arial" w:cs="Arial"/>
        </w:rPr>
        <w:t>5.0 Evaluating Partnership Working</w:t>
      </w:r>
    </w:p>
    <w:p w14:paraId="2774E175" w14:textId="77777777" w:rsidR="0030060A" w:rsidRPr="005B51DC" w:rsidRDefault="005B51DC">
      <w:pPr>
        <w:rPr>
          <w:rFonts w:ascii="Arial" w:hAnsi="Arial" w:cs="Arial"/>
        </w:rPr>
      </w:pPr>
      <w:r w:rsidRPr="005B51DC">
        <w:rPr>
          <w:rFonts w:ascii="Arial" w:hAnsi="Arial" w:cs="Arial"/>
        </w:rPr>
        <w:t>Partnership working involves collaboration across professionals, agencies, service users and carers to provide coordinated, holistic care. PW ensures continuity, reduces service fragmentation and supports more accurate assessments through shared expertise.</w:t>
      </w:r>
    </w:p>
    <w:p w14:paraId="49FA01F9" w14:textId="77777777" w:rsidR="0030060A" w:rsidRPr="005B51DC" w:rsidRDefault="0030060A">
      <w:pPr>
        <w:rPr>
          <w:rFonts w:ascii="Arial" w:hAnsi="Arial" w:cs="Arial"/>
        </w:rPr>
      </w:pPr>
    </w:p>
    <w:p w14:paraId="172A7757" w14:textId="77777777" w:rsidR="0030060A" w:rsidRPr="005B51DC" w:rsidRDefault="005B51DC">
      <w:pPr>
        <w:rPr>
          <w:rFonts w:ascii="Arial" w:hAnsi="Arial" w:cs="Arial"/>
        </w:rPr>
      </w:pPr>
      <w:r w:rsidRPr="005B51DC">
        <w:rPr>
          <w:rFonts w:ascii="Arial" w:hAnsi="Arial" w:cs="Arial"/>
        </w:rPr>
        <w:t>Benefits include improved communication, safer transitions between services, enhanced safeguarding and more comprehensive care planning. Partnerships between health, social care and voluntary sectors promote early intervention and improved wellbeing.</w:t>
      </w:r>
    </w:p>
    <w:p w14:paraId="5330FBD4" w14:textId="77777777" w:rsidR="0030060A" w:rsidRPr="005B51DC" w:rsidRDefault="0030060A">
      <w:pPr>
        <w:rPr>
          <w:rFonts w:ascii="Arial" w:hAnsi="Arial" w:cs="Arial"/>
        </w:rPr>
      </w:pPr>
    </w:p>
    <w:p w14:paraId="1939C8D6" w14:textId="77777777" w:rsidR="0030060A" w:rsidRPr="005B51DC" w:rsidRDefault="005B51DC">
      <w:pPr>
        <w:rPr>
          <w:rFonts w:ascii="Arial" w:hAnsi="Arial" w:cs="Arial"/>
        </w:rPr>
      </w:pPr>
      <w:r w:rsidRPr="005B51DC">
        <w:rPr>
          <w:rFonts w:ascii="Arial" w:hAnsi="Arial" w:cs="Arial"/>
        </w:rPr>
        <w:t>Challenges include differing organisational cultures, incompatible documentation systems, time constraints and unclear role boundaries. Leadership, communication and shared goals are essential for effective PW. Strong PW results in improved experiences and outcomes for service users and carers.</w:t>
      </w:r>
    </w:p>
    <w:p w14:paraId="58DA84E5" w14:textId="77777777" w:rsidR="0030060A" w:rsidRPr="005B51DC" w:rsidRDefault="005B51DC">
      <w:pPr>
        <w:pStyle w:val="Heading2"/>
        <w:rPr>
          <w:rFonts w:ascii="Arial" w:hAnsi="Arial" w:cs="Arial"/>
        </w:rPr>
      </w:pPr>
      <w:r w:rsidRPr="005B51DC">
        <w:rPr>
          <w:rFonts w:ascii="Arial" w:hAnsi="Arial" w:cs="Arial"/>
        </w:rPr>
        <w:lastRenderedPageBreak/>
        <w:t>6.0 Application of Partnership Working in a Practical Setting</w:t>
      </w:r>
    </w:p>
    <w:p w14:paraId="31B9D0BD" w14:textId="77777777" w:rsidR="005B51DC" w:rsidRPr="005B51DC" w:rsidRDefault="005B51DC" w:rsidP="005B51DC">
      <w:pPr>
        <w:rPr>
          <w:rFonts w:ascii="Arial" w:hAnsi="Arial" w:cs="Arial"/>
        </w:rPr>
      </w:pPr>
      <w:r w:rsidRPr="005B51DC">
        <w:rPr>
          <w:rFonts w:ascii="Arial" w:hAnsi="Arial" w:cs="Arial"/>
        </w:rPr>
        <w:t xml:space="preserve">Community mental health services demonstrate PW effectively due to the complex needs of individuals requiring psychological, social and medical support. Multidisciplinary </w:t>
      </w:r>
      <w:proofErr w:type="gramStart"/>
      <w:r w:rsidRPr="005B51DC">
        <w:rPr>
          <w:rFonts w:ascii="Arial" w:hAnsi="Arial" w:cs="Arial"/>
        </w:rPr>
        <w:t>teams—</w:t>
      </w:r>
      <w:proofErr w:type="gramEnd"/>
      <w:r w:rsidRPr="005B51DC">
        <w:rPr>
          <w:rFonts w:ascii="Arial" w:hAnsi="Arial" w:cs="Arial"/>
        </w:rPr>
        <w:t>nurses, psychiatrists, psychologists, social workers, occupational therapists and support workers—collaborate to deliver holistic and recovery-focused care. These teams bring together diverse expertise and perspectives, which is essential for addressing the wide range of challenges experienced by people with mental health conditions, including housing instability, unemployment, substance misuse, trauma and social isolation. Through integrated assessments and shared care planning, PW ensures that interventions are coordinated, person-led and aligned with both clinical needs and personal goals.</w:t>
      </w:r>
    </w:p>
    <w:p w14:paraId="4089A738" w14:textId="77777777" w:rsidR="005B51DC" w:rsidRPr="005B51DC" w:rsidRDefault="005B51DC" w:rsidP="005B51DC">
      <w:pPr>
        <w:rPr>
          <w:rFonts w:ascii="Arial" w:hAnsi="Arial" w:cs="Arial"/>
        </w:rPr>
      </w:pPr>
      <w:r w:rsidRPr="005B51DC">
        <w:rPr>
          <w:rFonts w:ascii="Arial" w:hAnsi="Arial" w:cs="Arial"/>
        </w:rPr>
        <w:t xml:space="preserve">PW enables shared decision-making, risk management, crisis planning and safeguarding. This collaborative approach helps ensure that complex cases are managed safely and appropriately, especially when individuals experience fluctuating mental capacity or heightened vulnerability. Collaboration with voluntary </w:t>
      </w:r>
      <w:proofErr w:type="spellStart"/>
      <w:r w:rsidRPr="005B51DC">
        <w:rPr>
          <w:rFonts w:ascii="Arial" w:hAnsi="Arial" w:cs="Arial"/>
        </w:rPr>
        <w:t>organisations</w:t>
      </w:r>
      <w:proofErr w:type="spellEnd"/>
      <w:r w:rsidRPr="005B51DC">
        <w:rPr>
          <w:rFonts w:ascii="Arial" w:hAnsi="Arial" w:cs="Arial"/>
        </w:rPr>
        <w:t xml:space="preserve"> enhances social inclusion and long-term recovery by linking service users to peer support groups, advocacy services, community activities and employment </w:t>
      </w:r>
      <w:proofErr w:type="spellStart"/>
      <w:r w:rsidRPr="005B51DC">
        <w:rPr>
          <w:rFonts w:ascii="Arial" w:hAnsi="Arial" w:cs="Arial"/>
        </w:rPr>
        <w:t>programmes</w:t>
      </w:r>
      <w:proofErr w:type="spellEnd"/>
      <w:r w:rsidRPr="005B51DC">
        <w:rPr>
          <w:rFonts w:ascii="Arial" w:hAnsi="Arial" w:cs="Arial"/>
        </w:rPr>
        <w:t xml:space="preserve">. These </w:t>
      </w:r>
      <w:proofErr w:type="spellStart"/>
      <w:r w:rsidRPr="005B51DC">
        <w:rPr>
          <w:rFonts w:ascii="Arial" w:hAnsi="Arial" w:cs="Arial"/>
        </w:rPr>
        <w:t>organisations</w:t>
      </w:r>
      <w:proofErr w:type="spellEnd"/>
      <w:r w:rsidRPr="005B51DC">
        <w:rPr>
          <w:rFonts w:ascii="Arial" w:hAnsi="Arial" w:cs="Arial"/>
        </w:rPr>
        <w:t xml:space="preserve"> often provide flexible, person-</w:t>
      </w:r>
      <w:proofErr w:type="spellStart"/>
      <w:r w:rsidRPr="005B51DC">
        <w:rPr>
          <w:rFonts w:ascii="Arial" w:hAnsi="Arial" w:cs="Arial"/>
        </w:rPr>
        <w:t>centred</w:t>
      </w:r>
      <w:proofErr w:type="spellEnd"/>
      <w:r w:rsidRPr="005B51DC">
        <w:rPr>
          <w:rFonts w:ascii="Arial" w:hAnsi="Arial" w:cs="Arial"/>
        </w:rPr>
        <w:t xml:space="preserve"> support that complements statutory services and </w:t>
      </w:r>
      <w:proofErr w:type="gramStart"/>
      <w:r w:rsidRPr="005B51DC">
        <w:rPr>
          <w:rFonts w:ascii="Arial" w:hAnsi="Arial" w:cs="Arial"/>
        </w:rPr>
        <w:t>promotes</w:t>
      </w:r>
      <w:proofErr w:type="gramEnd"/>
      <w:r w:rsidRPr="005B51DC">
        <w:rPr>
          <w:rFonts w:ascii="Arial" w:hAnsi="Arial" w:cs="Arial"/>
        </w:rPr>
        <w:t xml:space="preserve"> independence and community participation.</w:t>
      </w:r>
    </w:p>
    <w:p w14:paraId="7BE0F0E6" w14:textId="77777777" w:rsidR="005B51DC" w:rsidRPr="005B51DC" w:rsidRDefault="005B51DC" w:rsidP="005B51DC">
      <w:pPr>
        <w:rPr>
          <w:rFonts w:ascii="Arial" w:hAnsi="Arial" w:cs="Arial"/>
        </w:rPr>
      </w:pPr>
      <w:r w:rsidRPr="005B51DC">
        <w:rPr>
          <w:rFonts w:ascii="Arial" w:hAnsi="Arial" w:cs="Arial"/>
        </w:rPr>
        <w:t xml:space="preserve">However, high caseloads, communication issues and inconsistent digital systems can weaken coordination. Fragmented record-keeping and incompatible IT systems make it difficult for teams to share information promptly, sometimes resulting in delays in crisis response or duplication of work. Additionally, differences in </w:t>
      </w:r>
      <w:proofErr w:type="spellStart"/>
      <w:r w:rsidRPr="005B51DC">
        <w:rPr>
          <w:rFonts w:ascii="Arial" w:hAnsi="Arial" w:cs="Arial"/>
        </w:rPr>
        <w:t>organisational</w:t>
      </w:r>
      <w:proofErr w:type="spellEnd"/>
      <w:r w:rsidRPr="005B51DC">
        <w:rPr>
          <w:rFonts w:ascii="Arial" w:hAnsi="Arial" w:cs="Arial"/>
        </w:rPr>
        <w:t xml:space="preserve"> culture or role expectations across agencies can create misunderstandings or reduce trust between professionals.</w:t>
      </w:r>
    </w:p>
    <w:p w14:paraId="7F86946C" w14:textId="77777777" w:rsidR="005B51DC" w:rsidRPr="005B51DC" w:rsidRDefault="005B51DC" w:rsidP="005B51DC">
      <w:pPr>
        <w:rPr>
          <w:rFonts w:ascii="Arial" w:hAnsi="Arial" w:cs="Arial"/>
        </w:rPr>
      </w:pPr>
      <w:r w:rsidRPr="005B51DC">
        <w:rPr>
          <w:rFonts w:ascii="Arial" w:hAnsi="Arial" w:cs="Arial"/>
        </w:rPr>
        <w:t xml:space="preserve">Strengthening digital integration and interprofessional training would significantly enhance PW in community mental health settings. Improved digital tools would support real-time information sharing, while joint training would promote shared values, mutual respect and clearer communication. Investing in these areas would create more cohesive teams, reduce service fragmentation and lead to more </w:t>
      </w:r>
      <w:proofErr w:type="spellStart"/>
      <w:r w:rsidRPr="005B51DC">
        <w:rPr>
          <w:rFonts w:ascii="Arial" w:hAnsi="Arial" w:cs="Arial"/>
        </w:rPr>
        <w:t>personalised</w:t>
      </w:r>
      <w:proofErr w:type="spellEnd"/>
      <w:r w:rsidRPr="005B51DC">
        <w:rPr>
          <w:rFonts w:ascii="Arial" w:hAnsi="Arial" w:cs="Arial"/>
        </w:rPr>
        <w:t xml:space="preserve">, </w:t>
      </w:r>
      <w:proofErr w:type="gramStart"/>
      <w:r w:rsidRPr="005B51DC">
        <w:rPr>
          <w:rFonts w:ascii="Arial" w:hAnsi="Arial" w:cs="Arial"/>
        </w:rPr>
        <w:t>effective and</w:t>
      </w:r>
      <w:proofErr w:type="gramEnd"/>
      <w:r w:rsidRPr="005B51DC">
        <w:rPr>
          <w:rFonts w:ascii="Arial" w:hAnsi="Arial" w:cs="Arial"/>
        </w:rPr>
        <w:t xml:space="preserve"> recovery-focused mental health care.</w:t>
      </w:r>
    </w:p>
    <w:p w14:paraId="398D7FB8" w14:textId="77777777" w:rsidR="005B51DC" w:rsidRPr="005B51DC" w:rsidRDefault="005B51DC" w:rsidP="005B51DC">
      <w:pPr>
        <w:rPr>
          <w:rFonts w:ascii="Arial" w:hAnsi="Arial" w:cs="Arial"/>
        </w:rPr>
      </w:pPr>
    </w:p>
    <w:p w14:paraId="3E22DA05" w14:textId="77777777" w:rsidR="0030060A" w:rsidRPr="005B51DC" w:rsidRDefault="005B51DC">
      <w:pPr>
        <w:pStyle w:val="Heading2"/>
        <w:rPr>
          <w:rFonts w:ascii="Arial" w:hAnsi="Arial" w:cs="Arial"/>
        </w:rPr>
      </w:pPr>
      <w:r w:rsidRPr="005B51DC">
        <w:rPr>
          <w:rFonts w:ascii="Arial" w:hAnsi="Arial" w:cs="Arial"/>
        </w:rPr>
        <w:t>7.0 Policy and Legislation Related to PCC and PW</w:t>
      </w:r>
    </w:p>
    <w:p w14:paraId="5A12C85B" w14:textId="77777777" w:rsidR="0030060A" w:rsidRPr="005B51DC" w:rsidRDefault="005B51DC">
      <w:pPr>
        <w:rPr>
          <w:rFonts w:ascii="Arial" w:hAnsi="Arial" w:cs="Arial"/>
        </w:rPr>
      </w:pPr>
      <w:r w:rsidRPr="005B51DC">
        <w:rPr>
          <w:rFonts w:ascii="Arial" w:hAnsi="Arial" w:cs="Arial"/>
        </w:rPr>
        <w:t>UK legislation strongly supports PCC and PW. The Care Act requires promotion of wellbeing, personal control and prevention. The Health and Social Care Act promotes integration and patient involvement. The Mental Capacity Act empowers decision-making and protects autonomy, while the Equality Act ensures non-discrimination.</w:t>
      </w:r>
    </w:p>
    <w:p w14:paraId="1D9D4365" w14:textId="77777777" w:rsidR="0030060A" w:rsidRPr="005B51DC" w:rsidRDefault="0030060A">
      <w:pPr>
        <w:rPr>
          <w:rFonts w:ascii="Arial" w:hAnsi="Arial" w:cs="Arial"/>
        </w:rPr>
      </w:pPr>
    </w:p>
    <w:p w14:paraId="352F4898" w14:textId="77777777" w:rsidR="0030060A" w:rsidRPr="005B51DC" w:rsidRDefault="005B51DC">
      <w:pPr>
        <w:rPr>
          <w:rFonts w:ascii="Arial" w:hAnsi="Arial" w:cs="Arial"/>
        </w:rPr>
      </w:pPr>
      <w:r w:rsidRPr="005B51DC">
        <w:rPr>
          <w:rFonts w:ascii="Arial" w:hAnsi="Arial" w:cs="Arial"/>
        </w:rPr>
        <w:lastRenderedPageBreak/>
        <w:t>Policy frameworks such as the NHS Long Term Plan emphasise personalised care, shared decision-making and integrated support. NICE guidelines encourage evidence-based PCC and multidisciplinary teamwork. Professional codes require dignity, compassion, communication and accountability. These frameworks collectively reinforce PCC and PW as essential components of high-quality care.</w:t>
      </w:r>
    </w:p>
    <w:p w14:paraId="7200ACF5" w14:textId="77777777" w:rsidR="0030060A" w:rsidRPr="005B51DC" w:rsidRDefault="005B51DC">
      <w:pPr>
        <w:pStyle w:val="Heading2"/>
        <w:rPr>
          <w:rFonts w:ascii="Arial" w:hAnsi="Arial" w:cs="Arial"/>
        </w:rPr>
      </w:pPr>
      <w:r w:rsidRPr="005B51DC">
        <w:rPr>
          <w:rFonts w:ascii="Arial" w:hAnsi="Arial" w:cs="Arial"/>
        </w:rPr>
        <w:t>8.0 Recommendations for Future Development</w:t>
      </w:r>
    </w:p>
    <w:p w14:paraId="1EF8269F" w14:textId="77777777" w:rsidR="0030060A" w:rsidRPr="005B51DC" w:rsidRDefault="005B51DC">
      <w:pPr>
        <w:rPr>
          <w:rFonts w:ascii="Arial" w:hAnsi="Arial" w:cs="Arial"/>
        </w:rPr>
      </w:pPr>
      <w:r w:rsidRPr="005B51DC">
        <w:rPr>
          <w:rFonts w:ascii="Arial" w:hAnsi="Arial" w:cs="Arial"/>
        </w:rPr>
        <w:t>• Expand workforce training in PCC, trauma-informed care and collaborative practice.</w:t>
      </w:r>
    </w:p>
    <w:p w14:paraId="30EE5FBB" w14:textId="77777777" w:rsidR="0030060A" w:rsidRPr="005B51DC" w:rsidRDefault="005B51DC">
      <w:pPr>
        <w:rPr>
          <w:rFonts w:ascii="Arial" w:hAnsi="Arial" w:cs="Arial"/>
        </w:rPr>
      </w:pPr>
      <w:r w:rsidRPr="005B51DC">
        <w:rPr>
          <w:rFonts w:ascii="Arial" w:hAnsi="Arial" w:cs="Arial"/>
        </w:rPr>
        <w:t>• Improve digital infrastructure for secure real-time information-sharing.</w:t>
      </w:r>
    </w:p>
    <w:p w14:paraId="43DB44BA" w14:textId="77777777" w:rsidR="0030060A" w:rsidRPr="005B51DC" w:rsidRDefault="005B51DC">
      <w:pPr>
        <w:rPr>
          <w:rFonts w:ascii="Arial" w:hAnsi="Arial" w:cs="Arial"/>
        </w:rPr>
      </w:pPr>
      <w:r w:rsidRPr="005B51DC">
        <w:rPr>
          <w:rFonts w:ascii="Arial" w:hAnsi="Arial" w:cs="Arial"/>
        </w:rPr>
        <w:t>• Increase funding and reduce caseload burdens to allow more personalised practice.</w:t>
      </w:r>
    </w:p>
    <w:p w14:paraId="4DE86B76" w14:textId="77777777" w:rsidR="0030060A" w:rsidRPr="005B51DC" w:rsidRDefault="005B51DC">
      <w:pPr>
        <w:rPr>
          <w:rFonts w:ascii="Arial" w:hAnsi="Arial" w:cs="Arial"/>
        </w:rPr>
      </w:pPr>
      <w:r w:rsidRPr="005B51DC">
        <w:rPr>
          <w:rFonts w:ascii="Arial" w:hAnsi="Arial" w:cs="Arial"/>
        </w:rPr>
        <w:t>• Enhance co-production, ensuring service users help shape services.</w:t>
      </w:r>
    </w:p>
    <w:p w14:paraId="686F6A2D" w14:textId="77777777" w:rsidR="0030060A" w:rsidRPr="005B51DC" w:rsidRDefault="005B51DC">
      <w:pPr>
        <w:rPr>
          <w:rFonts w:ascii="Arial" w:hAnsi="Arial" w:cs="Arial"/>
        </w:rPr>
      </w:pPr>
      <w:r w:rsidRPr="005B51DC">
        <w:rPr>
          <w:rFonts w:ascii="Arial" w:hAnsi="Arial" w:cs="Arial"/>
        </w:rPr>
        <w:t>• Strengthen cultural competency training to improve equity and inclusion.</w:t>
      </w:r>
    </w:p>
    <w:p w14:paraId="15493829" w14:textId="77777777" w:rsidR="0030060A" w:rsidRPr="005B51DC" w:rsidRDefault="005B51DC">
      <w:pPr>
        <w:rPr>
          <w:rFonts w:ascii="Arial" w:hAnsi="Arial" w:cs="Arial"/>
        </w:rPr>
      </w:pPr>
      <w:r w:rsidRPr="005B51DC">
        <w:rPr>
          <w:rFonts w:ascii="Arial" w:hAnsi="Arial" w:cs="Arial"/>
        </w:rPr>
        <w:t>• Create protected time for multidisciplinary collaboration.</w:t>
      </w:r>
    </w:p>
    <w:p w14:paraId="34FC4161" w14:textId="77777777" w:rsidR="0030060A" w:rsidRPr="005B51DC" w:rsidRDefault="005B51DC">
      <w:pPr>
        <w:rPr>
          <w:rFonts w:ascii="Arial" w:hAnsi="Arial" w:cs="Arial"/>
        </w:rPr>
      </w:pPr>
      <w:r w:rsidRPr="005B51DC">
        <w:rPr>
          <w:rFonts w:ascii="Arial" w:hAnsi="Arial" w:cs="Arial"/>
        </w:rPr>
        <w:t>• Invest in community-based and preventive services to reduce system pressures.</w:t>
      </w:r>
    </w:p>
    <w:p w14:paraId="4C6500D3" w14:textId="77777777" w:rsidR="0030060A" w:rsidRPr="005B51DC" w:rsidRDefault="005B51DC">
      <w:pPr>
        <w:pStyle w:val="Heading2"/>
        <w:rPr>
          <w:rFonts w:ascii="Arial" w:hAnsi="Arial" w:cs="Arial"/>
        </w:rPr>
      </w:pPr>
      <w:r w:rsidRPr="005B51DC">
        <w:rPr>
          <w:rFonts w:ascii="Arial" w:hAnsi="Arial" w:cs="Arial"/>
        </w:rPr>
        <w:t>9.0 Conclusion</w:t>
      </w:r>
    </w:p>
    <w:p w14:paraId="59DD8FA5" w14:textId="77777777" w:rsidR="0030060A" w:rsidRPr="005B51DC" w:rsidRDefault="005B51DC">
      <w:pPr>
        <w:rPr>
          <w:rFonts w:ascii="Arial" w:hAnsi="Arial" w:cs="Arial"/>
        </w:rPr>
      </w:pPr>
      <w:r w:rsidRPr="005B51DC">
        <w:rPr>
          <w:rFonts w:ascii="Arial" w:hAnsi="Arial" w:cs="Arial"/>
        </w:rPr>
        <w:t>PCC and PW are essential for delivering compassionate, equitable and effective health and social care. PCC centres the individuality, dignity and autonomy of each person, while PW ensures coordinated, holistic support. Although challenges persist—including resource limitations, organisational barriers and communication issues—strong policy frameworks continue to promote person-led care.</w:t>
      </w:r>
    </w:p>
    <w:p w14:paraId="23DC837C" w14:textId="77777777" w:rsidR="0030060A" w:rsidRPr="005B51DC" w:rsidRDefault="0030060A">
      <w:pPr>
        <w:rPr>
          <w:rFonts w:ascii="Arial" w:hAnsi="Arial" w:cs="Arial"/>
        </w:rPr>
      </w:pPr>
    </w:p>
    <w:p w14:paraId="5DACFE04" w14:textId="77777777" w:rsidR="0030060A" w:rsidRPr="005B51DC" w:rsidRDefault="005B51DC">
      <w:pPr>
        <w:rPr>
          <w:rFonts w:ascii="Arial" w:hAnsi="Arial" w:cs="Arial"/>
        </w:rPr>
      </w:pPr>
      <w:r w:rsidRPr="005B51DC">
        <w:rPr>
          <w:rFonts w:ascii="Arial" w:hAnsi="Arial" w:cs="Arial"/>
        </w:rPr>
        <w:t>Investment in training, digital innovation, workforce wellbeing and inclusive practice will strengthen PCC and PW across the sector. A sustained commitment to collaboration, respect and empowerment is essential for delivering high-quality, person-centred services now and in the future.</w:t>
      </w:r>
    </w:p>
    <w:p w14:paraId="5099D4B7" w14:textId="77777777" w:rsidR="0030060A" w:rsidRPr="005B51DC" w:rsidRDefault="005B51DC">
      <w:pPr>
        <w:pStyle w:val="Heading2"/>
        <w:rPr>
          <w:rFonts w:ascii="Arial" w:hAnsi="Arial" w:cs="Arial"/>
        </w:rPr>
      </w:pPr>
      <w:r w:rsidRPr="005B51DC">
        <w:rPr>
          <w:rFonts w:ascii="Arial" w:hAnsi="Arial" w:cs="Arial"/>
        </w:rPr>
        <w:t>10.0 Further Critical Discussion and Reflection</w:t>
      </w:r>
    </w:p>
    <w:p w14:paraId="38825496" w14:textId="77777777" w:rsidR="0030060A" w:rsidRPr="005B51DC" w:rsidRDefault="005B51DC">
      <w:pPr>
        <w:rPr>
          <w:rFonts w:ascii="Arial" w:hAnsi="Arial" w:cs="Arial"/>
        </w:rPr>
      </w:pPr>
      <w:r w:rsidRPr="005B51DC">
        <w:rPr>
          <w:rFonts w:ascii="Arial" w:hAnsi="Arial" w:cs="Arial"/>
        </w:rPr>
        <w:t>Meaningful implementation of PCC and PW requires cultural change, leadership commitment and staff support. Relational care—built on empathy and continuity—supports long-term wellbeing but requires emotional labour and reflection. Increased complexity of needs and widening inequalities make PCC and PW more important than ever.</w:t>
      </w:r>
    </w:p>
    <w:p w14:paraId="7AF3CBBD" w14:textId="77777777" w:rsidR="0030060A" w:rsidRPr="005B51DC" w:rsidRDefault="0030060A">
      <w:pPr>
        <w:rPr>
          <w:rFonts w:ascii="Arial" w:hAnsi="Arial" w:cs="Arial"/>
        </w:rPr>
      </w:pPr>
    </w:p>
    <w:p w14:paraId="75DC1C46" w14:textId="77777777" w:rsidR="0030060A" w:rsidRPr="005B51DC" w:rsidRDefault="005B51DC">
      <w:pPr>
        <w:rPr>
          <w:rFonts w:ascii="Arial" w:hAnsi="Arial" w:cs="Arial"/>
        </w:rPr>
      </w:pPr>
      <w:r w:rsidRPr="005B51DC">
        <w:rPr>
          <w:rFonts w:ascii="Arial" w:hAnsi="Arial" w:cs="Arial"/>
        </w:rPr>
        <w:t>Technology has the potential to improve access and communication, but digital exclusion risks widening health inequalities. Ensuring ethical, inclusive digital transformation is vital.</w:t>
      </w:r>
    </w:p>
    <w:p w14:paraId="1835AB22" w14:textId="77777777" w:rsidR="0030060A" w:rsidRPr="005B51DC" w:rsidRDefault="0030060A">
      <w:pPr>
        <w:rPr>
          <w:rFonts w:ascii="Arial" w:hAnsi="Arial" w:cs="Arial"/>
        </w:rPr>
      </w:pPr>
    </w:p>
    <w:p w14:paraId="5DF2FB03" w14:textId="77777777" w:rsidR="0030060A" w:rsidRPr="005B51DC" w:rsidRDefault="005B51DC">
      <w:pPr>
        <w:rPr>
          <w:rFonts w:ascii="Arial" w:hAnsi="Arial" w:cs="Arial"/>
        </w:rPr>
      </w:pPr>
      <w:r w:rsidRPr="005B51DC">
        <w:rPr>
          <w:rFonts w:ascii="Arial" w:hAnsi="Arial" w:cs="Arial"/>
        </w:rPr>
        <w:t>Practitioners also require emotional support and supervision, as PCC can be demanding without organisational backing. Interprofessional education helps reduce tensions and promotes mutual respect, improving the effectiveness of PW.</w:t>
      </w:r>
    </w:p>
    <w:p w14:paraId="4D947CC1" w14:textId="77777777" w:rsidR="0030060A" w:rsidRPr="005B51DC" w:rsidRDefault="0030060A">
      <w:pPr>
        <w:rPr>
          <w:rFonts w:ascii="Arial" w:hAnsi="Arial" w:cs="Arial"/>
        </w:rPr>
      </w:pPr>
    </w:p>
    <w:p w14:paraId="5482C9B6" w14:textId="77777777" w:rsidR="0030060A" w:rsidRPr="005B51DC" w:rsidRDefault="005B51DC">
      <w:pPr>
        <w:rPr>
          <w:rFonts w:ascii="Arial" w:hAnsi="Arial" w:cs="Arial"/>
        </w:rPr>
      </w:pPr>
      <w:r w:rsidRPr="005B51DC">
        <w:rPr>
          <w:rFonts w:ascii="Arial" w:hAnsi="Arial" w:cs="Arial"/>
        </w:rPr>
        <w:t>Overall, embedding PCC and PW depends on systemic investment, workforce development and ongoing collaboration across sectors.</w:t>
      </w:r>
    </w:p>
    <w:p w14:paraId="38811D8A" w14:textId="77777777" w:rsidR="0030060A" w:rsidRPr="005B51DC" w:rsidRDefault="005B51DC">
      <w:pPr>
        <w:pStyle w:val="Heading2"/>
        <w:rPr>
          <w:rFonts w:ascii="Arial" w:hAnsi="Arial" w:cs="Arial"/>
        </w:rPr>
      </w:pPr>
      <w:r w:rsidRPr="005B51DC">
        <w:rPr>
          <w:rFonts w:ascii="Arial" w:hAnsi="Arial" w:cs="Arial"/>
        </w:rPr>
        <w:t>Reference List</w:t>
      </w:r>
    </w:p>
    <w:p w14:paraId="4C57097B" w14:textId="77777777" w:rsidR="0030060A" w:rsidRPr="005B51DC" w:rsidRDefault="005B51DC">
      <w:pPr>
        <w:rPr>
          <w:rFonts w:ascii="Arial" w:hAnsi="Arial" w:cs="Arial"/>
        </w:rPr>
      </w:pPr>
      <w:r w:rsidRPr="005B51DC">
        <w:rPr>
          <w:rFonts w:ascii="Arial" w:hAnsi="Arial" w:cs="Arial"/>
        </w:rPr>
        <w:t>Beauchamp, T.L. and Childress, J.F. (2013) *Principles of Biomedical Ethics*. 7th edn. Oxford: Oxford University Press.</w:t>
      </w:r>
    </w:p>
    <w:p w14:paraId="42137F10" w14:textId="77777777" w:rsidR="0030060A" w:rsidRPr="005B51DC" w:rsidRDefault="005B51DC">
      <w:pPr>
        <w:rPr>
          <w:rFonts w:ascii="Arial" w:hAnsi="Arial" w:cs="Arial"/>
        </w:rPr>
      </w:pPr>
      <w:r w:rsidRPr="005B51DC">
        <w:rPr>
          <w:rFonts w:ascii="Arial" w:hAnsi="Arial" w:cs="Arial"/>
        </w:rPr>
        <w:t>Burton, A., Robinson, J. and Gordon, K. (2020) ‘Person-centred care in practice’, *Journal of Integrated Care*, 28(2), pp. 123–134.</w:t>
      </w:r>
    </w:p>
    <w:p w14:paraId="00FE5851" w14:textId="77777777" w:rsidR="0030060A" w:rsidRPr="005B51DC" w:rsidRDefault="005B51DC">
      <w:pPr>
        <w:rPr>
          <w:rFonts w:ascii="Arial" w:hAnsi="Arial" w:cs="Arial"/>
        </w:rPr>
      </w:pPr>
      <w:r w:rsidRPr="005B51DC">
        <w:rPr>
          <w:rFonts w:ascii="Arial" w:hAnsi="Arial" w:cs="Arial"/>
        </w:rPr>
        <w:t>Carnwell, R. and Buchanan, J. (2020) *Effective Practice in Health and Social Care*. London: Sage.</w:t>
      </w:r>
    </w:p>
    <w:p w14:paraId="388EC430" w14:textId="77777777" w:rsidR="0030060A" w:rsidRPr="005B51DC" w:rsidRDefault="005B51DC">
      <w:pPr>
        <w:rPr>
          <w:rFonts w:ascii="Arial" w:hAnsi="Arial" w:cs="Arial"/>
        </w:rPr>
      </w:pPr>
      <w:r w:rsidRPr="005B51DC">
        <w:rPr>
          <w:rFonts w:ascii="Arial" w:hAnsi="Arial" w:cs="Arial"/>
        </w:rPr>
        <w:t>Coulter, A. and Oldham, J. (2016) ‘Person-centred care: what is it and how do we get there?’, *Future Hospital Journal*, 3(2), pp. 114–116.</w:t>
      </w:r>
    </w:p>
    <w:p w14:paraId="58093815" w14:textId="77777777" w:rsidR="0030060A" w:rsidRPr="005B51DC" w:rsidRDefault="005B51DC">
      <w:pPr>
        <w:rPr>
          <w:rFonts w:ascii="Arial" w:hAnsi="Arial" w:cs="Arial"/>
        </w:rPr>
      </w:pPr>
      <w:r w:rsidRPr="005B51DC">
        <w:rPr>
          <w:rFonts w:ascii="Arial" w:hAnsi="Arial" w:cs="Arial"/>
        </w:rPr>
        <w:t>Department of Health and Social Care (2021) *Care Programme Approach Guidance*. Available at: https://www.gov.uk/ (Accessed: 20 November 2025).</w:t>
      </w:r>
    </w:p>
    <w:p w14:paraId="74B97057" w14:textId="77777777" w:rsidR="0030060A" w:rsidRPr="005B51DC" w:rsidRDefault="005B51DC">
      <w:pPr>
        <w:rPr>
          <w:rFonts w:ascii="Arial" w:hAnsi="Arial" w:cs="Arial"/>
        </w:rPr>
      </w:pPr>
      <w:r w:rsidRPr="005B51DC">
        <w:rPr>
          <w:rFonts w:ascii="Arial" w:hAnsi="Arial" w:cs="Arial"/>
        </w:rPr>
        <w:t>Glasby, J. and Dickinson, H. (2014) *Partnership Working in Health and Social Care*. 2nd edn. Bristol: Policy Press.</w:t>
      </w:r>
    </w:p>
    <w:p w14:paraId="0917BD55" w14:textId="77777777" w:rsidR="0030060A" w:rsidRPr="005B51DC" w:rsidRDefault="005B51DC">
      <w:pPr>
        <w:rPr>
          <w:rFonts w:ascii="Arial" w:hAnsi="Arial" w:cs="Arial"/>
        </w:rPr>
      </w:pPr>
      <w:r w:rsidRPr="005B51DC">
        <w:rPr>
          <w:rFonts w:ascii="Arial" w:hAnsi="Arial" w:cs="Arial"/>
        </w:rPr>
        <w:t>Health Foundation (2016) *Person-Centred Care Made Simple*. Available at: https://www.health.org.uk/ (Accessed: 20 November 2025).</w:t>
      </w:r>
    </w:p>
    <w:p w14:paraId="6EC725F1" w14:textId="77777777" w:rsidR="0030060A" w:rsidRPr="005B51DC" w:rsidRDefault="005B51DC">
      <w:pPr>
        <w:rPr>
          <w:rFonts w:ascii="Arial" w:hAnsi="Arial" w:cs="Arial"/>
        </w:rPr>
      </w:pPr>
      <w:r w:rsidRPr="005B51DC">
        <w:rPr>
          <w:rFonts w:ascii="Arial" w:hAnsi="Arial" w:cs="Arial"/>
        </w:rPr>
        <w:t>HCPC (2020) *Standards of Conduct, Performance and Ethics*. Available at: https://www.hcpc-uk.org/ (Accessed: 20 November 2025).</w:t>
      </w:r>
    </w:p>
    <w:p w14:paraId="69077400" w14:textId="77777777" w:rsidR="0030060A" w:rsidRPr="005B51DC" w:rsidRDefault="005B51DC">
      <w:pPr>
        <w:rPr>
          <w:rFonts w:ascii="Arial" w:hAnsi="Arial" w:cs="Arial"/>
        </w:rPr>
      </w:pPr>
      <w:r w:rsidRPr="005B51DC">
        <w:rPr>
          <w:rFonts w:ascii="Arial" w:hAnsi="Arial" w:cs="Arial"/>
        </w:rPr>
        <w:t>NHS England (2022) *Universal Personalised Care*. Available at: https://www.england.nhs.uk/ (Accessed: 20 November 2025).</w:t>
      </w:r>
    </w:p>
    <w:p w14:paraId="5DFA221A" w14:textId="77777777" w:rsidR="0030060A" w:rsidRPr="005B51DC" w:rsidRDefault="005B51DC">
      <w:pPr>
        <w:rPr>
          <w:rFonts w:ascii="Arial" w:hAnsi="Arial" w:cs="Arial"/>
        </w:rPr>
      </w:pPr>
      <w:r w:rsidRPr="005B51DC">
        <w:rPr>
          <w:rFonts w:ascii="Arial" w:hAnsi="Arial" w:cs="Arial"/>
        </w:rPr>
        <w:t>NICE (2019) *Shared Decision-Making Guidelines*. Available at: https://www.nice.org.uk/ (Accessed: 20 November 2025).</w:t>
      </w:r>
    </w:p>
    <w:p w14:paraId="5FFB342F" w14:textId="77777777" w:rsidR="0030060A" w:rsidRPr="005B51DC" w:rsidRDefault="005B51DC">
      <w:pPr>
        <w:rPr>
          <w:rFonts w:ascii="Arial" w:hAnsi="Arial" w:cs="Arial"/>
        </w:rPr>
      </w:pPr>
      <w:r w:rsidRPr="005B51DC">
        <w:rPr>
          <w:rFonts w:ascii="Arial" w:hAnsi="Arial" w:cs="Arial"/>
        </w:rPr>
        <w:t>NMC (2018) *The Code: Professional Standards of Practice and Behaviour*. Available at: https://www.nmc.org.uk/ (Accessed: 20 November 2025).</w:t>
      </w:r>
    </w:p>
    <w:p w14:paraId="430DC8C3" w14:textId="77777777" w:rsidR="0030060A" w:rsidRPr="005B51DC" w:rsidRDefault="005B51DC">
      <w:pPr>
        <w:rPr>
          <w:rFonts w:ascii="Arial" w:hAnsi="Arial" w:cs="Arial"/>
        </w:rPr>
      </w:pPr>
      <w:r w:rsidRPr="005B51DC">
        <w:rPr>
          <w:rFonts w:ascii="Arial" w:hAnsi="Arial" w:cs="Arial"/>
        </w:rPr>
        <w:t>RCN (2019) *Principles of Person-Centred Care*. Available at: https://www.rcn.org.uk/ (Accessed: 20 November 2025).</w:t>
      </w:r>
    </w:p>
    <w:p w14:paraId="02DBCAF1" w14:textId="77777777" w:rsidR="0030060A" w:rsidRPr="005B51DC" w:rsidRDefault="005B51DC">
      <w:pPr>
        <w:rPr>
          <w:rFonts w:ascii="Arial" w:hAnsi="Arial" w:cs="Arial"/>
        </w:rPr>
      </w:pPr>
      <w:r w:rsidRPr="005B51DC">
        <w:rPr>
          <w:rFonts w:ascii="Arial" w:hAnsi="Arial" w:cs="Arial"/>
        </w:rPr>
        <w:t>Rogers, C.R. (1951) *Client-Centred Therapy*. Boston: Houghton Mifflin.</w:t>
      </w:r>
    </w:p>
    <w:sectPr w:rsidR="0030060A" w:rsidRPr="005B51D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09B436C"/>
    <w:multiLevelType w:val="multilevel"/>
    <w:tmpl w:val="90463D30"/>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358508217">
    <w:abstractNumId w:val="8"/>
  </w:num>
  <w:num w:numId="2" w16cid:durableId="793333585">
    <w:abstractNumId w:val="6"/>
  </w:num>
  <w:num w:numId="3" w16cid:durableId="1788815438">
    <w:abstractNumId w:val="5"/>
  </w:num>
  <w:num w:numId="4" w16cid:durableId="2092464614">
    <w:abstractNumId w:val="4"/>
  </w:num>
  <w:num w:numId="5" w16cid:durableId="1876499865">
    <w:abstractNumId w:val="7"/>
  </w:num>
  <w:num w:numId="6" w16cid:durableId="904292773">
    <w:abstractNumId w:val="3"/>
  </w:num>
  <w:num w:numId="7" w16cid:durableId="620913970">
    <w:abstractNumId w:val="2"/>
  </w:num>
  <w:num w:numId="8" w16cid:durableId="902715438">
    <w:abstractNumId w:val="1"/>
  </w:num>
  <w:num w:numId="9" w16cid:durableId="174198567">
    <w:abstractNumId w:val="0"/>
  </w:num>
  <w:num w:numId="10" w16cid:durableId="15769381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728FA"/>
    <w:rsid w:val="0029639D"/>
    <w:rsid w:val="0030060A"/>
    <w:rsid w:val="00326F90"/>
    <w:rsid w:val="005B51DC"/>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5CC01E"/>
  <w14:defaultImageDpi w14:val="300"/>
  <w15:docId w15:val="{803D42D8-4AC2-41DA-93BA-A859FF2D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B51DC"/>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5B51DC"/>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B51DC"/>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5B51DC"/>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5B51DC"/>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9d6e26b4ed32e25b4d45ce7a56cf060">
  <xsd:schema xmlns:xsd="http://www.w3.org/2001/XMLSchema" xmlns:xs="http://www.w3.org/2001/XMLSchema" xmlns:p="http://schemas.microsoft.com/office/2006/metadata/properties" xmlns:ns3="0085e1a2-9cbf-4b92-866b-21f3c89040b6" targetNamespace="http://schemas.microsoft.com/office/2006/metadata/properties" ma:root="true" ma:fieldsID="5a80ee79c9ed152d63f4dc017734060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12F3D1DE-82A6-4D70-AC9F-29CBAFAB2B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E67169-47CA-4EA5-92FD-DC1976B3EF83}">
  <ds:schemaRefs>
    <ds:schemaRef ds:uri="http://schemas.microsoft.com/sharepoint/v3/contenttype/forms"/>
  </ds:schemaRefs>
</ds:datastoreItem>
</file>

<file path=customXml/itemProps4.xml><?xml version="1.0" encoding="utf-8"?>
<ds:datastoreItem xmlns:ds="http://schemas.openxmlformats.org/officeDocument/2006/customXml" ds:itemID="{01A7A183-F99D-461A-A5C4-3284AA3A53A8}">
  <ds:schemaRefs>
    <ds:schemaRef ds:uri="http://purl.org/dc/terms/"/>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http://purl.org/dc/dcmitype/"/>
    <ds:schemaRef ds:uri="http://purl.org/dc/elements/1.1/"/>
    <ds:schemaRef ds:uri="http://schemas.microsoft.com/office/2006/metadata/propertie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2294</Words>
  <Characters>13080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Elisabeta Milea</cp:lastModifiedBy>
  <cp:revision>2</cp:revision>
  <dcterms:created xsi:type="dcterms:W3CDTF">2025-11-19T20:56:00Z</dcterms:created>
  <dcterms:modified xsi:type="dcterms:W3CDTF">2025-11-19T20:56:00Z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