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DA2E4" w14:textId="3CEDA81E" w:rsidR="00423CC8" w:rsidRPr="00207F4C" w:rsidRDefault="00423CC8" w:rsidP="004E7CEA">
      <w:pPr>
        <w:spacing w:before="100" w:beforeAutospacing="1" w:after="100" w:afterAutospacing="1" w:line="240" w:lineRule="auto"/>
        <w:rPr>
          <w:rFonts w:ascii="Arial" w:hAnsi="Arial" w:cs="Arial"/>
          <w:sz w:val="22"/>
          <w:szCs w:val="22"/>
        </w:rPr>
      </w:pPr>
    </w:p>
    <w:p w14:paraId="02E05305" w14:textId="14376D7A" w:rsidR="00423CC8" w:rsidRPr="00207F4C" w:rsidRDefault="3F2BEC68" w:rsidP="00207F4C">
      <w:pPr>
        <w:pStyle w:val="Title"/>
      </w:pPr>
      <w:r w:rsidRPr="00207F4C">
        <w:rPr>
          <w:rFonts w:eastAsia="Times New Roman"/>
        </w:rPr>
        <w:t>Evaluation of Datix Cymru Adoption and Use in the Welsh Ambulance Services NHS Trust (WAST)</w:t>
      </w:r>
    </w:p>
    <w:p w14:paraId="4A8FC69B" w14:textId="3B58C4EA" w:rsidR="00423CC8" w:rsidRPr="00207F4C" w:rsidRDefault="00423CC8" w:rsidP="004E7CEA">
      <w:pPr>
        <w:spacing w:before="100" w:beforeAutospacing="1" w:after="100" w:afterAutospacing="1" w:line="240" w:lineRule="auto"/>
        <w:rPr>
          <w:rFonts w:ascii="Arial" w:hAnsi="Arial" w:cs="Arial"/>
          <w:sz w:val="22"/>
          <w:szCs w:val="22"/>
        </w:rPr>
      </w:pPr>
    </w:p>
    <w:p w14:paraId="0308AA8D" w14:textId="22621FB2"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1. Introduction </w:t>
      </w:r>
    </w:p>
    <w:p w14:paraId="441E9ADF" w14:textId="3C55F16D"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 xml:space="preserve">The Welsh Ambulance Services NHS Trust (WAST) delivers emergency and urgent care services across Wales, including 999 responses, NHS 111, and non-emergency patient </w:t>
      </w:r>
      <w:r w:rsidR="51AFCD69" w:rsidRPr="147352E0">
        <w:rPr>
          <w:rFonts w:ascii="Arial" w:eastAsia="Times New Roman" w:hAnsi="Arial" w:cs="Arial"/>
          <w:sz w:val="22"/>
          <w:szCs w:val="22"/>
        </w:rPr>
        <w:t>transport. (</w:t>
      </w:r>
      <w:sdt>
        <w:sdtPr>
          <w:rPr>
            <w:rFonts w:ascii="Arial" w:eastAsia="Times New Roman" w:hAnsi="Arial" w:cs="Arial"/>
            <w:color w:val="000000" w:themeColor="text1"/>
            <w:sz w:val="22"/>
            <w:szCs w:val="22"/>
          </w:rPr>
          <w:tag w:val="MENDELEY_CITATION_v3_eyJjaXRhdGlvbklEIjoiTUVOREVMRVlfQ0lUQVRJT05fNTE1NTAyYzAtNzhiMy00NTMxLThlZWYtYTQ1MGIyNDYxYzVk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I5YmZiYzBlYS05NjEyLTM5ZGEtOTVlYi1kMzM3YWEyYTE2ODciLCJpdGVtRGF0YSI6eyJ0eXBlIjoid2VicGFnZSIsImlkIjoiOWJmYmMwZWEtOTYxMi0zOWRhLTk1ZWItZDMzN2FhMmExNjg3IiwidGl0bGUiOiJBYm91dCBVcyAtIFdlbHNoIEFtYnVsYW5jZSBTZXJ2aWNlcyBVbml2ZXJzaXR5IE5IUyBUcnVzdCIsImFjY2Vzc2VkIjp7ImRhdGUtcGFydHMiOltbMjAyNiwxLDI4XV19LCJVUkwiOiJodHRwczovL2FtYnVsYW5jZS5uaHMud2FsZXMvYWJvdXQtdXMvIiwiY29udGFpbmVyLXRpdGxlLXNob3J0IjoiIn0sImlzVGVtcG9yYXJ5IjpmYWxzZX1dfQ=="/>
          <w:id w:val="879286679"/>
          <w:placeholder>
            <w:docPart w:val="DefaultPlaceholder_-1854013440"/>
          </w:placeholder>
        </w:sdtPr>
        <w:sdtContent>
          <w:r w:rsidR="004508AB" w:rsidRPr="147352E0">
            <w:rPr>
              <w:rFonts w:ascii="Arial" w:eastAsia="Times New Roman" w:hAnsi="Arial" w:cs="Arial"/>
              <w:i/>
              <w:iCs/>
              <w:color w:val="000000" w:themeColor="text1"/>
              <w:sz w:val="22"/>
              <w:szCs w:val="22"/>
            </w:rPr>
            <w:t>About Us - Welsh Ambulance Services University NHS Trust</w:t>
          </w:r>
          <w:r w:rsidR="004508AB" w:rsidRPr="147352E0">
            <w:rPr>
              <w:rFonts w:ascii="Arial" w:eastAsia="Times New Roman" w:hAnsi="Arial" w:cs="Arial"/>
              <w:color w:val="000000" w:themeColor="text1"/>
              <w:sz w:val="22"/>
              <w:szCs w:val="22"/>
            </w:rPr>
            <w:t>, n.d.)</w:t>
          </w:r>
        </w:sdtContent>
      </w:sdt>
      <w:r w:rsidRPr="147352E0">
        <w:rPr>
          <w:rFonts w:ascii="Arial" w:eastAsia="Times New Roman" w:hAnsi="Arial" w:cs="Arial"/>
          <w:sz w:val="22"/>
          <w:szCs w:val="22"/>
        </w:rPr>
        <w:t xml:space="preserve"> The Trust operates in a high-risk, time-critical, and geographically dispersed environment. Accurate incident reporting is essential for patient safety, regulatory compliance, and organisational </w:t>
      </w:r>
      <w:r w:rsidR="002A1F14" w:rsidRPr="147352E0">
        <w:rPr>
          <w:rFonts w:ascii="Arial" w:eastAsia="Times New Roman" w:hAnsi="Arial" w:cs="Arial"/>
          <w:sz w:val="22"/>
          <w:szCs w:val="22"/>
        </w:rPr>
        <w:t>learning.</w:t>
      </w:r>
    </w:p>
    <w:p w14:paraId="380F37B7" w14:textId="6BE16F8B"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Historically, WAST and other NHS Wales bodies relied on legacy Datix systems and the National Reporting and Learning System (NRLS). These systems varied by Health Board and often contained irrelevant fields. They provided inconsistent coding, reporting workflows, and governance </w:t>
      </w:r>
      <w:r w:rsidR="00207F4C" w:rsidRPr="00207F4C">
        <w:rPr>
          <w:rFonts w:ascii="Arial" w:eastAsia="Times New Roman" w:hAnsi="Arial" w:cs="Arial"/>
          <w:sz w:val="22"/>
          <w:szCs w:val="22"/>
        </w:rPr>
        <w:t>processes.</w:t>
      </w:r>
      <w:r w:rsidRPr="00207F4C">
        <w:rPr>
          <w:rFonts w:ascii="Arial" w:eastAsia="Times New Roman" w:hAnsi="Arial" w:cs="Arial"/>
          <w:sz w:val="22"/>
          <w:szCs w:val="22"/>
        </w:rPr>
        <w:t xml:space="preserve"> Such variability hindered national-level reporting, learning, and standardisation across NHS Wales.</w:t>
      </w:r>
    </w:p>
    <w:p w14:paraId="1C56D4D8" w14:textId="06D3E13A"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To address these challenges, Datix Cymru, the Once for Wales Concerns Management System, was introduced as a cloud-based platform to standardise reporting, investigation, and governance workflows. Its stated purpose is to improve consistency, transparency, and organisational learning in the management of incidents, near misses, complaints, Duty of Candour events, and Redress cases (</w:t>
      </w:r>
      <w:sdt>
        <w:sdtPr>
          <w:rPr>
            <w:rFonts w:ascii="Arial" w:eastAsia="Times New Roman" w:hAnsi="Arial" w:cs="Arial"/>
            <w:color w:val="000000" w:themeColor="text1"/>
            <w:sz w:val="22"/>
            <w:szCs w:val="22"/>
          </w:rPr>
          <w:tag w:val="MENDELEY_CITATION_v3_eyJjaXRhdGlvbklEIjoiTUVOREVMRVlfQ0lUQVRJT05fNTJkNTU4OGYtMjBjMC00ZDE0LTk1NWItZThiZjU1OWZkMmYyIiwicHJvcGVydGllcyI6eyJub3RlSW5kZXgiOjB9LCJpc0VkaXRlZCI6ZmFsc2UsIm1hbnVhbE92ZXJyaWRlIjp7ImlzTWFudWFsbHlPdmVycmlkZGVuIjpmYWxzZSwiY2l0ZXByb2NUZXh0IjoiKDxpPkRBVElYIENZTVJVLUlOQ0lERU5UIFJFUE9SVElORz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1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X0sImlzVGVtcG9yYXJ5IjpmYWxzZX1dfQ=="/>
          <w:id w:val="-1208566161"/>
          <w:placeholder>
            <w:docPart w:val="DefaultPlaceholder_-1854013440"/>
          </w:placeholder>
        </w:sdtPr>
        <w:sdtContent>
          <w:r w:rsidR="004508AB" w:rsidRPr="147352E0">
            <w:rPr>
              <w:rFonts w:ascii="Arial" w:eastAsia="Times New Roman" w:hAnsi="Arial" w:cs="Arial"/>
              <w:color w:val="000000" w:themeColor="text1"/>
              <w:sz w:val="22"/>
              <w:szCs w:val="22"/>
            </w:rPr>
            <w:t>(</w:t>
          </w:r>
          <w:r w:rsidR="004508AB" w:rsidRPr="147352E0">
            <w:rPr>
              <w:rFonts w:ascii="Arial" w:eastAsia="Times New Roman" w:hAnsi="Arial" w:cs="Arial"/>
              <w:i/>
              <w:iCs/>
              <w:color w:val="000000" w:themeColor="text1"/>
              <w:sz w:val="22"/>
              <w:szCs w:val="22"/>
            </w:rPr>
            <w:t>DATIX CYMRU-INCIDENT REPORTING</w:t>
          </w:r>
          <w:r w:rsidR="004508AB" w:rsidRPr="147352E0">
            <w:rPr>
              <w:rFonts w:ascii="Arial" w:eastAsia="Times New Roman" w:hAnsi="Arial" w:cs="Arial"/>
              <w:color w:val="000000" w:themeColor="text1"/>
              <w:sz w:val="22"/>
              <w:szCs w:val="22"/>
            </w:rPr>
            <w:t xml:space="preserve">, n.d.; </w:t>
          </w:r>
          <w:r w:rsidR="004508AB" w:rsidRPr="147352E0">
            <w:rPr>
              <w:rFonts w:ascii="Arial" w:eastAsia="Times New Roman" w:hAnsi="Arial" w:cs="Arial"/>
              <w:i/>
              <w:iCs/>
              <w:color w:val="000000" w:themeColor="text1"/>
              <w:sz w:val="22"/>
              <w:szCs w:val="22"/>
            </w:rPr>
            <w:t>Once for Wales Concerns Management System Datix Cymru Community Pharmacy Patient Safety Incident Reporting and Management Quick Reference User Guide</w:t>
          </w:r>
          <w:r w:rsidR="004508AB" w:rsidRPr="147352E0">
            <w:rPr>
              <w:rFonts w:ascii="Arial" w:eastAsia="Times New Roman" w:hAnsi="Arial" w:cs="Arial"/>
              <w:color w:val="000000" w:themeColor="text1"/>
              <w:sz w:val="22"/>
              <w:szCs w:val="22"/>
            </w:rPr>
            <w:t>, n.d.)</w:t>
          </w:r>
        </w:sdtContent>
      </w:sdt>
      <w:r w:rsidRPr="147352E0">
        <w:rPr>
          <w:rFonts w:ascii="Arial" w:eastAsia="Times New Roman" w:hAnsi="Arial" w:cs="Arial"/>
          <w:sz w:val="22"/>
          <w:szCs w:val="22"/>
        </w:rPr>
        <w:t xml:space="preserve">. Within WAST, the system’s implied purpose extends to supporting statutory compliance, </w:t>
      </w:r>
      <w:r w:rsidR="00207F4C" w:rsidRPr="147352E0">
        <w:rPr>
          <w:rFonts w:ascii="Arial" w:eastAsia="Times New Roman" w:hAnsi="Arial" w:cs="Arial"/>
          <w:sz w:val="22"/>
          <w:szCs w:val="22"/>
        </w:rPr>
        <w:t>strengthening</w:t>
      </w:r>
      <w:r w:rsidRPr="147352E0">
        <w:rPr>
          <w:rFonts w:ascii="Arial" w:eastAsia="Times New Roman" w:hAnsi="Arial" w:cs="Arial"/>
          <w:sz w:val="22"/>
          <w:szCs w:val="22"/>
        </w:rPr>
        <w:t xml:space="preserve"> oversight, and reducing variability caused by legacy system configurations. It also enables national-level learning and supports operational managers, clinical leaders, and governance teams in monitoring safety events across a mobile </w:t>
      </w:r>
      <w:r w:rsidR="43459A5E" w:rsidRPr="147352E0">
        <w:rPr>
          <w:rFonts w:ascii="Arial" w:eastAsia="Times New Roman" w:hAnsi="Arial" w:cs="Arial"/>
          <w:sz w:val="22"/>
          <w:szCs w:val="22"/>
        </w:rPr>
        <w:t>workforce (</w:t>
      </w:r>
      <w:sdt>
        <w:sdtPr>
          <w:rPr>
            <w:rFonts w:ascii="Arial" w:eastAsia="Times New Roman" w:hAnsi="Arial" w:cs="Arial"/>
            <w:color w:val="000000" w:themeColor="text1"/>
            <w:sz w:val="22"/>
            <w:szCs w:val="22"/>
          </w:rPr>
          <w:tag w:val="MENDELEY_CITATION_v3_eyJjaXRhdGlvbklEIjoiTUVOREVMRVlfQ0lUQVRJT05fN2RmMDAzNGUtN2U2ZC00MTUwLTllNDItYTViNGNlODE1MmJjIiwicHJvcGVydGllcyI6eyJub3RlSW5kZXgiOjB9LCJpc0VkaXRlZCI6ZmFsc2UsIm1hbnVhbE92ZXJyaWRlIjp7ImlzTWFudWFsbHlPdmVycmlkZGVuIjpmYWxzZSwiY2l0ZXByb2NUZXh0IjoiKDxpPk9uY2UgZm9yIFdhbGVzIENvbmNlcm5zIE1hbmFnZW1lbnQgU3lzdGVtIC0gTkhTIFdhbGVzIFNoYXJlZCBTZXJ2aWNlcyBQYXJ0bmVyc2hpcDwvaT4sIG4uZC4pIiwibWFudWFsT3ZlcnJpZGVUZXh0IjoiIn0sImNpdGF0aW9uSXRlbXMiOlt7ImlkIjoiOTE4NTJhZjctMDM2Mi0zMjRkLThhNzgtN2Y2NTEzNGY3MTBjIiwiaXRlbURhdGEiOnsidHlwZSI6IndlYnBhZ2UiLCJpZCI6IjkxODUyYWY3LTAzNjItMzI0ZC04YTc4LTdmNjUxMzRmNzEwYyIsInRpdGxlIjoiT25jZSBmb3IgV2FsZXMgQ29uY2VybnMgTWFuYWdlbWVudCBTeXN0ZW0gLSBOSFMgV2FsZXMgU2hhcmVkIFNlcnZpY2VzIFBhcnRuZXJzaGlwIiwiYWNjZXNzZWQiOnsiZGF0ZS1wYXJ0cyI6W1syMDI2LDEsMjhdXX0sIlVSTCI6Imh0dHBzOi8vbndzc3AubmhzLndhbGVzL2Etd3Avb25jZS1mb3Itd2FsZXMtY29uY2VybnMtbWFuYWdlbWVudC1zeXN0ZW0vIiwiY29udGFpbmVyLXRpdGxlLXNob3J0IjoiIn0sImlzVGVtcG9yYXJ5IjpmYWxzZX1dfQ=="/>
          <w:id w:val="2139749589"/>
          <w:placeholder>
            <w:docPart w:val="DefaultPlaceholder_-1854013440"/>
          </w:placeholder>
        </w:sdtPr>
        <w:sdtContent>
          <w:r w:rsidR="004508AB" w:rsidRPr="147352E0">
            <w:rPr>
              <w:rFonts w:ascii="Arial" w:eastAsia="Times New Roman" w:hAnsi="Arial" w:cs="Arial"/>
              <w:i/>
              <w:iCs/>
              <w:color w:val="000000" w:themeColor="text1"/>
              <w:sz w:val="22"/>
              <w:szCs w:val="22"/>
            </w:rPr>
            <w:t>Once for Wales Concerns Management System - NHS Wales Shared Services Partnership</w:t>
          </w:r>
          <w:r w:rsidR="004508AB" w:rsidRPr="147352E0">
            <w:rPr>
              <w:rFonts w:ascii="Arial" w:eastAsia="Times New Roman" w:hAnsi="Arial" w:cs="Arial"/>
              <w:color w:val="000000" w:themeColor="text1"/>
              <w:sz w:val="22"/>
              <w:szCs w:val="22"/>
            </w:rPr>
            <w:t>, n.d.)</w:t>
          </w:r>
        </w:sdtContent>
      </w:sdt>
      <w:r w:rsidRPr="147352E0">
        <w:rPr>
          <w:rFonts w:ascii="Arial" w:eastAsia="Times New Roman" w:hAnsi="Arial" w:cs="Arial"/>
          <w:sz w:val="22"/>
          <w:szCs w:val="22"/>
        </w:rPr>
        <w:t>.</w:t>
      </w:r>
    </w:p>
    <w:p w14:paraId="5AF5C9D9" w14:textId="68E04FEA"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 xml:space="preserve">The adoption and effectiveness of incident reporting systems depend not only on technical functionality but also on alignment with user roles and operational tasks. To systematically assess this, the Fit between Individuals, Tasks, and Technology (FITT) framework was </w:t>
      </w:r>
      <w:r w:rsidR="121988CE" w:rsidRPr="147352E0">
        <w:rPr>
          <w:rFonts w:ascii="Arial" w:eastAsia="Times New Roman" w:hAnsi="Arial" w:cs="Arial"/>
          <w:sz w:val="22"/>
          <w:szCs w:val="22"/>
        </w:rPr>
        <w:t>applied. (</w:t>
      </w:r>
      <w:sdt>
        <w:sdtPr>
          <w:rPr>
            <w:rFonts w:ascii="Arial" w:eastAsia="Times New Roman" w:hAnsi="Arial" w:cs="Arial"/>
            <w:color w:val="000000" w:themeColor="text1"/>
            <w:sz w:val="22"/>
            <w:szCs w:val="22"/>
          </w:rPr>
          <w:tag w:val="MENDELEY_CITATION_v3_eyJjaXRhdGlvbklEIjoiTUVOREVMRVlfQ0lUQVRJT05fZGNhMDBiYzctZGJhMC00MzUzLWE4NDgtOTMxZWEwYjMzMTUw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622806189"/>
          <w:placeholder>
            <w:docPart w:val="DefaultPlaceholder_-1854013440"/>
          </w:placeholder>
        </w:sdtPr>
        <w:sdtContent>
          <w:r w:rsidR="004508AB" w:rsidRPr="147352E0">
            <w:rPr>
              <w:rFonts w:ascii="Arial" w:eastAsia="Times New Roman" w:hAnsi="Arial" w:cs="Arial"/>
              <w:color w:val="000000" w:themeColor="text1"/>
              <w:sz w:val="22"/>
              <w:szCs w:val="22"/>
            </w:rPr>
            <w:t>Ammenwerth et al., 2006)</w:t>
          </w:r>
        </w:sdtContent>
      </w:sdt>
      <w:r w:rsidRPr="147352E0">
        <w:rPr>
          <w:rFonts w:ascii="Arial" w:eastAsia="Times New Roman" w:hAnsi="Arial" w:cs="Arial"/>
          <w:sz w:val="22"/>
          <w:szCs w:val="22"/>
        </w:rPr>
        <w:t xml:space="preserve"> FITT provides a structured lens to examine system usability, task compatibility, and staff capability. It highlights areas of alignment and misalignment compared with legacy systems. This evaluation focuses on how Datix Cymru supports incident reporting within WAST’s operational context, identifies challenges, and evaluates improvements in efficiency, usability, and governance.</w:t>
      </w:r>
    </w:p>
    <w:p w14:paraId="5C3A7970" w14:textId="5F4AB772" w:rsidR="00423CC8" w:rsidRPr="00207F4C" w:rsidRDefault="00423CC8" w:rsidP="004E7CEA">
      <w:pPr>
        <w:spacing w:before="100" w:beforeAutospacing="1" w:after="100" w:afterAutospacing="1" w:line="240" w:lineRule="auto"/>
        <w:rPr>
          <w:rFonts w:ascii="Arial" w:hAnsi="Arial" w:cs="Arial"/>
          <w:sz w:val="22"/>
          <w:szCs w:val="22"/>
        </w:rPr>
      </w:pPr>
    </w:p>
    <w:p w14:paraId="14E33905" w14:textId="528AF7E1"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2. Methods </w:t>
      </w:r>
    </w:p>
    <w:p w14:paraId="50E802FC" w14:textId="20F35CCE"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2.1 Evaluation Framework</w:t>
      </w:r>
    </w:p>
    <w:p w14:paraId="336EACF2" w14:textId="0638F89B"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This evaluation used a sociotechnical approach to assess the adoption and effectiveness of Datix Cymru within WAST. Sociotechnical theory recognises that healthcare technology outcomes are influenced by system design, user characteristics, task requirements, and organisational structures </w:t>
      </w:r>
      <w:sdt>
        <w:sdtPr>
          <w:rPr>
            <w:rFonts w:ascii="Arial" w:eastAsia="Times New Roman" w:hAnsi="Arial" w:cs="Arial"/>
            <w:color w:val="000000"/>
            <w:sz w:val="22"/>
            <w:szCs w:val="22"/>
          </w:rPr>
          <w:tag w:val="MENDELEY_CITATION_v3_eyJjaXRhdGlvbklEIjoiTUVOREVMRVlfQ0lUQVRJT05fY2JmODUwYzctZTc0Ny00NjdmLTlhMGQtNzY0MTk0OWZkZTNlIiwicHJvcGVydGllcyI6eyJub3RlSW5kZXgiOjB9LCJpc0VkaXRlZCI6ZmFsc2UsIm1hbnVhbE92ZXJyaWRlIjp7ImlzTWFudWFsbHlPdmVycmlkZGVuIjpmYWxzZSwiY2l0ZXByb2NUZXh0IjoiKEJvcnlja2kgJiMzODsgS3VzaG5pcnVrLCAyMDEwKSIsIm1hbnVhbE92ZXJyaWRlVGV4dCI6IiJ9LCJjaXRhdGlvbkl0ZW1zIjpbeyJpZCI6ImFhNzQ5NjUzLWFlNTktM2U5My04YjBhLWUyZTg3N2FhNmZhMSIsIml0ZW1EYXRhIjp7InR5cGUiOiJhcnRpY2xlLWpvdXJuYWwiLCJpZCI6ImFhNzQ5NjUzLWFlNTktM2U5My04YjBhLWUyZTg3N2FhNmZhMSIsInRpdGxlIjoiVG93YXJkcyBhbiBJbnRlZ3JhdGl2ZSBDb2duaXRpdmUtU29jaW8tVGVjaG5pY2FsIEFwcHJvYWNoIGluIEhlYWx0aCBJbmZvcm1hdGljczogQW5hbHl6aW5nIFRlY2hub2xvZ3ktSW5kdWNlZCBFcnJvciBJbnZvbHZpbmcgSGVhbHRoIEluZm9ybWF0aW9uIFN5c3RlbXMgdG8gSW1wcm92ZSBQYXRpZW50IFNhZmV0eSIsImF1dGhvciI6W3siZmFtaWx5IjoiQm9yeWNraSIsImdpdmVuIjoiRS5NIiwicGFyc2UtbmFtZXMiOmZhbHNlLCJkcm9wcGluZy1wYXJ0aWNsZSI6IiIsIm5vbi1kcm9wcGluZy1wYXJ0aWNsZSI6IiJ9LHsiZmFtaWx5IjoiS3VzaG5pcnVrIiwiZ2l2ZW4iOiJBLlciLCJwYXJzZS1uYW1lcyI6ZmFsc2UsImRyb3BwaW5nLXBhcnRpY2xlIjoiIiwibm9uLWRyb3BwaW5nLXBhcnRpY2xlIjoiIn1dLCJjb250YWluZXItdGl0bGUiOiJUaGUgT3BlbiBNZWRpY2FsIEluZm9ybWF0aWNzIEpvdXJuYWwiLCJjb250YWluZXItdGl0bGUtc2hvcnQiOiJPcGVuIE1lZC4gSW5mb3JtLiBKLiIsImFjY2Vzc2VkIjp7ImRhdGUtcGFydHMiOltbMjAyNiwxLDI4XV19LCJET0kiOiIxMC4yMTc0LzE4NzQ0MzExMDEwMDQwMTAxODEiLCJJU1NOIjoiMTg3NC00MzExIiwiUE1JRCI6IjIxNTk0MDEwIiwiVVJMIjoiaHR0cHM6Ly9wbWMubmNiaS5ubG0ubmloLmdvdi9hcnRpY2xlcy9QTUMzMDk3MDY3LyIsImlzc3VlZCI6eyJkYXRlLXBhcnRzIjpbWzIwMTAsNCw1XV19LCJwYWdlIjoiMTgxIiwiYWJzdHJhY3QiOiJUaGUgcHVycG9zZSBvZiB0aGlzIHBhcGVyIGlzIHRvIGFyZ3VlIGZvciBhbiBpbnRlZ3JhdGlvbiBvZiBjb2duaXRpdmUgYW5kIHNvY2lvLXRlY2huaWNhbCBhcHByb2FjaGVzIHRvIGFzc2Vzc2luZyB0aGUgaW1wYWN0IG9mIGhlYWx0aCBpbmZvcm1hdGlvbiBzeXN0ZW1zLiBIaXN0b3JpY2FsbHksIGhlYWx0aCBpbmZvcm1hdGljcyByZXNlYXJjaCBoYXMgZXhhbWluZWQgdGhlIGNvZ25pdGl2ZSBhbmQgc29jaW8tdGVjaG5pY2FsIGFzcGVjdHMgb2YgaGVhbHRoIGluZm9ybWF0aW9uIHN5c3RlbXMgc2VwYXJhdGVseS4gSW4gdGhpcyBwYXBlciB3ZSBhcmd1ZSB0aGF0IGV2YWx1YXRpb25zIG9mIGhlYWx0aCBpbmZvcm1hdGlvbiBzeXN0ZW1zIHNob3VsZCBjb25zaWRlciBhc3BlY3RzIHJlbGF0ZWQgdG8gY29nbml0aW9uIGFzIHdlbGwgYXMgc29jaW8tdGVjaG5pY2FsIGFzcGVjdHMgaW5jbHVkaW5nIGltcGFjdCBvbiB3b3JrZmxvdyAoaS5lLiBhbiBpbnRlZ3JhdGVkIHZpZXcpLiBVc2luZyBleGFtcGxlcyBmcm9tIHRoZSBzdHVkeSBvZiB0ZWNobm9sb2d5LWluZHVjZWQgZXJyb3IgaW4gaGVhbHRoY2FyZSwgd2UgYXJndWUgZm9yIHRoZSB1c2Ugb2Ygc2ltdWxhdGlvbnMgdG8gZXZhbHVhdGUgdGhlIGNvZ25pdGl2ZS1zb2Npby10ZWNobmljYWwgaW1wYWN0cyBvZiBoZWFsdGggaW5mb3JtYXRpb24gdGVjaG5vbG9neSBbMzZdLiBJbXBsaWNhdGlvbnMgb2YgY2xpbmljYWwgc2ltdWxhdGlvbnMgYW5kIGFuYWx5c2lzIG9mIGNvZ25pdGl2ZS1zb2NpYWwtdGVjaG5pY2FsIGltcGFjdHMgYXJlIGRpc2N1c3NlZCB3aXRoaW4gdGhlIGNvbnRleHQgb2YgdGhlIHN5c3RlbSBkZXZlbG9wbWVudCBsaWZlIGN5Y2xlIHRvIGltcHJvdmUgaGVhbHRoIGluZm9ybWF0aW9uIHN5c3RlbSBkZXNpZ24sIGltcGxlbWVudGF0aW9uIGFuZCBldmFsdWF0aW9uLiIsInB1Ymxpc2hlciI6IkJlbnRoYW0gU2NpZW5jZSBQdWJsaXNoZXJzIEx0ZC4iLCJpc3N1ZSI6IjEiLCJ2b2x1bWUiOiI0In0sImlzVGVtcG9yYXJ5IjpmYWxzZX1dfQ=="/>
          <w:id w:val="824243439"/>
          <w:placeholder>
            <w:docPart w:val="DefaultPlaceholder_-1854013440"/>
          </w:placeholder>
        </w:sdtPr>
        <w:sdtContent>
          <w:r w:rsidR="004508AB" w:rsidRPr="004508AB">
            <w:rPr>
              <w:rFonts w:ascii="Arial" w:eastAsia="Times New Roman" w:hAnsi="Arial" w:cs="Arial"/>
              <w:color w:val="000000"/>
              <w:sz w:val="22"/>
            </w:rPr>
            <w:t>(Borycki &amp; Kushniruk, 2010)</w:t>
          </w:r>
        </w:sdtContent>
      </w:sdt>
    </w:p>
    <w:p w14:paraId="6E910E8D" w14:textId="0BA09AE4" w:rsidR="00423CC8" w:rsidRPr="00207F4C" w:rsidRDefault="3F2BEC68" w:rsidP="5E4C4E6D">
      <w:pPr>
        <w:spacing w:before="240" w:after="240" w:line="240" w:lineRule="auto"/>
        <w:rPr>
          <w:rFonts w:ascii="Arial" w:eastAsia="Aptos" w:hAnsi="Arial" w:cs="Arial"/>
          <w:sz w:val="22"/>
          <w:szCs w:val="22"/>
        </w:rPr>
      </w:pPr>
      <w:r w:rsidRPr="147352E0">
        <w:rPr>
          <w:rFonts w:ascii="Arial" w:eastAsia="Times New Roman" w:hAnsi="Arial" w:cs="Arial"/>
          <w:sz w:val="22"/>
          <w:szCs w:val="22"/>
        </w:rPr>
        <w:t>The FITT framework was the primary analytical tool (Ammenwerth, Iller &amp; Mahler, 2006). It allows assessment across three dimensions:</w:t>
      </w:r>
      <w:r w:rsidR="72328FD2">
        <w:rPr>
          <w:noProof/>
        </w:rPr>
        <w:drawing>
          <wp:inline distT="0" distB="0" distL="0" distR="0" wp14:anchorId="47188002" wp14:editId="618CD3F6">
            <wp:extent cx="5943600" cy="1514475"/>
            <wp:effectExtent l="0" t="0" r="0" b="0"/>
            <wp:docPr id="10227215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21519" name="Picture 1022721519"/>
                    <pic:cNvPicPr/>
                  </pic:nvPicPr>
                  <pic:blipFill>
                    <a:blip r:embed="rId6">
                      <a:extLst>
                        <a:ext uri="{28A0092B-C50C-407E-A947-70E740481C1C}">
                          <a14:useLocalDpi xmlns:a14="http://schemas.microsoft.com/office/drawing/2010/main"/>
                        </a:ext>
                      </a:extLst>
                    </a:blip>
                    <a:stretch>
                      <a:fillRect/>
                    </a:stretch>
                  </pic:blipFill>
                  <pic:spPr>
                    <a:xfrm>
                      <a:off x="0" y="0"/>
                      <a:ext cx="5943600" cy="1514475"/>
                    </a:xfrm>
                    <a:prstGeom prst="rect">
                      <a:avLst/>
                    </a:prstGeom>
                  </pic:spPr>
                </pic:pic>
              </a:graphicData>
            </a:graphic>
          </wp:inline>
        </w:drawing>
      </w:r>
      <w:r w:rsidR="7562E4AC" w:rsidRPr="147352E0">
        <w:rPr>
          <w:rFonts w:ascii="Arial" w:eastAsia="Arial" w:hAnsi="Arial" w:cs="Arial"/>
          <w:color w:val="222222"/>
          <w:sz w:val="22"/>
          <w:szCs w:val="22"/>
        </w:rPr>
        <w:t xml:space="preserve">The FITT framework (1): IT-adoption depends on the fit between individual, </w:t>
      </w:r>
      <w:r w:rsidR="76CAF5EA" w:rsidRPr="147352E0">
        <w:rPr>
          <w:rFonts w:ascii="Arial" w:eastAsia="Arial" w:hAnsi="Arial" w:cs="Arial"/>
          <w:color w:val="222222"/>
          <w:sz w:val="22"/>
          <w:szCs w:val="22"/>
        </w:rPr>
        <w:t>task,</w:t>
      </w:r>
      <w:r w:rsidR="7562E4AC" w:rsidRPr="147352E0">
        <w:rPr>
          <w:rFonts w:ascii="Arial" w:eastAsia="Arial" w:hAnsi="Arial" w:cs="Arial"/>
          <w:color w:val="222222"/>
          <w:sz w:val="22"/>
          <w:szCs w:val="22"/>
        </w:rPr>
        <w:t xml:space="preserve"> and </w:t>
      </w:r>
      <w:r w:rsidR="072CBAC1" w:rsidRPr="147352E0">
        <w:rPr>
          <w:rFonts w:ascii="Arial" w:eastAsia="Arial" w:hAnsi="Arial" w:cs="Arial"/>
          <w:color w:val="222222"/>
          <w:sz w:val="22"/>
          <w:szCs w:val="22"/>
        </w:rPr>
        <w:t>technology. (</w:t>
      </w:r>
      <w:sdt>
        <w:sdtPr>
          <w:rPr>
            <w:rFonts w:ascii="Arial" w:eastAsia="Arial" w:hAnsi="Arial" w:cs="Arial"/>
            <w:color w:val="222222"/>
            <w:sz w:val="22"/>
            <w:szCs w:val="22"/>
          </w:rPr>
          <w:tag w:val="MENDELEY_CITATION_v3_eyJjaXRhdGlvbklEIjoiTUVOREVMRVlfQ0lUQVRJT05fZWRmY2U5ZGQtZjBlOS00ZTYwLThiNjktNjE5OWVjOTE1MDRj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1264346812"/>
          <w:placeholder>
            <w:docPart w:val="DefaultPlaceholder_-1854013440"/>
          </w:placeholder>
        </w:sdtPr>
        <w:sdtContent>
          <w:r w:rsidR="004508AB" w:rsidRPr="147352E0">
            <w:rPr>
              <w:rFonts w:ascii="Arial" w:eastAsia="Arial" w:hAnsi="Arial" w:cs="Arial"/>
              <w:color w:val="222222"/>
              <w:sz w:val="22"/>
              <w:szCs w:val="22"/>
            </w:rPr>
            <w:t>Ammenwerth et al., 2006)</w:t>
          </w:r>
        </w:sdtContent>
      </w:sdt>
    </w:p>
    <w:p w14:paraId="334F597C" w14:textId="7FB7CC02" w:rsidR="00423CC8" w:rsidRPr="00207F4C" w:rsidRDefault="3F2BEC68" w:rsidP="5E4C4E6D">
      <w:pPr>
        <w:pStyle w:val="ListParagraph"/>
        <w:numPr>
          <w:ilvl w:val="0"/>
          <w:numId w:val="10"/>
        </w:numPr>
        <w:spacing w:before="240" w:after="240" w:line="240" w:lineRule="auto"/>
        <w:rPr>
          <w:rFonts w:ascii="Arial" w:eastAsia="Times New Roman" w:hAnsi="Arial" w:cs="Arial"/>
          <w:sz w:val="22"/>
          <w:szCs w:val="22"/>
        </w:rPr>
      </w:pPr>
      <w:r w:rsidRPr="00207F4C">
        <w:rPr>
          <w:rFonts w:ascii="Arial" w:eastAsia="Times New Roman" w:hAnsi="Arial" w:cs="Arial"/>
          <w:b/>
          <w:bCs/>
          <w:sz w:val="22"/>
          <w:szCs w:val="22"/>
        </w:rPr>
        <w:t>Individuals</w:t>
      </w:r>
      <w:r w:rsidRPr="00207F4C">
        <w:rPr>
          <w:rFonts w:ascii="Arial" w:eastAsia="Times New Roman" w:hAnsi="Arial" w:cs="Arial"/>
          <w:sz w:val="22"/>
          <w:szCs w:val="22"/>
        </w:rPr>
        <w:t xml:space="preserve"> – Users’ skills, knowledge, motivation, digital literacy, and confidence.</w:t>
      </w:r>
    </w:p>
    <w:p w14:paraId="392F2230" w14:textId="02F8DB88" w:rsidR="00423CC8" w:rsidRPr="00207F4C" w:rsidRDefault="3F2BEC68" w:rsidP="5E4C4E6D">
      <w:pPr>
        <w:pStyle w:val="ListParagraph"/>
        <w:numPr>
          <w:ilvl w:val="0"/>
          <w:numId w:val="10"/>
        </w:numPr>
        <w:spacing w:before="240" w:after="240" w:line="240" w:lineRule="auto"/>
        <w:rPr>
          <w:rFonts w:ascii="Arial" w:eastAsia="Times New Roman" w:hAnsi="Arial" w:cs="Arial"/>
          <w:sz w:val="22"/>
          <w:szCs w:val="22"/>
        </w:rPr>
      </w:pPr>
      <w:r w:rsidRPr="00207F4C">
        <w:rPr>
          <w:rFonts w:ascii="Arial" w:eastAsia="Times New Roman" w:hAnsi="Arial" w:cs="Arial"/>
          <w:b/>
          <w:bCs/>
          <w:sz w:val="22"/>
          <w:szCs w:val="22"/>
        </w:rPr>
        <w:t>Tasks</w:t>
      </w:r>
      <w:r w:rsidRPr="00207F4C">
        <w:rPr>
          <w:rFonts w:ascii="Arial" w:eastAsia="Times New Roman" w:hAnsi="Arial" w:cs="Arial"/>
          <w:sz w:val="22"/>
          <w:szCs w:val="22"/>
        </w:rPr>
        <w:t xml:space="preserve"> – Work activities, including identifying reportable incidents, completing forms, assigning codes, conducting investigations, and documenting Duty of Candour notifications.</w:t>
      </w:r>
    </w:p>
    <w:p w14:paraId="214D8419" w14:textId="5A9D77AB" w:rsidR="00423CC8" w:rsidRPr="00207F4C" w:rsidRDefault="3F2BEC68" w:rsidP="5E4C4E6D">
      <w:pPr>
        <w:pStyle w:val="ListParagraph"/>
        <w:numPr>
          <w:ilvl w:val="0"/>
          <w:numId w:val="10"/>
        </w:numPr>
        <w:spacing w:before="240" w:after="240" w:line="240" w:lineRule="auto"/>
        <w:rPr>
          <w:rFonts w:ascii="Arial" w:eastAsia="Times New Roman" w:hAnsi="Arial" w:cs="Arial"/>
          <w:sz w:val="22"/>
          <w:szCs w:val="22"/>
        </w:rPr>
      </w:pPr>
      <w:r w:rsidRPr="00207F4C">
        <w:rPr>
          <w:rFonts w:ascii="Arial" w:eastAsia="Times New Roman" w:hAnsi="Arial" w:cs="Arial"/>
          <w:b/>
          <w:bCs/>
          <w:sz w:val="22"/>
          <w:szCs w:val="22"/>
        </w:rPr>
        <w:t>Technology</w:t>
      </w:r>
      <w:r w:rsidRPr="00207F4C">
        <w:rPr>
          <w:rFonts w:ascii="Arial" w:eastAsia="Times New Roman" w:hAnsi="Arial" w:cs="Arial"/>
          <w:sz w:val="22"/>
          <w:szCs w:val="22"/>
        </w:rPr>
        <w:t xml:space="preserve"> – System design, usability, accessibility, workflow integration, prompts, coding structures, and alignment with organisational and statutory requirements.</w:t>
      </w:r>
    </w:p>
    <w:p w14:paraId="5DAC3042" w14:textId="10C997A4" w:rsidR="00423CC8" w:rsidRPr="00207F4C" w:rsidRDefault="00423CC8" w:rsidP="004E7CEA">
      <w:pPr>
        <w:spacing w:before="100" w:beforeAutospacing="1" w:after="100" w:afterAutospacing="1" w:line="240" w:lineRule="auto"/>
        <w:rPr>
          <w:rFonts w:ascii="Arial" w:hAnsi="Arial" w:cs="Arial"/>
          <w:sz w:val="22"/>
          <w:szCs w:val="22"/>
        </w:rPr>
      </w:pPr>
    </w:p>
    <w:p w14:paraId="5ED9A916" w14:textId="0EA2F0CC"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2.2 Data Sources</w:t>
      </w:r>
    </w:p>
    <w:p w14:paraId="13FBBEF3" w14:textId="1B1AC885"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Data were collected through a triangulated approach, combining multiple perspectives:</w:t>
      </w:r>
    </w:p>
    <w:p w14:paraId="77A5E95B" w14:textId="2C093647" w:rsidR="00423CC8" w:rsidRPr="00207F4C" w:rsidRDefault="3F2BEC68" w:rsidP="5E4C4E6D">
      <w:pPr>
        <w:pStyle w:val="ListParagraph"/>
        <w:numPr>
          <w:ilvl w:val="0"/>
          <w:numId w:val="8"/>
        </w:numPr>
        <w:spacing w:before="240" w:after="240" w:line="240" w:lineRule="auto"/>
        <w:rPr>
          <w:rFonts w:ascii="Arial" w:eastAsia="Times New Roman" w:hAnsi="Arial" w:cs="Arial"/>
          <w:b/>
          <w:bCs/>
          <w:sz w:val="22"/>
          <w:szCs w:val="22"/>
        </w:rPr>
      </w:pPr>
      <w:r w:rsidRPr="00207F4C">
        <w:rPr>
          <w:rFonts w:ascii="Arial" w:eastAsia="Times New Roman" w:hAnsi="Arial" w:cs="Arial"/>
          <w:b/>
          <w:bCs/>
          <w:sz w:val="22"/>
          <w:szCs w:val="22"/>
        </w:rPr>
        <w:t>Organisational Documentation</w:t>
      </w:r>
    </w:p>
    <w:p w14:paraId="25F4E489" w14:textId="7D543DF0" w:rsidR="00423CC8" w:rsidRPr="00207F4C" w:rsidRDefault="3F2BEC68" w:rsidP="5E4C4E6D">
      <w:pPr>
        <w:spacing w:before="240" w:after="240" w:line="240" w:lineRule="auto"/>
        <w:rPr>
          <w:rFonts w:ascii="Arial" w:eastAsia="Times New Roman" w:hAnsi="Arial" w:cs="Arial"/>
          <w:i/>
          <w:iCs/>
          <w:sz w:val="22"/>
          <w:szCs w:val="22"/>
        </w:rPr>
      </w:pPr>
      <w:r w:rsidRPr="00207F4C">
        <w:rPr>
          <w:rFonts w:ascii="Arial" w:eastAsia="Times New Roman" w:hAnsi="Arial" w:cs="Arial"/>
          <w:sz w:val="22"/>
          <w:szCs w:val="22"/>
        </w:rPr>
        <w:t xml:space="preserve">Internal guidance, SOPs, and reporting manuals were reviewed to assess workflow expectations, system functionality, and governance requirements. </w:t>
      </w:r>
      <w:r w:rsidRPr="00207F4C">
        <w:rPr>
          <w:rFonts w:ascii="Arial" w:eastAsia="Times New Roman" w:hAnsi="Arial" w:cs="Arial"/>
          <w:i/>
          <w:iCs/>
          <w:sz w:val="22"/>
          <w:szCs w:val="22"/>
        </w:rPr>
        <w:t xml:space="preserve">Source: </w:t>
      </w:r>
      <w:r w:rsidR="00A2333B" w:rsidRPr="00207F4C">
        <w:rPr>
          <w:rFonts w:ascii="Arial" w:eastAsia="Times New Roman" w:hAnsi="Arial" w:cs="Arial"/>
          <w:i/>
          <w:iCs/>
          <w:sz w:val="22"/>
          <w:szCs w:val="22"/>
        </w:rPr>
        <w:t>(</w:t>
      </w:r>
      <w:r w:rsidRPr="00207F4C">
        <w:rPr>
          <w:rFonts w:ascii="Arial" w:eastAsia="Times New Roman" w:hAnsi="Arial" w:cs="Arial"/>
          <w:i/>
          <w:iCs/>
          <w:sz w:val="22"/>
          <w:szCs w:val="22"/>
        </w:rPr>
        <w:t xml:space="preserve">WAST internal documents </w:t>
      </w:r>
      <w:r w:rsidR="00A2333B" w:rsidRPr="00207F4C">
        <w:rPr>
          <w:rFonts w:ascii="Arial" w:eastAsia="Times New Roman" w:hAnsi="Arial" w:cs="Arial"/>
          <w:i/>
          <w:iCs/>
          <w:sz w:val="22"/>
          <w:szCs w:val="22"/>
        </w:rPr>
        <w:t>[</w:t>
      </w:r>
      <w:r w:rsidRPr="00207F4C">
        <w:rPr>
          <w:rFonts w:ascii="Arial" w:eastAsia="Times New Roman" w:hAnsi="Arial" w:cs="Arial"/>
          <w:i/>
          <w:iCs/>
          <w:sz w:val="22"/>
          <w:szCs w:val="22"/>
        </w:rPr>
        <w:t>Unpublished</w:t>
      </w:r>
      <w:r w:rsidR="00A2333B" w:rsidRPr="00207F4C">
        <w:rPr>
          <w:rFonts w:ascii="Arial" w:eastAsia="Times New Roman" w:hAnsi="Arial" w:cs="Arial"/>
          <w:i/>
          <w:iCs/>
          <w:sz w:val="22"/>
          <w:szCs w:val="22"/>
        </w:rPr>
        <w:t>])</w:t>
      </w:r>
    </w:p>
    <w:p w14:paraId="5CD061A8" w14:textId="77777777" w:rsidR="00A2333B" w:rsidRPr="00207F4C" w:rsidRDefault="00A2333B" w:rsidP="5E4C4E6D">
      <w:pPr>
        <w:spacing w:before="240" w:after="240" w:line="240" w:lineRule="auto"/>
        <w:rPr>
          <w:rFonts w:ascii="Arial" w:hAnsi="Arial" w:cs="Arial"/>
          <w:sz w:val="22"/>
          <w:szCs w:val="22"/>
        </w:rPr>
      </w:pPr>
    </w:p>
    <w:p w14:paraId="2F335906" w14:textId="7AD94C62" w:rsidR="00423CC8" w:rsidRPr="00207F4C" w:rsidRDefault="3F2BEC68" w:rsidP="5E4C4E6D">
      <w:pPr>
        <w:pStyle w:val="ListParagraph"/>
        <w:numPr>
          <w:ilvl w:val="0"/>
          <w:numId w:val="8"/>
        </w:numPr>
        <w:spacing w:before="240" w:after="240" w:line="240" w:lineRule="auto"/>
        <w:rPr>
          <w:rFonts w:ascii="Arial" w:eastAsia="Times New Roman" w:hAnsi="Arial" w:cs="Arial"/>
          <w:b/>
          <w:bCs/>
          <w:sz w:val="22"/>
          <w:szCs w:val="22"/>
        </w:rPr>
      </w:pPr>
      <w:r w:rsidRPr="00207F4C">
        <w:rPr>
          <w:rFonts w:ascii="Arial" w:eastAsia="Times New Roman" w:hAnsi="Arial" w:cs="Arial"/>
          <w:b/>
          <w:bCs/>
          <w:sz w:val="22"/>
          <w:szCs w:val="22"/>
        </w:rPr>
        <w:t>Legacy System Comparisons</w:t>
      </w:r>
    </w:p>
    <w:p w14:paraId="7E7A0FF6" w14:textId="5B3C69A4"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Documentation and user experience from previous Datix and NRLS systems provided a baseline for evaluating improvements in standardisation, usability, and reporting workflows </w:t>
      </w:r>
      <w:sdt>
        <w:sdtPr>
          <w:rPr>
            <w:rFonts w:ascii="Arial" w:eastAsia="Times New Roman" w:hAnsi="Arial" w:cs="Arial"/>
            <w:color w:val="000000"/>
            <w:sz w:val="22"/>
            <w:szCs w:val="22"/>
          </w:rPr>
          <w:tag w:val="MENDELEY_CITATION_v3_eyJjaXRhdGlvbklEIjoiTUVOREVMRVlfQ0lUQVRJT05fZDk2ZWRkNDktOTQ1OC00M2ZlLWFhYWUtMDllNTE3YTY5YjJl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19LCJpc1RlbXBvcmFyeSI6ZmFsc2V9LHsiaWQiOiI5MTg1MmFmNy0wMzYyLTMyNGQtOGE3OC03ZjY1MTM0ZjcxMGMiLCJpdGVtRGF0YSI6eyJ0eXBlIjoid2VicGFnZSIsImlkIjoiOTE4NTJhZjctMDM2Mi0zMjRkLThhNzgtN2Y2NTEzNGY3MTBjIiwidGl0bGUiOiJPbmNlIGZvciBXYWxlcyBDb25jZXJucyBNYW5hZ2VtZW50IFN5c3RlbSAtIE5IUyBXYWxlcyBTaGFyZWQgU2VydmljZXMgUGFydG5lcnNoaXAiLCJhY2Nlc3NlZCI6eyJkYXRlLXBhcnRzIjpbWzIwMjYsMSwyOF1dfSwiVVJMIjoiaHR0cHM6Ly9ud3NzcC5uaHMud2FsZXMvYS13cC9vbmNlLWZvci13YWxlcy1jb25jZXJucy1tYW5hZ2VtZW50LXN5c3RlbS8iLCJjb250YWluZXItdGl0bGUtc2hvcnQiOiIifSwiaXNUZW1wb3JhcnkiOmZhbHNlfSx7ImlkIjoiNzRlYTllMmQtMDA2ZS0zY2UxLWJiZjgtNDY4OTRhZGQxMTljIiwiaXRlbURhdGEiOnsidHlwZSI6ImFydGljbGUtam91cm5hbCIsImlkIjoiNzRlYTllMmQtMDA2ZS0zY2UxLWJiZjgtNDY4OTRhZGQxMTljIiwidGl0bGUiOiJPbmNlIGZvciBXYWxlcyBDb25jZXJucyBNYW5hZ2VtZW50IFN5c3RlbSBEYXRpeCBDeW1ydSBDb21tdW5pdHkgUGhhcm1hY3kgUGF0aWVudCBTYWZldHkgSW5jaWRlbnQgUmVwb3J0aW5nIGFuZCBNYW5hZ2VtZW50IFF1aWNrIFJlZmVyZW5jZSBVc2VyIEd1aWRlIiwiYWNjZXNzZWQiOnsiZGF0ZS1wYXJ0cyI6W1syMDI2LDEsMjhdXX0sImNvbnRhaW5lci10aXRsZS1zaG9ydCI6IiJ9LCJpc1RlbXBvcmFyeSI6ZmFsc2V9XX0="/>
          <w:id w:val="-1116132300"/>
          <w:placeholder>
            <w:docPart w:val="DefaultPlaceholder_-1854013440"/>
          </w:placeholder>
        </w:sdtPr>
        <w:sdtContent>
          <w:r w:rsidR="004508AB" w:rsidRPr="004508AB">
            <w:rPr>
              <w:rFonts w:ascii="Arial" w:eastAsia="Times New Roman" w:hAnsi="Arial" w:cs="Arial"/>
              <w:color w:val="000000"/>
              <w:sz w:val="22"/>
            </w:rPr>
            <w:t>(</w:t>
          </w:r>
          <w:r w:rsidR="004508AB" w:rsidRPr="004508AB">
            <w:rPr>
              <w:rFonts w:ascii="Arial" w:eastAsia="Times New Roman" w:hAnsi="Arial" w:cs="Arial"/>
              <w:i/>
              <w:iCs/>
              <w:color w:val="000000"/>
              <w:sz w:val="22"/>
            </w:rPr>
            <w:t>DATIX CYMRU-INCIDENT REPORTING</w:t>
          </w:r>
          <w:r w:rsidR="004508AB" w:rsidRPr="004508AB">
            <w:rPr>
              <w:rFonts w:ascii="Arial" w:eastAsia="Times New Roman" w:hAnsi="Arial" w:cs="Arial"/>
              <w:color w:val="000000"/>
              <w:sz w:val="22"/>
            </w:rPr>
            <w:t xml:space="preserve">, n.d.; </w:t>
          </w:r>
          <w:r w:rsidR="004508AB" w:rsidRPr="004508AB">
            <w:rPr>
              <w:rFonts w:ascii="Arial" w:eastAsia="Times New Roman" w:hAnsi="Arial" w:cs="Arial"/>
              <w:i/>
              <w:iCs/>
              <w:color w:val="000000"/>
              <w:sz w:val="22"/>
            </w:rPr>
            <w:t>Once for Wales Concerns Management System - NHS Wales Shared Services Partnership</w:t>
          </w:r>
          <w:r w:rsidR="004508AB" w:rsidRPr="004508AB">
            <w:rPr>
              <w:rFonts w:ascii="Arial" w:eastAsia="Times New Roman" w:hAnsi="Arial" w:cs="Arial"/>
              <w:color w:val="000000"/>
              <w:sz w:val="22"/>
            </w:rPr>
            <w:t xml:space="preserve">, n.d.; </w:t>
          </w:r>
          <w:r w:rsidR="004508AB" w:rsidRPr="004508AB">
            <w:rPr>
              <w:rFonts w:ascii="Arial" w:eastAsia="Times New Roman" w:hAnsi="Arial" w:cs="Arial"/>
              <w:i/>
              <w:iCs/>
              <w:color w:val="000000"/>
              <w:sz w:val="22"/>
            </w:rPr>
            <w:t>Once for Wales Concerns Management System Datix Cymru Community Pharmacy Patient Safety Incident Reporting and Management Quick Reference User Guide</w:t>
          </w:r>
          <w:r w:rsidR="004508AB" w:rsidRPr="004508AB">
            <w:rPr>
              <w:rFonts w:ascii="Arial" w:eastAsia="Times New Roman" w:hAnsi="Arial" w:cs="Arial"/>
              <w:color w:val="000000"/>
              <w:sz w:val="22"/>
            </w:rPr>
            <w:t>, n.d.)</w:t>
          </w:r>
        </w:sdtContent>
      </w:sdt>
    </w:p>
    <w:p w14:paraId="59D1E346" w14:textId="1ACFD33E" w:rsidR="00423CC8" w:rsidRPr="00207F4C" w:rsidRDefault="3F2BEC68" w:rsidP="5E4C4E6D">
      <w:pPr>
        <w:pStyle w:val="ListParagraph"/>
        <w:numPr>
          <w:ilvl w:val="0"/>
          <w:numId w:val="8"/>
        </w:numPr>
        <w:spacing w:before="240" w:after="240" w:line="240" w:lineRule="auto"/>
        <w:rPr>
          <w:rFonts w:ascii="Arial" w:eastAsia="Times New Roman" w:hAnsi="Arial" w:cs="Arial"/>
          <w:b/>
          <w:bCs/>
          <w:sz w:val="22"/>
          <w:szCs w:val="22"/>
        </w:rPr>
      </w:pPr>
      <w:r w:rsidRPr="00207F4C">
        <w:rPr>
          <w:rFonts w:ascii="Arial" w:eastAsia="Times New Roman" w:hAnsi="Arial" w:cs="Arial"/>
          <w:b/>
          <w:bCs/>
          <w:sz w:val="22"/>
          <w:szCs w:val="22"/>
        </w:rPr>
        <w:t>User Interviews and Observations</w:t>
      </w:r>
    </w:p>
    <w:p w14:paraId="5A7901A2" w14:textId="77E19860" w:rsidR="00A2333B" w:rsidRPr="00207F4C" w:rsidRDefault="3F2BEC68" w:rsidP="00A2333B">
      <w:pPr>
        <w:spacing w:before="240" w:after="240" w:line="240" w:lineRule="auto"/>
        <w:rPr>
          <w:rFonts w:ascii="Arial" w:eastAsia="Times New Roman" w:hAnsi="Arial" w:cs="Arial"/>
          <w:i/>
          <w:iCs/>
          <w:sz w:val="22"/>
          <w:szCs w:val="22"/>
        </w:rPr>
      </w:pPr>
      <w:r w:rsidRPr="00207F4C">
        <w:rPr>
          <w:rFonts w:ascii="Arial" w:eastAsia="Times New Roman" w:hAnsi="Arial" w:cs="Arial"/>
          <w:sz w:val="22"/>
          <w:szCs w:val="22"/>
        </w:rPr>
        <w:t>Semi-structured interviews were conducted with WAST staff including paramedics, call handlers, administrators, and team leaders. Topics included system access, task execution, coding confidence, workflow integration, feedback mechanisms, and perceived impact on patient safety. Observations of reporting and investigation workflows captured real-world usage under time constraints and mobile operational conditions.</w:t>
      </w:r>
      <w:r w:rsidR="00A2333B" w:rsidRPr="00207F4C">
        <w:rPr>
          <w:rFonts w:ascii="Arial" w:eastAsia="Times New Roman" w:hAnsi="Arial" w:cs="Arial"/>
          <w:i/>
          <w:iCs/>
          <w:sz w:val="22"/>
          <w:szCs w:val="22"/>
        </w:rPr>
        <w:t xml:space="preserve"> (WAST internal</w:t>
      </w:r>
      <w:r w:rsidR="004508AB">
        <w:rPr>
          <w:rFonts w:ascii="Arial" w:eastAsia="Times New Roman" w:hAnsi="Arial" w:cs="Arial"/>
          <w:i/>
          <w:iCs/>
          <w:sz w:val="22"/>
          <w:szCs w:val="22"/>
        </w:rPr>
        <w:t xml:space="preserve"> </w:t>
      </w:r>
      <w:r w:rsidR="00A2333B" w:rsidRPr="00207F4C">
        <w:rPr>
          <w:rFonts w:ascii="Arial" w:eastAsia="Times New Roman" w:hAnsi="Arial" w:cs="Arial"/>
          <w:i/>
          <w:iCs/>
          <w:sz w:val="22"/>
          <w:szCs w:val="22"/>
        </w:rPr>
        <w:t>[Unpublished])</w:t>
      </w:r>
    </w:p>
    <w:p w14:paraId="40E5C720" w14:textId="6AA4928B" w:rsidR="00423CC8" w:rsidRPr="00207F4C" w:rsidRDefault="00423CC8" w:rsidP="004E7CEA">
      <w:pPr>
        <w:spacing w:before="100" w:beforeAutospacing="1" w:after="100" w:afterAutospacing="1" w:line="240" w:lineRule="auto"/>
        <w:rPr>
          <w:rFonts w:ascii="Arial" w:hAnsi="Arial" w:cs="Arial"/>
          <w:sz w:val="22"/>
          <w:szCs w:val="22"/>
        </w:rPr>
      </w:pPr>
    </w:p>
    <w:p w14:paraId="497D1E4B" w14:textId="60F1D9BC"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2.3 Data Collection Procedures</w:t>
      </w:r>
    </w:p>
    <w:p w14:paraId="14799A83" w14:textId="6701042E" w:rsidR="00423CC8" w:rsidRPr="00207F4C" w:rsidRDefault="3F2BEC68" w:rsidP="5E4C4E6D">
      <w:pPr>
        <w:pStyle w:val="ListParagraph"/>
        <w:numPr>
          <w:ilvl w:val="0"/>
          <w:numId w:val="7"/>
        </w:numPr>
        <w:spacing w:before="240" w:after="240" w:line="240" w:lineRule="auto"/>
        <w:rPr>
          <w:rFonts w:ascii="Arial" w:eastAsia="Times New Roman" w:hAnsi="Arial" w:cs="Arial"/>
          <w:sz w:val="22"/>
          <w:szCs w:val="22"/>
        </w:rPr>
      </w:pPr>
      <w:r w:rsidRPr="147352E0">
        <w:rPr>
          <w:rFonts w:ascii="Arial" w:eastAsia="Times New Roman" w:hAnsi="Arial" w:cs="Arial"/>
          <w:b/>
          <w:bCs/>
          <w:sz w:val="22"/>
          <w:szCs w:val="22"/>
        </w:rPr>
        <w:t>Interviews</w:t>
      </w:r>
      <w:r w:rsidRPr="147352E0">
        <w:rPr>
          <w:rFonts w:ascii="Arial" w:eastAsia="Times New Roman" w:hAnsi="Arial" w:cs="Arial"/>
          <w:sz w:val="22"/>
          <w:szCs w:val="22"/>
        </w:rPr>
        <w:t xml:space="preserve">. Semi-structured guides </w:t>
      </w:r>
      <w:r w:rsidR="2F685714" w:rsidRPr="147352E0">
        <w:rPr>
          <w:rFonts w:ascii="Arial" w:eastAsia="Times New Roman" w:hAnsi="Arial" w:cs="Arial"/>
          <w:sz w:val="22"/>
          <w:szCs w:val="22"/>
        </w:rPr>
        <w:t>ensure</w:t>
      </w:r>
      <w:r w:rsidRPr="147352E0">
        <w:rPr>
          <w:rFonts w:ascii="Arial" w:eastAsia="Times New Roman" w:hAnsi="Arial" w:cs="Arial"/>
          <w:sz w:val="22"/>
          <w:szCs w:val="22"/>
        </w:rPr>
        <w:t xml:space="preserve"> consistent coverage of FITT dimensions while allowing participants to elaborate on challenges and successes.</w:t>
      </w:r>
    </w:p>
    <w:p w14:paraId="56A84813" w14:textId="0D328EAD" w:rsidR="00423CC8" w:rsidRPr="00207F4C" w:rsidRDefault="00225144" w:rsidP="5E4C4E6D">
      <w:pPr>
        <w:pStyle w:val="ListParagraph"/>
        <w:numPr>
          <w:ilvl w:val="0"/>
          <w:numId w:val="7"/>
        </w:numPr>
        <w:spacing w:before="240" w:after="240" w:line="240" w:lineRule="auto"/>
        <w:rPr>
          <w:rFonts w:ascii="Arial" w:eastAsia="Times New Roman" w:hAnsi="Arial" w:cs="Arial"/>
          <w:sz w:val="22"/>
          <w:szCs w:val="22"/>
        </w:rPr>
      </w:pPr>
      <w:r w:rsidRPr="00207F4C">
        <w:rPr>
          <w:rFonts w:ascii="Arial" w:eastAsia="Times New Roman" w:hAnsi="Arial" w:cs="Arial"/>
          <w:b/>
          <w:bCs/>
          <w:sz w:val="22"/>
          <w:szCs w:val="22"/>
        </w:rPr>
        <w:t>Meetings and Forums</w:t>
      </w:r>
      <w:r w:rsidRPr="00207F4C">
        <w:rPr>
          <w:rFonts w:ascii="Arial" w:eastAsia="Times New Roman" w:hAnsi="Arial" w:cs="Arial"/>
          <w:sz w:val="22"/>
          <w:szCs w:val="22"/>
        </w:rPr>
        <w:t>. Observations and notes were taken from routine team meetings, governance forums, and incident review sessions to capture discussions about Datix usage, system challenges, workflow integration, and organisational priorities. These provided insight into collective perceptions, decision-making, and practical application of the system across teams.</w:t>
      </w:r>
    </w:p>
    <w:p w14:paraId="33549C3E" w14:textId="2E626814" w:rsidR="00423CC8" w:rsidRPr="00207F4C" w:rsidRDefault="3F2BEC68" w:rsidP="5E4C4E6D">
      <w:pPr>
        <w:pStyle w:val="ListParagraph"/>
        <w:numPr>
          <w:ilvl w:val="0"/>
          <w:numId w:val="7"/>
        </w:numPr>
        <w:spacing w:before="240" w:after="240" w:line="240" w:lineRule="auto"/>
        <w:rPr>
          <w:rFonts w:ascii="Arial" w:eastAsia="Times New Roman" w:hAnsi="Arial" w:cs="Arial"/>
          <w:sz w:val="22"/>
          <w:szCs w:val="22"/>
        </w:rPr>
      </w:pPr>
      <w:r w:rsidRPr="00207F4C">
        <w:rPr>
          <w:rFonts w:ascii="Arial" w:eastAsia="Times New Roman" w:hAnsi="Arial" w:cs="Arial"/>
          <w:b/>
          <w:bCs/>
          <w:sz w:val="22"/>
          <w:szCs w:val="22"/>
        </w:rPr>
        <w:t>Document Review</w:t>
      </w:r>
      <w:r w:rsidRPr="00207F4C">
        <w:rPr>
          <w:rFonts w:ascii="Arial" w:eastAsia="Times New Roman" w:hAnsi="Arial" w:cs="Arial"/>
          <w:sz w:val="22"/>
          <w:szCs w:val="22"/>
        </w:rPr>
        <w:t>. Manuals, SOPs, and training materials were systematically examined to identify intended task support and technology capabilities.</w:t>
      </w:r>
    </w:p>
    <w:p w14:paraId="476A8FEC" w14:textId="0494B40E" w:rsidR="00423CC8" w:rsidRPr="00207F4C" w:rsidRDefault="00423CC8" w:rsidP="004E7CEA">
      <w:pPr>
        <w:spacing w:before="100" w:beforeAutospacing="1" w:after="100" w:afterAutospacing="1" w:line="240" w:lineRule="auto"/>
        <w:rPr>
          <w:rFonts w:ascii="Arial" w:hAnsi="Arial" w:cs="Arial"/>
          <w:sz w:val="22"/>
          <w:szCs w:val="22"/>
        </w:rPr>
      </w:pPr>
    </w:p>
    <w:p w14:paraId="6561403C" w14:textId="43BEFD2A"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2.4 Data Analysis</w:t>
      </w:r>
    </w:p>
    <w:p w14:paraId="47492367" w14:textId="77777777" w:rsidR="00225144" w:rsidRPr="00207F4C" w:rsidRDefault="00225144" w:rsidP="00225144">
      <w:pPr>
        <w:spacing w:before="100" w:beforeAutospacing="1" w:after="100" w:afterAutospacing="1" w:line="240" w:lineRule="auto"/>
        <w:rPr>
          <w:rFonts w:ascii="Arial" w:eastAsia="Times New Roman" w:hAnsi="Arial" w:cs="Arial"/>
          <w:sz w:val="22"/>
          <w:szCs w:val="22"/>
          <w:lang w:val="en-GB"/>
        </w:rPr>
      </w:pPr>
      <w:r w:rsidRPr="00207F4C">
        <w:rPr>
          <w:rFonts w:ascii="Arial" w:eastAsia="Times New Roman" w:hAnsi="Arial" w:cs="Arial"/>
          <w:sz w:val="22"/>
          <w:szCs w:val="22"/>
          <w:lang w:val="en-GB"/>
        </w:rPr>
        <w:t>Data were analysed using a structured, multi-step approach aligned with the FITT framework. The goal was to identify how Datix Cymru supports staff, tasks, and organisational workflows, as well as areas of misalignment or challenge.</w:t>
      </w:r>
    </w:p>
    <w:p w14:paraId="5BE00188" w14:textId="3157253C" w:rsidR="00225144" w:rsidRPr="00207F4C" w:rsidRDefault="00225144" w:rsidP="00225144">
      <w:pPr>
        <w:numPr>
          <w:ilvl w:val="0"/>
          <w:numId w:val="30"/>
        </w:numPr>
        <w:spacing w:before="100" w:beforeAutospacing="1" w:after="100" w:afterAutospacing="1" w:line="240" w:lineRule="auto"/>
        <w:rPr>
          <w:rFonts w:ascii="Arial" w:eastAsia="Times New Roman" w:hAnsi="Arial" w:cs="Arial"/>
          <w:sz w:val="22"/>
          <w:szCs w:val="22"/>
          <w:lang w:val="en-GB"/>
        </w:rPr>
      </w:pPr>
      <w:r w:rsidRPr="00207F4C">
        <w:rPr>
          <w:rFonts w:ascii="Arial" w:eastAsia="Times New Roman" w:hAnsi="Arial" w:cs="Arial"/>
          <w:b/>
          <w:bCs/>
          <w:sz w:val="22"/>
          <w:szCs w:val="22"/>
          <w:lang w:val="en-GB"/>
        </w:rPr>
        <w:t>Thematic Coding</w:t>
      </w:r>
      <w:r w:rsidRPr="00207F4C">
        <w:rPr>
          <w:rFonts w:ascii="Arial" w:eastAsia="Times New Roman" w:hAnsi="Arial" w:cs="Arial"/>
          <w:b/>
          <w:bCs/>
          <w:sz w:val="22"/>
          <w:szCs w:val="22"/>
          <w:lang w:val="en-GB"/>
        </w:rPr>
        <w:br/>
      </w:r>
      <w:r w:rsidRPr="00207F4C">
        <w:rPr>
          <w:rFonts w:ascii="Arial" w:eastAsia="Times New Roman" w:hAnsi="Arial" w:cs="Arial"/>
          <w:sz w:val="22"/>
          <w:szCs w:val="22"/>
          <w:lang w:val="en-GB"/>
        </w:rPr>
        <w:t xml:space="preserve">Key points from interviews, meetings, forums, observations, and document reviews were coded against FITT dimensions, including intersections such as Individual–Task, Individual–Technology, and Task–Technology. </w:t>
      </w:r>
      <w:r w:rsidR="004F4F35" w:rsidRPr="00207F4C">
        <w:rPr>
          <w:rFonts w:ascii="Arial" w:eastAsia="Times New Roman" w:hAnsi="Arial" w:cs="Arial"/>
          <w:sz w:val="22"/>
          <w:szCs w:val="22"/>
          <w:lang w:val="en-GB"/>
        </w:rPr>
        <w:t>Which enabled</w:t>
      </w:r>
      <w:r w:rsidRPr="00207F4C">
        <w:rPr>
          <w:rFonts w:ascii="Arial" w:eastAsia="Times New Roman" w:hAnsi="Arial" w:cs="Arial"/>
          <w:sz w:val="22"/>
          <w:szCs w:val="22"/>
          <w:lang w:val="en-GB"/>
        </w:rPr>
        <w:t xml:space="preserve"> identification of emerging themes, including usability, feedback mechanisms, data extraction difficulties, dashboard functionality, and training gaps.</w:t>
      </w:r>
    </w:p>
    <w:p w14:paraId="3BA79373" w14:textId="3958E2EC" w:rsidR="00225144" w:rsidRPr="00207F4C" w:rsidRDefault="00225144" w:rsidP="00225144">
      <w:pPr>
        <w:numPr>
          <w:ilvl w:val="0"/>
          <w:numId w:val="30"/>
        </w:numPr>
        <w:spacing w:before="100" w:beforeAutospacing="1" w:after="100" w:afterAutospacing="1" w:line="240" w:lineRule="auto"/>
        <w:rPr>
          <w:rFonts w:ascii="Arial" w:eastAsia="Times New Roman" w:hAnsi="Arial" w:cs="Arial"/>
          <w:b/>
          <w:bCs/>
          <w:sz w:val="22"/>
          <w:szCs w:val="22"/>
          <w:lang w:val="en-GB"/>
        </w:rPr>
      </w:pPr>
      <w:r w:rsidRPr="00207F4C">
        <w:rPr>
          <w:rFonts w:ascii="Arial" w:eastAsia="Times New Roman" w:hAnsi="Arial" w:cs="Arial"/>
          <w:b/>
          <w:bCs/>
          <w:sz w:val="22"/>
          <w:szCs w:val="22"/>
          <w:lang w:val="en-GB"/>
        </w:rPr>
        <w:t>Legacy System Comparison</w:t>
      </w:r>
      <w:r w:rsidRPr="00207F4C">
        <w:rPr>
          <w:rFonts w:ascii="Arial" w:eastAsia="Times New Roman" w:hAnsi="Arial" w:cs="Arial"/>
          <w:b/>
          <w:bCs/>
          <w:sz w:val="22"/>
          <w:szCs w:val="22"/>
          <w:lang w:val="en-GB"/>
        </w:rPr>
        <w:br/>
      </w:r>
      <w:r w:rsidRPr="00207F4C">
        <w:rPr>
          <w:rFonts w:ascii="Arial" w:eastAsia="Times New Roman" w:hAnsi="Arial" w:cs="Arial"/>
          <w:sz w:val="22"/>
          <w:szCs w:val="22"/>
          <w:lang w:val="en-GB"/>
        </w:rPr>
        <w:t>Findings were compared with prior locally configured Datix and NRLS systems to evaluate improvements in standardisation, coding, workflow integration, and usability. This helped contextualize both the strengths of Datix Cymru and the residual challenges carried over from legacy systems.</w:t>
      </w:r>
      <w:sdt>
        <w:sdtPr>
          <w:rPr>
            <w:rFonts w:ascii="Arial" w:eastAsia="Times New Roman" w:hAnsi="Arial" w:cs="Arial"/>
            <w:color w:val="000000"/>
            <w:sz w:val="22"/>
            <w:szCs w:val="22"/>
            <w:lang w:val="en-GB"/>
          </w:rPr>
          <w:tag w:val="MENDELEY_CITATION_v3_eyJjaXRhdGlvbklEIjoiTUVOREVMRVlfQ0lUQVRJT05fZGE5OTExMWItMThkOC00NTJjLWExYWEtZDBlNjg3NDliMWU3IiwicHJvcGVydGllcyI6eyJub3RlSW5kZXgiOjB9LCJpc0VkaXRlZCI6ZmFsc2UsIm1hbnVhbE92ZXJyaWRlIjp7ImlzTWFudWFsbHlPdmVycmlkZGVuIjpmYWxzZSwiY2l0ZXByb2NUZXh0IjoiKDxpPkRBVElYIENZTVJVLUlOQ0lERU5UIFJFUE9SVElORzwvaT4sIG4uZC4pIiwibWFudWFsT3ZlcnJpZGVUZXh0IjoiIn0sImNpdGF0aW9uSXRlbXMiOlt7ImlkIjoiYjZmMjJmYzItZWEzMC0zMTI0LTk5NzktYWU5MmE4MGVjNzdhIiwiaXRlbURhdGEiOnsidHlwZSI6ImFydGljbGUtam91cm5hbCIsImlkIjoiYjZmMjJmYzItZWEzMC0zMTI0LTk5NzktYWU5MmE4MGVjNzdhIiwidGl0bGUiOiJEQVRJWCBDWU1SVS1JTkNJREVOVCBSRVBPUlRJTkciLCJhY2Nlc3NlZCI6eyJkYXRlLXBhcnRzIjpbWzIwMjYsMSwyOF1dfX0sImlzVGVtcG9yYXJ5IjpmYWxzZX1dfQ=="/>
          <w:id w:val="1717780129"/>
          <w:placeholder>
            <w:docPart w:val="DefaultPlaceholder_-1854013440"/>
          </w:placeholder>
        </w:sdtPr>
        <w:sdtContent>
          <w:r w:rsidR="004508AB" w:rsidRPr="004508AB">
            <w:rPr>
              <w:rFonts w:ascii="Arial" w:eastAsia="Times New Roman" w:hAnsi="Arial" w:cs="Arial"/>
              <w:color w:val="000000"/>
              <w:sz w:val="22"/>
            </w:rPr>
            <w:t>(</w:t>
          </w:r>
          <w:r w:rsidR="004508AB" w:rsidRPr="004508AB">
            <w:rPr>
              <w:rFonts w:ascii="Arial" w:eastAsia="Times New Roman" w:hAnsi="Arial" w:cs="Arial"/>
              <w:i/>
              <w:iCs/>
              <w:color w:val="000000"/>
              <w:sz w:val="22"/>
            </w:rPr>
            <w:t>DATIX CYMRU-INCIDENT REPORTING</w:t>
          </w:r>
          <w:r w:rsidR="004508AB" w:rsidRPr="004508AB">
            <w:rPr>
              <w:rFonts w:ascii="Arial" w:eastAsia="Times New Roman" w:hAnsi="Arial" w:cs="Arial"/>
              <w:color w:val="000000"/>
              <w:sz w:val="22"/>
            </w:rPr>
            <w:t>, n.d.)</w:t>
          </w:r>
        </w:sdtContent>
      </w:sdt>
    </w:p>
    <w:p w14:paraId="26D082D6" w14:textId="77777777" w:rsidR="00225144" w:rsidRPr="00207F4C" w:rsidRDefault="00225144" w:rsidP="00225144">
      <w:pPr>
        <w:numPr>
          <w:ilvl w:val="0"/>
          <w:numId w:val="30"/>
        </w:numPr>
        <w:spacing w:before="100" w:beforeAutospacing="1" w:after="100" w:afterAutospacing="1" w:line="240" w:lineRule="auto"/>
        <w:rPr>
          <w:rFonts w:ascii="Arial" w:eastAsia="Times New Roman" w:hAnsi="Arial" w:cs="Arial"/>
          <w:sz w:val="22"/>
          <w:szCs w:val="22"/>
          <w:lang w:val="en-GB"/>
        </w:rPr>
      </w:pPr>
      <w:r w:rsidRPr="00207F4C">
        <w:rPr>
          <w:rFonts w:ascii="Arial" w:eastAsia="Times New Roman" w:hAnsi="Arial" w:cs="Arial"/>
          <w:b/>
          <w:bCs/>
          <w:sz w:val="22"/>
          <w:szCs w:val="22"/>
          <w:lang w:val="en-GB"/>
        </w:rPr>
        <w:t>Triangulation Across Sources</w:t>
      </w:r>
      <w:r w:rsidRPr="00207F4C">
        <w:rPr>
          <w:rFonts w:ascii="Arial" w:eastAsia="Times New Roman" w:hAnsi="Arial" w:cs="Arial"/>
          <w:b/>
          <w:bCs/>
          <w:sz w:val="22"/>
          <w:szCs w:val="22"/>
          <w:lang w:val="en-GB"/>
        </w:rPr>
        <w:br/>
      </w:r>
      <w:r w:rsidRPr="00207F4C">
        <w:rPr>
          <w:rFonts w:ascii="Arial" w:eastAsia="Times New Roman" w:hAnsi="Arial" w:cs="Arial"/>
          <w:sz w:val="22"/>
          <w:szCs w:val="22"/>
          <w:lang w:val="en-GB"/>
        </w:rPr>
        <w:t xml:space="preserve">Multiple sources of evidence including interviews, observations, forums, meetings, organisational documentation, and evaluator experience were cross-referenced to </w:t>
      </w:r>
      <w:r w:rsidRPr="00207F4C">
        <w:rPr>
          <w:rFonts w:ascii="Arial" w:eastAsia="Times New Roman" w:hAnsi="Arial" w:cs="Arial"/>
          <w:sz w:val="22"/>
          <w:szCs w:val="22"/>
          <w:lang w:val="en-GB"/>
        </w:rPr>
        <w:lastRenderedPageBreak/>
        <w:t>corroborate findings. This enhanced the reliability of interpretations and ensured that both individual experiences and collective perspectives were represented.</w:t>
      </w:r>
    </w:p>
    <w:p w14:paraId="6148CFB4" w14:textId="412AD949" w:rsidR="00423CC8" w:rsidRPr="00207F4C" w:rsidRDefault="00225144" w:rsidP="00225144">
      <w:pPr>
        <w:numPr>
          <w:ilvl w:val="0"/>
          <w:numId w:val="30"/>
        </w:numPr>
        <w:spacing w:before="100" w:beforeAutospacing="1" w:after="100" w:afterAutospacing="1" w:line="240" w:lineRule="auto"/>
        <w:rPr>
          <w:rFonts w:ascii="Arial" w:hAnsi="Arial" w:cs="Arial"/>
          <w:sz w:val="22"/>
          <w:szCs w:val="22"/>
        </w:rPr>
      </w:pPr>
      <w:r w:rsidRPr="00207F4C">
        <w:rPr>
          <w:rFonts w:ascii="Arial" w:eastAsia="Times New Roman" w:hAnsi="Arial" w:cs="Arial"/>
          <w:b/>
          <w:bCs/>
          <w:sz w:val="22"/>
          <w:szCs w:val="22"/>
          <w:lang w:val="en-GB"/>
        </w:rPr>
        <w:t>Synthesis and Interpretation</w:t>
      </w:r>
      <w:r w:rsidRPr="00207F4C">
        <w:rPr>
          <w:rFonts w:ascii="Arial" w:eastAsia="Times New Roman" w:hAnsi="Arial" w:cs="Arial"/>
          <w:b/>
          <w:bCs/>
          <w:sz w:val="22"/>
          <w:szCs w:val="22"/>
          <w:lang w:val="en-GB"/>
        </w:rPr>
        <w:br/>
      </w:r>
      <w:r w:rsidRPr="00207F4C">
        <w:rPr>
          <w:rFonts w:ascii="Arial" w:eastAsia="Times New Roman" w:hAnsi="Arial" w:cs="Arial"/>
          <w:sz w:val="22"/>
          <w:szCs w:val="22"/>
          <w:lang w:val="en-GB"/>
        </w:rPr>
        <w:t>Coded themes were synthesised to identify positive alignments and misalignments across the FITT dimensions. Patterns were examined to highlight how system design, user capabilities, and task requirements interact to affect reporting, investigation, workflow efficiency, and organisational learning. Insights from forums and meetings provided a broader organisational perspective on adoption</w:t>
      </w:r>
    </w:p>
    <w:p w14:paraId="13F834E4" w14:textId="219F3708"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2.5 Ethical Considerations</w:t>
      </w:r>
    </w:p>
    <w:p w14:paraId="783F641B" w14:textId="59BDBDFB" w:rsidR="00423CC8" w:rsidRPr="00207F4C" w:rsidRDefault="3F2BEC68" w:rsidP="5E4C4E6D">
      <w:pPr>
        <w:pStyle w:val="ListParagraph"/>
        <w:numPr>
          <w:ilvl w:val="0"/>
          <w:numId w:val="5"/>
        </w:numPr>
        <w:spacing w:before="240" w:after="240" w:line="240" w:lineRule="auto"/>
        <w:rPr>
          <w:rFonts w:ascii="Arial" w:eastAsia="Times New Roman" w:hAnsi="Arial" w:cs="Arial"/>
          <w:sz w:val="22"/>
          <w:szCs w:val="22"/>
        </w:rPr>
      </w:pPr>
      <w:r w:rsidRPr="147352E0">
        <w:rPr>
          <w:rFonts w:ascii="Arial" w:eastAsia="Times New Roman" w:hAnsi="Arial" w:cs="Arial"/>
          <w:sz w:val="22"/>
          <w:szCs w:val="22"/>
        </w:rPr>
        <w:t xml:space="preserve">Participation was </w:t>
      </w:r>
      <w:r w:rsidR="369ECBA8" w:rsidRPr="147352E0">
        <w:rPr>
          <w:rFonts w:ascii="Arial" w:eastAsia="Times New Roman" w:hAnsi="Arial" w:cs="Arial"/>
          <w:sz w:val="22"/>
          <w:szCs w:val="22"/>
        </w:rPr>
        <w:t>voluntary,</w:t>
      </w:r>
      <w:r w:rsidRPr="147352E0">
        <w:rPr>
          <w:rFonts w:ascii="Arial" w:eastAsia="Times New Roman" w:hAnsi="Arial" w:cs="Arial"/>
          <w:sz w:val="22"/>
          <w:szCs w:val="22"/>
        </w:rPr>
        <w:t xml:space="preserve"> and anonymity and confidentiality were maintained.</w:t>
      </w:r>
    </w:p>
    <w:p w14:paraId="1012B9ED" w14:textId="232556DA" w:rsidR="00423CC8" w:rsidRPr="00207F4C" w:rsidRDefault="3F2BEC68" w:rsidP="5E4C4E6D">
      <w:pPr>
        <w:pStyle w:val="ListParagraph"/>
        <w:numPr>
          <w:ilvl w:val="0"/>
          <w:numId w:val="5"/>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No patient-identifiable information was collected.</w:t>
      </w:r>
    </w:p>
    <w:p w14:paraId="3AD04F94" w14:textId="01E18C16" w:rsidR="00423CC8" w:rsidRPr="00207F4C" w:rsidRDefault="00423CC8" w:rsidP="004E7CEA">
      <w:pPr>
        <w:spacing w:before="100" w:beforeAutospacing="1" w:after="100" w:afterAutospacing="1" w:line="240" w:lineRule="auto"/>
        <w:rPr>
          <w:rFonts w:ascii="Arial" w:hAnsi="Arial" w:cs="Arial"/>
          <w:sz w:val="22"/>
          <w:szCs w:val="22"/>
        </w:rPr>
      </w:pPr>
    </w:p>
    <w:p w14:paraId="19389485" w14:textId="23DEA6B4"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3. Results </w:t>
      </w:r>
    </w:p>
    <w:p w14:paraId="10B1BEE3" w14:textId="15F1EDD2"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Data were analysed and coded using the FITT framework. Table 1 summarises key themes aligned with FITT dimensions.</w:t>
      </w:r>
    </w:p>
    <w:p w14:paraId="6A6FCC58" w14:textId="66AA8A26"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b/>
          <w:bCs/>
          <w:sz w:val="22"/>
          <w:szCs w:val="22"/>
        </w:rPr>
        <w:t>Table 1. FITT Framework Alignment and Misalignment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6A0" w:firstRow="1" w:lastRow="0" w:firstColumn="1" w:lastColumn="0" w:noHBand="1" w:noVBand="1"/>
      </w:tblPr>
      <w:tblGrid>
        <w:gridCol w:w="1354"/>
        <w:gridCol w:w="2888"/>
        <w:gridCol w:w="2845"/>
        <w:gridCol w:w="2263"/>
      </w:tblGrid>
      <w:tr w:rsidR="5E4C4E6D" w:rsidRPr="00207F4C" w14:paraId="64EC5F1C" w14:textId="77777777" w:rsidTr="004F4F35">
        <w:trPr>
          <w:trHeight w:val="300"/>
        </w:trPr>
        <w:tc>
          <w:tcPr>
            <w:tcW w:w="826" w:type="dxa"/>
            <w:vAlign w:val="center"/>
          </w:tcPr>
          <w:p w14:paraId="3F06B005" w14:textId="0C2F8115"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FITT Dimension</w:t>
            </w:r>
          </w:p>
        </w:tc>
        <w:tc>
          <w:tcPr>
            <w:tcW w:w="3115" w:type="dxa"/>
            <w:vAlign w:val="center"/>
          </w:tcPr>
          <w:p w14:paraId="55EB83E9" w14:textId="338842D7"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Positive Alignment</w:t>
            </w:r>
          </w:p>
        </w:tc>
        <w:tc>
          <w:tcPr>
            <w:tcW w:w="3051" w:type="dxa"/>
            <w:vAlign w:val="center"/>
          </w:tcPr>
          <w:p w14:paraId="6B4817E4" w14:textId="5CC582FE"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Misalignment / Challenges</w:t>
            </w:r>
          </w:p>
        </w:tc>
        <w:tc>
          <w:tcPr>
            <w:tcW w:w="2369" w:type="dxa"/>
            <w:vAlign w:val="center"/>
          </w:tcPr>
          <w:p w14:paraId="70E59BF0" w14:textId="29431019" w:rsidR="5E4C4E6D" w:rsidRPr="00207F4C" w:rsidRDefault="5E4C4E6D" w:rsidP="5E4C4E6D">
            <w:pPr>
              <w:spacing w:after="0"/>
              <w:jc w:val="center"/>
              <w:rPr>
                <w:rFonts w:ascii="Arial" w:hAnsi="Arial" w:cs="Arial"/>
                <w:sz w:val="22"/>
                <w:szCs w:val="22"/>
              </w:rPr>
            </w:pPr>
            <w:r w:rsidRPr="00207F4C">
              <w:rPr>
                <w:rFonts w:ascii="Arial" w:hAnsi="Arial" w:cs="Arial"/>
                <w:b/>
                <w:bCs/>
                <w:sz w:val="22"/>
                <w:szCs w:val="22"/>
              </w:rPr>
              <w:t>Interpretation</w:t>
            </w:r>
          </w:p>
        </w:tc>
      </w:tr>
      <w:tr w:rsidR="5E4C4E6D" w:rsidRPr="00207F4C" w14:paraId="2D0D6D36" w14:textId="77777777" w:rsidTr="004F4F35">
        <w:trPr>
          <w:trHeight w:val="300"/>
        </w:trPr>
        <w:tc>
          <w:tcPr>
            <w:tcW w:w="826" w:type="dxa"/>
            <w:vAlign w:val="center"/>
          </w:tcPr>
          <w:p w14:paraId="0E91CD4B" w14:textId="75D7B52E" w:rsidR="5E4C4E6D" w:rsidRPr="00207F4C" w:rsidRDefault="5E4C4E6D" w:rsidP="5E4C4E6D">
            <w:pPr>
              <w:spacing w:after="0"/>
              <w:rPr>
                <w:rFonts w:ascii="Arial" w:hAnsi="Arial" w:cs="Arial"/>
                <w:sz w:val="22"/>
                <w:szCs w:val="22"/>
              </w:rPr>
            </w:pPr>
            <w:r w:rsidRPr="00207F4C">
              <w:rPr>
                <w:rFonts w:ascii="Arial" w:hAnsi="Arial" w:cs="Arial"/>
                <w:sz w:val="22"/>
                <w:szCs w:val="22"/>
              </w:rPr>
              <w:t>Individual–Technology</w:t>
            </w:r>
          </w:p>
        </w:tc>
        <w:tc>
          <w:tcPr>
            <w:tcW w:w="3115" w:type="dxa"/>
            <w:vAlign w:val="center"/>
          </w:tcPr>
          <w:p w14:paraId="12614975" w14:textId="569B6174" w:rsidR="5E4C4E6D" w:rsidRPr="00207F4C" w:rsidRDefault="5E4C4E6D" w:rsidP="5E4C4E6D">
            <w:pPr>
              <w:spacing w:after="0"/>
              <w:rPr>
                <w:rFonts w:ascii="Arial" w:hAnsi="Arial" w:cs="Arial"/>
                <w:sz w:val="22"/>
                <w:szCs w:val="22"/>
              </w:rPr>
            </w:pPr>
            <w:r w:rsidRPr="00207F4C">
              <w:rPr>
                <w:rFonts w:ascii="Arial" w:hAnsi="Arial" w:cs="Arial"/>
                <w:sz w:val="22"/>
                <w:szCs w:val="22"/>
              </w:rPr>
              <w:t>Intuitive interface, improved prompts, faster report completion under 10 minutes</w:t>
            </w:r>
          </w:p>
        </w:tc>
        <w:tc>
          <w:tcPr>
            <w:tcW w:w="3051" w:type="dxa"/>
            <w:vAlign w:val="center"/>
          </w:tcPr>
          <w:p w14:paraId="0049D692" w14:textId="254C25BD" w:rsidR="5E4C4E6D" w:rsidRPr="00207F4C" w:rsidRDefault="5E4C4E6D" w:rsidP="5E4C4E6D">
            <w:pPr>
              <w:spacing w:after="0"/>
              <w:rPr>
                <w:rFonts w:ascii="Arial" w:hAnsi="Arial" w:cs="Arial"/>
                <w:sz w:val="22"/>
                <w:szCs w:val="22"/>
              </w:rPr>
            </w:pPr>
            <w:r w:rsidRPr="00207F4C">
              <w:rPr>
                <w:rFonts w:ascii="Arial" w:hAnsi="Arial" w:cs="Arial"/>
                <w:sz w:val="22"/>
                <w:szCs w:val="22"/>
              </w:rPr>
              <w:t>Low confidence with coding, reliance on informal learning, limited awareness of SOPs</w:t>
            </w:r>
          </w:p>
        </w:tc>
        <w:tc>
          <w:tcPr>
            <w:tcW w:w="2369" w:type="dxa"/>
            <w:vAlign w:val="center"/>
          </w:tcPr>
          <w:p w14:paraId="1FFF7DCD" w14:textId="5351EAD5" w:rsidR="5E4C4E6D" w:rsidRPr="00207F4C" w:rsidRDefault="5E4C4E6D" w:rsidP="5E4C4E6D">
            <w:pPr>
              <w:spacing w:after="0"/>
              <w:rPr>
                <w:rFonts w:ascii="Arial" w:hAnsi="Arial" w:cs="Arial"/>
                <w:sz w:val="22"/>
                <w:szCs w:val="22"/>
              </w:rPr>
            </w:pPr>
            <w:r w:rsidRPr="00207F4C">
              <w:rPr>
                <w:rFonts w:ascii="Arial" w:hAnsi="Arial" w:cs="Arial"/>
                <w:sz w:val="22"/>
                <w:szCs w:val="22"/>
              </w:rPr>
              <w:t>System improved, but user capability lags</w:t>
            </w:r>
          </w:p>
        </w:tc>
      </w:tr>
      <w:tr w:rsidR="5E4C4E6D" w:rsidRPr="00207F4C" w14:paraId="473C44F6" w14:textId="77777777" w:rsidTr="004F4F35">
        <w:trPr>
          <w:trHeight w:val="300"/>
        </w:trPr>
        <w:tc>
          <w:tcPr>
            <w:tcW w:w="826" w:type="dxa"/>
            <w:vAlign w:val="center"/>
          </w:tcPr>
          <w:p w14:paraId="7C56601C" w14:textId="23DDF70D" w:rsidR="5E4C4E6D" w:rsidRPr="00207F4C" w:rsidRDefault="5E4C4E6D" w:rsidP="5E4C4E6D">
            <w:pPr>
              <w:spacing w:after="0"/>
              <w:rPr>
                <w:rFonts w:ascii="Arial" w:hAnsi="Arial" w:cs="Arial"/>
                <w:sz w:val="22"/>
                <w:szCs w:val="22"/>
              </w:rPr>
            </w:pPr>
            <w:r w:rsidRPr="00207F4C">
              <w:rPr>
                <w:rFonts w:ascii="Arial" w:hAnsi="Arial" w:cs="Arial"/>
                <w:sz w:val="22"/>
                <w:szCs w:val="22"/>
              </w:rPr>
              <w:t>Individual–Task</w:t>
            </w:r>
          </w:p>
        </w:tc>
        <w:tc>
          <w:tcPr>
            <w:tcW w:w="3115" w:type="dxa"/>
            <w:vAlign w:val="center"/>
          </w:tcPr>
          <w:p w14:paraId="1738884F" w14:textId="16D2B4A9" w:rsidR="5E4C4E6D" w:rsidRPr="00207F4C" w:rsidRDefault="5E4C4E6D" w:rsidP="5E4C4E6D">
            <w:pPr>
              <w:spacing w:after="0"/>
              <w:rPr>
                <w:rFonts w:ascii="Arial" w:hAnsi="Arial" w:cs="Arial"/>
                <w:sz w:val="22"/>
                <w:szCs w:val="22"/>
              </w:rPr>
            </w:pPr>
            <w:r w:rsidRPr="00207F4C">
              <w:rPr>
                <w:rFonts w:ascii="Arial" w:hAnsi="Arial" w:cs="Arial"/>
                <w:sz w:val="22"/>
                <w:szCs w:val="22"/>
              </w:rPr>
              <w:t>Reporting is recognised as an important patient safety task, aligns with professional accountability</w:t>
            </w:r>
          </w:p>
        </w:tc>
        <w:tc>
          <w:tcPr>
            <w:tcW w:w="3051" w:type="dxa"/>
            <w:vAlign w:val="center"/>
          </w:tcPr>
          <w:p w14:paraId="22137012" w14:textId="4DA0BEBE" w:rsidR="5E4C4E6D" w:rsidRPr="00207F4C" w:rsidRDefault="5E4C4E6D" w:rsidP="5E4C4E6D">
            <w:pPr>
              <w:spacing w:after="0"/>
              <w:rPr>
                <w:rFonts w:ascii="Arial" w:hAnsi="Arial" w:cs="Arial"/>
                <w:sz w:val="22"/>
                <w:szCs w:val="22"/>
              </w:rPr>
            </w:pPr>
            <w:r w:rsidRPr="00207F4C">
              <w:rPr>
                <w:rFonts w:ascii="Arial" w:hAnsi="Arial" w:cs="Arial"/>
                <w:sz w:val="22"/>
                <w:szCs w:val="22"/>
              </w:rPr>
              <w:t>Time pressure, deferred reporting, cognitive burden from complex classifications</w:t>
            </w:r>
          </w:p>
        </w:tc>
        <w:tc>
          <w:tcPr>
            <w:tcW w:w="2369" w:type="dxa"/>
            <w:vAlign w:val="center"/>
          </w:tcPr>
          <w:p w14:paraId="24EB9E88" w14:textId="705ED211" w:rsidR="5E4C4E6D" w:rsidRPr="00207F4C" w:rsidRDefault="5E4C4E6D" w:rsidP="5E4C4E6D">
            <w:pPr>
              <w:spacing w:after="0"/>
              <w:rPr>
                <w:rFonts w:ascii="Arial" w:hAnsi="Arial" w:cs="Arial"/>
                <w:sz w:val="22"/>
                <w:szCs w:val="22"/>
              </w:rPr>
            </w:pPr>
            <w:r w:rsidRPr="00207F4C">
              <w:rPr>
                <w:rFonts w:ascii="Arial" w:hAnsi="Arial" w:cs="Arial"/>
                <w:sz w:val="22"/>
                <w:szCs w:val="22"/>
              </w:rPr>
              <w:t>Operational realities limit feasibility</w:t>
            </w:r>
          </w:p>
        </w:tc>
      </w:tr>
      <w:tr w:rsidR="5E4C4E6D" w:rsidRPr="00207F4C" w14:paraId="5BAE4985" w14:textId="77777777" w:rsidTr="004F4F35">
        <w:trPr>
          <w:trHeight w:val="300"/>
        </w:trPr>
        <w:tc>
          <w:tcPr>
            <w:tcW w:w="826" w:type="dxa"/>
            <w:vAlign w:val="center"/>
          </w:tcPr>
          <w:p w14:paraId="5E02987A" w14:textId="234302BC" w:rsidR="5E4C4E6D" w:rsidRPr="00207F4C" w:rsidRDefault="5E4C4E6D" w:rsidP="5E4C4E6D">
            <w:pPr>
              <w:spacing w:after="0"/>
              <w:rPr>
                <w:rFonts w:ascii="Arial" w:hAnsi="Arial" w:cs="Arial"/>
                <w:sz w:val="22"/>
                <w:szCs w:val="22"/>
              </w:rPr>
            </w:pPr>
            <w:r w:rsidRPr="00207F4C">
              <w:rPr>
                <w:rFonts w:ascii="Arial" w:hAnsi="Arial" w:cs="Arial"/>
                <w:sz w:val="22"/>
                <w:szCs w:val="22"/>
              </w:rPr>
              <w:t>Task–Technology</w:t>
            </w:r>
          </w:p>
        </w:tc>
        <w:tc>
          <w:tcPr>
            <w:tcW w:w="3115" w:type="dxa"/>
            <w:vAlign w:val="center"/>
          </w:tcPr>
          <w:p w14:paraId="25985B99" w14:textId="07C2107D" w:rsidR="5E4C4E6D" w:rsidRPr="00207F4C" w:rsidRDefault="5E4C4E6D" w:rsidP="5E4C4E6D">
            <w:pPr>
              <w:spacing w:after="0"/>
              <w:rPr>
                <w:rFonts w:ascii="Arial" w:hAnsi="Arial" w:cs="Arial"/>
                <w:sz w:val="22"/>
                <w:szCs w:val="22"/>
              </w:rPr>
            </w:pPr>
            <w:r w:rsidRPr="00207F4C">
              <w:rPr>
                <w:rFonts w:ascii="Arial" w:hAnsi="Arial" w:cs="Arial"/>
                <w:sz w:val="22"/>
                <w:szCs w:val="22"/>
              </w:rPr>
              <w:t>Condensed forms, workflows aligned with incident scenarios, dashboards support team leaders</w:t>
            </w:r>
          </w:p>
        </w:tc>
        <w:tc>
          <w:tcPr>
            <w:tcW w:w="3051" w:type="dxa"/>
            <w:vAlign w:val="center"/>
          </w:tcPr>
          <w:p w14:paraId="114F573D" w14:textId="61F6C0AD" w:rsidR="5E4C4E6D" w:rsidRPr="00207F4C" w:rsidRDefault="5E4C4E6D" w:rsidP="5E4C4E6D">
            <w:pPr>
              <w:spacing w:after="0"/>
              <w:rPr>
                <w:rFonts w:ascii="Arial" w:hAnsi="Arial" w:cs="Arial"/>
                <w:sz w:val="22"/>
                <w:szCs w:val="22"/>
              </w:rPr>
            </w:pPr>
            <w:r w:rsidRPr="00207F4C">
              <w:rPr>
                <w:rFonts w:ascii="Arial" w:hAnsi="Arial" w:cs="Arial"/>
                <w:sz w:val="22"/>
                <w:szCs w:val="22"/>
              </w:rPr>
              <w:t>Reporting interrupts patient flow, feedback limited, some tasks manual, data extraction complex</w:t>
            </w:r>
          </w:p>
        </w:tc>
        <w:tc>
          <w:tcPr>
            <w:tcW w:w="2369" w:type="dxa"/>
            <w:vAlign w:val="center"/>
          </w:tcPr>
          <w:p w14:paraId="2FEBC489" w14:textId="74C0A449" w:rsidR="5E4C4E6D" w:rsidRPr="00207F4C" w:rsidRDefault="5E4C4E6D" w:rsidP="5E4C4E6D">
            <w:pPr>
              <w:spacing w:after="0"/>
              <w:rPr>
                <w:rFonts w:ascii="Arial" w:hAnsi="Arial" w:cs="Arial"/>
                <w:sz w:val="22"/>
                <w:szCs w:val="22"/>
              </w:rPr>
            </w:pPr>
            <w:r w:rsidRPr="00207F4C">
              <w:rPr>
                <w:rFonts w:ascii="Arial" w:hAnsi="Arial" w:cs="Arial"/>
                <w:sz w:val="22"/>
                <w:szCs w:val="22"/>
              </w:rPr>
              <w:t>Dashboards allow visualisation, but analysis and learning are constrained</w:t>
            </w:r>
          </w:p>
        </w:tc>
      </w:tr>
    </w:tbl>
    <w:p w14:paraId="0B4FB914" w14:textId="4D9C0AA6"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t>Positive Observations</w:t>
      </w:r>
    </w:p>
    <w:p w14:paraId="723C6724" w14:textId="0D6FE9E7" w:rsidR="00423CC8" w:rsidRPr="00207F4C" w:rsidRDefault="3F2BEC68" w:rsidP="5E4C4E6D">
      <w:pPr>
        <w:pStyle w:val="ListParagraph"/>
        <w:numPr>
          <w:ilvl w:val="0"/>
          <w:numId w:val="4"/>
        </w:numPr>
        <w:spacing w:before="240" w:after="240" w:line="240" w:lineRule="auto"/>
        <w:rPr>
          <w:rFonts w:ascii="Arial" w:eastAsia="Times New Roman" w:hAnsi="Arial" w:cs="Arial"/>
          <w:sz w:val="22"/>
          <w:szCs w:val="22"/>
        </w:rPr>
      </w:pPr>
      <w:r w:rsidRPr="147352E0">
        <w:rPr>
          <w:rFonts w:ascii="Arial" w:eastAsia="Times New Roman" w:hAnsi="Arial" w:cs="Arial"/>
          <w:sz w:val="22"/>
          <w:szCs w:val="22"/>
        </w:rPr>
        <w:t xml:space="preserve">New Datix Cymru forms are more relevant, condensed, and </w:t>
      </w:r>
      <w:r w:rsidR="4B750D6E" w:rsidRPr="147352E0">
        <w:rPr>
          <w:rFonts w:ascii="Arial" w:eastAsia="Times New Roman" w:hAnsi="Arial" w:cs="Arial"/>
          <w:sz w:val="22"/>
          <w:szCs w:val="22"/>
        </w:rPr>
        <w:t>time efficient</w:t>
      </w:r>
      <w:r w:rsidRPr="147352E0">
        <w:rPr>
          <w:rFonts w:ascii="Arial" w:eastAsia="Times New Roman" w:hAnsi="Arial" w:cs="Arial"/>
          <w:sz w:val="22"/>
          <w:szCs w:val="22"/>
        </w:rPr>
        <w:t>.</w:t>
      </w:r>
    </w:p>
    <w:p w14:paraId="1153289B" w14:textId="082FF16D" w:rsidR="00423CC8" w:rsidRPr="00207F4C" w:rsidRDefault="3F2BEC68" w:rsidP="5E4C4E6D">
      <w:pPr>
        <w:pStyle w:val="ListParagraph"/>
        <w:numPr>
          <w:ilvl w:val="0"/>
          <w:numId w:val="4"/>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Dashboard visualisation allows team leaders to monitor trends and high-risk areas.</w:t>
      </w:r>
    </w:p>
    <w:p w14:paraId="3F15854A" w14:textId="407C9117" w:rsidR="00423CC8" w:rsidRPr="00207F4C" w:rsidRDefault="3F2BEC68" w:rsidP="5E4C4E6D">
      <w:pPr>
        <w:pStyle w:val="ListParagraph"/>
        <w:numPr>
          <w:ilvl w:val="0"/>
          <w:numId w:val="4"/>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Investigation tools and prompts improve governance and workflow consistency.</w:t>
      </w:r>
    </w:p>
    <w:p w14:paraId="342D9DF9" w14:textId="0EFA8F66" w:rsidR="00423CC8" w:rsidRPr="00207F4C" w:rsidRDefault="3F2BEC68" w:rsidP="5E4C4E6D">
      <w:pPr>
        <w:pStyle w:val="Heading3"/>
        <w:spacing w:before="281" w:after="281" w:line="240" w:lineRule="auto"/>
        <w:rPr>
          <w:rFonts w:ascii="Arial" w:hAnsi="Arial" w:cs="Arial"/>
          <w:sz w:val="22"/>
          <w:szCs w:val="22"/>
        </w:rPr>
      </w:pPr>
      <w:r w:rsidRPr="00207F4C">
        <w:rPr>
          <w:rFonts w:ascii="Arial" w:eastAsia="Times New Roman" w:hAnsi="Arial" w:cs="Arial"/>
          <w:b/>
          <w:bCs/>
          <w:sz w:val="22"/>
          <w:szCs w:val="22"/>
        </w:rPr>
        <w:lastRenderedPageBreak/>
        <w:t>Challenges Identified</w:t>
      </w:r>
    </w:p>
    <w:p w14:paraId="1C9C3D4A" w14:textId="2AF02961" w:rsidR="00423CC8" w:rsidRPr="00207F4C" w:rsidRDefault="3F2BEC68" w:rsidP="5E4C4E6D">
      <w:pPr>
        <w:pStyle w:val="ListParagraph"/>
        <w:numPr>
          <w:ilvl w:val="0"/>
          <w:numId w:val="3"/>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Frontline staff experience time pressure, reducing the likelihood of immediate reporting.</w:t>
      </w:r>
    </w:p>
    <w:p w14:paraId="762867A0" w14:textId="3A551356" w:rsidR="00423CC8" w:rsidRPr="00207F4C" w:rsidRDefault="3F2BEC68" w:rsidP="5E4C4E6D">
      <w:pPr>
        <w:pStyle w:val="ListParagraph"/>
        <w:numPr>
          <w:ilvl w:val="0"/>
          <w:numId w:val="3"/>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Many rely on informal training, reducing confidence in incident coding and classifications.</w:t>
      </w:r>
    </w:p>
    <w:p w14:paraId="328C0BAA" w14:textId="74B7D2BD" w:rsidR="00423CC8" w:rsidRPr="00207F4C" w:rsidRDefault="3F2BEC68" w:rsidP="5E4C4E6D">
      <w:pPr>
        <w:pStyle w:val="ListParagraph"/>
        <w:numPr>
          <w:ilvl w:val="0"/>
          <w:numId w:val="3"/>
        </w:numPr>
        <w:spacing w:before="240" w:after="240" w:line="240" w:lineRule="auto"/>
        <w:rPr>
          <w:rFonts w:ascii="Arial" w:eastAsia="Times New Roman" w:hAnsi="Arial" w:cs="Arial"/>
          <w:sz w:val="22"/>
          <w:szCs w:val="22"/>
        </w:rPr>
      </w:pPr>
      <w:r w:rsidRPr="147352E0">
        <w:rPr>
          <w:rFonts w:ascii="Arial" w:eastAsia="Times New Roman" w:hAnsi="Arial" w:cs="Arial"/>
          <w:sz w:val="22"/>
          <w:szCs w:val="22"/>
        </w:rPr>
        <w:t xml:space="preserve">Feedback loops are </w:t>
      </w:r>
      <w:r w:rsidR="53F84FCA" w:rsidRPr="147352E0">
        <w:rPr>
          <w:rFonts w:ascii="Arial" w:eastAsia="Times New Roman" w:hAnsi="Arial" w:cs="Arial"/>
          <w:sz w:val="22"/>
          <w:szCs w:val="22"/>
        </w:rPr>
        <w:t>limited,</w:t>
      </w:r>
      <w:r w:rsidRPr="147352E0">
        <w:rPr>
          <w:rFonts w:ascii="Arial" w:eastAsia="Times New Roman" w:hAnsi="Arial" w:cs="Arial"/>
          <w:sz w:val="22"/>
          <w:szCs w:val="22"/>
        </w:rPr>
        <w:t xml:space="preserve"> and staff rarely see the impact of their reports.</w:t>
      </w:r>
    </w:p>
    <w:p w14:paraId="2F787BF7" w14:textId="576B0023" w:rsidR="00423CC8" w:rsidRPr="00207F4C" w:rsidRDefault="3F2BEC68" w:rsidP="5E4C4E6D">
      <w:pPr>
        <w:pStyle w:val="ListParagraph"/>
        <w:numPr>
          <w:ilvl w:val="0"/>
          <w:numId w:val="3"/>
        </w:numPr>
        <w:spacing w:before="240" w:after="240" w:line="240" w:lineRule="auto"/>
        <w:rPr>
          <w:rFonts w:ascii="Arial" w:eastAsia="Times New Roman" w:hAnsi="Arial" w:cs="Arial"/>
          <w:sz w:val="22"/>
          <w:szCs w:val="22"/>
        </w:rPr>
      </w:pPr>
      <w:r w:rsidRPr="00207F4C">
        <w:rPr>
          <w:rFonts w:ascii="Arial" w:eastAsia="Times New Roman" w:hAnsi="Arial" w:cs="Arial"/>
          <w:sz w:val="22"/>
          <w:szCs w:val="22"/>
        </w:rPr>
        <w:t>Data extraction for deeper analysis remains complex, limiting learning opportunities.</w:t>
      </w:r>
    </w:p>
    <w:p w14:paraId="7AEADA0D" w14:textId="5C483691" w:rsidR="00423CC8" w:rsidRPr="00207F4C" w:rsidRDefault="00423CC8" w:rsidP="004E7CEA">
      <w:pPr>
        <w:spacing w:before="100" w:beforeAutospacing="1" w:after="100" w:afterAutospacing="1" w:line="240" w:lineRule="auto"/>
        <w:rPr>
          <w:rFonts w:ascii="Arial" w:hAnsi="Arial" w:cs="Arial"/>
          <w:sz w:val="22"/>
          <w:szCs w:val="22"/>
        </w:rPr>
      </w:pPr>
    </w:p>
    <w:p w14:paraId="01774C6E" w14:textId="1B32295D"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4. Discussion </w:t>
      </w:r>
    </w:p>
    <w:p w14:paraId="27366881" w14:textId="19473D0D"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 xml:space="preserve">Datix Cymru represents a substantial improvement </w:t>
      </w:r>
      <w:r w:rsidR="00207F4C" w:rsidRPr="147352E0">
        <w:rPr>
          <w:rFonts w:ascii="Arial" w:eastAsia="Times New Roman" w:hAnsi="Arial" w:cs="Arial"/>
          <w:sz w:val="22"/>
          <w:szCs w:val="22"/>
        </w:rPr>
        <w:t xml:space="preserve">over </w:t>
      </w:r>
      <w:r w:rsidR="69C98EA8" w:rsidRPr="147352E0">
        <w:rPr>
          <w:rFonts w:ascii="Arial" w:eastAsia="Times New Roman" w:hAnsi="Arial" w:cs="Arial"/>
          <w:sz w:val="22"/>
          <w:szCs w:val="22"/>
        </w:rPr>
        <w:t>the legacy</w:t>
      </w:r>
      <w:r w:rsidR="00207F4C" w:rsidRPr="147352E0">
        <w:rPr>
          <w:rFonts w:ascii="Arial" w:eastAsia="Times New Roman" w:hAnsi="Arial" w:cs="Arial"/>
          <w:sz w:val="22"/>
          <w:szCs w:val="22"/>
        </w:rPr>
        <w:t xml:space="preserve"> system</w:t>
      </w:r>
      <w:r w:rsidRPr="147352E0">
        <w:rPr>
          <w:rFonts w:ascii="Arial" w:eastAsia="Times New Roman" w:hAnsi="Arial" w:cs="Arial"/>
          <w:sz w:val="22"/>
          <w:szCs w:val="22"/>
        </w:rPr>
        <w:t xml:space="preserve">. Standardised workflows, condensed forms, dashboards, and integrated investigation tools address </w:t>
      </w:r>
      <w:r w:rsidR="48743EC8" w:rsidRPr="147352E0">
        <w:rPr>
          <w:rFonts w:ascii="Arial" w:eastAsia="Times New Roman" w:hAnsi="Arial" w:cs="Arial"/>
          <w:sz w:val="22"/>
          <w:szCs w:val="22"/>
        </w:rPr>
        <w:t>prior to</w:t>
      </w:r>
      <w:r w:rsidRPr="147352E0">
        <w:rPr>
          <w:rFonts w:ascii="Arial" w:eastAsia="Times New Roman" w:hAnsi="Arial" w:cs="Arial"/>
          <w:sz w:val="22"/>
          <w:szCs w:val="22"/>
        </w:rPr>
        <w:t xml:space="preserve"> inconsistencies and reduce operational burden. These findings align with literature highlighting the importance of standardisation and usability in health information systems for adoption and learning </w:t>
      </w:r>
      <w:sdt>
        <w:sdtPr>
          <w:rPr>
            <w:rFonts w:ascii="Arial" w:eastAsia="Times New Roman" w:hAnsi="Arial" w:cs="Arial"/>
            <w:color w:val="000000" w:themeColor="text1"/>
            <w:sz w:val="22"/>
            <w:szCs w:val="22"/>
          </w:rPr>
          <w:tag w:val="MENDELEY_CITATION_v3_eyJjaXRhdGlvbklEIjoiTUVOREVMRVlfQ0lUQVRJT05fZmYwMjk4ZmUtMDFkNC00OTUxLWEyNjQtYTVlZDExMzZiYWQx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
          <w:id w:val="752945209"/>
          <w:placeholder>
            <w:docPart w:val="DefaultPlaceholder_-1854013440"/>
          </w:placeholder>
        </w:sdtPr>
        <w:sdtContent>
          <w:r w:rsidR="004508AB" w:rsidRPr="147352E0">
            <w:rPr>
              <w:rFonts w:ascii="Arial" w:eastAsia="Times New Roman" w:hAnsi="Arial" w:cs="Arial"/>
              <w:color w:val="000000" w:themeColor="text1"/>
              <w:sz w:val="22"/>
              <w:szCs w:val="22"/>
            </w:rPr>
            <w:t>(Ammenwerth et al., 2006)</w:t>
          </w:r>
        </w:sdtContent>
      </w:sdt>
    </w:p>
    <w:p w14:paraId="334355C1" w14:textId="65E39863"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Persistent challenges show that system design alone is insufficient for effective adoption. Low user confidence, reliance on informal training, and time pressures limit consistent reporting. These issues mostly reflect programme implementation and workflow integration rather than inherent system flaws.</w:t>
      </w:r>
    </w:p>
    <w:p w14:paraId="3F7D8E24" w14:textId="68E0F0E7"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Task</w:t>
      </w:r>
      <w:r w:rsidR="00207F4C" w:rsidRPr="147352E0">
        <w:rPr>
          <w:rFonts w:ascii="Arial" w:eastAsia="Times New Roman" w:hAnsi="Arial" w:cs="Arial"/>
          <w:sz w:val="22"/>
          <w:szCs w:val="22"/>
        </w:rPr>
        <w:t>-</w:t>
      </w:r>
      <w:r w:rsidRPr="147352E0">
        <w:rPr>
          <w:rFonts w:ascii="Arial" w:eastAsia="Times New Roman" w:hAnsi="Arial" w:cs="Arial"/>
          <w:sz w:val="22"/>
          <w:szCs w:val="22"/>
        </w:rPr>
        <w:t xml:space="preserve">technology misalignment is evident in data extraction and feedback. Dashboards provide visualisation, but the system does not fully support deeper analysis or ensure that reporting feeds into organisational learning. </w:t>
      </w:r>
      <w:r w:rsidR="12D00FED" w:rsidRPr="147352E0">
        <w:rPr>
          <w:rFonts w:ascii="Arial" w:eastAsia="Times New Roman" w:hAnsi="Arial" w:cs="Arial"/>
          <w:sz w:val="22"/>
          <w:szCs w:val="22"/>
        </w:rPr>
        <w:t>Effective</w:t>
      </w:r>
      <w:r w:rsidRPr="147352E0">
        <w:rPr>
          <w:rFonts w:ascii="Arial" w:eastAsia="Times New Roman" w:hAnsi="Arial" w:cs="Arial"/>
          <w:sz w:val="22"/>
          <w:szCs w:val="22"/>
        </w:rPr>
        <w:t xml:space="preserve"> feedback and actionable reporting are critical for fostering a culture of safety and continuous improvement</w:t>
      </w:r>
      <w:r w:rsidR="00207F4C" w:rsidRPr="147352E0">
        <w:rPr>
          <w:rFonts w:ascii="Arial" w:eastAsia="Times New Roman" w:hAnsi="Arial" w:cs="Arial"/>
          <w:sz w:val="22"/>
          <w:szCs w:val="22"/>
        </w:rPr>
        <w:t>.</w:t>
      </w:r>
    </w:p>
    <w:p w14:paraId="0BA4AE6C" w14:textId="58A8DFB3"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 xml:space="preserve">The comparison with legacy systems shows that Datix Cymru improves standardisation, reduces unnecessary fields, and aligns with statutory obligations such as Duty of Candour and Putting Things Right. Adoption is moderated by individual and organisational factors, especially in time-critical mobile settings. These findings are consistent with socio-technical research emphasizing that technology effectiveness depends on user-task alignment and organisational support </w:t>
      </w:r>
      <w:sdt>
        <w:sdtPr>
          <w:rPr>
            <w:rFonts w:ascii="Arial" w:eastAsia="Times New Roman" w:hAnsi="Arial" w:cs="Arial"/>
            <w:color w:val="000000"/>
            <w:sz w:val="22"/>
            <w:szCs w:val="22"/>
          </w:rPr>
          <w:tag w:val="MENDELEY_CITATION_v3_eyJjaXRhdGlvbklEIjoiTUVOREVMRVlfQ0lUQVRJT05fNzhjNzk2YzYtNzc1Yi00ODgwLThhMzEtMmM2NDY0ZGEwOTFmIiwicHJvcGVydGllcyI6eyJub3RlSW5kZXgiOjB9LCJpc0VkaXRlZCI6ZmFsc2UsIm1hbnVhbE92ZXJyaWRlIjp7ImlzTWFudWFsbHlPdmVycmlkZGVuIjpmYWxzZSwiY2l0ZXByb2NUZXh0IjoiKEJvcnlja2kgJiMzODsgS3VzaG5pcnVrLCAyMDEwKSIsIm1hbnVhbE92ZXJyaWRlVGV4dCI6IiJ9LCJjaXRhdGlvbkl0ZW1zIjpbeyJpZCI6ImFhNzQ5NjUzLWFlNTktM2U5My04YjBhLWUyZTg3N2FhNmZhMSIsIml0ZW1EYXRhIjp7InR5cGUiOiJhcnRpY2xlLWpvdXJuYWwiLCJpZCI6ImFhNzQ5NjUzLWFlNTktM2U5My04YjBhLWUyZTg3N2FhNmZhMSIsInRpdGxlIjoiVG93YXJkcyBhbiBJbnRlZ3JhdGl2ZSBDb2duaXRpdmUtU29jaW8tVGVjaG5pY2FsIEFwcHJvYWNoIGluIEhlYWx0aCBJbmZvcm1hdGljczogQW5hbHl6aW5nIFRlY2hub2xvZ3ktSW5kdWNlZCBFcnJvciBJbnZvbHZpbmcgSGVhbHRoIEluZm9ybWF0aW9uIFN5c3RlbXMgdG8gSW1wcm92ZSBQYXRpZW50IFNhZmV0eSIsImF1dGhvciI6W3siZmFtaWx5IjoiQm9yeWNraSIsImdpdmVuIjoiRS5NIiwicGFyc2UtbmFtZXMiOmZhbHNlLCJkcm9wcGluZy1wYXJ0aWNsZSI6IiIsIm5vbi1kcm9wcGluZy1wYXJ0aWNsZSI6IiJ9LHsiZmFtaWx5IjoiS3VzaG5pcnVrIiwiZ2l2ZW4iOiJBLlciLCJwYXJzZS1uYW1lcyI6ZmFsc2UsImRyb3BwaW5nLXBhcnRpY2xlIjoiIiwibm9uLWRyb3BwaW5nLXBhcnRpY2xlIjoiIn1dLCJjb250YWluZXItdGl0bGUiOiJUaGUgT3BlbiBNZWRpY2FsIEluZm9ybWF0aWNzIEpvdXJuYWwiLCJjb250YWluZXItdGl0bGUtc2hvcnQiOiJPcGVuIE1lZC4gSW5mb3JtLiBKLiIsImFjY2Vzc2VkIjp7ImRhdGUtcGFydHMiOltbMjAyNiwxLDI4XV19LCJET0kiOiIxMC4yMTc0LzE4NzQ0MzExMDEwMDQwMTAxODEiLCJJU1NOIjoiMTg3NC00MzExIiwiUE1JRCI6IjIxNTk0MDEwIiwiVVJMIjoiaHR0cHM6Ly9wbWMubmNiaS5ubG0ubmloLmdvdi9hcnRpY2xlcy9QTUMzMDk3MDY3LyIsImlzc3VlZCI6eyJkYXRlLXBhcnRzIjpbWzIwMTAsNCw1XV19LCJwYWdlIjoiMTgxIiwiYWJzdHJhY3QiOiJUaGUgcHVycG9zZSBvZiB0aGlzIHBhcGVyIGlzIHRvIGFyZ3VlIGZvciBhbiBpbnRlZ3JhdGlvbiBvZiBjb2duaXRpdmUgYW5kIHNvY2lvLXRlY2huaWNhbCBhcHByb2FjaGVzIHRvIGFzc2Vzc2luZyB0aGUgaW1wYWN0IG9mIGhlYWx0aCBpbmZvcm1hdGlvbiBzeXN0ZW1zLiBIaXN0b3JpY2FsbHksIGhlYWx0aCBpbmZvcm1hdGljcyByZXNlYXJjaCBoYXMgZXhhbWluZWQgdGhlIGNvZ25pdGl2ZSBhbmQgc29jaW8tdGVjaG5pY2FsIGFzcGVjdHMgb2YgaGVhbHRoIGluZm9ybWF0aW9uIHN5c3RlbXMgc2VwYXJhdGVseS4gSW4gdGhpcyBwYXBlciB3ZSBhcmd1ZSB0aGF0IGV2YWx1YXRpb25zIG9mIGhlYWx0aCBpbmZvcm1hdGlvbiBzeXN0ZW1zIHNob3VsZCBjb25zaWRlciBhc3BlY3RzIHJlbGF0ZWQgdG8gY29nbml0aW9uIGFzIHdlbGwgYXMgc29jaW8tdGVjaG5pY2FsIGFzcGVjdHMgaW5jbHVkaW5nIGltcGFjdCBvbiB3b3JrZmxvdyAoaS5lLiBhbiBpbnRlZ3JhdGVkIHZpZXcpLiBVc2luZyBleGFtcGxlcyBmcm9tIHRoZSBzdHVkeSBvZiB0ZWNobm9sb2d5LWluZHVjZWQgZXJyb3IgaW4gaGVhbHRoY2FyZSwgd2UgYXJndWUgZm9yIHRoZSB1c2Ugb2Ygc2ltdWxhdGlvbnMgdG8gZXZhbHVhdGUgdGhlIGNvZ25pdGl2ZS1zb2Npby10ZWNobmljYWwgaW1wYWN0cyBvZiBoZWFsdGggaW5mb3JtYXRpb24gdGVjaG5vbG9neSBbMzZdLiBJbXBsaWNhdGlvbnMgb2YgY2xpbmljYWwgc2ltdWxhdGlvbnMgYW5kIGFuYWx5c2lzIG9mIGNvZ25pdGl2ZS1zb2NpYWwtdGVjaG5pY2FsIGltcGFjdHMgYXJlIGRpc2N1c3NlZCB3aXRoaW4gdGhlIGNvbnRleHQgb2YgdGhlIHN5c3RlbSBkZXZlbG9wbWVudCBsaWZlIGN5Y2xlIHRvIGltcHJvdmUgaGVhbHRoIGluZm9ybWF0aW9uIHN5c3RlbSBkZXNpZ24sIGltcGxlbWVudGF0aW9uIGFuZCBldmFsdWF0aW9uLiIsInB1Ymxpc2hlciI6IkJlbnRoYW0gU2NpZW5jZSBQdWJsaXNoZXJzIEx0ZC4iLCJpc3N1ZSI6IjEiLCJ2b2x1bWUiOiI0In0sImlzVGVtcG9yYXJ5IjpmYWxzZX1dfQ=="/>
          <w:id w:val="811145174"/>
          <w:placeholder>
            <w:docPart w:val="DefaultPlaceholder_-1854013440"/>
          </w:placeholder>
        </w:sdtPr>
        <w:sdtContent>
          <w:r w:rsidR="004508AB" w:rsidRPr="004508AB">
            <w:rPr>
              <w:rFonts w:ascii="Arial" w:eastAsia="Times New Roman" w:hAnsi="Arial" w:cs="Arial"/>
              <w:color w:val="000000"/>
              <w:sz w:val="22"/>
            </w:rPr>
            <w:t>(Borycki &amp; Kushniruk, 2010)</w:t>
          </w:r>
        </w:sdtContent>
      </w:sdt>
    </w:p>
    <w:p w14:paraId="7921B81A" w14:textId="6E81315E" w:rsidR="00423CC8" w:rsidRPr="00207F4C" w:rsidRDefault="00423CC8" w:rsidP="004E7CEA">
      <w:pPr>
        <w:spacing w:before="100" w:beforeAutospacing="1" w:after="100" w:afterAutospacing="1" w:line="240" w:lineRule="auto"/>
        <w:rPr>
          <w:rFonts w:ascii="Arial" w:hAnsi="Arial" w:cs="Arial"/>
          <w:sz w:val="22"/>
          <w:szCs w:val="22"/>
        </w:rPr>
      </w:pPr>
    </w:p>
    <w:p w14:paraId="4179F618" w14:textId="7779D143"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5. Conclusion </w:t>
      </w:r>
    </w:p>
    <w:p w14:paraId="4916674D" w14:textId="337B10AD"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Datix Cymru provides WAST with a standardised, cloud-based platform that enhances incident reporting, investigation, and governance compared with legacy systems. It improves workflow consistency, reduces irrelevant reporting fields, supports dashboards for monitoring, and integrates statutory requirements such as Duty of Candour.</w:t>
      </w:r>
      <w:sdt>
        <w:sdtPr>
          <w:rPr>
            <w:rFonts w:ascii="Arial" w:eastAsia="Times New Roman" w:hAnsi="Arial" w:cs="Arial"/>
            <w:color w:val="000000"/>
            <w:sz w:val="22"/>
            <w:szCs w:val="22"/>
          </w:rPr>
          <w:tag w:val="MENDELEY_CITATION_v3_eyJjaXRhdGlvbklEIjoiTUVOREVMRVlfQ0lUQVRJT05fNWU0MTZjMWMtYmI5MC00MzZmLWI3MGYtMTFlNzRiYzhmYzVm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jkxODUyYWY3LTAzNjItMzI0ZC04YTc4LTdmNjUxMzRmNzEwYyIsIml0ZW1EYXRhIjp7InR5cGUiOiJ3ZWJwYWdlIiwiaWQiOiI5MTg1MmFmNy0wMzYyLTMyNGQtOGE3OC03ZjY1MTM0ZjcxMGMiLCJ0aXRsZSI6Ik9uY2UgZm9yIFdhbGVzIENvbmNlcm5zIE1hbmFnZW1lbnQgU3lzdGVtIC0gTkhTIFdhbGVzIFNoYXJlZCBTZXJ2aWNlcyBQYXJ0bmVyc2hpcCIsImFjY2Vzc2VkIjp7ImRhdGUtcGFydHMiOltbMjAyNiwxLDI4XV19LCJVUkwiOiJodHRwczovL253c3NwLm5ocy53YWxlcy9hLXdwL29uY2UtZm9yLXdhbGVzLWNvbmNlcm5zLW1hbmFnZW1lbnQtc3lzdGVtLyIsImNvbnRhaW5lci10aXRsZS1zaG9ydCI6IiJ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SwiY29udGFpbmVyLXRpdGxlLXNob3J0IjoiIn0sImlzVGVtcG9yYXJ5IjpmYWxzZX0seyJpZCI6ImI2ZjIyZmMyLWVhMzAtMzEyNC05OTc5LWFlOTJhODBlYzc3YSIsIml0ZW1EYXRhIjp7InR5cGUiOiJhcnRpY2xlLWpvdXJuYWwiLCJpZCI6ImI2ZjIyZmMyLWVhMzAtMzEyNC05OTc5LWFlOTJhODBlYzc3YSIsInRpdGxlIjoiREFUSVggQ1lNUlUtSU5DSURFTlQgUkVQT1JUSU5HIiwiYWNjZXNzZWQiOnsiZGF0ZS1wYXJ0cyI6W1syMDI2LDEsMjhdXX0sImNvbnRhaW5lci10aXRsZS1zaG9ydCI6IiJ9LCJpc1RlbXBvcmFyeSI6ZmFsc2V9XX0="/>
          <w:id w:val="1986888816"/>
          <w:placeholder>
            <w:docPart w:val="DefaultPlaceholder_-1854013440"/>
          </w:placeholder>
        </w:sdtPr>
        <w:sdtContent>
          <w:r w:rsidR="004508AB" w:rsidRPr="004508AB">
            <w:rPr>
              <w:rFonts w:ascii="Arial" w:eastAsia="Times New Roman" w:hAnsi="Arial" w:cs="Arial"/>
              <w:color w:val="000000"/>
              <w:sz w:val="22"/>
            </w:rPr>
            <w:t>(</w:t>
          </w:r>
          <w:r w:rsidR="004508AB" w:rsidRPr="004508AB">
            <w:rPr>
              <w:rFonts w:ascii="Arial" w:eastAsia="Times New Roman" w:hAnsi="Arial" w:cs="Arial"/>
              <w:i/>
              <w:iCs/>
              <w:color w:val="000000"/>
              <w:sz w:val="22"/>
            </w:rPr>
            <w:t>DATIX CYMRU-INCIDENT REPORTING</w:t>
          </w:r>
          <w:r w:rsidR="004508AB" w:rsidRPr="004508AB">
            <w:rPr>
              <w:rFonts w:ascii="Arial" w:eastAsia="Times New Roman" w:hAnsi="Arial" w:cs="Arial"/>
              <w:color w:val="000000"/>
              <w:sz w:val="22"/>
            </w:rPr>
            <w:t xml:space="preserve">, n.d.; </w:t>
          </w:r>
          <w:r w:rsidR="004508AB" w:rsidRPr="004508AB">
            <w:rPr>
              <w:rFonts w:ascii="Arial" w:eastAsia="Times New Roman" w:hAnsi="Arial" w:cs="Arial"/>
              <w:i/>
              <w:iCs/>
              <w:color w:val="000000"/>
              <w:sz w:val="22"/>
            </w:rPr>
            <w:t>Once for Wales Concerns Management System - NHS Wales Shared Services Partnership</w:t>
          </w:r>
          <w:r w:rsidR="004508AB" w:rsidRPr="004508AB">
            <w:rPr>
              <w:rFonts w:ascii="Arial" w:eastAsia="Times New Roman" w:hAnsi="Arial" w:cs="Arial"/>
              <w:color w:val="000000"/>
              <w:sz w:val="22"/>
            </w:rPr>
            <w:t xml:space="preserve">, n.d.; </w:t>
          </w:r>
          <w:r w:rsidR="004508AB" w:rsidRPr="004508AB">
            <w:rPr>
              <w:rFonts w:ascii="Arial" w:eastAsia="Times New Roman" w:hAnsi="Arial" w:cs="Arial"/>
              <w:i/>
              <w:iCs/>
              <w:color w:val="000000"/>
              <w:sz w:val="22"/>
            </w:rPr>
            <w:t>Once for Wales Concerns Management System Datix Cymru Community Pharmacy Patient Safety Incident Reporting and Management Quick Reference User Guide</w:t>
          </w:r>
          <w:r w:rsidR="004508AB" w:rsidRPr="004508AB">
            <w:rPr>
              <w:rFonts w:ascii="Arial" w:eastAsia="Times New Roman" w:hAnsi="Arial" w:cs="Arial"/>
              <w:color w:val="000000"/>
              <w:sz w:val="22"/>
            </w:rPr>
            <w:t>, n.d.)</w:t>
          </w:r>
        </w:sdtContent>
      </w:sdt>
    </w:p>
    <w:p w14:paraId="14588D4F" w14:textId="4B3F109E" w:rsidR="00423CC8" w:rsidRPr="00207F4C" w:rsidRDefault="3F2BEC68" w:rsidP="5E4C4E6D">
      <w:pPr>
        <w:spacing w:before="240" w:after="240" w:line="240" w:lineRule="auto"/>
        <w:rPr>
          <w:rFonts w:ascii="Arial" w:hAnsi="Arial" w:cs="Arial"/>
          <w:sz w:val="22"/>
          <w:szCs w:val="22"/>
        </w:rPr>
      </w:pPr>
      <w:r w:rsidRPr="147352E0">
        <w:rPr>
          <w:rFonts w:ascii="Arial" w:eastAsia="Times New Roman" w:hAnsi="Arial" w:cs="Arial"/>
          <w:sz w:val="22"/>
          <w:szCs w:val="22"/>
        </w:rPr>
        <w:t xml:space="preserve">However, challenges remain. Staff experience time pressures, low confidence in coding, and limited awareness of guidance materials. Feedback loops are </w:t>
      </w:r>
      <w:r w:rsidR="4EB0E2E2" w:rsidRPr="147352E0">
        <w:rPr>
          <w:rFonts w:ascii="Arial" w:eastAsia="Times New Roman" w:hAnsi="Arial" w:cs="Arial"/>
          <w:sz w:val="22"/>
          <w:szCs w:val="22"/>
        </w:rPr>
        <w:t>insufficient,</w:t>
      </w:r>
      <w:r w:rsidRPr="147352E0">
        <w:rPr>
          <w:rFonts w:ascii="Arial" w:eastAsia="Times New Roman" w:hAnsi="Arial" w:cs="Arial"/>
          <w:sz w:val="22"/>
          <w:szCs w:val="22"/>
        </w:rPr>
        <w:t xml:space="preserve"> and extracting data </w:t>
      </w:r>
      <w:r w:rsidRPr="147352E0">
        <w:rPr>
          <w:rFonts w:ascii="Arial" w:eastAsia="Times New Roman" w:hAnsi="Arial" w:cs="Arial"/>
          <w:sz w:val="22"/>
          <w:szCs w:val="22"/>
        </w:rPr>
        <w:lastRenderedPageBreak/>
        <w:t>for deeper analysis is complex. These issues highlight that while system design has improved, effective adoption relies on training, workflow integration, and engagement strategies.</w:t>
      </w:r>
    </w:p>
    <w:p w14:paraId="7AEE6159" w14:textId="23DB293B" w:rsidR="00423CC8" w:rsidRPr="00207F4C" w:rsidRDefault="3F2BEC68" w:rsidP="5E4C4E6D">
      <w:pPr>
        <w:spacing w:before="240" w:after="240" w:line="240" w:lineRule="auto"/>
        <w:rPr>
          <w:rFonts w:ascii="Arial" w:hAnsi="Arial" w:cs="Arial"/>
          <w:sz w:val="22"/>
          <w:szCs w:val="22"/>
        </w:rPr>
      </w:pPr>
      <w:r w:rsidRPr="00207F4C">
        <w:rPr>
          <w:rFonts w:ascii="Arial" w:eastAsia="Times New Roman" w:hAnsi="Arial" w:cs="Arial"/>
          <w:sz w:val="22"/>
          <w:szCs w:val="22"/>
        </w:rPr>
        <w:t>Future improvements should focus on structured training for all staff, enhanced feedback on reports, and streamlined data extraction to enable learning. Strengthening these areas will increase staff confidence, improve patient safety outcomes, and maximise the benefits of Datix Cymru across WAST.</w:t>
      </w:r>
    </w:p>
    <w:p w14:paraId="7117B06D" w14:textId="66EEBFBE" w:rsidR="00423CC8" w:rsidRPr="00207F4C" w:rsidRDefault="3F2BEC68" w:rsidP="5E4C4E6D">
      <w:pPr>
        <w:pStyle w:val="Heading2"/>
        <w:spacing w:before="299" w:beforeAutospacing="0" w:after="299" w:afterAutospacing="0"/>
        <w:rPr>
          <w:rFonts w:ascii="Arial" w:hAnsi="Arial" w:cs="Arial"/>
          <w:sz w:val="22"/>
          <w:szCs w:val="22"/>
        </w:rPr>
      </w:pPr>
      <w:r w:rsidRPr="00207F4C">
        <w:rPr>
          <w:rFonts w:ascii="Arial" w:eastAsia="Times New Roman" w:hAnsi="Arial" w:cs="Arial"/>
          <w:sz w:val="22"/>
          <w:szCs w:val="22"/>
        </w:rPr>
        <w:t xml:space="preserve">6. References </w:t>
      </w:r>
    </w:p>
    <w:sdt>
      <w:sdtPr>
        <w:rPr>
          <w:rFonts w:ascii="Arial" w:eastAsia="Times New Roman" w:hAnsi="Arial" w:cs="Arial"/>
          <w:color w:val="000000"/>
          <w:sz w:val="22"/>
          <w:szCs w:val="22"/>
        </w:rPr>
        <w:tag w:val="MENDELEY_BIBLIOGRAPHY"/>
        <w:id w:val="-2146341217"/>
        <w:placeholder>
          <w:docPart w:val="DefaultPlaceholder_-1854013440"/>
        </w:placeholder>
      </w:sdtPr>
      <w:sdtEndPr>
        <w:rPr>
          <w:color w:val="000000" w:themeColor="text1"/>
        </w:rPr>
      </w:sdtEndPr>
      <w:sdtContent>
        <w:p w14:paraId="65DB66F1" w14:textId="121236EA" w:rsidR="004508AB" w:rsidRPr="004508AB" w:rsidRDefault="004508AB" w:rsidP="17CBFBDF">
          <w:pPr>
            <w:autoSpaceDE w:val="0"/>
            <w:autoSpaceDN w:val="0"/>
            <w:ind w:hanging="480"/>
            <w:divId w:val="1297221792"/>
            <w:rPr>
              <w:rFonts w:ascii="Arial" w:eastAsia="Times New Roman" w:hAnsi="Arial" w:cs="Arial"/>
              <w:color w:val="000000"/>
              <w:sz w:val="22"/>
              <w:szCs w:val="22"/>
            </w:rPr>
          </w:pPr>
          <w:r w:rsidRPr="17CBFBDF">
            <w:rPr>
              <w:rFonts w:ascii="Arial" w:eastAsia="Times New Roman" w:hAnsi="Arial" w:cs="Arial"/>
              <w:i/>
              <w:iCs/>
              <w:color w:val="000000" w:themeColor="text1"/>
              <w:sz w:val="22"/>
              <w:szCs w:val="22"/>
            </w:rPr>
            <w:t>About Us - Welsh Ambulance Services University NHS Trust</w:t>
          </w:r>
          <w:r w:rsidRPr="17CBFBDF">
            <w:rPr>
              <w:rFonts w:ascii="Arial" w:eastAsia="Times New Roman" w:hAnsi="Arial" w:cs="Arial"/>
              <w:color w:val="000000" w:themeColor="text1"/>
              <w:sz w:val="22"/>
              <w:szCs w:val="22"/>
            </w:rPr>
            <w:t>. (n.d.). Retrieved January 2</w:t>
          </w:r>
          <w:r w:rsidR="1FAA276B" w:rsidRPr="17CBFBDF">
            <w:rPr>
              <w:rFonts w:ascii="Arial" w:eastAsia="Times New Roman" w:hAnsi="Arial" w:cs="Arial"/>
              <w:color w:val="000000" w:themeColor="text1"/>
              <w:sz w:val="22"/>
              <w:szCs w:val="22"/>
            </w:rPr>
            <w:t>4</w:t>
          </w:r>
          <w:r w:rsidRPr="17CBFBDF">
            <w:rPr>
              <w:rFonts w:ascii="Arial" w:eastAsia="Times New Roman" w:hAnsi="Arial" w:cs="Arial"/>
              <w:color w:val="000000" w:themeColor="text1"/>
              <w:sz w:val="22"/>
              <w:szCs w:val="22"/>
            </w:rPr>
            <w:t>, 2026, from https://ambulance.nhs.wales/about-us/</w:t>
          </w:r>
        </w:p>
        <w:p w14:paraId="2D0912CE" w14:textId="2595D107" w:rsidR="004508AB" w:rsidRPr="004508AB" w:rsidRDefault="004508AB" w:rsidP="147352E0">
          <w:pPr>
            <w:autoSpaceDE w:val="0"/>
            <w:autoSpaceDN w:val="0"/>
            <w:ind w:hanging="480"/>
            <w:divId w:val="1729650659"/>
            <w:rPr>
              <w:rFonts w:ascii="Arial" w:eastAsia="Times New Roman" w:hAnsi="Arial" w:cs="Arial"/>
              <w:color w:val="000000"/>
              <w:sz w:val="22"/>
              <w:szCs w:val="22"/>
            </w:rPr>
          </w:pPr>
          <w:r w:rsidRPr="147352E0">
            <w:rPr>
              <w:rFonts w:ascii="Arial" w:eastAsia="Times New Roman" w:hAnsi="Arial" w:cs="Arial"/>
              <w:color w:val="000000" w:themeColor="text1"/>
              <w:sz w:val="22"/>
              <w:szCs w:val="22"/>
            </w:rPr>
            <w:t xml:space="preserve">Ammenwerth, E., Iller, C., &amp; Mahler, C. (2006). </w:t>
          </w:r>
          <w:r w:rsidR="51A043A0" w:rsidRPr="147352E0">
            <w:rPr>
              <w:rFonts w:ascii="Arial" w:eastAsia="Times New Roman" w:hAnsi="Arial" w:cs="Arial"/>
              <w:color w:val="000000" w:themeColor="text1"/>
              <w:sz w:val="22"/>
              <w:szCs w:val="22"/>
            </w:rPr>
            <w:t>IT adoption</w:t>
          </w:r>
          <w:r w:rsidRPr="147352E0">
            <w:rPr>
              <w:rFonts w:ascii="Arial" w:eastAsia="Times New Roman" w:hAnsi="Arial" w:cs="Arial"/>
              <w:color w:val="000000" w:themeColor="text1"/>
              <w:sz w:val="22"/>
              <w:szCs w:val="22"/>
            </w:rPr>
            <w:t xml:space="preserve"> and the interaction of task, technology and individuals: a fit framework and a case study. </w:t>
          </w:r>
          <w:r w:rsidRPr="147352E0">
            <w:rPr>
              <w:rFonts w:ascii="Arial" w:eastAsia="Times New Roman" w:hAnsi="Arial" w:cs="Arial"/>
              <w:i/>
              <w:iCs/>
              <w:color w:val="000000" w:themeColor="text1"/>
              <w:sz w:val="22"/>
              <w:szCs w:val="22"/>
            </w:rPr>
            <w:t>BMC Medical Informatics and Decision Making 2006 6:1</w:t>
          </w:r>
          <w:r w:rsidRPr="147352E0">
            <w:rPr>
              <w:rFonts w:ascii="Arial" w:eastAsia="Times New Roman" w:hAnsi="Arial" w:cs="Arial"/>
              <w:color w:val="000000" w:themeColor="text1"/>
              <w:sz w:val="22"/>
              <w:szCs w:val="22"/>
            </w:rPr>
            <w:t xml:space="preserve">, </w:t>
          </w:r>
          <w:r w:rsidRPr="147352E0">
            <w:rPr>
              <w:rFonts w:ascii="Arial" w:eastAsia="Times New Roman" w:hAnsi="Arial" w:cs="Arial"/>
              <w:i/>
              <w:iCs/>
              <w:color w:val="000000" w:themeColor="text1"/>
              <w:sz w:val="22"/>
              <w:szCs w:val="22"/>
            </w:rPr>
            <w:t>6</w:t>
          </w:r>
          <w:r w:rsidRPr="147352E0">
            <w:rPr>
              <w:rFonts w:ascii="Arial" w:eastAsia="Times New Roman" w:hAnsi="Arial" w:cs="Arial"/>
              <w:color w:val="000000" w:themeColor="text1"/>
              <w:sz w:val="22"/>
              <w:szCs w:val="22"/>
            </w:rPr>
            <w:t>(1), 3-. https://doi.org/10.1186/1472-6947-6-3</w:t>
          </w:r>
        </w:p>
        <w:p w14:paraId="502327DA" w14:textId="77777777" w:rsidR="004508AB" w:rsidRPr="004508AB" w:rsidRDefault="004508AB">
          <w:pPr>
            <w:autoSpaceDE w:val="0"/>
            <w:autoSpaceDN w:val="0"/>
            <w:ind w:hanging="480"/>
            <w:divId w:val="1028599500"/>
            <w:rPr>
              <w:rFonts w:ascii="Arial" w:eastAsia="Times New Roman" w:hAnsi="Arial" w:cs="Arial"/>
              <w:color w:val="000000"/>
              <w:sz w:val="22"/>
            </w:rPr>
          </w:pPr>
          <w:r w:rsidRPr="004508AB">
            <w:rPr>
              <w:rFonts w:ascii="Arial" w:eastAsia="Times New Roman" w:hAnsi="Arial" w:cs="Arial"/>
              <w:color w:val="000000"/>
              <w:sz w:val="22"/>
            </w:rPr>
            <w:t xml:space="preserve">Borycki, E. M., &amp; Kushniruk, A. W. (2010). Towards an Integrative Cognitive-Socio-Technical Approach in Health Informatics: Analyzing Technology-Induced Error Involving Health Information Systems to Improve Patient Safety. </w:t>
          </w:r>
          <w:r w:rsidRPr="004508AB">
            <w:rPr>
              <w:rFonts w:ascii="Arial" w:eastAsia="Times New Roman" w:hAnsi="Arial" w:cs="Arial"/>
              <w:i/>
              <w:iCs/>
              <w:color w:val="000000"/>
              <w:sz w:val="22"/>
            </w:rPr>
            <w:t>The Open Medical Informatics Journal</w:t>
          </w:r>
          <w:r w:rsidRPr="004508AB">
            <w:rPr>
              <w:rFonts w:ascii="Arial" w:eastAsia="Times New Roman" w:hAnsi="Arial" w:cs="Arial"/>
              <w:color w:val="000000"/>
              <w:sz w:val="22"/>
            </w:rPr>
            <w:t xml:space="preserve">, </w:t>
          </w:r>
          <w:r w:rsidRPr="004508AB">
            <w:rPr>
              <w:rFonts w:ascii="Arial" w:eastAsia="Times New Roman" w:hAnsi="Arial" w:cs="Arial"/>
              <w:i/>
              <w:iCs/>
              <w:color w:val="000000"/>
              <w:sz w:val="22"/>
            </w:rPr>
            <w:t>4</w:t>
          </w:r>
          <w:r w:rsidRPr="004508AB">
            <w:rPr>
              <w:rFonts w:ascii="Arial" w:eastAsia="Times New Roman" w:hAnsi="Arial" w:cs="Arial"/>
              <w:color w:val="000000"/>
              <w:sz w:val="22"/>
            </w:rPr>
            <w:t>(1), 181. https://doi.org/10.2174/1874431101004010181</w:t>
          </w:r>
        </w:p>
        <w:p w14:paraId="6FBCA6D1" w14:textId="77777777" w:rsidR="004508AB" w:rsidRPr="004508AB" w:rsidRDefault="004508AB">
          <w:pPr>
            <w:autoSpaceDE w:val="0"/>
            <w:autoSpaceDN w:val="0"/>
            <w:ind w:hanging="480"/>
            <w:divId w:val="1456826392"/>
            <w:rPr>
              <w:rFonts w:ascii="Arial" w:eastAsia="Times New Roman" w:hAnsi="Arial" w:cs="Arial"/>
              <w:color w:val="000000"/>
              <w:sz w:val="22"/>
            </w:rPr>
          </w:pPr>
          <w:r w:rsidRPr="004508AB">
            <w:rPr>
              <w:rFonts w:ascii="Arial" w:eastAsia="Times New Roman" w:hAnsi="Arial" w:cs="Arial"/>
              <w:i/>
              <w:iCs/>
              <w:color w:val="000000"/>
              <w:sz w:val="22"/>
            </w:rPr>
            <w:t>DATIX CYMRU-INCIDENT REPORTING</w:t>
          </w:r>
          <w:r w:rsidRPr="004508AB">
            <w:rPr>
              <w:rFonts w:ascii="Arial" w:eastAsia="Times New Roman" w:hAnsi="Arial" w:cs="Arial"/>
              <w:color w:val="000000"/>
              <w:sz w:val="22"/>
            </w:rPr>
            <w:t>. (n.d.).</w:t>
          </w:r>
        </w:p>
        <w:p w14:paraId="33588AD9" w14:textId="410304FC" w:rsidR="004508AB" w:rsidRPr="004508AB" w:rsidRDefault="004508AB" w:rsidP="17CBFBDF">
          <w:pPr>
            <w:autoSpaceDE w:val="0"/>
            <w:autoSpaceDN w:val="0"/>
            <w:ind w:hanging="480"/>
            <w:divId w:val="60644373"/>
            <w:rPr>
              <w:rFonts w:ascii="Arial" w:eastAsia="Times New Roman" w:hAnsi="Arial" w:cs="Arial"/>
              <w:color w:val="000000"/>
              <w:sz w:val="22"/>
              <w:szCs w:val="22"/>
            </w:rPr>
          </w:pPr>
          <w:r w:rsidRPr="17CBFBDF">
            <w:rPr>
              <w:rFonts w:ascii="Arial" w:eastAsia="Times New Roman" w:hAnsi="Arial" w:cs="Arial"/>
              <w:i/>
              <w:iCs/>
              <w:color w:val="000000" w:themeColor="text1"/>
              <w:sz w:val="22"/>
              <w:szCs w:val="22"/>
            </w:rPr>
            <w:t>Once for Wales Concerns Management System - NHS Wales Shared Services Partnership</w:t>
          </w:r>
          <w:r w:rsidRPr="17CBFBDF">
            <w:rPr>
              <w:rFonts w:ascii="Arial" w:eastAsia="Times New Roman" w:hAnsi="Arial" w:cs="Arial"/>
              <w:color w:val="000000" w:themeColor="text1"/>
              <w:sz w:val="22"/>
              <w:szCs w:val="22"/>
            </w:rPr>
            <w:t>. (n.d.). Retrieved January 2</w:t>
          </w:r>
          <w:r w:rsidR="30254E22" w:rsidRPr="17CBFBDF">
            <w:rPr>
              <w:rFonts w:ascii="Arial" w:eastAsia="Times New Roman" w:hAnsi="Arial" w:cs="Arial"/>
              <w:color w:val="000000" w:themeColor="text1"/>
              <w:sz w:val="22"/>
              <w:szCs w:val="22"/>
            </w:rPr>
            <w:t>4</w:t>
          </w:r>
          <w:r w:rsidRPr="17CBFBDF">
            <w:rPr>
              <w:rFonts w:ascii="Arial" w:eastAsia="Times New Roman" w:hAnsi="Arial" w:cs="Arial"/>
              <w:color w:val="000000" w:themeColor="text1"/>
              <w:sz w:val="22"/>
              <w:szCs w:val="22"/>
            </w:rPr>
            <w:t>, 2026, from https://nwssp.nhs.wales/a-wp/once-for-wales-concerns-management-system/</w:t>
          </w:r>
        </w:p>
        <w:p w14:paraId="66D38876" w14:textId="77777777" w:rsidR="004508AB" w:rsidRPr="004508AB" w:rsidRDefault="004508AB">
          <w:pPr>
            <w:autoSpaceDE w:val="0"/>
            <w:autoSpaceDN w:val="0"/>
            <w:ind w:hanging="480"/>
            <w:divId w:val="1965774386"/>
            <w:rPr>
              <w:rFonts w:ascii="Arial" w:eastAsia="Times New Roman" w:hAnsi="Arial" w:cs="Arial"/>
              <w:color w:val="000000"/>
              <w:sz w:val="22"/>
            </w:rPr>
          </w:pPr>
          <w:r w:rsidRPr="004508AB">
            <w:rPr>
              <w:rFonts w:ascii="Arial" w:eastAsia="Times New Roman" w:hAnsi="Arial" w:cs="Arial"/>
              <w:i/>
              <w:iCs/>
              <w:color w:val="000000"/>
              <w:sz w:val="22"/>
            </w:rPr>
            <w:t>Once for Wales Concerns Management System Datix Cymru Community Pharmacy Patient Safety Incident Reporting and Management Quick Reference User Guide</w:t>
          </w:r>
          <w:r w:rsidRPr="004508AB">
            <w:rPr>
              <w:rFonts w:ascii="Arial" w:eastAsia="Times New Roman" w:hAnsi="Arial" w:cs="Arial"/>
              <w:color w:val="000000"/>
              <w:sz w:val="22"/>
            </w:rPr>
            <w:t>. (n.d.).</w:t>
          </w:r>
        </w:p>
        <w:p w14:paraId="6F669E71" w14:textId="5C270AB4" w:rsidR="00423CC8" w:rsidRPr="00207F4C" w:rsidRDefault="004508AB" w:rsidP="002264C1">
          <w:pPr>
            <w:pStyle w:val="ListParagraph"/>
            <w:spacing w:before="240" w:after="240" w:line="240" w:lineRule="auto"/>
            <w:rPr>
              <w:rFonts w:ascii="Arial" w:eastAsia="Times New Roman" w:hAnsi="Arial" w:cs="Arial"/>
              <w:sz w:val="22"/>
              <w:szCs w:val="22"/>
            </w:rPr>
          </w:pPr>
          <w:r w:rsidRPr="004508AB">
            <w:rPr>
              <w:rFonts w:ascii="Arial" w:eastAsia="Times New Roman" w:hAnsi="Arial" w:cs="Arial"/>
              <w:color w:val="000000"/>
              <w:sz w:val="22"/>
            </w:rPr>
            <w:t> </w:t>
          </w:r>
        </w:p>
      </w:sdtContent>
    </w:sdt>
    <w:p w14:paraId="49A6F621" w14:textId="7CC53C5F" w:rsidR="00423CC8" w:rsidRPr="00207F4C" w:rsidRDefault="00423CC8" w:rsidP="004E7CEA">
      <w:pPr>
        <w:spacing w:before="100" w:beforeAutospacing="1" w:after="100" w:afterAutospacing="1" w:line="240" w:lineRule="auto"/>
        <w:rPr>
          <w:rFonts w:ascii="Arial" w:hAnsi="Arial" w:cs="Arial"/>
          <w:sz w:val="22"/>
          <w:szCs w:val="22"/>
        </w:rPr>
      </w:pPr>
    </w:p>
    <w:p w14:paraId="6CB194C1" w14:textId="4A7221C3" w:rsidR="00423CC8" w:rsidRPr="00207F4C" w:rsidRDefault="00423CC8" w:rsidP="004E7CEA">
      <w:pPr>
        <w:spacing w:before="100" w:beforeAutospacing="1" w:after="100" w:afterAutospacing="1" w:line="240" w:lineRule="auto"/>
        <w:rPr>
          <w:rFonts w:ascii="Arial" w:hAnsi="Arial" w:cs="Arial"/>
          <w:sz w:val="22"/>
          <w:szCs w:val="22"/>
        </w:rPr>
      </w:pPr>
    </w:p>
    <w:p w14:paraId="7D783822" w14:textId="6A80B4E7" w:rsidR="00423CC8" w:rsidRPr="00207F4C" w:rsidRDefault="00423CC8" w:rsidP="5E4C4E6D">
      <w:pPr>
        <w:spacing w:before="240" w:after="240" w:line="240" w:lineRule="auto"/>
        <w:rPr>
          <w:rFonts w:ascii="Arial" w:eastAsia="Times New Roman" w:hAnsi="Arial" w:cs="Arial"/>
          <w:sz w:val="22"/>
          <w:szCs w:val="22"/>
        </w:rPr>
      </w:pPr>
    </w:p>
    <w:p w14:paraId="2C078E63" w14:textId="599DC5ED" w:rsidR="00423CC8" w:rsidRPr="00207F4C" w:rsidRDefault="00423CC8" w:rsidP="5E4C4E6D">
      <w:pPr>
        <w:spacing w:before="100" w:beforeAutospacing="1" w:after="100" w:afterAutospacing="1" w:line="240" w:lineRule="auto"/>
        <w:rPr>
          <w:rFonts w:ascii="Arial" w:hAnsi="Arial" w:cs="Arial"/>
          <w:sz w:val="22"/>
          <w:szCs w:val="22"/>
          <w:lang w:eastAsia="en-US"/>
        </w:rPr>
      </w:pPr>
    </w:p>
    <w:sectPr w:rsidR="00423CC8" w:rsidRPr="00207F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F649B"/>
    <w:multiLevelType w:val="hybridMultilevel"/>
    <w:tmpl w:val="FFFFFFFF"/>
    <w:lvl w:ilvl="0" w:tplc="1832A6FA">
      <w:start w:val="1"/>
      <w:numFmt w:val="decimal"/>
      <w:lvlText w:val="%1."/>
      <w:lvlJc w:val="left"/>
      <w:pPr>
        <w:ind w:left="720" w:hanging="360"/>
      </w:pPr>
    </w:lvl>
    <w:lvl w:ilvl="1" w:tplc="5A2E0598">
      <w:start w:val="1"/>
      <w:numFmt w:val="lowerLetter"/>
      <w:lvlText w:val="%2."/>
      <w:lvlJc w:val="left"/>
      <w:pPr>
        <w:ind w:left="1440" w:hanging="360"/>
      </w:pPr>
    </w:lvl>
    <w:lvl w:ilvl="2" w:tplc="F69078DA">
      <w:start w:val="1"/>
      <w:numFmt w:val="lowerRoman"/>
      <w:lvlText w:val="%3."/>
      <w:lvlJc w:val="right"/>
      <w:pPr>
        <w:ind w:left="2160" w:hanging="180"/>
      </w:pPr>
    </w:lvl>
    <w:lvl w:ilvl="3" w:tplc="D576B1DA">
      <w:start w:val="1"/>
      <w:numFmt w:val="decimal"/>
      <w:lvlText w:val="%4."/>
      <w:lvlJc w:val="left"/>
      <w:pPr>
        <w:ind w:left="2880" w:hanging="360"/>
      </w:pPr>
    </w:lvl>
    <w:lvl w:ilvl="4" w:tplc="842851D4">
      <w:start w:val="1"/>
      <w:numFmt w:val="lowerLetter"/>
      <w:lvlText w:val="%5."/>
      <w:lvlJc w:val="left"/>
      <w:pPr>
        <w:ind w:left="3600" w:hanging="360"/>
      </w:pPr>
    </w:lvl>
    <w:lvl w:ilvl="5" w:tplc="C7D25280">
      <w:start w:val="1"/>
      <w:numFmt w:val="lowerRoman"/>
      <w:lvlText w:val="%6."/>
      <w:lvlJc w:val="right"/>
      <w:pPr>
        <w:ind w:left="4320" w:hanging="180"/>
      </w:pPr>
    </w:lvl>
    <w:lvl w:ilvl="6" w:tplc="8804AC74">
      <w:start w:val="1"/>
      <w:numFmt w:val="decimal"/>
      <w:lvlText w:val="%7."/>
      <w:lvlJc w:val="left"/>
      <w:pPr>
        <w:ind w:left="5040" w:hanging="360"/>
      </w:pPr>
    </w:lvl>
    <w:lvl w:ilvl="7" w:tplc="4B3A5A92">
      <w:start w:val="1"/>
      <w:numFmt w:val="lowerLetter"/>
      <w:lvlText w:val="%8."/>
      <w:lvlJc w:val="left"/>
      <w:pPr>
        <w:ind w:left="5760" w:hanging="360"/>
      </w:pPr>
    </w:lvl>
    <w:lvl w:ilvl="8" w:tplc="E636685A">
      <w:start w:val="1"/>
      <w:numFmt w:val="lowerRoman"/>
      <w:lvlText w:val="%9."/>
      <w:lvlJc w:val="right"/>
      <w:pPr>
        <w:ind w:left="6480" w:hanging="180"/>
      </w:pPr>
    </w:lvl>
  </w:abstractNum>
  <w:abstractNum w:abstractNumId="1" w15:restartNumberingAfterBreak="0">
    <w:nsid w:val="025C36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81EAB"/>
    <w:multiLevelType w:val="hybridMultilevel"/>
    <w:tmpl w:val="80B4150A"/>
    <w:lvl w:ilvl="0" w:tplc="5E706DDA">
      <w:start w:val="1"/>
      <w:numFmt w:val="bullet"/>
      <w:lvlText w:val=""/>
      <w:lvlJc w:val="left"/>
      <w:pPr>
        <w:ind w:left="720" w:hanging="360"/>
      </w:pPr>
      <w:rPr>
        <w:rFonts w:ascii="Symbol" w:hAnsi="Symbol" w:hint="default"/>
      </w:rPr>
    </w:lvl>
    <w:lvl w:ilvl="1" w:tplc="B4D03BAC">
      <w:start w:val="1"/>
      <w:numFmt w:val="bullet"/>
      <w:lvlText w:val="o"/>
      <w:lvlJc w:val="left"/>
      <w:pPr>
        <w:ind w:left="1440" w:hanging="360"/>
      </w:pPr>
      <w:rPr>
        <w:rFonts w:ascii="Courier New" w:hAnsi="Courier New" w:hint="default"/>
      </w:rPr>
    </w:lvl>
    <w:lvl w:ilvl="2" w:tplc="9BC8C072">
      <w:start w:val="1"/>
      <w:numFmt w:val="bullet"/>
      <w:lvlText w:val=""/>
      <w:lvlJc w:val="left"/>
      <w:pPr>
        <w:ind w:left="2160" w:hanging="360"/>
      </w:pPr>
      <w:rPr>
        <w:rFonts w:ascii="Wingdings" w:hAnsi="Wingdings" w:hint="default"/>
      </w:rPr>
    </w:lvl>
    <w:lvl w:ilvl="3" w:tplc="84262CB2">
      <w:start w:val="1"/>
      <w:numFmt w:val="bullet"/>
      <w:lvlText w:val=""/>
      <w:lvlJc w:val="left"/>
      <w:pPr>
        <w:ind w:left="2880" w:hanging="360"/>
      </w:pPr>
      <w:rPr>
        <w:rFonts w:ascii="Symbol" w:hAnsi="Symbol" w:hint="default"/>
      </w:rPr>
    </w:lvl>
    <w:lvl w:ilvl="4" w:tplc="0B04D636">
      <w:start w:val="1"/>
      <w:numFmt w:val="bullet"/>
      <w:lvlText w:val="o"/>
      <w:lvlJc w:val="left"/>
      <w:pPr>
        <w:ind w:left="3600" w:hanging="360"/>
      </w:pPr>
      <w:rPr>
        <w:rFonts w:ascii="Courier New" w:hAnsi="Courier New" w:hint="default"/>
      </w:rPr>
    </w:lvl>
    <w:lvl w:ilvl="5" w:tplc="5A96B7FE">
      <w:start w:val="1"/>
      <w:numFmt w:val="bullet"/>
      <w:lvlText w:val=""/>
      <w:lvlJc w:val="left"/>
      <w:pPr>
        <w:ind w:left="4320" w:hanging="360"/>
      </w:pPr>
      <w:rPr>
        <w:rFonts w:ascii="Wingdings" w:hAnsi="Wingdings" w:hint="default"/>
      </w:rPr>
    </w:lvl>
    <w:lvl w:ilvl="6" w:tplc="1924C5F0">
      <w:start w:val="1"/>
      <w:numFmt w:val="bullet"/>
      <w:lvlText w:val=""/>
      <w:lvlJc w:val="left"/>
      <w:pPr>
        <w:ind w:left="5040" w:hanging="360"/>
      </w:pPr>
      <w:rPr>
        <w:rFonts w:ascii="Symbol" w:hAnsi="Symbol" w:hint="default"/>
      </w:rPr>
    </w:lvl>
    <w:lvl w:ilvl="7" w:tplc="2AFEB04E">
      <w:start w:val="1"/>
      <w:numFmt w:val="bullet"/>
      <w:lvlText w:val="o"/>
      <w:lvlJc w:val="left"/>
      <w:pPr>
        <w:ind w:left="5760" w:hanging="360"/>
      </w:pPr>
      <w:rPr>
        <w:rFonts w:ascii="Courier New" w:hAnsi="Courier New" w:hint="default"/>
      </w:rPr>
    </w:lvl>
    <w:lvl w:ilvl="8" w:tplc="2A1E03EA">
      <w:start w:val="1"/>
      <w:numFmt w:val="bullet"/>
      <w:lvlText w:val=""/>
      <w:lvlJc w:val="left"/>
      <w:pPr>
        <w:ind w:left="6480" w:hanging="360"/>
      </w:pPr>
      <w:rPr>
        <w:rFonts w:ascii="Wingdings" w:hAnsi="Wingdings" w:hint="default"/>
      </w:rPr>
    </w:lvl>
  </w:abstractNum>
  <w:abstractNum w:abstractNumId="3" w15:restartNumberingAfterBreak="0">
    <w:nsid w:val="16491D8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D1F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725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23D8BB"/>
    <w:multiLevelType w:val="hybridMultilevel"/>
    <w:tmpl w:val="669E5BF4"/>
    <w:lvl w:ilvl="0" w:tplc="F950006C">
      <w:start w:val="1"/>
      <w:numFmt w:val="bullet"/>
      <w:lvlText w:val=""/>
      <w:lvlJc w:val="left"/>
      <w:pPr>
        <w:ind w:left="720" w:hanging="360"/>
      </w:pPr>
      <w:rPr>
        <w:rFonts w:ascii="Symbol" w:hAnsi="Symbol" w:hint="default"/>
      </w:rPr>
    </w:lvl>
    <w:lvl w:ilvl="1" w:tplc="8F342230">
      <w:start w:val="1"/>
      <w:numFmt w:val="bullet"/>
      <w:lvlText w:val="o"/>
      <w:lvlJc w:val="left"/>
      <w:pPr>
        <w:ind w:left="1440" w:hanging="360"/>
      </w:pPr>
      <w:rPr>
        <w:rFonts w:ascii="Courier New" w:hAnsi="Courier New" w:hint="default"/>
      </w:rPr>
    </w:lvl>
    <w:lvl w:ilvl="2" w:tplc="0B8C6EC8">
      <w:start w:val="1"/>
      <w:numFmt w:val="bullet"/>
      <w:lvlText w:val=""/>
      <w:lvlJc w:val="left"/>
      <w:pPr>
        <w:ind w:left="2160" w:hanging="360"/>
      </w:pPr>
      <w:rPr>
        <w:rFonts w:ascii="Wingdings" w:hAnsi="Wingdings" w:hint="default"/>
      </w:rPr>
    </w:lvl>
    <w:lvl w:ilvl="3" w:tplc="527AA6DA">
      <w:start w:val="1"/>
      <w:numFmt w:val="bullet"/>
      <w:lvlText w:val=""/>
      <w:lvlJc w:val="left"/>
      <w:pPr>
        <w:ind w:left="2880" w:hanging="360"/>
      </w:pPr>
      <w:rPr>
        <w:rFonts w:ascii="Symbol" w:hAnsi="Symbol" w:hint="default"/>
      </w:rPr>
    </w:lvl>
    <w:lvl w:ilvl="4" w:tplc="9F9A61E6">
      <w:start w:val="1"/>
      <w:numFmt w:val="bullet"/>
      <w:lvlText w:val="o"/>
      <w:lvlJc w:val="left"/>
      <w:pPr>
        <w:ind w:left="3600" w:hanging="360"/>
      </w:pPr>
      <w:rPr>
        <w:rFonts w:ascii="Courier New" w:hAnsi="Courier New" w:hint="default"/>
      </w:rPr>
    </w:lvl>
    <w:lvl w:ilvl="5" w:tplc="25D4C228">
      <w:start w:val="1"/>
      <w:numFmt w:val="bullet"/>
      <w:lvlText w:val=""/>
      <w:lvlJc w:val="left"/>
      <w:pPr>
        <w:ind w:left="4320" w:hanging="360"/>
      </w:pPr>
      <w:rPr>
        <w:rFonts w:ascii="Wingdings" w:hAnsi="Wingdings" w:hint="default"/>
      </w:rPr>
    </w:lvl>
    <w:lvl w:ilvl="6" w:tplc="FA7CF4FC">
      <w:start w:val="1"/>
      <w:numFmt w:val="bullet"/>
      <w:lvlText w:val=""/>
      <w:lvlJc w:val="left"/>
      <w:pPr>
        <w:ind w:left="5040" w:hanging="360"/>
      </w:pPr>
      <w:rPr>
        <w:rFonts w:ascii="Symbol" w:hAnsi="Symbol" w:hint="default"/>
      </w:rPr>
    </w:lvl>
    <w:lvl w:ilvl="7" w:tplc="1FF0A556">
      <w:start w:val="1"/>
      <w:numFmt w:val="bullet"/>
      <w:lvlText w:val="o"/>
      <w:lvlJc w:val="left"/>
      <w:pPr>
        <w:ind w:left="5760" w:hanging="360"/>
      </w:pPr>
      <w:rPr>
        <w:rFonts w:ascii="Courier New" w:hAnsi="Courier New" w:hint="default"/>
      </w:rPr>
    </w:lvl>
    <w:lvl w:ilvl="8" w:tplc="7D1AACAC">
      <w:start w:val="1"/>
      <w:numFmt w:val="bullet"/>
      <w:lvlText w:val=""/>
      <w:lvlJc w:val="left"/>
      <w:pPr>
        <w:ind w:left="6480" w:hanging="360"/>
      </w:pPr>
      <w:rPr>
        <w:rFonts w:ascii="Wingdings" w:hAnsi="Wingdings" w:hint="default"/>
      </w:rPr>
    </w:lvl>
  </w:abstractNum>
  <w:abstractNum w:abstractNumId="7" w15:restartNumberingAfterBreak="0">
    <w:nsid w:val="1D492F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BE7C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1D0E26"/>
    <w:multiLevelType w:val="hybridMultilevel"/>
    <w:tmpl w:val="44585B40"/>
    <w:lvl w:ilvl="0" w:tplc="0B482B9E">
      <w:start w:val="1"/>
      <w:numFmt w:val="bullet"/>
      <w:lvlText w:val=""/>
      <w:lvlJc w:val="left"/>
      <w:pPr>
        <w:ind w:left="720" w:hanging="360"/>
      </w:pPr>
      <w:rPr>
        <w:rFonts w:ascii="Symbol" w:hAnsi="Symbol" w:hint="default"/>
      </w:rPr>
    </w:lvl>
    <w:lvl w:ilvl="1" w:tplc="90C6727E">
      <w:start w:val="1"/>
      <w:numFmt w:val="bullet"/>
      <w:lvlText w:val="o"/>
      <w:lvlJc w:val="left"/>
      <w:pPr>
        <w:ind w:left="1440" w:hanging="360"/>
      </w:pPr>
      <w:rPr>
        <w:rFonts w:ascii="Courier New" w:hAnsi="Courier New" w:hint="default"/>
      </w:rPr>
    </w:lvl>
    <w:lvl w:ilvl="2" w:tplc="D9A88112">
      <w:start w:val="1"/>
      <w:numFmt w:val="bullet"/>
      <w:lvlText w:val=""/>
      <w:lvlJc w:val="left"/>
      <w:pPr>
        <w:ind w:left="2160" w:hanging="360"/>
      </w:pPr>
      <w:rPr>
        <w:rFonts w:ascii="Wingdings" w:hAnsi="Wingdings" w:hint="default"/>
      </w:rPr>
    </w:lvl>
    <w:lvl w:ilvl="3" w:tplc="04103B62">
      <w:start w:val="1"/>
      <w:numFmt w:val="bullet"/>
      <w:lvlText w:val=""/>
      <w:lvlJc w:val="left"/>
      <w:pPr>
        <w:ind w:left="2880" w:hanging="360"/>
      </w:pPr>
      <w:rPr>
        <w:rFonts w:ascii="Symbol" w:hAnsi="Symbol" w:hint="default"/>
      </w:rPr>
    </w:lvl>
    <w:lvl w:ilvl="4" w:tplc="890C30BE">
      <w:start w:val="1"/>
      <w:numFmt w:val="bullet"/>
      <w:lvlText w:val="o"/>
      <w:lvlJc w:val="left"/>
      <w:pPr>
        <w:ind w:left="3600" w:hanging="360"/>
      </w:pPr>
      <w:rPr>
        <w:rFonts w:ascii="Courier New" w:hAnsi="Courier New" w:hint="default"/>
      </w:rPr>
    </w:lvl>
    <w:lvl w:ilvl="5" w:tplc="5232B40C">
      <w:start w:val="1"/>
      <w:numFmt w:val="bullet"/>
      <w:lvlText w:val=""/>
      <w:lvlJc w:val="left"/>
      <w:pPr>
        <w:ind w:left="4320" w:hanging="360"/>
      </w:pPr>
      <w:rPr>
        <w:rFonts w:ascii="Wingdings" w:hAnsi="Wingdings" w:hint="default"/>
      </w:rPr>
    </w:lvl>
    <w:lvl w:ilvl="6" w:tplc="AF14002E">
      <w:start w:val="1"/>
      <w:numFmt w:val="bullet"/>
      <w:lvlText w:val=""/>
      <w:lvlJc w:val="left"/>
      <w:pPr>
        <w:ind w:left="5040" w:hanging="360"/>
      </w:pPr>
      <w:rPr>
        <w:rFonts w:ascii="Symbol" w:hAnsi="Symbol" w:hint="default"/>
      </w:rPr>
    </w:lvl>
    <w:lvl w:ilvl="7" w:tplc="361C3EE8">
      <w:start w:val="1"/>
      <w:numFmt w:val="bullet"/>
      <w:lvlText w:val="o"/>
      <w:lvlJc w:val="left"/>
      <w:pPr>
        <w:ind w:left="5760" w:hanging="360"/>
      </w:pPr>
      <w:rPr>
        <w:rFonts w:ascii="Courier New" w:hAnsi="Courier New" w:hint="default"/>
      </w:rPr>
    </w:lvl>
    <w:lvl w:ilvl="8" w:tplc="AD5AD1F2">
      <w:start w:val="1"/>
      <w:numFmt w:val="bullet"/>
      <w:lvlText w:val=""/>
      <w:lvlJc w:val="left"/>
      <w:pPr>
        <w:ind w:left="6480" w:hanging="360"/>
      </w:pPr>
      <w:rPr>
        <w:rFonts w:ascii="Wingdings" w:hAnsi="Wingdings" w:hint="default"/>
      </w:rPr>
    </w:lvl>
  </w:abstractNum>
  <w:abstractNum w:abstractNumId="10" w15:restartNumberingAfterBreak="0">
    <w:nsid w:val="28862E00"/>
    <w:multiLevelType w:val="hybridMultilevel"/>
    <w:tmpl w:val="FFFFFFFF"/>
    <w:lvl w:ilvl="0" w:tplc="2B2E0146">
      <w:start w:val="1"/>
      <w:numFmt w:val="decimal"/>
      <w:lvlText w:val="%1."/>
      <w:lvlJc w:val="left"/>
      <w:pPr>
        <w:ind w:left="720" w:hanging="360"/>
      </w:pPr>
    </w:lvl>
    <w:lvl w:ilvl="1" w:tplc="212C092C">
      <w:start w:val="1"/>
      <w:numFmt w:val="lowerLetter"/>
      <w:lvlText w:val="%2."/>
      <w:lvlJc w:val="left"/>
      <w:pPr>
        <w:ind w:left="1440" w:hanging="360"/>
      </w:pPr>
    </w:lvl>
    <w:lvl w:ilvl="2" w:tplc="4A68F51C">
      <w:start w:val="1"/>
      <w:numFmt w:val="lowerRoman"/>
      <w:lvlText w:val="%3."/>
      <w:lvlJc w:val="right"/>
      <w:pPr>
        <w:ind w:left="2160" w:hanging="180"/>
      </w:pPr>
    </w:lvl>
    <w:lvl w:ilvl="3" w:tplc="C36CAF42">
      <w:start w:val="1"/>
      <w:numFmt w:val="decimal"/>
      <w:lvlText w:val="%4."/>
      <w:lvlJc w:val="left"/>
      <w:pPr>
        <w:ind w:left="2880" w:hanging="360"/>
      </w:pPr>
    </w:lvl>
    <w:lvl w:ilvl="4" w:tplc="F65CAFDA">
      <w:start w:val="1"/>
      <w:numFmt w:val="lowerLetter"/>
      <w:lvlText w:val="%5."/>
      <w:lvlJc w:val="left"/>
      <w:pPr>
        <w:ind w:left="3600" w:hanging="360"/>
      </w:pPr>
    </w:lvl>
    <w:lvl w:ilvl="5" w:tplc="C4D25676">
      <w:start w:val="1"/>
      <w:numFmt w:val="lowerRoman"/>
      <w:lvlText w:val="%6."/>
      <w:lvlJc w:val="right"/>
      <w:pPr>
        <w:ind w:left="4320" w:hanging="180"/>
      </w:pPr>
    </w:lvl>
    <w:lvl w:ilvl="6" w:tplc="6964BA7C">
      <w:start w:val="1"/>
      <w:numFmt w:val="decimal"/>
      <w:lvlText w:val="%7."/>
      <w:lvlJc w:val="left"/>
      <w:pPr>
        <w:ind w:left="5040" w:hanging="360"/>
      </w:pPr>
    </w:lvl>
    <w:lvl w:ilvl="7" w:tplc="97A8B346">
      <w:start w:val="1"/>
      <w:numFmt w:val="lowerLetter"/>
      <w:lvlText w:val="%8."/>
      <w:lvlJc w:val="left"/>
      <w:pPr>
        <w:ind w:left="5760" w:hanging="360"/>
      </w:pPr>
    </w:lvl>
    <w:lvl w:ilvl="8" w:tplc="1A5478D8">
      <w:start w:val="1"/>
      <w:numFmt w:val="lowerRoman"/>
      <w:lvlText w:val="%9."/>
      <w:lvlJc w:val="right"/>
      <w:pPr>
        <w:ind w:left="6480" w:hanging="180"/>
      </w:pPr>
    </w:lvl>
  </w:abstractNum>
  <w:abstractNum w:abstractNumId="11" w15:restartNumberingAfterBreak="0">
    <w:nsid w:val="2C087775"/>
    <w:multiLevelType w:val="multilevel"/>
    <w:tmpl w:val="4336E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DB2218C"/>
    <w:multiLevelType w:val="hybridMultilevel"/>
    <w:tmpl w:val="6A3CDDC0"/>
    <w:lvl w:ilvl="0" w:tplc="D13459A8">
      <w:start w:val="1"/>
      <w:numFmt w:val="bullet"/>
      <w:lvlText w:val=""/>
      <w:lvlJc w:val="left"/>
      <w:pPr>
        <w:ind w:left="720" w:hanging="360"/>
      </w:pPr>
      <w:rPr>
        <w:rFonts w:ascii="Symbol" w:hAnsi="Symbol" w:hint="default"/>
      </w:rPr>
    </w:lvl>
    <w:lvl w:ilvl="1" w:tplc="E3167BE6">
      <w:start w:val="1"/>
      <w:numFmt w:val="bullet"/>
      <w:lvlText w:val="o"/>
      <w:lvlJc w:val="left"/>
      <w:pPr>
        <w:ind w:left="1440" w:hanging="360"/>
      </w:pPr>
      <w:rPr>
        <w:rFonts w:ascii="Courier New" w:hAnsi="Courier New" w:hint="default"/>
      </w:rPr>
    </w:lvl>
    <w:lvl w:ilvl="2" w:tplc="97F6235C">
      <w:start w:val="1"/>
      <w:numFmt w:val="bullet"/>
      <w:lvlText w:val=""/>
      <w:lvlJc w:val="left"/>
      <w:pPr>
        <w:ind w:left="2160" w:hanging="360"/>
      </w:pPr>
      <w:rPr>
        <w:rFonts w:ascii="Wingdings" w:hAnsi="Wingdings" w:hint="default"/>
      </w:rPr>
    </w:lvl>
    <w:lvl w:ilvl="3" w:tplc="E7D0B75A">
      <w:start w:val="1"/>
      <w:numFmt w:val="bullet"/>
      <w:lvlText w:val=""/>
      <w:lvlJc w:val="left"/>
      <w:pPr>
        <w:ind w:left="2880" w:hanging="360"/>
      </w:pPr>
      <w:rPr>
        <w:rFonts w:ascii="Symbol" w:hAnsi="Symbol" w:hint="default"/>
      </w:rPr>
    </w:lvl>
    <w:lvl w:ilvl="4" w:tplc="737CB6DE">
      <w:start w:val="1"/>
      <w:numFmt w:val="bullet"/>
      <w:lvlText w:val="o"/>
      <w:lvlJc w:val="left"/>
      <w:pPr>
        <w:ind w:left="3600" w:hanging="360"/>
      </w:pPr>
      <w:rPr>
        <w:rFonts w:ascii="Courier New" w:hAnsi="Courier New" w:hint="default"/>
      </w:rPr>
    </w:lvl>
    <w:lvl w:ilvl="5" w:tplc="04D0DF8C">
      <w:start w:val="1"/>
      <w:numFmt w:val="bullet"/>
      <w:lvlText w:val=""/>
      <w:lvlJc w:val="left"/>
      <w:pPr>
        <w:ind w:left="4320" w:hanging="360"/>
      </w:pPr>
      <w:rPr>
        <w:rFonts w:ascii="Wingdings" w:hAnsi="Wingdings" w:hint="default"/>
      </w:rPr>
    </w:lvl>
    <w:lvl w:ilvl="6" w:tplc="B4524132">
      <w:start w:val="1"/>
      <w:numFmt w:val="bullet"/>
      <w:lvlText w:val=""/>
      <w:lvlJc w:val="left"/>
      <w:pPr>
        <w:ind w:left="5040" w:hanging="360"/>
      </w:pPr>
      <w:rPr>
        <w:rFonts w:ascii="Symbol" w:hAnsi="Symbol" w:hint="default"/>
      </w:rPr>
    </w:lvl>
    <w:lvl w:ilvl="7" w:tplc="77ACA5CE">
      <w:start w:val="1"/>
      <w:numFmt w:val="bullet"/>
      <w:lvlText w:val="o"/>
      <w:lvlJc w:val="left"/>
      <w:pPr>
        <w:ind w:left="5760" w:hanging="360"/>
      </w:pPr>
      <w:rPr>
        <w:rFonts w:ascii="Courier New" w:hAnsi="Courier New" w:hint="default"/>
      </w:rPr>
    </w:lvl>
    <w:lvl w:ilvl="8" w:tplc="53D6969E">
      <w:start w:val="1"/>
      <w:numFmt w:val="bullet"/>
      <w:lvlText w:val=""/>
      <w:lvlJc w:val="left"/>
      <w:pPr>
        <w:ind w:left="6480" w:hanging="360"/>
      </w:pPr>
      <w:rPr>
        <w:rFonts w:ascii="Wingdings" w:hAnsi="Wingdings" w:hint="default"/>
      </w:rPr>
    </w:lvl>
  </w:abstractNum>
  <w:abstractNum w:abstractNumId="13" w15:restartNumberingAfterBreak="0">
    <w:nsid w:val="2F805D48"/>
    <w:multiLevelType w:val="hybridMultilevel"/>
    <w:tmpl w:val="CED8B3E8"/>
    <w:lvl w:ilvl="0" w:tplc="52A84940">
      <w:start w:val="1"/>
      <w:numFmt w:val="decimal"/>
      <w:lvlText w:val="%1."/>
      <w:lvlJc w:val="left"/>
      <w:pPr>
        <w:ind w:left="720" w:hanging="360"/>
      </w:pPr>
    </w:lvl>
    <w:lvl w:ilvl="1" w:tplc="7E8AF7D6">
      <w:start w:val="1"/>
      <w:numFmt w:val="lowerLetter"/>
      <w:lvlText w:val="%2."/>
      <w:lvlJc w:val="left"/>
      <w:pPr>
        <w:ind w:left="1440" w:hanging="360"/>
      </w:pPr>
    </w:lvl>
    <w:lvl w:ilvl="2" w:tplc="76E22736">
      <w:start w:val="1"/>
      <w:numFmt w:val="lowerRoman"/>
      <w:lvlText w:val="%3."/>
      <w:lvlJc w:val="right"/>
      <w:pPr>
        <w:ind w:left="2160" w:hanging="180"/>
      </w:pPr>
    </w:lvl>
    <w:lvl w:ilvl="3" w:tplc="B8F874BE">
      <w:start w:val="1"/>
      <w:numFmt w:val="decimal"/>
      <w:lvlText w:val="%4."/>
      <w:lvlJc w:val="left"/>
      <w:pPr>
        <w:ind w:left="2880" w:hanging="360"/>
      </w:pPr>
    </w:lvl>
    <w:lvl w:ilvl="4" w:tplc="0FC0BE46">
      <w:start w:val="1"/>
      <w:numFmt w:val="lowerLetter"/>
      <w:lvlText w:val="%5."/>
      <w:lvlJc w:val="left"/>
      <w:pPr>
        <w:ind w:left="3600" w:hanging="360"/>
      </w:pPr>
    </w:lvl>
    <w:lvl w:ilvl="5" w:tplc="0486E1DE">
      <w:start w:val="1"/>
      <w:numFmt w:val="lowerRoman"/>
      <w:lvlText w:val="%6."/>
      <w:lvlJc w:val="right"/>
      <w:pPr>
        <w:ind w:left="4320" w:hanging="180"/>
      </w:pPr>
    </w:lvl>
    <w:lvl w:ilvl="6" w:tplc="B3FC56D0">
      <w:start w:val="1"/>
      <w:numFmt w:val="decimal"/>
      <w:lvlText w:val="%7."/>
      <w:lvlJc w:val="left"/>
      <w:pPr>
        <w:ind w:left="5040" w:hanging="360"/>
      </w:pPr>
    </w:lvl>
    <w:lvl w:ilvl="7" w:tplc="BB72861E">
      <w:start w:val="1"/>
      <w:numFmt w:val="lowerLetter"/>
      <w:lvlText w:val="%8."/>
      <w:lvlJc w:val="left"/>
      <w:pPr>
        <w:ind w:left="5760" w:hanging="360"/>
      </w:pPr>
    </w:lvl>
    <w:lvl w:ilvl="8" w:tplc="A7DE8DD8">
      <w:start w:val="1"/>
      <w:numFmt w:val="lowerRoman"/>
      <w:lvlText w:val="%9."/>
      <w:lvlJc w:val="right"/>
      <w:pPr>
        <w:ind w:left="6480" w:hanging="180"/>
      </w:pPr>
    </w:lvl>
  </w:abstractNum>
  <w:abstractNum w:abstractNumId="14" w15:restartNumberingAfterBreak="0">
    <w:nsid w:val="32D310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74052"/>
    <w:multiLevelType w:val="hybridMultilevel"/>
    <w:tmpl w:val="0D4EB176"/>
    <w:lvl w:ilvl="0" w:tplc="7A28AC6E">
      <w:start w:val="1"/>
      <w:numFmt w:val="bullet"/>
      <w:lvlText w:val=""/>
      <w:lvlJc w:val="left"/>
      <w:pPr>
        <w:ind w:left="720" w:hanging="360"/>
      </w:pPr>
      <w:rPr>
        <w:rFonts w:ascii="Symbol" w:hAnsi="Symbol" w:hint="default"/>
      </w:rPr>
    </w:lvl>
    <w:lvl w:ilvl="1" w:tplc="7FD44704">
      <w:start w:val="1"/>
      <w:numFmt w:val="bullet"/>
      <w:lvlText w:val="o"/>
      <w:lvlJc w:val="left"/>
      <w:pPr>
        <w:ind w:left="1440" w:hanging="360"/>
      </w:pPr>
      <w:rPr>
        <w:rFonts w:ascii="Courier New" w:hAnsi="Courier New" w:hint="default"/>
      </w:rPr>
    </w:lvl>
    <w:lvl w:ilvl="2" w:tplc="CE648DA0">
      <w:start w:val="1"/>
      <w:numFmt w:val="bullet"/>
      <w:lvlText w:val=""/>
      <w:lvlJc w:val="left"/>
      <w:pPr>
        <w:ind w:left="2160" w:hanging="360"/>
      </w:pPr>
      <w:rPr>
        <w:rFonts w:ascii="Wingdings" w:hAnsi="Wingdings" w:hint="default"/>
      </w:rPr>
    </w:lvl>
    <w:lvl w:ilvl="3" w:tplc="9A24BE88">
      <w:start w:val="1"/>
      <w:numFmt w:val="bullet"/>
      <w:lvlText w:val=""/>
      <w:lvlJc w:val="left"/>
      <w:pPr>
        <w:ind w:left="2880" w:hanging="360"/>
      </w:pPr>
      <w:rPr>
        <w:rFonts w:ascii="Symbol" w:hAnsi="Symbol" w:hint="default"/>
      </w:rPr>
    </w:lvl>
    <w:lvl w:ilvl="4" w:tplc="DA906FA2">
      <w:start w:val="1"/>
      <w:numFmt w:val="bullet"/>
      <w:lvlText w:val="o"/>
      <w:lvlJc w:val="left"/>
      <w:pPr>
        <w:ind w:left="3600" w:hanging="360"/>
      </w:pPr>
      <w:rPr>
        <w:rFonts w:ascii="Courier New" w:hAnsi="Courier New" w:hint="default"/>
      </w:rPr>
    </w:lvl>
    <w:lvl w:ilvl="5" w:tplc="12824F74">
      <w:start w:val="1"/>
      <w:numFmt w:val="bullet"/>
      <w:lvlText w:val=""/>
      <w:lvlJc w:val="left"/>
      <w:pPr>
        <w:ind w:left="4320" w:hanging="360"/>
      </w:pPr>
      <w:rPr>
        <w:rFonts w:ascii="Wingdings" w:hAnsi="Wingdings" w:hint="default"/>
      </w:rPr>
    </w:lvl>
    <w:lvl w:ilvl="6" w:tplc="6A62D10E">
      <w:start w:val="1"/>
      <w:numFmt w:val="bullet"/>
      <w:lvlText w:val=""/>
      <w:lvlJc w:val="left"/>
      <w:pPr>
        <w:ind w:left="5040" w:hanging="360"/>
      </w:pPr>
      <w:rPr>
        <w:rFonts w:ascii="Symbol" w:hAnsi="Symbol" w:hint="default"/>
      </w:rPr>
    </w:lvl>
    <w:lvl w:ilvl="7" w:tplc="965E103E">
      <w:start w:val="1"/>
      <w:numFmt w:val="bullet"/>
      <w:lvlText w:val="o"/>
      <w:lvlJc w:val="left"/>
      <w:pPr>
        <w:ind w:left="5760" w:hanging="360"/>
      </w:pPr>
      <w:rPr>
        <w:rFonts w:ascii="Courier New" w:hAnsi="Courier New" w:hint="default"/>
      </w:rPr>
    </w:lvl>
    <w:lvl w:ilvl="8" w:tplc="6D584418">
      <w:start w:val="1"/>
      <w:numFmt w:val="bullet"/>
      <w:lvlText w:val=""/>
      <w:lvlJc w:val="left"/>
      <w:pPr>
        <w:ind w:left="6480" w:hanging="360"/>
      </w:pPr>
      <w:rPr>
        <w:rFonts w:ascii="Wingdings" w:hAnsi="Wingdings" w:hint="default"/>
      </w:rPr>
    </w:lvl>
  </w:abstractNum>
  <w:abstractNum w:abstractNumId="16" w15:restartNumberingAfterBreak="0">
    <w:nsid w:val="354E42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AF47C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ED3ED0"/>
    <w:multiLevelType w:val="hybridMultilevel"/>
    <w:tmpl w:val="7B8C2804"/>
    <w:lvl w:ilvl="0" w:tplc="6D48C116">
      <w:start w:val="1"/>
      <w:numFmt w:val="decimal"/>
      <w:lvlText w:val="%1."/>
      <w:lvlJc w:val="left"/>
      <w:pPr>
        <w:ind w:left="720" w:hanging="360"/>
      </w:pPr>
    </w:lvl>
    <w:lvl w:ilvl="1" w:tplc="19C048D0">
      <w:start w:val="1"/>
      <w:numFmt w:val="lowerLetter"/>
      <w:lvlText w:val="%2."/>
      <w:lvlJc w:val="left"/>
      <w:pPr>
        <w:ind w:left="1440" w:hanging="360"/>
      </w:pPr>
    </w:lvl>
    <w:lvl w:ilvl="2" w:tplc="CB0E87F6">
      <w:start w:val="1"/>
      <w:numFmt w:val="lowerRoman"/>
      <w:lvlText w:val="%3."/>
      <w:lvlJc w:val="right"/>
      <w:pPr>
        <w:ind w:left="2160" w:hanging="180"/>
      </w:pPr>
    </w:lvl>
    <w:lvl w:ilvl="3" w:tplc="51B045E8">
      <w:start w:val="1"/>
      <w:numFmt w:val="decimal"/>
      <w:lvlText w:val="%4."/>
      <w:lvlJc w:val="left"/>
      <w:pPr>
        <w:ind w:left="2880" w:hanging="360"/>
      </w:pPr>
    </w:lvl>
    <w:lvl w:ilvl="4" w:tplc="3A0C62A4">
      <w:start w:val="1"/>
      <w:numFmt w:val="lowerLetter"/>
      <w:lvlText w:val="%5."/>
      <w:lvlJc w:val="left"/>
      <w:pPr>
        <w:ind w:left="3600" w:hanging="360"/>
      </w:pPr>
    </w:lvl>
    <w:lvl w:ilvl="5" w:tplc="CBF04AD4">
      <w:start w:val="1"/>
      <w:numFmt w:val="lowerRoman"/>
      <w:lvlText w:val="%6."/>
      <w:lvlJc w:val="right"/>
      <w:pPr>
        <w:ind w:left="4320" w:hanging="180"/>
      </w:pPr>
    </w:lvl>
    <w:lvl w:ilvl="6" w:tplc="1318F944">
      <w:start w:val="1"/>
      <w:numFmt w:val="decimal"/>
      <w:lvlText w:val="%7."/>
      <w:lvlJc w:val="left"/>
      <w:pPr>
        <w:ind w:left="5040" w:hanging="360"/>
      </w:pPr>
    </w:lvl>
    <w:lvl w:ilvl="7" w:tplc="542A4976">
      <w:start w:val="1"/>
      <w:numFmt w:val="lowerLetter"/>
      <w:lvlText w:val="%8."/>
      <w:lvlJc w:val="left"/>
      <w:pPr>
        <w:ind w:left="5760" w:hanging="360"/>
      </w:pPr>
    </w:lvl>
    <w:lvl w:ilvl="8" w:tplc="920EB600">
      <w:start w:val="1"/>
      <w:numFmt w:val="lowerRoman"/>
      <w:lvlText w:val="%9."/>
      <w:lvlJc w:val="right"/>
      <w:pPr>
        <w:ind w:left="6480" w:hanging="180"/>
      </w:pPr>
    </w:lvl>
  </w:abstractNum>
  <w:abstractNum w:abstractNumId="19" w15:restartNumberingAfterBreak="0">
    <w:nsid w:val="575ECDA9"/>
    <w:multiLevelType w:val="hybridMultilevel"/>
    <w:tmpl w:val="ACD86DBA"/>
    <w:lvl w:ilvl="0" w:tplc="076C0B0C">
      <w:start w:val="1"/>
      <w:numFmt w:val="decimal"/>
      <w:lvlText w:val="%1."/>
      <w:lvlJc w:val="left"/>
      <w:pPr>
        <w:ind w:left="720" w:hanging="360"/>
      </w:pPr>
    </w:lvl>
    <w:lvl w:ilvl="1" w:tplc="41249840">
      <w:start w:val="1"/>
      <w:numFmt w:val="lowerLetter"/>
      <w:lvlText w:val="%2."/>
      <w:lvlJc w:val="left"/>
      <w:pPr>
        <w:ind w:left="1440" w:hanging="360"/>
      </w:pPr>
    </w:lvl>
    <w:lvl w:ilvl="2" w:tplc="3E082A56">
      <w:start w:val="1"/>
      <w:numFmt w:val="lowerRoman"/>
      <w:lvlText w:val="%3."/>
      <w:lvlJc w:val="right"/>
      <w:pPr>
        <w:ind w:left="2160" w:hanging="180"/>
      </w:pPr>
    </w:lvl>
    <w:lvl w:ilvl="3" w:tplc="99443638">
      <w:start w:val="1"/>
      <w:numFmt w:val="decimal"/>
      <w:lvlText w:val="%4."/>
      <w:lvlJc w:val="left"/>
      <w:pPr>
        <w:ind w:left="2880" w:hanging="360"/>
      </w:pPr>
    </w:lvl>
    <w:lvl w:ilvl="4" w:tplc="59CEBDF8">
      <w:start w:val="1"/>
      <w:numFmt w:val="lowerLetter"/>
      <w:lvlText w:val="%5."/>
      <w:lvlJc w:val="left"/>
      <w:pPr>
        <w:ind w:left="3600" w:hanging="360"/>
      </w:pPr>
    </w:lvl>
    <w:lvl w:ilvl="5" w:tplc="4A365D56">
      <w:start w:val="1"/>
      <w:numFmt w:val="lowerRoman"/>
      <w:lvlText w:val="%6."/>
      <w:lvlJc w:val="right"/>
      <w:pPr>
        <w:ind w:left="4320" w:hanging="180"/>
      </w:pPr>
    </w:lvl>
    <w:lvl w:ilvl="6" w:tplc="1A3E073E">
      <w:start w:val="1"/>
      <w:numFmt w:val="decimal"/>
      <w:lvlText w:val="%7."/>
      <w:lvlJc w:val="left"/>
      <w:pPr>
        <w:ind w:left="5040" w:hanging="360"/>
      </w:pPr>
    </w:lvl>
    <w:lvl w:ilvl="7" w:tplc="20EA3276">
      <w:start w:val="1"/>
      <w:numFmt w:val="lowerLetter"/>
      <w:lvlText w:val="%8."/>
      <w:lvlJc w:val="left"/>
      <w:pPr>
        <w:ind w:left="5760" w:hanging="360"/>
      </w:pPr>
    </w:lvl>
    <w:lvl w:ilvl="8" w:tplc="5844BDDC">
      <w:start w:val="1"/>
      <w:numFmt w:val="lowerRoman"/>
      <w:lvlText w:val="%9."/>
      <w:lvlJc w:val="right"/>
      <w:pPr>
        <w:ind w:left="6480" w:hanging="180"/>
      </w:pPr>
    </w:lvl>
  </w:abstractNum>
  <w:abstractNum w:abstractNumId="20" w15:restartNumberingAfterBreak="0">
    <w:nsid w:val="5A6176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893D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D4365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272F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619674A"/>
    <w:multiLevelType w:val="hybridMultilevel"/>
    <w:tmpl w:val="FFFFFFFF"/>
    <w:lvl w:ilvl="0" w:tplc="E9505248">
      <w:start w:val="1"/>
      <w:numFmt w:val="decimal"/>
      <w:lvlText w:val="%1."/>
      <w:lvlJc w:val="left"/>
      <w:pPr>
        <w:ind w:left="720" w:hanging="360"/>
      </w:pPr>
    </w:lvl>
    <w:lvl w:ilvl="1" w:tplc="1688C4A6">
      <w:start w:val="1"/>
      <w:numFmt w:val="lowerLetter"/>
      <w:lvlText w:val="%2."/>
      <w:lvlJc w:val="left"/>
      <w:pPr>
        <w:ind w:left="1440" w:hanging="360"/>
      </w:pPr>
    </w:lvl>
    <w:lvl w:ilvl="2" w:tplc="90384B3A">
      <w:start w:val="1"/>
      <w:numFmt w:val="lowerRoman"/>
      <w:lvlText w:val="%3."/>
      <w:lvlJc w:val="right"/>
      <w:pPr>
        <w:ind w:left="2160" w:hanging="180"/>
      </w:pPr>
    </w:lvl>
    <w:lvl w:ilvl="3" w:tplc="6E66C092">
      <w:start w:val="1"/>
      <w:numFmt w:val="decimal"/>
      <w:lvlText w:val="%4."/>
      <w:lvlJc w:val="left"/>
      <w:pPr>
        <w:ind w:left="2880" w:hanging="360"/>
      </w:pPr>
    </w:lvl>
    <w:lvl w:ilvl="4" w:tplc="178EFF80">
      <w:start w:val="1"/>
      <w:numFmt w:val="lowerLetter"/>
      <w:lvlText w:val="%5."/>
      <w:lvlJc w:val="left"/>
      <w:pPr>
        <w:ind w:left="3600" w:hanging="360"/>
      </w:pPr>
    </w:lvl>
    <w:lvl w:ilvl="5" w:tplc="73A4BBD8">
      <w:start w:val="1"/>
      <w:numFmt w:val="lowerRoman"/>
      <w:lvlText w:val="%6."/>
      <w:lvlJc w:val="right"/>
      <w:pPr>
        <w:ind w:left="4320" w:hanging="180"/>
      </w:pPr>
    </w:lvl>
    <w:lvl w:ilvl="6" w:tplc="D82CAC8A">
      <w:start w:val="1"/>
      <w:numFmt w:val="decimal"/>
      <w:lvlText w:val="%7."/>
      <w:lvlJc w:val="left"/>
      <w:pPr>
        <w:ind w:left="5040" w:hanging="360"/>
      </w:pPr>
    </w:lvl>
    <w:lvl w:ilvl="7" w:tplc="A3BA911E">
      <w:start w:val="1"/>
      <w:numFmt w:val="lowerLetter"/>
      <w:lvlText w:val="%8."/>
      <w:lvlJc w:val="left"/>
      <w:pPr>
        <w:ind w:left="5760" w:hanging="360"/>
      </w:pPr>
    </w:lvl>
    <w:lvl w:ilvl="8" w:tplc="BE0459BA">
      <w:start w:val="1"/>
      <w:numFmt w:val="lowerRoman"/>
      <w:lvlText w:val="%9."/>
      <w:lvlJc w:val="right"/>
      <w:pPr>
        <w:ind w:left="6480" w:hanging="180"/>
      </w:pPr>
    </w:lvl>
  </w:abstractNum>
  <w:abstractNum w:abstractNumId="25" w15:restartNumberingAfterBreak="0">
    <w:nsid w:val="66E228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965E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95A214"/>
    <w:multiLevelType w:val="hybridMultilevel"/>
    <w:tmpl w:val="3170119E"/>
    <w:lvl w:ilvl="0" w:tplc="2EE67F1C">
      <w:start w:val="1"/>
      <w:numFmt w:val="bullet"/>
      <w:lvlText w:val=""/>
      <w:lvlJc w:val="left"/>
      <w:pPr>
        <w:ind w:left="720" w:hanging="360"/>
      </w:pPr>
      <w:rPr>
        <w:rFonts w:ascii="Symbol" w:hAnsi="Symbol" w:hint="default"/>
      </w:rPr>
    </w:lvl>
    <w:lvl w:ilvl="1" w:tplc="BCF0EA4A">
      <w:start w:val="1"/>
      <w:numFmt w:val="bullet"/>
      <w:lvlText w:val="o"/>
      <w:lvlJc w:val="left"/>
      <w:pPr>
        <w:ind w:left="1440" w:hanging="360"/>
      </w:pPr>
      <w:rPr>
        <w:rFonts w:ascii="Courier New" w:hAnsi="Courier New" w:hint="default"/>
      </w:rPr>
    </w:lvl>
    <w:lvl w:ilvl="2" w:tplc="A8A2B8B8">
      <w:start w:val="1"/>
      <w:numFmt w:val="bullet"/>
      <w:lvlText w:val=""/>
      <w:lvlJc w:val="left"/>
      <w:pPr>
        <w:ind w:left="2160" w:hanging="360"/>
      </w:pPr>
      <w:rPr>
        <w:rFonts w:ascii="Wingdings" w:hAnsi="Wingdings" w:hint="default"/>
      </w:rPr>
    </w:lvl>
    <w:lvl w:ilvl="3" w:tplc="1FB4B11E">
      <w:start w:val="1"/>
      <w:numFmt w:val="bullet"/>
      <w:lvlText w:val=""/>
      <w:lvlJc w:val="left"/>
      <w:pPr>
        <w:ind w:left="2880" w:hanging="360"/>
      </w:pPr>
      <w:rPr>
        <w:rFonts w:ascii="Symbol" w:hAnsi="Symbol" w:hint="default"/>
      </w:rPr>
    </w:lvl>
    <w:lvl w:ilvl="4" w:tplc="52F01ADC">
      <w:start w:val="1"/>
      <w:numFmt w:val="bullet"/>
      <w:lvlText w:val="o"/>
      <w:lvlJc w:val="left"/>
      <w:pPr>
        <w:ind w:left="3600" w:hanging="360"/>
      </w:pPr>
      <w:rPr>
        <w:rFonts w:ascii="Courier New" w:hAnsi="Courier New" w:hint="default"/>
      </w:rPr>
    </w:lvl>
    <w:lvl w:ilvl="5" w:tplc="BCE08718">
      <w:start w:val="1"/>
      <w:numFmt w:val="bullet"/>
      <w:lvlText w:val=""/>
      <w:lvlJc w:val="left"/>
      <w:pPr>
        <w:ind w:left="4320" w:hanging="360"/>
      </w:pPr>
      <w:rPr>
        <w:rFonts w:ascii="Wingdings" w:hAnsi="Wingdings" w:hint="default"/>
      </w:rPr>
    </w:lvl>
    <w:lvl w:ilvl="6" w:tplc="02F6EEA8">
      <w:start w:val="1"/>
      <w:numFmt w:val="bullet"/>
      <w:lvlText w:val=""/>
      <w:lvlJc w:val="left"/>
      <w:pPr>
        <w:ind w:left="5040" w:hanging="360"/>
      </w:pPr>
      <w:rPr>
        <w:rFonts w:ascii="Symbol" w:hAnsi="Symbol" w:hint="default"/>
      </w:rPr>
    </w:lvl>
    <w:lvl w:ilvl="7" w:tplc="3158877C">
      <w:start w:val="1"/>
      <w:numFmt w:val="bullet"/>
      <w:lvlText w:val="o"/>
      <w:lvlJc w:val="left"/>
      <w:pPr>
        <w:ind w:left="5760" w:hanging="360"/>
      </w:pPr>
      <w:rPr>
        <w:rFonts w:ascii="Courier New" w:hAnsi="Courier New" w:hint="default"/>
      </w:rPr>
    </w:lvl>
    <w:lvl w:ilvl="8" w:tplc="099E2E4E">
      <w:start w:val="1"/>
      <w:numFmt w:val="bullet"/>
      <w:lvlText w:val=""/>
      <w:lvlJc w:val="left"/>
      <w:pPr>
        <w:ind w:left="6480" w:hanging="360"/>
      </w:pPr>
      <w:rPr>
        <w:rFonts w:ascii="Wingdings" w:hAnsi="Wingdings" w:hint="default"/>
      </w:rPr>
    </w:lvl>
  </w:abstractNum>
  <w:abstractNum w:abstractNumId="28" w15:restartNumberingAfterBreak="0">
    <w:nsid w:val="7AFA83C6"/>
    <w:multiLevelType w:val="hybridMultilevel"/>
    <w:tmpl w:val="D09A18B2"/>
    <w:lvl w:ilvl="0" w:tplc="C8501AFA">
      <w:start w:val="1"/>
      <w:numFmt w:val="bullet"/>
      <w:lvlText w:val=""/>
      <w:lvlJc w:val="left"/>
      <w:pPr>
        <w:ind w:left="720" w:hanging="360"/>
      </w:pPr>
      <w:rPr>
        <w:rFonts w:ascii="Symbol" w:hAnsi="Symbol" w:hint="default"/>
      </w:rPr>
    </w:lvl>
    <w:lvl w:ilvl="1" w:tplc="32125F88">
      <w:start w:val="1"/>
      <w:numFmt w:val="bullet"/>
      <w:lvlText w:val="o"/>
      <w:lvlJc w:val="left"/>
      <w:pPr>
        <w:ind w:left="1440" w:hanging="360"/>
      </w:pPr>
      <w:rPr>
        <w:rFonts w:ascii="Courier New" w:hAnsi="Courier New" w:hint="default"/>
      </w:rPr>
    </w:lvl>
    <w:lvl w:ilvl="2" w:tplc="5B3A15B4">
      <w:start w:val="1"/>
      <w:numFmt w:val="bullet"/>
      <w:lvlText w:val=""/>
      <w:lvlJc w:val="left"/>
      <w:pPr>
        <w:ind w:left="2160" w:hanging="360"/>
      </w:pPr>
      <w:rPr>
        <w:rFonts w:ascii="Wingdings" w:hAnsi="Wingdings" w:hint="default"/>
      </w:rPr>
    </w:lvl>
    <w:lvl w:ilvl="3" w:tplc="14426F0E">
      <w:start w:val="1"/>
      <w:numFmt w:val="bullet"/>
      <w:lvlText w:val=""/>
      <w:lvlJc w:val="left"/>
      <w:pPr>
        <w:ind w:left="2880" w:hanging="360"/>
      </w:pPr>
      <w:rPr>
        <w:rFonts w:ascii="Symbol" w:hAnsi="Symbol" w:hint="default"/>
      </w:rPr>
    </w:lvl>
    <w:lvl w:ilvl="4" w:tplc="E1483870">
      <w:start w:val="1"/>
      <w:numFmt w:val="bullet"/>
      <w:lvlText w:val="o"/>
      <w:lvlJc w:val="left"/>
      <w:pPr>
        <w:ind w:left="3600" w:hanging="360"/>
      </w:pPr>
      <w:rPr>
        <w:rFonts w:ascii="Courier New" w:hAnsi="Courier New" w:hint="default"/>
      </w:rPr>
    </w:lvl>
    <w:lvl w:ilvl="5" w:tplc="700034F4">
      <w:start w:val="1"/>
      <w:numFmt w:val="bullet"/>
      <w:lvlText w:val=""/>
      <w:lvlJc w:val="left"/>
      <w:pPr>
        <w:ind w:left="4320" w:hanging="360"/>
      </w:pPr>
      <w:rPr>
        <w:rFonts w:ascii="Wingdings" w:hAnsi="Wingdings" w:hint="default"/>
      </w:rPr>
    </w:lvl>
    <w:lvl w:ilvl="6" w:tplc="C1EAD6DA">
      <w:start w:val="1"/>
      <w:numFmt w:val="bullet"/>
      <w:lvlText w:val=""/>
      <w:lvlJc w:val="left"/>
      <w:pPr>
        <w:ind w:left="5040" w:hanging="360"/>
      </w:pPr>
      <w:rPr>
        <w:rFonts w:ascii="Symbol" w:hAnsi="Symbol" w:hint="default"/>
      </w:rPr>
    </w:lvl>
    <w:lvl w:ilvl="7" w:tplc="23FA8EE0">
      <w:start w:val="1"/>
      <w:numFmt w:val="bullet"/>
      <w:lvlText w:val="o"/>
      <w:lvlJc w:val="left"/>
      <w:pPr>
        <w:ind w:left="5760" w:hanging="360"/>
      </w:pPr>
      <w:rPr>
        <w:rFonts w:ascii="Courier New" w:hAnsi="Courier New" w:hint="default"/>
      </w:rPr>
    </w:lvl>
    <w:lvl w:ilvl="8" w:tplc="9C420D4A">
      <w:start w:val="1"/>
      <w:numFmt w:val="bullet"/>
      <w:lvlText w:val=""/>
      <w:lvlJc w:val="left"/>
      <w:pPr>
        <w:ind w:left="6480" w:hanging="360"/>
      </w:pPr>
      <w:rPr>
        <w:rFonts w:ascii="Wingdings" w:hAnsi="Wingdings" w:hint="default"/>
      </w:rPr>
    </w:lvl>
  </w:abstractNum>
  <w:abstractNum w:abstractNumId="29" w15:restartNumberingAfterBreak="0">
    <w:nsid w:val="7E395282"/>
    <w:multiLevelType w:val="hybridMultilevel"/>
    <w:tmpl w:val="FFFFFFFF"/>
    <w:lvl w:ilvl="0" w:tplc="A2B81B16">
      <w:start w:val="1"/>
      <w:numFmt w:val="bullet"/>
      <w:lvlText w:val=""/>
      <w:lvlJc w:val="left"/>
      <w:pPr>
        <w:ind w:left="720" w:hanging="360"/>
      </w:pPr>
      <w:rPr>
        <w:rFonts w:ascii="Symbol" w:hAnsi="Symbol" w:hint="default"/>
      </w:rPr>
    </w:lvl>
    <w:lvl w:ilvl="1" w:tplc="993409D0">
      <w:start w:val="1"/>
      <w:numFmt w:val="bullet"/>
      <w:lvlText w:val="o"/>
      <w:lvlJc w:val="left"/>
      <w:pPr>
        <w:ind w:left="1440" w:hanging="360"/>
      </w:pPr>
      <w:rPr>
        <w:rFonts w:ascii="Courier New" w:hAnsi="Courier New" w:hint="default"/>
      </w:rPr>
    </w:lvl>
    <w:lvl w:ilvl="2" w:tplc="AC141026">
      <w:start w:val="1"/>
      <w:numFmt w:val="bullet"/>
      <w:lvlText w:val=""/>
      <w:lvlJc w:val="left"/>
      <w:pPr>
        <w:ind w:left="2160" w:hanging="360"/>
      </w:pPr>
      <w:rPr>
        <w:rFonts w:ascii="Wingdings" w:hAnsi="Wingdings" w:hint="default"/>
      </w:rPr>
    </w:lvl>
    <w:lvl w:ilvl="3" w:tplc="C0CCD5E4">
      <w:start w:val="1"/>
      <w:numFmt w:val="bullet"/>
      <w:lvlText w:val=""/>
      <w:lvlJc w:val="left"/>
      <w:pPr>
        <w:ind w:left="2880" w:hanging="360"/>
      </w:pPr>
      <w:rPr>
        <w:rFonts w:ascii="Symbol" w:hAnsi="Symbol" w:hint="default"/>
      </w:rPr>
    </w:lvl>
    <w:lvl w:ilvl="4" w:tplc="1CAAE578">
      <w:start w:val="1"/>
      <w:numFmt w:val="bullet"/>
      <w:lvlText w:val="o"/>
      <w:lvlJc w:val="left"/>
      <w:pPr>
        <w:ind w:left="3600" w:hanging="360"/>
      </w:pPr>
      <w:rPr>
        <w:rFonts w:ascii="Courier New" w:hAnsi="Courier New" w:hint="default"/>
      </w:rPr>
    </w:lvl>
    <w:lvl w:ilvl="5" w:tplc="AA9A4732">
      <w:start w:val="1"/>
      <w:numFmt w:val="bullet"/>
      <w:lvlText w:val=""/>
      <w:lvlJc w:val="left"/>
      <w:pPr>
        <w:ind w:left="4320" w:hanging="360"/>
      </w:pPr>
      <w:rPr>
        <w:rFonts w:ascii="Wingdings" w:hAnsi="Wingdings" w:hint="default"/>
      </w:rPr>
    </w:lvl>
    <w:lvl w:ilvl="6" w:tplc="AD02D484">
      <w:start w:val="1"/>
      <w:numFmt w:val="bullet"/>
      <w:lvlText w:val=""/>
      <w:lvlJc w:val="left"/>
      <w:pPr>
        <w:ind w:left="5040" w:hanging="360"/>
      </w:pPr>
      <w:rPr>
        <w:rFonts w:ascii="Symbol" w:hAnsi="Symbol" w:hint="default"/>
      </w:rPr>
    </w:lvl>
    <w:lvl w:ilvl="7" w:tplc="6758F06A">
      <w:start w:val="1"/>
      <w:numFmt w:val="bullet"/>
      <w:lvlText w:val="o"/>
      <w:lvlJc w:val="left"/>
      <w:pPr>
        <w:ind w:left="5760" w:hanging="360"/>
      </w:pPr>
      <w:rPr>
        <w:rFonts w:ascii="Courier New" w:hAnsi="Courier New" w:hint="default"/>
      </w:rPr>
    </w:lvl>
    <w:lvl w:ilvl="8" w:tplc="A8C4D756">
      <w:start w:val="1"/>
      <w:numFmt w:val="bullet"/>
      <w:lvlText w:val=""/>
      <w:lvlJc w:val="left"/>
      <w:pPr>
        <w:ind w:left="6480" w:hanging="360"/>
      </w:pPr>
      <w:rPr>
        <w:rFonts w:ascii="Wingdings" w:hAnsi="Wingdings" w:hint="default"/>
      </w:rPr>
    </w:lvl>
  </w:abstractNum>
  <w:num w:numId="1" w16cid:durableId="830482600">
    <w:abstractNumId w:val="15"/>
  </w:num>
  <w:num w:numId="2" w16cid:durableId="1775519147">
    <w:abstractNumId w:val="27"/>
  </w:num>
  <w:num w:numId="3" w16cid:durableId="1894582588">
    <w:abstractNumId w:val="2"/>
  </w:num>
  <w:num w:numId="4" w16cid:durableId="2043439907">
    <w:abstractNumId w:val="12"/>
  </w:num>
  <w:num w:numId="5" w16cid:durableId="1923485894">
    <w:abstractNumId w:val="9"/>
  </w:num>
  <w:num w:numId="6" w16cid:durableId="387924866">
    <w:abstractNumId w:val="19"/>
  </w:num>
  <w:num w:numId="7" w16cid:durableId="1566187915">
    <w:abstractNumId w:val="6"/>
  </w:num>
  <w:num w:numId="8" w16cid:durableId="1745372583">
    <w:abstractNumId w:val="18"/>
  </w:num>
  <w:num w:numId="9" w16cid:durableId="1142965302">
    <w:abstractNumId w:val="28"/>
  </w:num>
  <w:num w:numId="10" w16cid:durableId="434054075">
    <w:abstractNumId w:val="13"/>
  </w:num>
  <w:num w:numId="11" w16cid:durableId="827747152">
    <w:abstractNumId w:val="24"/>
  </w:num>
  <w:num w:numId="12" w16cid:durableId="690450211">
    <w:abstractNumId w:val="29"/>
  </w:num>
  <w:num w:numId="13" w16cid:durableId="674847614">
    <w:abstractNumId w:val="10"/>
  </w:num>
  <w:num w:numId="14" w16cid:durableId="760293741">
    <w:abstractNumId w:val="0"/>
  </w:num>
  <w:num w:numId="15" w16cid:durableId="358549918">
    <w:abstractNumId w:val="3"/>
  </w:num>
  <w:num w:numId="16" w16cid:durableId="1209949926">
    <w:abstractNumId w:val="5"/>
  </w:num>
  <w:num w:numId="17" w16cid:durableId="1306661377">
    <w:abstractNumId w:val="26"/>
  </w:num>
  <w:num w:numId="18" w16cid:durableId="821390457">
    <w:abstractNumId w:val="23"/>
  </w:num>
  <w:num w:numId="19" w16cid:durableId="1114208501">
    <w:abstractNumId w:val="14"/>
  </w:num>
  <w:num w:numId="20" w16cid:durableId="993726799">
    <w:abstractNumId w:val="4"/>
  </w:num>
  <w:num w:numId="21" w16cid:durableId="983698728">
    <w:abstractNumId w:val="8"/>
  </w:num>
  <w:num w:numId="22" w16cid:durableId="56704559">
    <w:abstractNumId w:val="22"/>
  </w:num>
  <w:num w:numId="23" w16cid:durableId="1428817558">
    <w:abstractNumId w:val="21"/>
  </w:num>
  <w:num w:numId="24" w16cid:durableId="1055474887">
    <w:abstractNumId w:val="25"/>
  </w:num>
  <w:num w:numId="25" w16cid:durableId="1148789773">
    <w:abstractNumId w:val="20"/>
  </w:num>
  <w:num w:numId="26" w16cid:durableId="1450588057">
    <w:abstractNumId w:val="16"/>
  </w:num>
  <w:num w:numId="27" w16cid:durableId="1817524202">
    <w:abstractNumId w:val="7"/>
  </w:num>
  <w:num w:numId="28" w16cid:durableId="827524028">
    <w:abstractNumId w:val="17"/>
  </w:num>
  <w:num w:numId="29" w16cid:durableId="558442411">
    <w:abstractNumId w:val="1"/>
  </w:num>
  <w:num w:numId="30" w16cid:durableId="79340954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93AE27"/>
    <w:rsid w:val="000A6665"/>
    <w:rsid w:val="000C441C"/>
    <w:rsid w:val="001623D6"/>
    <w:rsid w:val="00192BA3"/>
    <w:rsid w:val="001A0054"/>
    <w:rsid w:val="001A624E"/>
    <w:rsid w:val="001C5B32"/>
    <w:rsid w:val="00205505"/>
    <w:rsid w:val="00207F4C"/>
    <w:rsid w:val="00214495"/>
    <w:rsid w:val="00225144"/>
    <w:rsid w:val="002264C1"/>
    <w:rsid w:val="002266EE"/>
    <w:rsid w:val="002A1F14"/>
    <w:rsid w:val="002A35F7"/>
    <w:rsid w:val="002A5FA7"/>
    <w:rsid w:val="002D7730"/>
    <w:rsid w:val="003228CD"/>
    <w:rsid w:val="00322978"/>
    <w:rsid w:val="00354264"/>
    <w:rsid w:val="00423CC8"/>
    <w:rsid w:val="00436CC0"/>
    <w:rsid w:val="004508AB"/>
    <w:rsid w:val="004E7CEA"/>
    <w:rsid w:val="004F4F35"/>
    <w:rsid w:val="00564111"/>
    <w:rsid w:val="005E47FB"/>
    <w:rsid w:val="006549F7"/>
    <w:rsid w:val="006D7D63"/>
    <w:rsid w:val="00703910"/>
    <w:rsid w:val="00774CC2"/>
    <w:rsid w:val="007D64DE"/>
    <w:rsid w:val="00803317"/>
    <w:rsid w:val="00827061"/>
    <w:rsid w:val="008541A8"/>
    <w:rsid w:val="00860EBE"/>
    <w:rsid w:val="00867800"/>
    <w:rsid w:val="008E5910"/>
    <w:rsid w:val="00922C67"/>
    <w:rsid w:val="0095457B"/>
    <w:rsid w:val="00A2333B"/>
    <w:rsid w:val="00B07EBE"/>
    <w:rsid w:val="00B63C99"/>
    <w:rsid w:val="00BC0A4A"/>
    <w:rsid w:val="00C24F3C"/>
    <w:rsid w:val="00C2730A"/>
    <w:rsid w:val="00C81467"/>
    <w:rsid w:val="00CE2F19"/>
    <w:rsid w:val="00DB05B3"/>
    <w:rsid w:val="00DE7836"/>
    <w:rsid w:val="00E16ECE"/>
    <w:rsid w:val="00E7682B"/>
    <w:rsid w:val="00F33ECF"/>
    <w:rsid w:val="00FE5406"/>
    <w:rsid w:val="024B1964"/>
    <w:rsid w:val="024DA62B"/>
    <w:rsid w:val="072CBAC1"/>
    <w:rsid w:val="094E52DA"/>
    <w:rsid w:val="121988CE"/>
    <w:rsid w:val="12D00FED"/>
    <w:rsid w:val="147352E0"/>
    <w:rsid w:val="17CBFBDF"/>
    <w:rsid w:val="1FAA276B"/>
    <w:rsid w:val="28A403E6"/>
    <w:rsid w:val="2B16F040"/>
    <w:rsid w:val="2E6FC6D8"/>
    <w:rsid w:val="2F685714"/>
    <w:rsid w:val="30254E22"/>
    <w:rsid w:val="3122A6E7"/>
    <w:rsid w:val="334F74C2"/>
    <w:rsid w:val="33F530C3"/>
    <w:rsid w:val="369ECBA8"/>
    <w:rsid w:val="3C4A9B37"/>
    <w:rsid w:val="3C93AE27"/>
    <w:rsid w:val="3CC64FC4"/>
    <w:rsid w:val="3F2BEC68"/>
    <w:rsid w:val="43459A5E"/>
    <w:rsid w:val="46C104B6"/>
    <w:rsid w:val="48743EC8"/>
    <w:rsid w:val="4B5CF2BA"/>
    <w:rsid w:val="4B750D6E"/>
    <w:rsid w:val="4C0FAD4E"/>
    <w:rsid w:val="4C35FD86"/>
    <w:rsid w:val="4EB0E2E2"/>
    <w:rsid w:val="5027E7F1"/>
    <w:rsid w:val="51A043A0"/>
    <w:rsid w:val="51AFCD69"/>
    <w:rsid w:val="51DC7B13"/>
    <w:rsid w:val="52D5B77D"/>
    <w:rsid w:val="53F84FCA"/>
    <w:rsid w:val="558D1AC5"/>
    <w:rsid w:val="5C246F78"/>
    <w:rsid w:val="5E4C4E6D"/>
    <w:rsid w:val="60010230"/>
    <w:rsid w:val="64B44A81"/>
    <w:rsid w:val="69C98EA8"/>
    <w:rsid w:val="72328FD2"/>
    <w:rsid w:val="72D3E94B"/>
    <w:rsid w:val="7562E4AC"/>
    <w:rsid w:val="76CAF5EA"/>
    <w:rsid w:val="77469713"/>
    <w:rsid w:val="787782FD"/>
    <w:rsid w:val="793A3D1F"/>
    <w:rsid w:val="798B198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3AE27"/>
  <w15:chartTrackingRefBased/>
  <w15:docId w15:val="{08F28309-00C2-4929-9C9B-97C54598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6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link w:val="Heading2Char"/>
    <w:uiPriority w:val="9"/>
    <w:qFormat/>
    <w:rsid w:val="00B07EBE"/>
    <w:pPr>
      <w:spacing w:before="100" w:beforeAutospacing="1" w:after="100" w:afterAutospacing="1" w:line="240" w:lineRule="auto"/>
      <w:outlineLvl w:val="1"/>
    </w:pPr>
    <w:rPr>
      <w:rFonts w:ascii="Times New Roman" w:hAnsi="Times New Roman" w:cs="Times New Roman"/>
      <w:b/>
      <w:bCs/>
      <w:sz w:val="36"/>
      <w:szCs w:val="36"/>
      <w:lang w:eastAsia="en-US"/>
    </w:rPr>
  </w:style>
  <w:style w:type="paragraph" w:styleId="Heading3">
    <w:name w:val="heading 3"/>
    <w:basedOn w:val="Normal"/>
    <w:next w:val="Normal"/>
    <w:link w:val="Heading3Char"/>
    <w:uiPriority w:val="9"/>
    <w:unhideWhenUsed/>
    <w:qFormat/>
    <w:rsid w:val="00FE540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E5406"/>
    <w:rPr>
      <w:rFonts w:eastAsiaTheme="majorEastAsia" w:cstheme="majorBidi"/>
      <w:color w:val="0F4761" w:themeColor="accent1" w:themeShade="BF"/>
      <w:sz w:val="28"/>
      <w:szCs w:val="28"/>
    </w:rPr>
  </w:style>
  <w:style w:type="paragraph" w:styleId="ListParagraph">
    <w:name w:val="List Paragraph"/>
    <w:basedOn w:val="Normal"/>
    <w:uiPriority w:val="34"/>
    <w:qFormat/>
    <w:rsid w:val="00FE5406"/>
    <w:pPr>
      <w:ind w:left="720"/>
      <w:contextualSpacing/>
    </w:pPr>
  </w:style>
  <w:style w:type="character" w:customStyle="1" w:styleId="Heading2Char">
    <w:name w:val="Heading 2 Char"/>
    <w:basedOn w:val="DefaultParagraphFont"/>
    <w:link w:val="Heading2"/>
    <w:uiPriority w:val="9"/>
    <w:rsid w:val="00B07EBE"/>
    <w:rPr>
      <w:rFonts w:ascii="Times New Roman" w:hAnsi="Times New Roman" w:cs="Times New Roman"/>
      <w:b/>
      <w:bCs/>
      <w:sz w:val="36"/>
      <w:szCs w:val="36"/>
      <w:lang w:eastAsia="en-US"/>
    </w:rPr>
  </w:style>
  <w:style w:type="character" w:customStyle="1" w:styleId="s1">
    <w:name w:val="s1"/>
    <w:basedOn w:val="DefaultParagraphFont"/>
    <w:rsid w:val="00B07EBE"/>
  </w:style>
  <w:style w:type="paragraph" w:customStyle="1" w:styleId="p2">
    <w:name w:val="p2"/>
    <w:basedOn w:val="Normal"/>
    <w:rsid w:val="00B07EBE"/>
    <w:pPr>
      <w:spacing w:before="100" w:beforeAutospacing="1" w:after="100" w:afterAutospacing="1" w:line="240" w:lineRule="auto"/>
    </w:pPr>
    <w:rPr>
      <w:rFonts w:ascii="Times New Roman" w:hAnsi="Times New Roman" w:cs="Times New Roman"/>
      <w:lang w:eastAsia="en-US"/>
    </w:rPr>
  </w:style>
  <w:style w:type="character" w:customStyle="1" w:styleId="s2">
    <w:name w:val="s2"/>
    <w:basedOn w:val="DefaultParagraphFont"/>
    <w:rsid w:val="00B07EBE"/>
  </w:style>
  <w:style w:type="paragraph" w:customStyle="1" w:styleId="p3">
    <w:name w:val="p3"/>
    <w:basedOn w:val="Normal"/>
    <w:rsid w:val="00B07EBE"/>
    <w:pPr>
      <w:spacing w:before="100" w:beforeAutospacing="1" w:after="100" w:afterAutospacing="1" w:line="240" w:lineRule="auto"/>
    </w:pPr>
    <w:rPr>
      <w:rFonts w:ascii="Times New Roman" w:hAnsi="Times New Roman" w:cs="Times New Roman"/>
      <w:lang w:eastAsia="en-US"/>
    </w:rPr>
  </w:style>
  <w:style w:type="paragraph" w:customStyle="1" w:styleId="p1">
    <w:name w:val="p1"/>
    <w:basedOn w:val="Normal"/>
    <w:rsid w:val="003228CD"/>
    <w:pPr>
      <w:spacing w:before="100" w:beforeAutospacing="1" w:after="100" w:afterAutospacing="1" w:line="240" w:lineRule="auto"/>
    </w:pPr>
    <w:rPr>
      <w:rFonts w:ascii="Times New Roman" w:hAnsi="Times New Roman" w:cs="Times New Roman"/>
      <w:lang w:eastAsia="en-US"/>
    </w:rPr>
  </w:style>
  <w:style w:type="character" w:customStyle="1" w:styleId="s3">
    <w:name w:val="s3"/>
    <w:basedOn w:val="DefaultParagraphFont"/>
    <w:rsid w:val="008541A8"/>
  </w:style>
  <w:style w:type="character" w:customStyle="1" w:styleId="apple-converted-space">
    <w:name w:val="apple-converted-space"/>
    <w:basedOn w:val="DefaultParagraphFont"/>
    <w:rsid w:val="001A0054"/>
  </w:style>
  <w:style w:type="character" w:customStyle="1" w:styleId="Heading1Char">
    <w:name w:val="Heading 1 Char"/>
    <w:basedOn w:val="DefaultParagraphFont"/>
    <w:link w:val="Heading1"/>
    <w:uiPriority w:val="9"/>
    <w:rsid w:val="000A6665"/>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semiHidden/>
    <w:unhideWhenUsed/>
    <w:rsid w:val="000A6665"/>
    <w:rPr>
      <w:color w:val="0000FF"/>
      <w:u w:val="single"/>
    </w:rPr>
  </w:style>
  <w:style w:type="character" w:customStyle="1" w:styleId="s5">
    <w:name w:val="s5"/>
    <w:basedOn w:val="DefaultParagraphFont"/>
    <w:rsid w:val="000A6665"/>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2A1F14"/>
    <w:rPr>
      <w:color w:val="666666"/>
    </w:rPr>
  </w:style>
  <w:style w:type="paragraph" w:styleId="Title">
    <w:name w:val="Title"/>
    <w:basedOn w:val="Normal"/>
    <w:next w:val="Normal"/>
    <w:link w:val="TitleChar"/>
    <w:uiPriority w:val="10"/>
    <w:qFormat/>
    <w:rsid w:val="00207F4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F4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644373">
      <w:marLeft w:val="480"/>
      <w:marRight w:val="0"/>
      <w:marTop w:val="0"/>
      <w:marBottom w:val="0"/>
      <w:divBdr>
        <w:top w:val="none" w:sz="0" w:space="0" w:color="auto"/>
        <w:left w:val="none" w:sz="0" w:space="0" w:color="auto"/>
        <w:bottom w:val="none" w:sz="0" w:space="0" w:color="auto"/>
        <w:right w:val="none" w:sz="0" w:space="0" w:color="auto"/>
      </w:divBdr>
    </w:div>
    <w:div w:id="134225364">
      <w:marLeft w:val="480"/>
      <w:marRight w:val="0"/>
      <w:marTop w:val="0"/>
      <w:marBottom w:val="0"/>
      <w:divBdr>
        <w:top w:val="none" w:sz="0" w:space="0" w:color="auto"/>
        <w:left w:val="none" w:sz="0" w:space="0" w:color="auto"/>
        <w:bottom w:val="none" w:sz="0" w:space="0" w:color="auto"/>
        <w:right w:val="none" w:sz="0" w:space="0" w:color="auto"/>
      </w:divBdr>
    </w:div>
    <w:div w:id="149832073">
      <w:marLeft w:val="480"/>
      <w:marRight w:val="0"/>
      <w:marTop w:val="0"/>
      <w:marBottom w:val="0"/>
      <w:divBdr>
        <w:top w:val="none" w:sz="0" w:space="0" w:color="auto"/>
        <w:left w:val="none" w:sz="0" w:space="0" w:color="auto"/>
        <w:bottom w:val="none" w:sz="0" w:space="0" w:color="auto"/>
        <w:right w:val="none" w:sz="0" w:space="0" w:color="auto"/>
      </w:divBdr>
    </w:div>
    <w:div w:id="167646200">
      <w:marLeft w:val="480"/>
      <w:marRight w:val="0"/>
      <w:marTop w:val="0"/>
      <w:marBottom w:val="0"/>
      <w:divBdr>
        <w:top w:val="none" w:sz="0" w:space="0" w:color="auto"/>
        <w:left w:val="none" w:sz="0" w:space="0" w:color="auto"/>
        <w:bottom w:val="none" w:sz="0" w:space="0" w:color="auto"/>
        <w:right w:val="none" w:sz="0" w:space="0" w:color="auto"/>
      </w:divBdr>
    </w:div>
    <w:div w:id="171991460">
      <w:marLeft w:val="480"/>
      <w:marRight w:val="0"/>
      <w:marTop w:val="0"/>
      <w:marBottom w:val="0"/>
      <w:divBdr>
        <w:top w:val="none" w:sz="0" w:space="0" w:color="auto"/>
        <w:left w:val="none" w:sz="0" w:space="0" w:color="auto"/>
        <w:bottom w:val="none" w:sz="0" w:space="0" w:color="auto"/>
        <w:right w:val="none" w:sz="0" w:space="0" w:color="auto"/>
      </w:divBdr>
    </w:div>
    <w:div w:id="197937778">
      <w:marLeft w:val="480"/>
      <w:marRight w:val="0"/>
      <w:marTop w:val="0"/>
      <w:marBottom w:val="0"/>
      <w:divBdr>
        <w:top w:val="none" w:sz="0" w:space="0" w:color="auto"/>
        <w:left w:val="none" w:sz="0" w:space="0" w:color="auto"/>
        <w:bottom w:val="none" w:sz="0" w:space="0" w:color="auto"/>
        <w:right w:val="none" w:sz="0" w:space="0" w:color="auto"/>
      </w:divBdr>
    </w:div>
    <w:div w:id="260382222">
      <w:marLeft w:val="480"/>
      <w:marRight w:val="0"/>
      <w:marTop w:val="0"/>
      <w:marBottom w:val="0"/>
      <w:divBdr>
        <w:top w:val="none" w:sz="0" w:space="0" w:color="auto"/>
        <w:left w:val="none" w:sz="0" w:space="0" w:color="auto"/>
        <w:bottom w:val="none" w:sz="0" w:space="0" w:color="auto"/>
        <w:right w:val="none" w:sz="0" w:space="0" w:color="auto"/>
      </w:divBdr>
    </w:div>
    <w:div w:id="279915468">
      <w:marLeft w:val="480"/>
      <w:marRight w:val="0"/>
      <w:marTop w:val="0"/>
      <w:marBottom w:val="0"/>
      <w:divBdr>
        <w:top w:val="none" w:sz="0" w:space="0" w:color="auto"/>
        <w:left w:val="none" w:sz="0" w:space="0" w:color="auto"/>
        <w:bottom w:val="none" w:sz="0" w:space="0" w:color="auto"/>
        <w:right w:val="none" w:sz="0" w:space="0" w:color="auto"/>
      </w:divBdr>
    </w:div>
    <w:div w:id="342586791">
      <w:marLeft w:val="480"/>
      <w:marRight w:val="0"/>
      <w:marTop w:val="0"/>
      <w:marBottom w:val="0"/>
      <w:divBdr>
        <w:top w:val="none" w:sz="0" w:space="0" w:color="auto"/>
        <w:left w:val="none" w:sz="0" w:space="0" w:color="auto"/>
        <w:bottom w:val="none" w:sz="0" w:space="0" w:color="auto"/>
        <w:right w:val="none" w:sz="0" w:space="0" w:color="auto"/>
      </w:divBdr>
    </w:div>
    <w:div w:id="343485079">
      <w:marLeft w:val="480"/>
      <w:marRight w:val="0"/>
      <w:marTop w:val="0"/>
      <w:marBottom w:val="0"/>
      <w:divBdr>
        <w:top w:val="none" w:sz="0" w:space="0" w:color="auto"/>
        <w:left w:val="none" w:sz="0" w:space="0" w:color="auto"/>
        <w:bottom w:val="none" w:sz="0" w:space="0" w:color="auto"/>
        <w:right w:val="none" w:sz="0" w:space="0" w:color="auto"/>
      </w:divBdr>
    </w:div>
    <w:div w:id="381249296">
      <w:marLeft w:val="480"/>
      <w:marRight w:val="0"/>
      <w:marTop w:val="0"/>
      <w:marBottom w:val="0"/>
      <w:divBdr>
        <w:top w:val="none" w:sz="0" w:space="0" w:color="auto"/>
        <w:left w:val="none" w:sz="0" w:space="0" w:color="auto"/>
        <w:bottom w:val="none" w:sz="0" w:space="0" w:color="auto"/>
        <w:right w:val="none" w:sz="0" w:space="0" w:color="auto"/>
      </w:divBdr>
    </w:div>
    <w:div w:id="413087581">
      <w:marLeft w:val="480"/>
      <w:marRight w:val="0"/>
      <w:marTop w:val="0"/>
      <w:marBottom w:val="0"/>
      <w:divBdr>
        <w:top w:val="none" w:sz="0" w:space="0" w:color="auto"/>
        <w:left w:val="none" w:sz="0" w:space="0" w:color="auto"/>
        <w:bottom w:val="none" w:sz="0" w:space="0" w:color="auto"/>
        <w:right w:val="none" w:sz="0" w:space="0" w:color="auto"/>
      </w:divBdr>
    </w:div>
    <w:div w:id="429621150">
      <w:marLeft w:val="480"/>
      <w:marRight w:val="0"/>
      <w:marTop w:val="0"/>
      <w:marBottom w:val="0"/>
      <w:divBdr>
        <w:top w:val="none" w:sz="0" w:space="0" w:color="auto"/>
        <w:left w:val="none" w:sz="0" w:space="0" w:color="auto"/>
        <w:bottom w:val="none" w:sz="0" w:space="0" w:color="auto"/>
        <w:right w:val="none" w:sz="0" w:space="0" w:color="auto"/>
      </w:divBdr>
    </w:div>
    <w:div w:id="453909909">
      <w:marLeft w:val="480"/>
      <w:marRight w:val="0"/>
      <w:marTop w:val="0"/>
      <w:marBottom w:val="0"/>
      <w:divBdr>
        <w:top w:val="none" w:sz="0" w:space="0" w:color="auto"/>
        <w:left w:val="none" w:sz="0" w:space="0" w:color="auto"/>
        <w:bottom w:val="none" w:sz="0" w:space="0" w:color="auto"/>
        <w:right w:val="none" w:sz="0" w:space="0" w:color="auto"/>
      </w:divBdr>
    </w:div>
    <w:div w:id="528838198">
      <w:marLeft w:val="480"/>
      <w:marRight w:val="0"/>
      <w:marTop w:val="0"/>
      <w:marBottom w:val="0"/>
      <w:divBdr>
        <w:top w:val="none" w:sz="0" w:space="0" w:color="auto"/>
        <w:left w:val="none" w:sz="0" w:space="0" w:color="auto"/>
        <w:bottom w:val="none" w:sz="0" w:space="0" w:color="auto"/>
        <w:right w:val="none" w:sz="0" w:space="0" w:color="auto"/>
      </w:divBdr>
    </w:div>
    <w:div w:id="537008304">
      <w:marLeft w:val="480"/>
      <w:marRight w:val="0"/>
      <w:marTop w:val="0"/>
      <w:marBottom w:val="0"/>
      <w:divBdr>
        <w:top w:val="none" w:sz="0" w:space="0" w:color="auto"/>
        <w:left w:val="none" w:sz="0" w:space="0" w:color="auto"/>
        <w:bottom w:val="none" w:sz="0" w:space="0" w:color="auto"/>
        <w:right w:val="none" w:sz="0" w:space="0" w:color="auto"/>
      </w:divBdr>
    </w:div>
    <w:div w:id="545222320">
      <w:marLeft w:val="480"/>
      <w:marRight w:val="0"/>
      <w:marTop w:val="0"/>
      <w:marBottom w:val="0"/>
      <w:divBdr>
        <w:top w:val="none" w:sz="0" w:space="0" w:color="auto"/>
        <w:left w:val="none" w:sz="0" w:space="0" w:color="auto"/>
        <w:bottom w:val="none" w:sz="0" w:space="0" w:color="auto"/>
        <w:right w:val="none" w:sz="0" w:space="0" w:color="auto"/>
      </w:divBdr>
    </w:div>
    <w:div w:id="553272386">
      <w:marLeft w:val="480"/>
      <w:marRight w:val="0"/>
      <w:marTop w:val="0"/>
      <w:marBottom w:val="0"/>
      <w:divBdr>
        <w:top w:val="none" w:sz="0" w:space="0" w:color="auto"/>
        <w:left w:val="none" w:sz="0" w:space="0" w:color="auto"/>
        <w:bottom w:val="none" w:sz="0" w:space="0" w:color="auto"/>
        <w:right w:val="none" w:sz="0" w:space="0" w:color="auto"/>
      </w:divBdr>
    </w:div>
    <w:div w:id="556936203">
      <w:marLeft w:val="480"/>
      <w:marRight w:val="0"/>
      <w:marTop w:val="0"/>
      <w:marBottom w:val="0"/>
      <w:divBdr>
        <w:top w:val="none" w:sz="0" w:space="0" w:color="auto"/>
        <w:left w:val="none" w:sz="0" w:space="0" w:color="auto"/>
        <w:bottom w:val="none" w:sz="0" w:space="0" w:color="auto"/>
        <w:right w:val="none" w:sz="0" w:space="0" w:color="auto"/>
      </w:divBdr>
    </w:div>
    <w:div w:id="732198671">
      <w:marLeft w:val="480"/>
      <w:marRight w:val="0"/>
      <w:marTop w:val="0"/>
      <w:marBottom w:val="0"/>
      <w:divBdr>
        <w:top w:val="none" w:sz="0" w:space="0" w:color="auto"/>
        <w:left w:val="none" w:sz="0" w:space="0" w:color="auto"/>
        <w:bottom w:val="none" w:sz="0" w:space="0" w:color="auto"/>
        <w:right w:val="none" w:sz="0" w:space="0" w:color="auto"/>
      </w:divBdr>
    </w:div>
    <w:div w:id="735010079">
      <w:marLeft w:val="480"/>
      <w:marRight w:val="0"/>
      <w:marTop w:val="0"/>
      <w:marBottom w:val="0"/>
      <w:divBdr>
        <w:top w:val="none" w:sz="0" w:space="0" w:color="auto"/>
        <w:left w:val="none" w:sz="0" w:space="0" w:color="auto"/>
        <w:bottom w:val="none" w:sz="0" w:space="0" w:color="auto"/>
        <w:right w:val="none" w:sz="0" w:space="0" w:color="auto"/>
      </w:divBdr>
    </w:div>
    <w:div w:id="766854454">
      <w:marLeft w:val="480"/>
      <w:marRight w:val="0"/>
      <w:marTop w:val="0"/>
      <w:marBottom w:val="0"/>
      <w:divBdr>
        <w:top w:val="none" w:sz="0" w:space="0" w:color="auto"/>
        <w:left w:val="none" w:sz="0" w:space="0" w:color="auto"/>
        <w:bottom w:val="none" w:sz="0" w:space="0" w:color="auto"/>
        <w:right w:val="none" w:sz="0" w:space="0" w:color="auto"/>
      </w:divBdr>
    </w:div>
    <w:div w:id="861937537">
      <w:marLeft w:val="480"/>
      <w:marRight w:val="0"/>
      <w:marTop w:val="0"/>
      <w:marBottom w:val="0"/>
      <w:divBdr>
        <w:top w:val="none" w:sz="0" w:space="0" w:color="auto"/>
        <w:left w:val="none" w:sz="0" w:space="0" w:color="auto"/>
        <w:bottom w:val="none" w:sz="0" w:space="0" w:color="auto"/>
        <w:right w:val="none" w:sz="0" w:space="0" w:color="auto"/>
      </w:divBdr>
    </w:div>
    <w:div w:id="908684930">
      <w:marLeft w:val="480"/>
      <w:marRight w:val="0"/>
      <w:marTop w:val="0"/>
      <w:marBottom w:val="0"/>
      <w:divBdr>
        <w:top w:val="none" w:sz="0" w:space="0" w:color="auto"/>
        <w:left w:val="none" w:sz="0" w:space="0" w:color="auto"/>
        <w:bottom w:val="none" w:sz="0" w:space="0" w:color="auto"/>
        <w:right w:val="none" w:sz="0" w:space="0" w:color="auto"/>
      </w:divBdr>
    </w:div>
    <w:div w:id="960455755">
      <w:marLeft w:val="480"/>
      <w:marRight w:val="0"/>
      <w:marTop w:val="0"/>
      <w:marBottom w:val="0"/>
      <w:divBdr>
        <w:top w:val="none" w:sz="0" w:space="0" w:color="auto"/>
        <w:left w:val="none" w:sz="0" w:space="0" w:color="auto"/>
        <w:bottom w:val="none" w:sz="0" w:space="0" w:color="auto"/>
        <w:right w:val="none" w:sz="0" w:space="0" w:color="auto"/>
      </w:divBdr>
    </w:div>
    <w:div w:id="963804472">
      <w:marLeft w:val="480"/>
      <w:marRight w:val="0"/>
      <w:marTop w:val="0"/>
      <w:marBottom w:val="0"/>
      <w:divBdr>
        <w:top w:val="none" w:sz="0" w:space="0" w:color="auto"/>
        <w:left w:val="none" w:sz="0" w:space="0" w:color="auto"/>
        <w:bottom w:val="none" w:sz="0" w:space="0" w:color="auto"/>
        <w:right w:val="none" w:sz="0" w:space="0" w:color="auto"/>
      </w:divBdr>
    </w:div>
    <w:div w:id="972752173">
      <w:marLeft w:val="480"/>
      <w:marRight w:val="0"/>
      <w:marTop w:val="0"/>
      <w:marBottom w:val="0"/>
      <w:divBdr>
        <w:top w:val="none" w:sz="0" w:space="0" w:color="auto"/>
        <w:left w:val="none" w:sz="0" w:space="0" w:color="auto"/>
        <w:bottom w:val="none" w:sz="0" w:space="0" w:color="auto"/>
        <w:right w:val="none" w:sz="0" w:space="0" w:color="auto"/>
      </w:divBdr>
    </w:div>
    <w:div w:id="980814047">
      <w:marLeft w:val="480"/>
      <w:marRight w:val="0"/>
      <w:marTop w:val="0"/>
      <w:marBottom w:val="0"/>
      <w:divBdr>
        <w:top w:val="none" w:sz="0" w:space="0" w:color="auto"/>
        <w:left w:val="none" w:sz="0" w:space="0" w:color="auto"/>
        <w:bottom w:val="none" w:sz="0" w:space="0" w:color="auto"/>
        <w:right w:val="none" w:sz="0" w:space="0" w:color="auto"/>
      </w:divBdr>
    </w:div>
    <w:div w:id="1006597855">
      <w:marLeft w:val="480"/>
      <w:marRight w:val="0"/>
      <w:marTop w:val="0"/>
      <w:marBottom w:val="0"/>
      <w:divBdr>
        <w:top w:val="none" w:sz="0" w:space="0" w:color="auto"/>
        <w:left w:val="none" w:sz="0" w:space="0" w:color="auto"/>
        <w:bottom w:val="none" w:sz="0" w:space="0" w:color="auto"/>
        <w:right w:val="none" w:sz="0" w:space="0" w:color="auto"/>
      </w:divBdr>
    </w:div>
    <w:div w:id="1028599500">
      <w:marLeft w:val="480"/>
      <w:marRight w:val="0"/>
      <w:marTop w:val="0"/>
      <w:marBottom w:val="0"/>
      <w:divBdr>
        <w:top w:val="none" w:sz="0" w:space="0" w:color="auto"/>
        <w:left w:val="none" w:sz="0" w:space="0" w:color="auto"/>
        <w:bottom w:val="none" w:sz="0" w:space="0" w:color="auto"/>
        <w:right w:val="none" w:sz="0" w:space="0" w:color="auto"/>
      </w:divBdr>
    </w:div>
    <w:div w:id="1068846295">
      <w:marLeft w:val="480"/>
      <w:marRight w:val="0"/>
      <w:marTop w:val="0"/>
      <w:marBottom w:val="0"/>
      <w:divBdr>
        <w:top w:val="none" w:sz="0" w:space="0" w:color="auto"/>
        <w:left w:val="none" w:sz="0" w:space="0" w:color="auto"/>
        <w:bottom w:val="none" w:sz="0" w:space="0" w:color="auto"/>
        <w:right w:val="none" w:sz="0" w:space="0" w:color="auto"/>
      </w:divBdr>
    </w:div>
    <w:div w:id="1089689969">
      <w:marLeft w:val="480"/>
      <w:marRight w:val="0"/>
      <w:marTop w:val="0"/>
      <w:marBottom w:val="0"/>
      <w:divBdr>
        <w:top w:val="none" w:sz="0" w:space="0" w:color="auto"/>
        <w:left w:val="none" w:sz="0" w:space="0" w:color="auto"/>
        <w:bottom w:val="none" w:sz="0" w:space="0" w:color="auto"/>
        <w:right w:val="none" w:sz="0" w:space="0" w:color="auto"/>
      </w:divBdr>
    </w:div>
    <w:div w:id="1160580780">
      <w:marLeft w:val="480"/>
      <w:marRight w:val="0"/>
      <w:marTop w:val="0"/>
      <w:marBottom w:val="0"/>
      <w:divBdr>
        <w:top w:val="none" w:sz="0" w:space="0" w:color="auto"/>
        <w:left w:val="none" w:sz="0" w:space="0" w:color="auto"/>
        <w:bottom w:val="none" w:sz="0" w:space="0" w:color="auto"/>
        <w:right w:val="none" w:sz="0" w:space="0" w:color="auto"/>
      </w:divBdr>
    </w:div>
    <w:div w:id="1188176097">
      <w:marLeft w:val="480"/>
      <w:marRight w:val="0"/>
      <w:marTop w:val="0"/>
      <w:marBottom w:val="0"/>
      <w:divBdr>
        <w:top w:val="none" w:sz="0" w:space="0" w:color="auto"/>
        <w:left w:val="none" w:sz="0" w:space="0" w:color="auto"/>
        <w:bottom w:val="none" w:sz="0" w:space="0" w:color="auto"/>
        <w:right w:val="none" w:sz="0" w:space="0" w:color="auto"/>
      </w:divBdr>
    </w:div>
    <w:div w:id="1196230262">
      <w:marLeft w:val="480"/>
      <w:marRight w:val="0"/>
      <w:marTop w:val="0"/>
      <w:marBottom w:val="0"/>
      <w:divBdr>
        <w:top w:val="none" w:sz="0" w:space="0" w:color="auto"/>
        <w:left w:val="none" w:sz="0" w:space="0" w:color="auto"/>
        <w:bottom w:val="none" w:sz="0" w:space="0" w:color="auto"/>
        <w:right w:val="none" w:sz="0" w:space="0" w:color="auto"/>
      </w:divBdr>
    </w:div>
    <w:div w:id="1288390344">
      <w:marLeft w:val="480"/>
      <w:marRight w:val="0"/>
      <w:marTop w:val="0"/>
      <w:marBottom w:val="0"/>
      <w:divBdr>
        <w:top w:val="none" w:sz="0" w:space="0" w:color="auto"/>
        <w:left w:val="none" w:sz="0" w:space="0" w:color="auto"/>
        <w:bottom w:val="none" w:sz="0" w:space="0" w:color="auto"/>
        <w:right w:val="none" w:sz="0" w:space="0" w:color="auto"/>
      </w:divBdr>
    </w:div>
    <w:div w:id="1295137481">
      <w:marLeft w:val="480"/>
      <w:marRight w:val="0"/>
      <w:marTop w:val="0"/>
      <w:marBottom w:val="0"/>
      <w:divBdr>
        <w:top w:val="none" w:sz="0" w:space="0" w:color="auto"/>
        <w:left w:val="none" w:sz="0" w:space="0" w:color="auto"/>
        <w:bottom w:val="none" w:sz="0" w:space="0" w:color="auto"/>
        <w:right w:val="none" w:sz="0" w:space="0" w:color="auto"/>
      </w:divBdr>
    </w:div>
    <w:div w:id="1297221792">
      <w:marLeft w:val="480"/>
      <w:marRight w:val="0"/>
      <w:marTop w:val="0"/>
      <w:marBottom w:val="0"/>
      <w:divBdr>
        <w:top w:val="none" w:sz="0" w:space="0" w:color="auto"/>
        <w:left w:val="none" w:sz="0" w:space="0" w:color="auto"/>
        <w:bottom w:val="none" w:sz="0" w:space="0" w:color="auto"/>
        <w:right w:val="none" w:sz="0" w:space="0" w:color="auto"/>
      </w:divBdr>
    </w:div>
    <w:div w:id="1319842407">
      <w:marLeft w:val="480"/>
      <w:marRight w:val="0"/>
      <w:marTop w:val="0"/>
      <w:marBottom w:val="0"/>
      <w:divBdr>
        <w:top w:val="none" w:sz="0" w:space="0" w:color="auto"/>
        <w:left w:val="none" w:sz="0" w:space="0" w:color="auto"/>
        <w:bottom w:val="none" w:sz="0" w:space="0" w:color="auto"/>
        <w:right w:val="none" w:sz="0" w:space="0" w:color="auto"/>
      </w:divBdr>
    </w:div>
    <w:div w:id="1332291173">
      <w:marLeft w:val="480"/>
      <w:marRight w:val="0"/>
      <w:marTop w:val="0"/>
      <w:marBottom w:val="0"/>
      <w:divBdr>
        <w:top w:val="none" w:sz="0" w:space="0" w:color="auto"/>
        <w:left w:val="none" w:sz="0" w:space="0" w:color="auto"/>
        <w:bottom w:val="none" w:sz="0" w:space="0" w:color="auto"/>
        <w:right w:val="none" w:sz="0" w:space="0" w:color="auto"/>
      </w:divBdr>
    </w:div>
    <w:div w:id="1340742286">
      <w:marLeft w:val="480"/>
      <w:marRight w:val="0"/>
      <w:marTop w:val="0"/>
      <w:marBottom w:val="0"/>
      <w:divBdr>
        <w:top w:val="none" w:sz="0" w:space="0" w:color="auto"/>
        <w:left w:val="none" w:sz="0" w:space="0" w:color="auto"/>
        <w:bottom w:val="none" w:sz="0" w:space="0" w:color="auto"/>
        <w:right w:val="none" w:sz="0" w:space="0" w:color="auto"/>
      </w:divBdr>
    </w:div>
    <w:div w:id="1403141184">
      <w:marLeft w:val="480"/>
      <w:marRight w:val="0"/>
      <w:marTop w:val="0"/>
      <w:marBottom w:val="0"/>
      <w:divBdr>
        <w:top w:val="none" w:sz="0" w:space="0" w:color="auto"/>
        <w:left w:val="none" w:sz="0" w:space="0" w:color="auto"/>
        <w:bottom w:val="none" w:sz="0" w:space="0" w:color="auto"/>
        <w:right w:val="none" w:sz="0" w:space="0" w:color="auto"/>
      </w:divBdr>
    </w:div>
    <w:div w:id="1456826392">
      <w:marLeft w:val="480"/>
      <w:marRight w:val="0"/>
      <w:marTop w:val="0"/>
      <w:marBottom w:val="0"/>
      <w:divBdr>
        <w:top w:val="none" w:sz="0" w:space="0" w:color="auto"/>
        <w:left w:val="none" w:sz="0" w:space="0" w:color="auto"/>
        <w:bottom w:val="none" w:sz="0" w:space="0" w:color="auto"/>
        <w:right w:val="none" w:sz="0" w:space="0" w:color="auto"/>
      </w:divBdr>
    </w:div>
    <w:div w:id="1458528328">
      <w:marLeft w:val="480"/>
      <w:marRight w:val="0"/>
      <w:marTop w:val="0"/>
      <w:marBottom w:val="0"/>
      <w:divBdr>
        <w:top w:val="none" w:sz="0" w:space="0" w:color="auto"/>
        <w:left w:val="none" w:sz="0" w:space="0" w:color="auto"/>
        <w:bottom w:val="none" w:sz="0" w:space="0" w:color="auto"/>
        <w:right w:val="none" w:sz="0" w:space="0" w:color="auto"/>
      </w:divBdr>
    </w:div>
    <w:div w:id="1529248241">
      <w:marLeft w:val="480"/>
      <w:marRight w:val="0"/>
      <w:marTop w:val="0"/>
      <w:marBottom w:val="0"/>
      <w:divBdr>
        <w:top w:val="none" w:sz="0" w:space="0" w:color="auto"/>
        <w:left w:val="none" w:sz="0" w:space="0" w:color="auto"/>
        <w:bottom w:val="none" w:sz="0" w:space="0" w:color="auto"/>
        <w:right w:val="none" w:sz="0" w:space="0" w:color="auto"/>
      </w:divBdr>
    </w:div>
    <w:div w:id="1534684299">
      <w:marLeft w:val="480"/>
      <w:marRight w:val="0"/>
      <w:marTop w:val="0"/>
      <w:marBottom w:val="0"/>
      <w:divBdr>
        <w:top w:val="none" w:sz="0" w:space="0" w:color="auto"/>
        <w:left w:val="none" w:sz="0" w:space="0" w:color="auto"/>
        <w:bottom w:val="none" w:sz="0" w:space="0" w:color="auto"/>
        <w:right w:val="none" w:sz="0" w:space="0" w:color="auto"/>
      </w:divBdr>
    </w:div>
    <w:div w:id="1550529450">
      <w:marLeft w:val="480"/>
      <w:marRight w:val="0"/>
      <w:marTop w:val="0"/>
      <w:marBottom w:val="0"/>
      <w:divBdr>
        <w:top w:val="none" w:sz="0" w:space="0" w:color="auto"/>
        <w:left w:val="none" w:sz="0" w:space="0" w:color="auto"/>
        <w:bottom w:val="none" w:sz="0" w:space="0" w:color="auto"/>
        <w:right w:val="none" w:sz="0" w:space="0" w:color="auto"/>
      </w:divBdr>
    </w:div>
    <w:div w:id="1578591125">
      <w:marLeft w:val="480"/>
      <w:marRight w:val="0"/>
      <w:marTop w:val="0"/>
      <w:marBottom w:val="0"/>
      <w:divBdr>
        <w:top w:val="none" w:sz="0" w:space="0" w:color="auto"/>
        <w:left w:val="none" w:sz="0" w:space="0" w:color="auto"/>
        <w:bottom w:val="none" w:sz="0" w:space="0" w:color="auto"/>
        <w:right w:val="none" w:sz="0" w:space="0" w:color="auto"/>
      </w:divBdr>
    </w:div>
    <w:div w:id="1629820543">
      <w:marLeft w:val="480"/>
      <w:marRight w:val="0"/>
      <w:marTop w:val="0"/>
      <w:marBottom w:val="0"/>
      <w:divBdr>
        <w:top w:val="none" w:sz="0" w:space="0" w:color="auto"/>
        <w:left w:val="none" w:sz="0" w:space="0" w:color="auto"/>
        <w:bottom w:val="none" w:sz="0" w:space="0" w:color="auto"/>
        <w:right w:val="none" w:sz="0" w:space="0" w:color="auto"/>
      </w:divBdr>
    </w:div>
    <w:div w:id="1631283916">
      <w:marLeft w:val="480"/>
      <w:marRight w:val="0"/>
      <w:marTop w:val="0"/>
      <w:marBottom w:val="0"/>
      <w:divBdr>
        <w:top w:val="none" w:sz="0" w:space="0" w:color="auto"/>
        <w:left w:val="none" w:sz="0" w:space="0" w:color="auto"/>
        <w:bottom w:val="none" w:sz="0" w:space="0" w:color="auto"/>
        <w:right w:val="none" w:sz="0" w:space="0" w:color="auto"/>
      </w:divBdr>
    </w:div>
    <w:div w:id="1670016931">
      <w:marLeft w:val="480"/>
      <w:marRight w:val="0"/>
      <w:marTop w:val="0"/>
      <w:marBottom w:val="0"/>
      <w:divBdr>
        <w:top w:val="none" w:sz="0" w:space="0" w:color="auto"/>
        <w:left w:val="none" w:sz="0" w:space="0" w:color="auto"/>
        <w:bottom w:val="none" w:sz="0" w:space="0" w:color="auto"/>
        <w:right w:val="none" w:sz="0" w:space="0" w:color="auto"/>
      </w:divBdr>
    </w:div>
    <w:div w:id="1710565243">
      <w:marLeft w:val="480"/>
      <w:marRight w:val="0"/>
      <w:marTop w:val="0"/>
      <w:marBottom w:val="0"/>
      <w:divBdr>
        <w:top w:val="none" w:sz="0" w:space="0" w:color="auto"/>
        <w:left w:val="none" w:sz="0" w:space="0" w:color="auto"/>
        <w:bottom w:val="none" w:sz="0" w:space="0" w:color="auto"/>
        <w:right w:val="none" w:sz="0" w:space="0" w:color="auto"/>
      </w:divBdr>
    </w:div>
    <w:div w:id="1729650659">
      <w:marLeft w:val="480"/>
      <w:marRight w:val="0"/>
      <w:marTop w:val="0"/>
      <w:marBottom w:val="0"/>
      <w:divBdr>
        <w:top w:val="none" w:sz="0" w:space="0" w:color="auto"/>
        <w:left w:val="none" w:sz="0" w:space="0" w:color="auto"/>
        <w:bottom w:val="none" w:sz="0" w:space="0" w:color="auto"/>
        <w:right w:val="none" w:sz="0" w:space="0" w:color="auto"/>
      </w:divBdr>
    </w:div>
    <w:div w:id="1751466836">
      <w:marLeft w:val="480"/>
      <w:marRight w:val="0"/>
      <w:marTop w:val="0"/>
      <w:marBottom w:val="0"/>
      <w:divBdr>
        <w:top w:val="none" w:sz="0" w:space="0" w:color="auto"/>
        <w:left w:val="none" w:sz="0" w:space="0" w:color="auto"/>
        <w:bottom w:val="none" w:sz="0" w:space="0" w:color="auto"/>
        <w:right w:val="none" w:sz="0" w:space="0" w:color="auto"/>
      </w:divBdr>
    </w:div>
    <w:div w:id="1834905424">
      <w:marLeft w:val="480"/>
      <w:marRight w:val="0"/>
      <w:marTop w:val="0"/>
      <w:marBottom w:val="0"/>
      <w:divBdr>
        <w:top w:val="none" w:sz="0" w:space="0" w:color="auto"/>
        <w:left w:val="none" w:sz="0" w:space="0" w:color="auto"/>
        <w:bottom w:val="none" w:sz="0" w:space="0" w:color="auto"/>
        <w:right w:val="none" w:sz="0" w:space="0" w:color="auto"/>
      </w:divBdr>
    </w:div>
    <w:div w:id="1873106257">
      <w:marLeft w:val="480"/>
      <w:marRight w:val="0"/>
      <w:marTop w:val="0"/>
      <w:marBottom w:val="0"/>
      <w:divBdr>
        <w:top w:val="none" w:sz="0" w:space="0" w:color="auto"/>
        <w:left w:val="none" w:sz="0" w:space="0" w:color="auto"/>
        <w:bottom w:val="none" w:sz="0" w:space="0" w:color="auto"/>
        <w:right w:val="none" w:sz="0" w:space="0" w:color="auto"/>
      </w:divBdr>
    </w:div>
    <w:div w:id="1888180199">
      <w:marLeft w:val="480"/>
      <w:marRight w:val="0"/>
      <w:marTop w:val="0"/>
      <w:marBottom w:val="0"/>
      <w:divBdr>
        <w:top w:val="none" w:sz="0" w:space="0" w:color="auto"/>
        <w:left w:val="none" w:sz="0" w:space="0" w:color="auto"/>
        <w:bottom w:val="none" w:sz="0" w:space="0" w:color="auto"/>
        <w:right w:val="none" w:sz="0" w:space="0" w:color="auto"/>
      </w:divBdr>
    </w:div>
    <w:div w:id="1895382685">
      <w:marLeft w:val="480"/>
      <w:marRight w:val="0"/>
      <w:marTop w:val="0"/>
      <w:marBottom w:val="0"/>
      <w:divBdr>
        <w:top w:val="none" w:sz="0" w:space="0" w:color="auto"/>
        <w:left w:val="none" w:sz="0" w:space="0" w:color="auto"/>
        <w:bottom w:val="none" w:sz="0" w:space="0" w:color="auto"/>
        <w:right w:val="none" w:sz="0" w:space="0" w:color="auto"/>
      </w:divBdr>
    </w:div>
    <w:div w:id="1957325760">
      <w:marLeft w:val="480"/>
      <w:marRight w:val="0"/>
      <w:marTop w:val="0"/>
      <w:marBottom w:val="0"/>
      <w:divBdr>
        <w:top w:val="none" w:sz="0" w:space="0" w:color="auto"/>
        <w:left w:val="none" w:sz="0" w:space="0" w:color="auto"/>
        <w:bottom w:val="none" w:sz="0" w:space="0" w:color="auto"/>
        <w:right w:val="none" w:sz="0" w:space="0" w:color="auto"/>
      </w:divBdr>
    </w:div>
    <w:div w:id="1960523283">
      <w:marLeft w:val="480"/>
      <w:marRight w:val="0"/>
      <w:marTop w:val="0"/>
      <w:marBottom w:val="0"/>
      <w:divBdr>
        <w:top w:val="none" w:sz="0" w:space="0" w:color="auto"/>
        <w:left w:val="none" w:sz="0" w:space="0" w:color="auto"/>
        <w:bottom w:val="none" w:sz="0" w:space="0" w:color="auto"/>
        <w:right w:val="none" w:sz="0" w:space="0" w:color="auto"/>
      </w:divBdr>
    </w:div>
    <w:div w:id="1965774386">
      <w:marLeft w:val="480"/>
      <w:marRight w:val="0"/>
      <w:marTop w:val="0"/>
      <w:marBottom w:val="0"/>
      <w:divBdr>
        <w:top w:val="none" w:sz="0" w:space="0" w:color="auto"/>
        <w:left w:val="none" w:sz="0" w:space="0" w:color="auto"/>
        <w:bottom w:val="none" w:sz="0" w:space="0" w:color="auto"/>
        <w:right w:val="none" w:sz="0" w:space="0" w:color="auto"/>
      </w:divBdr>
    </w:div>
    <w:div w:id="1987008311">
      <w:marLeft w:val="480"/>
      <w:marRight w:val="0"/>
      <w:marTop w:val="0"/>
      <w:marBottom w:val="0"/>
      <w:divBdr>
        <w:top w:val="none" w:sz="0" w:space="0" w:color="auto"/>
        <w:left w:val="none" w:sz="0" w:space="0" w:color="auto"/>
        <w:bottom w:val="none" w:sz="0" w:space="0" w:color="auto"/>
        <w:right w:val="none" w:sz="0" w:space="0" w:color="auto"/>
      </w:divBdr>
    </w:div>
    <w:div w:id="1991594075">
      <w:marLeft w:val="480"/>
      <w:marRight w:val="0"/>
      <w:marTop w:val="0"/>
      <w:marBottom w:val="0"/>
      <w:divBdr>
        <w:top w:val="none" w:sz="0" w:space="0" w:color="auto"/>
        <w:left w:val="none" w:sz="0" w:space="0" w:color="auto"/>
        <w:bottom w:val="none" w:sz="0" w:space="0" w:color="auto"/>
        <w:right w:val="none" w:sz="0" w:space="0" w:color="auto"/>
      </w:divBdr>
    </w:div>
    <w:div w:id="2093235276">
      <w:marLeft w:val="480"/>
      <w:marRight w:val="0"/>
      <w:marTop w:val="0"/>
      <w:marBottom w:val="0"/>
      <w:divBdr>
        <w:top w:val="none" w:sz="0" w:space="0" w:color="auto"/>
        <w:left w:val="none" w:sz="0" w:space="0" w:color="auto"/>
        <w:bottom w:val="none" w:sz="0" w:space="0" w:color="auto"/>
        <w:right w:val="none" w:sz="0" w:space="0" w:color="auto"/>
      </w:divBdr>
    </w:div>
    <w:div w:id="2117669817">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A70064A4-0049-48A3-A308-E5E3F6100CB1}"/>
      </w:docPartPr>
      <w:docPartBody>
        <w:p w:rsidR="00E72E70" w:rsidRDefault="002A35F7">
          <w:r w:rsidRPr="00A72BF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5F7"/>
    <w:rsid w:val="002A35F7"/>
    <w:rsid w:val="007D64DE"/>
    <w:rsid w:val="00860EBE"/>
    <w:rsid w:val="00A71B86"/>
    <w:rsid w:val="00DE7836"/>
    <w:rsid w:val="00E72E70"/>
    <w:rsid w:val="00F1019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A35F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C84C542-452F-4C0F-A53F-6B91015DBBB2}">
  <we:reference id="WA104382081" version="1.55.1.0" store="Omex" storeType="OMEX"/>
  <we:alternateReferences>
    <we:reference id="WA104382081" version="1.55.1.0" store="WA104382081" storeType="OMEX"/>
  </we:alternateReferences>
  <we:properties>
    <we:property name="MENDELEY_BIBLIOGRAPHY_IS_DIRTY" value="false"/>
    <we:property name="MENDELEY_BIBLIOGRAPHY_LAST_MODIFIED" value="1769643810875"/>
    <we:property name="MENDELEY_CITATIONS" value="[{&quot;citationID&quot;:&quot;MENDELEY_CITATION_515502c0-78b3-4531-8eef-a450b2461c5d&quot;,&quot;properties&quot;:{&quot;noteIndex&quot;:0},&quot;isEdited&quot;:false,&quot;manualOverride&quot;:{&quot;isManuallyOverridden&quot;:false,&quot;citeprocText&quot;:&quot;(&lt;i&gt;About Us - Welsh Ambulance Services University NHS Trust&lt;/i&gt;, n.d.)&quot;,&quot;manualOverrideText&quot;:&quot;&quot;},&quot;citationTag&quot;:&quot;MENDELEY_CITATION_v3_eyJjaXRhdGlvbklEIjoiTUVOREVMRVlfQ0lUQVRJT05fNTE1NTAyYzAtNzhiMy00NTMxLThlZWYtYTQ1MGIyNDYxYzVkIiwicHJvcGVydGllcyI6eyJub3RlSW5kZXgiOjB9LCJpc0VkaXRlZCI6ZmFsc2UsIm1hbnVhbE92ZXJyaWRlIjp7ImlzTWFudWFsbHlPdmVycmlkZGVuIjpmYWxzZSwiY2l0ZXByb2NUZXh0IjoiKDxpPkFib3V0IFVzIC0gV2Vsc2ggQW1idWxhbmNlIFNlcnZpY2VzIFVuaXZlcnNpdHkgTkhTIFRydXN0PC9pPiwgbi5kLikiLCJtYW51YWxPdmVycmlkZVRleHQiOiIifSwiY2l0YXRpb25JdGVtcyI6W3siaWQiOiI5YmZiYzBlYS05NjEyLTM5ZGEtOTVlYi1kMzM3YWEyYTE2ODciLCJpdGVtRGF0YSI6eyJ0eXBlIjoid2VicGFnZSIsImlkIjoiOWJmYmMwZWEtOTYxMi0zOWRhLTk1ZWItZDMzN2FhMmExNjg3IiwidGl0bGUiOiJBYm91dCBVcyAtIFdlbHNoIEFtYnVsYW5jZSBTZXJ2aWNlcyBVbml2ZXJzaXR5IE5IUyBUcnVzdCIsImFjY2Vzc2VkIjp7ImRhdGUtcGFydHMiOltbMjAyNiwxLDI4XV19LCJVUkwiOiJodHRwczovL2FtYnVsYW5jZS5uaHMud2FsZXMvYWJvdXQtdXMvIiwiY29udGFpbmVyLXRpdGxlLXNob3J0IjoiIn0sImlzVGVtcG9yYXJ5IjpmYWxzZX1dfQ==&quot;,&quot;citationItems&quot;:[{&quot;id&quot;:&quot;9bfbc0ea-9612-39da-95eb-d337aa2a1687&quot;,&quot;itemData&quot;:{&quot;type&quot;:&quot;webpage&quot;,&quot;id&quot;:&quot;9bfbc0ea-9612-39da-95eb-d337aa2a1687&quot;,&quot;title&quot;:&quot;About Us - Welsh Ambulance Services University NHS Trust&quot;,&quot;accessed&quot;:{&quot;date-parts&quot;:[[2026,1,28]]},&quot;URL&quot;:&quot;https://ambulance.nhs.wales/about-us/&quot;,&quot;container-title-short&quot;:&quot;&quot;},&quot;isTemporary&quot;:false}]},{&quot;citationID&quot;:&quot;MENDELEY_CITATION_52d5588f-20c0-4d14-955b-e8bf559fd2f2&quot;,&quot;properties&quot;:{&quot;noteIndex&quot;:0},&quot;isEdited&quot;:false,&quot;manualOverride&quot;:{&quot;isManuallyOverridden&quot;:false,&quot;citeprocText&quot;:&quot;(&lt;i&gt;DATIX CYMRU-INCIDENT REPORTING&lt;/i&gt;, n.d.; &lt;i&gt;Once for Wales Concerns Management System Datix Cymru Community Pharmacy Patient Safety Incident Reporting and Management Quick Reference User Guide&lt;/i&gt;, n.d.)&quot;,&quot;manualOverrideText&quot;:&quot;&quot;},&quot;citationItems&quot;:[{&quot;id&quot;:&quot;b6f22fc2-ea30-3124-9979-ae92a80ec77a&quot;,&quot;itemData&quot;:{&quot;type&quot;:&quot;article-journal&quot;,&quot;id&quot;:&quot;b6f22fc2-ea30-3124-9979-ae92a80ec77a&quot;,&quot;title&quot;:&quot;DATIX CYMRU-INCIDENT REPORTING&quot;,&quot;accessed&quot;:{&quot;date-parts&quot;:[[2026,1,28]]}},&quot;isTemporary&quot;:false},{&quot;id&quot;:&quot;74ea9e2d-006e-3ce1-bbf8-46894add119c&quot;,&quot;itemData&quot;:{&quot;type&quot;:&quot;article-journal&quot;,&quot;id&quot;:&quot;74ea9e2d-006e-3ce1-bbf8-46894add119c&quot;,&quot;title&quot;:&quot;Once for Wales Concerns Management System Datix Cymru Community Pharmacy Patient Safety Incident Reporting and Management Quick Reference User Guide&quot;,&quot;accessed&quot;:{&quot;date-parts&quot;:[[2026,1,28]]}},&quot;isTemporary&quot;:false}],&quot;citationTag&quot;:&quot;MENDELEY_CITATION_v3_eyJjaXRhdGlvbklEIjoiTUVOREVMRVlfQ0lUQVRJT05fNTJkNTU4OGYtMjBjMC00ZDE0LTk1NWItZThiZjU1OWZkMmYyIiwicHJvcGVydGllcyI6eyJub3RlSW5kZXgiOjB9LCJpc0VkaXRlZCI6ZmFsc2UsIm1hbnVhbE92ZXJyaWRlIjp7ImlzTWFudWFsbHlPdmVycmlkZGVuIjpmYWxzZSwiY2l0ZXByb2NUZXh0IjoiKDxpPkRBVElYIENZTVJVLUlOQ0lERU5UIFJFUE9SVElORz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1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X0sImlzVGVtcG9yYXJ5IjpmYWxzZX1dfQ==&quot;},{&quot;citationID&quot;:&quot;MENDELEY_CITATION_7df0034e-7e6d-4150-9e42-a5b4ce8152bc&quot;,&quot;properties&quot;:{&quot;noteIndex&quot;:0},&quot;isEdited&quot;:false,&quot;manualOverride&quot;:{&quot;isManuallyOverridden&quot;:false,&quot;citeprocText&quot;:&quot;(&lt;i&gt;Once for Wales Concerns Management System - NHS Wales Shared Services Partnership&lt;/i&gt;, n.d.)&quot;,&quot;manualOverrideText&quot;:&quot;&quot;},&quot;citationTag&quot;:&quot;MENDELEY_CITATION_v3_eyJjaXRhdGlvbklEIjoiTUVOREVMRVlfQ0lUQVRJT05fN2RmMDAzNGUtN2U2ZC00MTUwLTllNDItYTViNGNlODE1MmJjIiwicHJvcGVydGllcyI6eyJub3RlSW5kZXgiOjB9LCJpc0VkaXRlZCI6ZmFsc2UsIm1hbnVhbE92ZXJyaWRlIjp7ImlzTWFudWFsbHlPdmVycmlkZGVuIjpmYWxzZSwiY2l0ZXByb2NUZXh0IjoiKDxpPk9uY2UgZm9yIFdhbGVzIENvbmNlcm5zIE1hbmFnZW1lbnQgU3lzdGVtIC0gTkhTIFdhbGVzIFNoYXJlZCBTZXJ2aWNlcyBQYXJ0bmVyc2hpcDwvaT4sIG4uZC4pIiwibWFudWFsT3ZlcnJpZGVUZXh0IjoiIn0sImNpdGF0aW9uSXRlbXMiOlt7ImlkIjoiOTE4NTJhZjctMDM2Mi0zMjRkLThhNzgtN2Y2NTEzNGY3MTBjIiwiaXRlbURhdGEiOnsidHlwZSI6IndlYnBhZ2UiLCJpZCI6IjkxODUyYWY3LTAzNjItMzI0ZC04YTc4LTdmNjUxMzRmNzEwYyIsInRpdGxlIjoiT25jZSBmb3IgV2FsZXMgQ29uY2VybnMgTWFuYWdlbWVudCBTeXN0ZW0gLSBOSFMgV2FsZXMgU2hhcmVkIFNlcnZpY2VzIFBhcnRuZXJzaGlwIiwiYWNjZXNzZWQiOnsiZGF0ZS1wYXJ0cyI6W1syMDI2LDEsMjhdXX0sIlVSTCI6Imh0dHBzOi8vbndzc3AubmhzLndhbGVzL2Etd3Avb25jZS1mb3Itd2FsZXMtY29uY2VybnMtbWFuYWdlbWVudC1zeXN0ZW0vIiwiY29udGFpbmVyLXRpdGxlLXNob3J0IjoiIn0sImlzVGVtcG9yYXJ5IjpmYWxzZX1dfQ==&quot;,&quot;citationItems&quot;:[{&quot;id&quot;:&quot;91852af7-0362-324d-8a78-7f65134f710c&quot;,&quot;itemData&quot;:{&quot;type&quot;:&quot;webpage&quot;,&quot;id&quot;:&quot;91852af7-0362-324d-8a78-7f65134f710c&quot;,&quot;title&quot;:&quot;Once for Wales Concerns Management System - NHS Wales Shared Services Partnership&quot;,&quot;accessed&quot;:{&quot;date-parts&quot;:[[2026,1,28]]},&quot;URL&quot;:&quot;https://nwssp.nhs.wales/a-wp/once-for-wales-concerns-management-system/&quot;,&quot;container-title-short&quot;:&quot;&quot;},&quot;isTemporary&quot;:false}]},{&quot;citationID&quot;:&quot;MENDELEY_CITATION_dca00bc7-dba0-4353-a848-931ea0b33150&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ZGNhMDBiYzctZGJhMC00MzUzLWE4NDgtOTMxZWEwYjMzMTUw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cbf850c7-e747-467f-9a0d-7641949fde3e&quot;,&quot;properties&quot;:{&quot;noteIndex&quot;:0},&quot;isEdited&quot;:false,&quot;manualOverride&quot;:{&quot;isManuallyOverridden&quot;:false,&quot;citeprocText&quot;:&quot;(Borycki &amp;#38; Kushniruk, 2010)&quot;,&quot;manualOverrideText&quot;:&quot;&quot;},&quot;citationTag&quot;:&quot;MENDELEY_CITATION_v3_eyJjaXRhdGlvbklEIjoiTUVOREVMRVlfQ0lUQVRJT05fY2JmODUwYzctZTc0Ny00NjdmLTlhMGQtNzY0MTk0OWZkZTNlIiwicHJvcGVydGllcyI6eyJub3RlSW5kZXgiOjB9LCJpc0VkaXRlZCI6ZmFsc2UsIm1hbnVhbE92ZXJyaWRlIjp7ImlzTWFudWFsbHlPdmVycmlkZGVuIjpmYWxzZSwiY2l0ZXByb2NUZXh0IjoiKEJvcnlja2kgJiMzODsgS3VzaG5pcnVrLCAyMDEwKSIsIm1hbnVhbE92ZXJyaWRlVGV4dCI6IiJ9LCJjaXRhdGlvbkl0ZW1zIjpbeyJpZCI6ImFhNzQ5NjUzLWFlNTktM2U5My04YjBhLWUyZTg3N2FhNmZhMSIsIml0ZW1EYXRhIjp7InR5cGUiOiJhcnRpY2xlLWpvdXJuYWwiLCJpZCI6ImFhNzQ5NjUzLWFlNTktM2U5My04YjBhLWUyZTg3N2FhNmZhMSIsInRpdGxlIjoiVG93YXJkcyBhbiBJbnRlZ3JhdGl2ZSBDb2duaXRpdmUtU29jaW8tVGVjaG5pY2FsIEFwcHJvYWNoIGluIEhlYWx0aCBJbmZvcm1hdGljczogQW5hbHl6aW5nIFRlY2hub2xvZ3ktSW5kdWNlZCBFcnJvciBJbnZvbHZpbmcgSGVhbHRoIEluZm9ybWF0aW9uIFN5c3RlbXMgdG8gSW1wcm92ZSBQYXRpZW50IFNhZmV0eSIsImF1dGhvciI6W3siZmFtaWx5IjoiQm9yeWNraSIsImdpdmVuIjoiRS5NIiwicGFyc2UtbmFtZXMiOmZhbHNlLCJkcm9wcGluZy1wYXJ0aWNsZSI6IiIsIm5vbi1kcm9wcGluZy1wYXJ0aWNsZSI6IiJ9LHsiZmFtaWx5IjoiS3VzaG5pcnVrIiwiZ2l2ZW4iOiJBLlciLCJwYXJzZS1uYW1lcyI6ZmFsc2UsImRyb3BwaW5nLXBhcnRpY2xlIjoiIiwibm9uLWRyb3BwaW5nLXBhcnRpY2xlIjoiIn1dLCJjb250YWluZXItdGl0bGUiOiJUaGUgT3BlbiBNZWRpY2FsIEluZm9ybWF0aWNzIEpvdXJuYWwiLCJjb250YWluZXItdGl0bGUtc2hvcnQiOiJPcGVuIE1lZC4gSW5mb3JtLiBKLiIsImFjY2Vzc2VkIjp7ImRhdGUtcGFydHMiOltbMjAyNiwxLDI4XV19LCJET0kiOiIxMC4yMTc0LzE4NzQ0MzExMDEwMDQwMTAxODEiLCJJU1NOIjoiMTg3NC00MzExIiwiUE1JRCI6IjIxNTk0MDEwIiwiVVJMIjoiaHR0cHM6Ly9wbWMubmNiaS5ubG0ubmloLmdvdi9hcnRpY2xlcy9QTUMzMDk3MDY3LyIsImlzc3VlZCI6eyJkYXRlLXBhcnRzIjpbWzIwMTAsNCw1XV19LCJwYWdlIjoiMTgxIiwiYWJzdHJhY3QiOiJUaGUgcHVycG9zZSBvZiB0aGlzIHBhcGVyIGlzIHRvIGFyZ3VlIGZvciBhbiBpbnRlZ3JhdGlvbiBvZiBjb2duaXRpdmUgYW5kIHNvY2lvLXRlY2huaWNhbCBhcHByb2FjaGVzIHRvIGFzc2Vzc2luZyB0aGUgaW1wYWN0IG9mIGhlYWx0aCBpbmZvcm1hdGlvbiBzeXN0ZW1zLiBIaXN0b3JpY2FsbHksIGhlYWx0aCBpbmZvcm1hdGljcyByZXNlYXJjaCBoYXMgZXhhbWluZWQgdGhlIGNvZ25pdGl2ZSBhbmQgc29jaW8tdGVjaG5pY2FsIGFzcGVjdHMgb2YgaGVhbHRoIGluZm9ybWF0aW9uIHN5c3RlbXMgc2VwYXJhdGVseS4gSW4gdGhpcyBwYXBlciB3ZSBhcmd1ZSB0aGF0IGV2YWx1YXRpb25zIG9mIGhlYWx0aCBpbmZvcm1hdGlvbiBzeXN0ZW1zIHNob3VsZCBjb25zaWRlciBhc3BlY3RzIHJlbGF0ZWQgdG8gY29nbml0aW9uIGFzIHdlbGwgYXMgc29jaW8tdGVjaG5pY2FsIGFzcGVjdHMgaW5jbHVkaW5nIGltcGFjdCBvbiB3b3JrZmxvdyAoaS5lLiBhbiBpbnRlZ3JhdGVkIHZpZXcpLiBVc2luZyBleGFtcGxlcyBmcm9tIHRoZSBzdHVkeSBvZiB0ZWNobm9sb2d5LWluZHVjZWQgZXJyb3IgaW4gaGVhbHRoY2FyZSwgd2UgYXJndWUgZm9yIHRoZSB1c2Ugb2Ygc2ltdWxhdGlvbnMgdG8gZXZhbHVhdGUgdGhlIGNvZ25pdGl2ZS1zb2Npby10ZWNobmljYWwgaW1wYWN0cyBvZiBoZWFsdGggaW5mb3JtYXRpb24gdGVjaG5vbG9neSBbMzZdLiBJbXBsaWNhdGlvbnMgb2YgY2xpbmljYWwgc2ltdWxhdGlvbnMgYW5kIGFuYWx5c2lzIG9mIGNvZ25pdGl2ZS1zb2NpYWwtdGVjaG5pY2FsIGltcGFjdHMgYXJlIGRpc2N1c3NlZCB3aXRoaW4gdGhlIGNvbnRleHQgb2YgdGhlIHN5c3RlbSBkZXZlbG9wbWVudCBsaWZlIGN5Y2xlIHRvIGltcHJvdmUgaGVhbHRoIGluZm9ybWF0aW9uIHN5c3RlbSBkZXNpZ24sIGltcGxlbWVudGF0aW9uIGFuZCBldmFsdWF0aW9uLiIsInB1Ymxpc2hlciI6IkJlbnRoYW0gU2NpZW5jZSBQdWJsaXNoZXJzIEx0ZC4iLCJpc3N1ZSI6IjEiLCJ2b2x1bWUiOiI0In0sImlzVGVtcG9yYXJ5IjpmYWxzZX1dfQ==&quot;,&quot;citationItems&quot;:[{&quot;id&quot;:&quot;aa749653-ae59-3e93-8b0a-e2e877aa6fa1&quot;,&quot;itemData&quot;:{&quot;type&quot;:&quot;article-journal&quot;,&quot;id&quot;:&quot;aa749653-ae59-3e93-8b0a-e2e877aa6fa1&quot;,&quot;title&quot;:&quot;Towards an Integrative Cognitive-Socio-Technical Approach in Health Informatics: Analyzing Technology-Induced Error Involving Health Information Systems to Improve Patient Safety&quot;,&quot;author&quot;:[{&quot;family&quot;:&quot;Borycki&quot;,&quot;given&quot;:&quot;E.M&quot;,&quot;parse-names&quot;:false,&quot;dropping-particle&quot;:&quot;&quot;,&quot;non-dropping-particle&quot;:&quot;&quot;},{&quot;family&quot;:&quot;Kushniruk&quot;,&quot;given&quot;:&quot;A.W&quot;,&quot;parse-names&quot;:false,&quot;dropping-particle&quot;:&quot;&quot;,&quot;non-dropping-particle&quot;:&quot;&quot;}],&quot;container-title&quot;:&quot;The Open Medical Informatics Journal&quot;,&quot;container-title-short&quot;:&quot;Open Med. Inform. J.&quot;,&quot;accessed&quot;:{&quot;date-parts&quot;:[[2026,1,28]]},&quot;DOI&quot;:&quot;10.2174/1874431101004010181&quot;,&quot;ISSN&quot;:&quot;1874-4311&quot;,&quot;PMID&quot;:&quot;21594010&quot;,&quot;URL&quot;:&quot;https://pmc.ncbi.nlm.nih.gov/articles/PMC3097067/&quot;,&quot;issued&quot;:{&quot;date-parts&quot;:[[2010,4,5]]},&quot;page&quot;:&quot;181&quot;,&quot;abstract&quot;:&quot;The purpose of this paper is to argue for an integration of cognitive and socio-technical approaches to assessing the impact of health information systems. Historically, health informatics research has examined the cognitive and socio-technical aspects of health information systems separately. In this paper we argue that evaluations of health information systems should consider aspects related to cognition as well as socio-technical aspects including impact on workflow (i.e. an integrated view). Using examples from the study of technology-induced error in healthcare, we argue for the use of simulations to evaluate the cognitive-socio-technical impacts of health information technology [36]. Implications of clinical simulations and analysis of cognitive-social-technical impacts are discussed within the context of the system development life cycle to improve health information system design, implementation and evaluation.&quot;,&quot;publisher&quot;:&quot;Bentham Science Publishers Ltd.&quot;,&quot;issue&quot;:&quot;1&quot;,&quot;volume&quot;:&quot;4&quot;},&quot;isTemporary&quot;:false}]},{&quot;citationID&quot;:&quot;MENDELEY_CITATION_edfce9dd-f0e9-4e60-8b69-6199ec91504c&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ZWRmY2U5ZGQtZjBlOS00ZTYwLThiNjktNjE5OWVjOTE1MDRj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d96edd49-9458-43fe-aaae-09e517a69b2e&quot;,&quot;properties&quot;:{&quot;noteIndex&quot;:0},&quot;isEdited&quot;:false,&quot;manualOverride&quot;:{&quot;isManuallyOverridden&quot;:false,&quot;citeprocText&quot;:&quot;(&lt;i&gt;DATIX CYMRU-INCIDENT REPORTING&lt;/i&gt;, n.d.; &lt;i&gt;Once for Wales Concerns Management System - NHS Wales Shared Services Partnership&lt;/i&gt;, n.d.; &lt;i&gt;Once for Wales Concerns Management System Datix Cymru Community Pharmacy Patient Safety Incident Reporting and Management Quick Reference User Guide&lt;/i&gt;, n.d.)&quot;,&quot;manualOverrideText&quot;:&quot;&quot;},&quot;citationTag&quot;:&quot;MENDELEY_CITATION_v3_eyJjaXRhdGlvbklEIjoiTUVOREVMRVlfQ0lUQVRJT05fZDk2ZWRkNDktOTQ1OC00M2ZlLWFhYWUtMDllNTE3YTY5YjJl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mI2ZjIyZmMyLWVhMzAtMzEyNC05OTc5LWFlOTJhODBlYzc3YSIsIml0ZW1EYXRhIjp7InR5cGUiOiJhcnRpY2xlLWpvdXJuYWwiLCJpZCI6ImI2ZjIyZmMyLWVhMzAtMzEyNC05OTc5LWFlOTJhODBlYzc3YSIsInRpdGxlIjoiREFUSVggQ1lNUlUtSU5DSURFTlQgUkVQT1JUSU5HIiwiYWNjZXNzZWQiOnsiZGF0ZS1wYXJ0cyI6W1syMDI2LDEsMjhdXX19LCJpc1RlbXBvcmFyeSI6ZmFsc2V9LHsiaWQiOiI5MTg1MmFmNy0wMzYyLTMyNGQtOGE3OC03ZjY1MTM0ZjcxMGMiLCJpdGVtRGF0YSI6eyJ0eXBlIjoid2VicGFnZSIsImlkIjoiOTE4NTJhZjctMDM2Mi0zMjRkLThhNzgtN2Y2NTEzNGY3MTBjIiwidGl0bGUiOiJPbmNlIGZvciBXYWxlcyBDb25jZXJucyBNYW5hZ2VtZW50IFN5c3RlbSAtIE5IUyBXYWxlcyBTaGFyZWQgU2VydmljZXMgUGFydG5lcnNoaXAiLCJhY2Nlc3NlZCI6eyJkYXRlLXBhcnRzIjpbWzIwMjYsMSwyOF1dfSwiVVJMIjoiaHR0cHM6Ly9ud3NzcC5uaHMud2FsZXMvYS13cC9vbmNlLWZvci13YWxlcy1jb25jZXJucy1tYW5hZ2VtZW50LXN5c3RlbS8iLCJjb250YWluZXItdGl0bGUtc2hvcnQiOiIifSwiaXNUZW1wb3JhcnkiOmZhbHNlfSx7ImlkIjoiNzRlYTllMmQtMDA2ZS0zY2UxLWJiZjgtNDY4OTRhZGQxMTljIiwiaXRlbURhdGEiOnsidHlwZSI6ImFydGljbGUtam91cm5hbCIsImlkIjoiNzRlYTllMmQtMDA2ZS0zY2UxLWJiZjgtNDY4OTRhZGQxMTljIiwidGl0bGUiOiJPbmNlIGZvciBXYWxlcyBDb25jZXJucyBNYW5hZ2VtZW50IFN5c3RlbSBEYXRpeCBDeW1ydSBDb21tdW5pdHkgUGhhcm1hY3kgUGF0aWVudCBTYWZldHkgSW5jaWRlbnQgUmVwb3J0aW5nIGFuZCBNYW5hZ2VtZW50IFF1aWNrIFJlZmVyZW5jZSBVc2VyIEd1aWRlIiwiYWNjZXNzZWQiOnsiZGF0ZS1wYXJ0cyI6W1syMDI2LDEsMjhdXX0sImNvbnRhaW5lci10aXRsZS1zaG9ydCI6IiJ9LCJpc1RlbXBvcmFyeSI6ZmFsc2V9XX0=&quot;,&quot;citationItems&quot;:[{&quot;id&quot;:&quot;b6f22fc2-ea30-3124-9979-ae92a80ec77a&quot;,&quot;itemData&quot;:{&quot;type&quot;:&quot;article-journal&quot;,&quot;id&quot;:&quot;b6f22fc2-ea30-3124-9979-ae92a80ec77a&quot;,&quot;title&quot;:&quot;DATIX CYMRU-INCIDENT REPORTING&quot;,&quot;accessed&quot;:{&quot;date-parts&quot;:[[2026,1,28]]}},&quot;isTemporary&quot;:false},{&quot;id&quot;:&quot;91852af7-0362-324d-8a78-7f65134f710c&quot;,&quot;itemData&quot;:{&quot;type&quot;:&quot;webpage&quot;,&quot;id&quot;:&quot;91852af7-0362-324d-8a78-7f65134f710c&quot;,&quot;title&quot;:&quot;Once for Wales Concerns Management System - NHS Wales Shared Services Partnership&quot;,&quot;accessed&quot;:{&quot;date-parts&quot;:[[2026,1,28]]},&quot;URL&quot;:&quot;https://nwssp.nhs.wales/a-wp/once-for-wales-concerns-management-system/&quot;,&quot;container-title-short&quot;:&quot;&quot;},&quot;isTemporary&quot;:false},{&quot;id&quot;:&quot;74ea9e2d-006e-3ce1-bbf8-46894add119c&quot;,&quot;itemData&quot;:{&quot;type&quot;:&quot;article-journal&quot;,&quot;id&quot;:&quot;74ea9e2d-006e-3ce1-bbf8-46894add119c&quot;,&quot;title&quot;:&quot;Once for Wales Concerns Management System Datix Cymru Community Pharmacy Patient Safety Incident Reporting and Management Quick Reference User Guide&quot;,&quot;accessed&quot;:{&quot;date-parts&quot;:[[2026,1,28]]},&quot;container-title-short&quot;:&quot;&quot;},&quot;isTemporary&quot;:false}]},{&quot;citationID&quot;:&quot;MENDELEY_CITATION_da99111b-18d8-452c-a1aa-d0e68749b1e7&quot;,&quot;properties&quot;:{&quot;noteIndex&quot;:0},&quot;isEdited&quot;:false,&quot;manualOverride&quot;:{&quot;isManuallyOverridden&quot;:false,&quot;citeprocText&quot;:&quot;(&lt;i&gt;DATIX CYMRU-INCIDENT REPORTING&lt;/i&gt;, n.d.)&quot;,&quot;manualOverrideText&quot;:&quot;&quot;},&quot;citationTag&quot;:&quot;MENDELEY_CITATION_v3_eyJjaXRhdGlvbklEIjoiTUVOREVMRVlfQ0lUQVRJT05fZGE5OTExMWItMThkOC00NTJjLWExYWEtZDBlNjg3NDliMWU3IiwicHJvcGVydGllcyI6eyJub3RlSW5kZXgiOjB9LCJpc0VkaXRlZCI6ZmFsc2UsIm1hbnVhbE92ZXJyaWRlIjp7ImlzTWFudWFsbHlPdmVycmlkZGVuIjpmYWxzZSwiY2l0ZXByb2NUZXh0IjoiKDxpPkRBVElYIENZTVJVLUlOQ0lERU5UIFJFUE9SVElORzwvaT4sIG4uZC4pIiwibWFudWFsT3ZlcnJpZGVUZXh0IjoiIn0sImNpdGF0aW9uSXRlbXMiOlt7ImlkIjoiYjZmMjJmYzItZWEzMC0zMTI0LTk5NzktYWU5MmE4MGVjNzdhIiwiaXRlbURhdGEiOnsidHlwZSI6ImFydGljbGUtam91cm5hbCIsImlkIjoiYjZmMjJmYzItZWEzMC0zMTI0LTk5NzktYWU5MmE4MGVjNzdhIiwidGl0bGUiOiJEQVRJWCBDWU1SVS1JTkNJREVOVCBSRVBPUlRJTkciLCJhY2Nlc3NlZCI6eyJkYXRlLXBhcnRzIjpbWzIwMjYsMSwyOF1dfX0sImlzVGVtcG9yYXJ5IjpmYWxzZX1dfQ==&quot;,&quot;citationItems&quot;:[{&quot;id&quot;:&quot;b6f22fc2-ea30-3124-9979-ae92a80ec77a&quot;,&quot;itemData&quot;:{&quot;type&quot;:&quot;article-journal&quot;,&quot;id&quot;:&quot;b6f22fc2-ea30-3124-9979-ae92a80ec77a&quot;,&quot;title&quot;:&quot;DATIX CYMRU-INCIDENT REPORTING&quot;,&quot;accessed&quot;:{&quot;date-parts&quot;:[[2026,1,28]]}},&quot;isTemporary&quot;:false}]},{&quot;citationID&quot;:&quot;MENDELEY_CITATION_ff0298fe-01d4-4951-a264-a5ed1136bad1&quot;,&quot;properties&quot;:{&quot;noteIndex&quot;:0},&quot;isEdited&quot;:false,&quot;manualOverride&quot;:{&quot;isManuallyOverridden&quot;:false,&quot;citeprocText&quot;:&quot;(Ammenwerth et al., 2006)&quot;,&quot;manualOverrideText&quot;:&quot;&quot;},&quot;citationTag&quot;:&quot;MENDELEY_CITATION_v3_eyJjaXRhdGlvbklEIjoiTUVOREVMRVlfQ0lUQVRJT05fZmYwMjk4ZmUtMDFkNC00OTUxLWEyNjQtYTVlZDExMzZiYWQxIiwicHJvcGVydGllcyI6eyJub3RlSW5kZXgiOjB9LCJpc0VkaXRlZCI6ZmFsc2UsIm1hbnVhbE92ZXJyaWRlIjp7ImlzTWFudWFsbHlPdmVycmlkZGVuIjpmYWxzZSwiY2l0ZXByb2NUZXh0IjoiKEFtbWVud2VydGggZXQgYWwuLCAyMDA2KSIsIm1hbnVhbE92ZXJyaWRlVGV4dCI6IiJ9LCJjaXRhdGlvbkl0ZW1zIjpbeyJpZCI6IjM0MjQxYjg4LTgzZWUtM2ZjZS1hZGM0LTAxY2JhMTRiZGNkNiIsIml0ZW1EYXRhIjp7InR5cGUiOiJhcnRpY2xlLWpvdXJuYWwiLCJpZCI6IjM0MjQxYjg4LTgzZWUtM2ZjZS1hZGM0LTAxY2JhMTRiZGNkNiIsInRpdGxlIjoiSVQtYWRvcHRpb24gYW5kIHRoZSBpbnRlcmFjdGlvbiBvZiB0YXNrLCB0ZWNobm9sb2d5IGFuZCBpbmRpdmlkdWFsczogYSBmaXQgZnJhbWV3b3JrIGFuZCBhIGNhc2Ugc3R1ZHk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BhbmQgRGVjaXNpb24gTWFraW5nIDIwMDYgNjoxIiwiYWNjZXNzZWQiOnsiZGF0ZS1wYXJ0cyI6W1syMDI2LDEsMjhdXX0sIkRPSSI6IjEwLjExODYvMTQ3Mi02OTQ3LTYtMyIsIklTU04iOiIxNDcyLTY5NDciLCJQTUlEIjoiMTY0MDEzMzYiLCJVUkwiOiJodHRwczovL2xpbmsuc3ByaW5nZXIuY29tL2FydGljbGUvMTAuMTE4Ni8xNDcyLTY5NDctNi0zIiwiaXNzdWVkIjp7ImRhdGUtcGFydHMiOltbMjAwNiwxLDldXX0sInBhZ2UiOiIzLSIsImFic3RyYWN0IjoiRmFjdG9ycyBvZiBJVCBhZG9wdGlvbiBoYXZlIGxhcmdlbHkgYmVlbiBkaXNjdXNzZWQgaW4gdGhlIGxpdGVyYXR1cmUuIEhvd2V2ZXIsIGV4aXN0aW5nIGZyYW1ld29ya3MgKHN1Y2ggYXMgVEFNIG9yIFRURikgYXJlIGZhaWxpbmcgdG8gaW5jbHVkZSBvbmUgaW1wb3J0YW50IGFzcGVjdCwgdGhlIGludGVyYWN0aW9uIGJldHdlZW4gdXNlciBhbmQgdGFzay4gQmFzZWQgb24gYSBsaXRlcmF0dXJlIHN0dWR5IGFuZCBhIGNhc2Ugc3R1ZHksIHdlIGRldmVsb3BlZCB0aGUgRklUVCBmcmFtZXdvcmsgdG8gaGVscCBhbmFseXNlIHRoZSBzb2Npby1vcmdhbmlzYXRpb25hbC10ZWNobmljYWwgZmFjdG9ycyB0aGF0IGluZmx1ZW5jZSBJVCBhZG9wdGlvbiBpbiBhIGhlYWx0aCBjYXJlIHNldHRpbmcuIE91ciBGSVRUIGZyYW1ld29yayAoXCJGIGl0IGJldHdlZW4gSSBuZGl2aWR1YWxzLCBUIGFzayBhbmQgVCBlY2hub2xvZ3lcIikgaXMgYmFzZWQgb24gdGhlIGlkZWEgdGhhdCBJVCBhZG9wdGlvbiBpbiBhIGNsaW5pY2FsIGVudmlyb25tZW50IGRlcGVuZHMgb24gdGhlIGZpdCBiZXR3ZWVuIHRoZSBhdHRyaWJ1dGVzIG9mIHRoZSBpbmRpdmlkdWFsIHVzZXJzIChlLmcuIGNvbXB1dGVyIGFueGlldHksIG1vdGl2YXRpb24pLCBhdHRyaWJ1dGVzIG9mIHRoZSB0ZWNobm9sb2d5IChlLmcuIHVzYWJpbGl0eSwgZnVuY3Rpb25hbGl0eSwgcGVyZm9ybWFuY2UpLCBhbmQgYXR0cmlidXRlcyBvZiB0aGUgY2xpbmljYWwgdGFza3MgYW5kIHByb2Nlc3NlcyAoZS5nLiBvcmdhbmlzYXRpb24sIHRhc2sgY29tcGxleGl0eSkuIFdlIHVzZWQgdGhpcyBmcmFtZXdvcmsgaW4gdGhlIHJldHJvc3BlY3RpdmUgYW5hbHlzaXMgb2YgYSB0aHJlZS15ZWFyIGNhc2Ugc3R1ZHksIGRlc2NyaWJpbmcgdGhlIGFkb3B0aW9uIG9mIGEgbnVyc2luZyBkb2N1bWVudGF0aW9uIHN5c3RlbSBpbiB2YXJpb3VzIGRlcGFydG1lbnRzIGluIGEgR2VybWFuIFVuaXZlcnNpdHkgSG9zcGl0YWwuIFdlIHdpbGwgc2hvdyBob3cgdGhlIEZJVFQgZnJhbWV3b3JrIGhlbHBlZCBhbmFseXppbmcgdGhlIHByb2Nlc3Mgb2YgSVQgYWRvcHRpb24gZHVyaW5nIGFuIElUIGltcGxlbWVudGF0aW9uOiB3ZSB3ZXJlIGFibGUgdG8gZGVzY3JpYmUgZXZlcnkgZm91bmQgSVQgYWRvcHRpb24gcHJvYmxlbSB3aXRoIHJlZ2FyZCB0byB0aGUgdGhyZWUgZml0IGRpbWVuc2lvbnMsIGFuZCBhbnkgaW50ZXJ2ZW50aW9uIG9uIHRoZSBmaXQgY2FuIGJlIGRlc2NyaWJlZCB3aXRoIHJlZ2FyZCB0byB0aGUgdGhyZWUgb2JqZWN0cyBvZiB0aGUgRklUVCBmcmFtZXdvcmsgKGluZGl2aWR1YWwsIHRhc2ssIHRlY2hub2xvZ3kpLiBXZSBhbHNvIGRlcml2ZSBmYWNpbGl0YXRvcnMgYW5kIGJhcnJpZXJzIHRvIElUIGFkb3B0aW9uIG9mIGNsaW5pY2FsIGluZm9ybWF0aW9uIHN5c3RlbXMuIFRoaXMgd29yayBzaG91bGQgc3VwcG9ydCBhIGJldHRlciB1bmRlcnN0YW5kaW5nIG9mIHRoZSByZWFzb25zIGZvciBJVCBhZG9wdGlvbiBmYWlsdXJlcyBhbmQgdGhlcmVmb3JlIGVuYWJsZSBiZXR0ZXIgcHJlcGFyZWQgYW5kIG1vcmUgc3VjY2Vzc2Z1bCBJVCBpbnRyb2R1Y3Rpb24gcHJvamVjdHMuIFdlIHdpbGwgZGlzY3VzcywgaG93ZXZlciwgdGhhdCBmcm9tIGEgbW9yZSBlcGlzdGVtb2xvZ2ljYWwgcG9pbnQgb2YgdmlldywgaXQgbWF5IGJlIGRpZmZpY3VsdCBvciBldmVuIGltcG9zc2libGUgdG8gYW5hbHlzZSB0aGUgY29tcGxleCBhbmQgaW50ZXJhY3RpbmcgZmFjdG9ycyB0aGF0IHByZWRpY3Qgc3VjY2VzcyBvciBmYWlsdXJlIG9mIElUIHByb2plY3RzIGluIGEgc29jaW8tdGVjaG5pY2FsIGVudmlyb25tZW50LiIsInB1Ymxpc2hlciI6IkJpb01lZCBDZW50cmFsIiwiaXNzdWUiOiIxIiwidm9sdW1lIjoiNiIsImNvbnRhaW5lci10aXRsZS1zaG9ydCI6IiJ9LCJpc1RlbXBvcmFyeSI6ZmFsc2V9XX0=&quot;,&quot;citationItems&quot;:[{&quot;id&quot;:&quot;34241b88-83ee-3fce-adc4-01cba14bdcd6&quot;,&quot;itemData&quot;:{&quot;type&quot;:&quot;article-journal&quot;,&quot;id&quot;:&quot;34241b88-83ee-3fce-adc4-01cba14bdcd6&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nd Decision Making 2006 6:1&quot;,&quot;accessed&quot;:{&quot;date-parts&quot;:[[2026,1,28]]},&quot;DOI&quot;:&quot;10.1186/1472-6947-6-3&quot;,&quot;ISSN&quot;:&quot;1472-6947&quot;,&quot;PMID&quot;:&quot;16401336&quot;,&quot;URL&quot;:&quot;https://link.springer.com/article/10.1186/1472-6947-6-3&quot;,&quot;issued&quot;:{&quot;date-parts&quot;:[[2006,1,9]]},&quot;page&quot;:&quot;3-&quot;,&quot;abstract&quot;:&quot;Factors of IT adoption have largely been discussed in the literature. However, existing frameworks (such as TAM or TTF) are failing to include one important aspect, the interaction between user and task. Based on a literature study and a case study, we developed the FITT framework to help analyse the socio-organisational-technical factors that influence IT adoption in a health care setting. Our FITT framework (\&quot;F it between I ndividuals, T ask and T 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quot;,&quot;publisher&quot;:&quot;BioMed Central&quot;,&quot;issue&quot;:&quot;1&quot;,&quot;volume&quot;:&quot;6&quot;,&quot;container-title-short&quot;:&quot;&quot;},&quot;isTemporary&quot;:false}]},{&quot;citationID&quot;:&quot;MENDELEY_CITATION_78c796c6-775b-4880-8a31-2c6464da091f&quot;,&quot;properties&quot;:{&quot;noteIndex&quot;:0},&quot;isEdited&quot;:false,&quot;manualOverride&quot;:{&quot;isManuallyOverridden&quot;:false,&quot;citeprocText&quot;:&quot;(Borycki &amp;#38; Kushniruk, 2010)&quot;,&quot;manualOverrideText&quot;:&quot;&quot;},&quot;citationTag&quot;:&quot;MENDELEY_CITATION_v3_eyJjaXRhdGlvbklEIjoiTUVOREVMRVlfQ0lUQVRJT05fNzhjNzk2YzYtNzc1Yi00ODgwLThhMzEtMmM2NDY0ZGEwOTFmIiwicHJvcGVydGllcyI6eyJub3RlSW5kZXgiOjB9LCJpc0VkaXRlZCI6ZmFsc2UsIm1hbnVhbE92ZXJyaWRlIjp7ImlzTWFudWFsbHlPdmVycmlkZGVuIjpmYWxzZSwiY2l0ZXByb2NUZXh0IjoiKEJvcnlja2kgJiMzODsgS3VzaG5pcnVrLCAyMDEwKSIsIm1hbnVhbE92ZXJyaWRlVGV4dCI6IiJ9LCJjaXRhdGlvbkl0ZW1zIjpbeyJpZCI6ImFhNzQ5NjUzLWFlNTktM2U5My04YjBhLWUyZTg3N2FhNmZhMSIsIml0ZW1EYXRhIjp7InR5cGUiOiJhcnRpY2xlLWpvdXJuYWwiLCJpZCI6ImFhNzQ5NjUzLWFlNTktM2U5My04YjBhLWUyZTg3N2FhNmZhMSIsInRpdGxlIjoiVG93YXJkcyBhbiBJbnRlZ3JhdGl2ZSBDb2duaXRpdmUtU29jaW8tVGVjaG5pY2FsIEFwcHJvYWNoIGluIEhlYWx0aCBJbmZvcm1hdGljczogQW5hbHl6aW5nIFRlY2hub2xvZ3ktSW5kdWNlZCBFcnJvciBJbnZvbHZpbmcgSGVhbHRoIEluZm9ybWF0aW9uIFN5c3RlbXMgdG8gSW1wcm92ZSBQYXRpZW50IFNhZmV0eSIsImF1dGhvciI6W3siZmFtaWx5IjoiQm9yeWNraSIsImdpdmVuIjoiRS5NIiwicGFyc2UtbmFtZXMiOmZhbHNlLCJkcm9wcGluZy1wYXJ0aWNsZSI6IiIsIm5vbi1kcm9wcGluZy1wYXJ0aWNsZSI6IiJ9LHsiZmFtaWx5IjoiS3VzaG5pcnVrIiwiZ2l2ZW4iOiJBLlciLCJwYXJzZS1uYW1lcyI6ZmFsc2UsImRyb3BwaW5nLXBhcnRpY2xlIjoiIiwibm9uLWRyb3BwaW5nLXBhcnRpY2xlIjoiIn1dLCJjb250YWluZXItdGl0bGUiOiJUaGUgT3BlbiBNZWRpY2FsIEluZm9ybWF0aWNzIEpvdXJuYWwiLCJjb250YWluZXItdGl0bGUtc2hvcnQiOiJPcGVuIE1lZC4gSW5mb3JtLiBKLiIsImFjY2Vzc2VkIjp7ImRhdGUtcGFydHMiOltbMjAyNiwxLDI4XV19LCJET0kiOiIxMC4yMTc0LzE4NzQ0MzExMDEwMDQwMTAxODEiLCJJU1NOIjoiMTg3NC00MzExIiwiUE1JRCI6IjIxNTk0MDEwIiwiVVJMIjoiaHR0cHM6Ly9wbWMubmNiaS5ubG0ubmloLmdvdi9hcnRpY2xlcy9QTUMzMDk3MDY3LyIsImlzc3VlZCI6eyJkYXRlLXBhcnRzIjpbWzIwMTAsNCw1XV19LCJwYWdlIjoiMTgxIiwiYWJzdHJhY3QiOiJUaGUgcHVycG9zZSBvZiB0aGlzIHBhcGVyIGlzIHRvIGFyZ3VlIGZvciBhbiBpbnRlZ3JhdGlvbiBvZiBjb2duaXRpdmUgYW5kIHNvY2lvLXRlY2huaWNhbCBhcHByb2FjaGVzIHRvIGFzc2Vzc2luZyB0aGUgaW1wYWN0IG9mIGhlYWx0aCBpbmZvcm1hdGlvbiBzeXN0ZW1zLiBIaXN0b3JpY2FsbHksIGhlYWx0aCBpbmZvcm1hdGljcyByZXNlYXJjaCBoYXMgZXhhbWluZWQgdGhlIGNvZ25pdGl2ZSBhbmQgc29jaW8tdGVjaG5pY2FsIGFzcGVjdHMgb2YgaGVhbHRoIGluZm9ybWF0aW9uIHN5c3RlbXMgc2VwYXJhdGVseS4gSW4gdGhpcyBwYXBlciB3ZSBhcmd1ZSB0aGF0IGV2YWx1YXRpb25zIG9mIGhlYWx0aCBpbmZvcm1hdGlvbiBzeXN0ZW1zIHNob3VsZCBjb25zaWRlciBhc3BlY3RzIHJlbGF0ZWQgdG8gY29nbml0aW9uIGFzIHdlbGwgYXMgc29jaW8tdGVjaG5pY2FsIGFzcGVjdHMgaW5jbHVkaW5nIGltcGFjdCBvbiB3b3JrZmxvdyAoaS5lLiBhbiBpbnRlZ3JhdGVkIHZpZXcpLiBVc2luZyBleGFtcGxlcyBmcm9tIHRoZSBzdHVkeSBvZiB0ZWNobm9sb2d5LWluZHVjZWQgZXJyb3IgaW4gaGVhbHRoY2FyZSwgd2UgYXJndWUgZm9yIHRoZSB1c2Ugb2Ygc2ltdWxhdGlvbnMgdG8gZXZhbHVhdGUgdGhlIGNvZ25pdGl2ZS1zb2Npby10ZWNobmljYWwgaW1wYWN0cyBvZiBoZWFsdGggaW5mb3JtYXRpb24gdGVjaG5vbG9neSBbMzZdLiBJbXBsaWNhdGlvbnMgb2YgY2xpbmljYWwgc2ltdWxhdGlvbnMgYW5kIGFuYWx5c2lzIG9mIGNvZ25pdGl2ZS1zb2NpYWwtdGVjaG5pY2FsIGltcGFjdHMgYXJlIGRpc2N1c3NlZCB3aXRoaW4gdGhlIGNvbnRleHQgb2YgdGhlIHN5c3RlbSBkZXZlbG9wbWVudCBsaWZlIGN5Y2xlIHRvIGltcHJvdmUgaGVhbHRoIGluZm9ybWF0aW9uIHN5c3RlbSBkZXNpZ24sIGltcGxlbWVudGF0aW9uIGFuZCBldmFsdWF0aW9uLiIsInB1Ymxpc2hlciI6IkJlbnRoYW0gU2NpZW5jZSBQdWJsaXNoZXJzIEx0ZC4iLCJpc3N1ZSI6IjEiLCJ2b2x1bWUiOiI0In0sImlzVGVtcG9yYXJ5IjpmYWxzZX1dfQ==&quot;,&quot;citationItems&quot;:[{&quot;id&quot;:&quot;aa749653-ae59-3e93-8b0a-e2e877aa6fa1&quot;,&quot;itemData&quot;:{&quot;type&quot;:&quot;article-journal&quot;,&quot;id&quot;:&quot;aa749653-ae59-3e93-8b0a-e2e877aa6fa1&quot;,&quot;title&quot;:&quot;Towards an Integrative Cognitive-Socio-Technical Approach in Health Informatics: Analyzing Technology-Induced Error Involving Health Information Systems to Improve Patient Safety&quot;,&quot;author&quot;:[{&quot;family&quot;:&quot;Borycki&quot;,&quot;given&quot;:&quot;E.M&quot;,&quot;parse-names&quot;:false,&quot;dropping-particle&quot;:&quot;&quot;,&quot;non-dropping-particle&quot;:&quot;&quot;},{&quot;family&quot;:&quot;Kushniruk&quot;,&quot;given&quot;:&quot;A.W&quot;,&quot;parse-names&quot;:false,&quot;dropping-particle&quot;:&quot;&quot;,&quot;non-dropping-particle&quot;:&quot;&quot;}],&quot;container-title&quot;:&quot;The Open Medical Informatics Journal&quot;,&quot;container-title-short&quot;:&quot;Open Med. Inform. J.&quot;,&quot;accessed&quot;:{&quot;date-parts&quot;:[[2026,1,28]]},&quot;DOI&quot;:&quot;10.2174/1874431101004010181&quot;,&quot;ISSN&quot;:&quot;1874-4311&quot;,&quot;PMID&quot;:&quot;21594010&quot;,&quot;URL&quot;:&quot;https://pmc.ncbi.nlm.nih.gov/articles/PMC3097067/&quot;,&quot;issued&quot;:{&quot;date-parts&quot;:[[2010,4,5]]},&quot;page&quot;:&quot;181&quot;,&quot;abstract&quot;:&quot;The purpose of this paper is to argue for an integration of cognitive and socio-technical approaches to assessing the impact of health information systems. Historically, health informatics research has examined the cognitive and socio-technical aspects of health information systems separately. In this paper we argue that evaluations of health information systems should consider aspects related to cognition as well as socio-technical aspects including impact on workflow (i.e. an integrated view). Using examples from the study of technology-induced error in healthcare, we argue for the use of simulations to evaluate the cognitive-socio-technical impacts of health information technology [36]. Implications of clinical simulations and analysis of cognitive-social-technical impacts are discussed within the context of the system development life cycle to improve health information system design, implementation and evaluation.&quot;,&quot;publisher&quot;:&quot;Bentham Science Publishers Ltd.&quot;,&quot;issue&quot;:&quot;1&quot;,&quot;volume&quot;:&quot;4&quot;},&quot;isTemporary&quot;:false}]},{&quot;citationID&quot;:&quot;MENDELEY_CITATION_5e416c1c-bb90-436f-b70f-11e74bc8fc5f&quot;,&quot;properties&quot;:{&quot;noteIndex&quot;:0},&quot;isEdited&quot;:false,&quot;manualOverride&quot;:{&quot;isManuallyOverridden&quot;:false,&quot;citeprocText&quot;:&quot;(&lt;i&gt;DATIX CYMRU-INCIDENT REPORTING&lt;/i&gt;, n.d.; &lt;i&gt;Once for Wales Concerns Management System - NHS Wales Shared Services Partnership&lt;/i&gt;, n.d.; &lt;i&gt;Once for Wales Concerns Management System Datix Cymru Community Pharmacy Patient Safety Incident Reporting and Management Quick Reference User Guide&lt;/i&gt;, n.d.)&quot;,&quot;manualOverrideText&quot;:&quot;&quot;},&quot;citationTag&quot;:&quot;MENDELEY_CITATION_v3_eyJjaXRhdGlvbklEIjoiTUVOREVMRVlfQ0lUQVRJT05fNWU0MTZjMWMtYmI5MC00MzZmLWI3MGYtMTFlNzRiYzhmYzVmIiwicHJvcGVydGllcyI6eyJub3RlSW5kZXgiOjB9LCJpc0VkaXRlZCI6ZmFsc2UsIm1hbnVhbE92ZXJyaWRlIjp7ImlzTWFudWFsbHlPdmVycmlkZGVuIjpmYWxzZSwiY2l0ZXByb2NUZXh0IjoiKDxpPkRBVElYIENZTVJVLUlOQ0lERU5UIFJFUE9SVElORzwvaT4sIG4uZC47IDxpPk9uY2UgZm9yIFdhbGVzIENvbmNlcm5zIE1hbmFnZW1lbnQgU3lzdGVtIC0gTkhTIFdhbGVzIFNoYXJlZCBTZXJ2aWNlcyBQYXJ0bmVyc2hpcDwvaT4sIG4uZC47IDxpPk9uY2UgZm9yIFdhbGVzIENvbmNlcm5zIE1hbmFnZW1lbnQgU3lzdGVtIERhdGl4IEN5bXJ1IENvbW11bml0eSBQaGFybWFjeSBQYXRpZW50IFNhZmV0eSBJbmNpZGVudCBSZXBvcnRpbmcgYW5kIE1hbmFnZW1lbnQgUXVpY2sgUmVmZXJlbmNlIFVzZXIgR3VpZGU8L2k+LCBuLmQuKSIsIm1hbnVhbE92ZXJyaWRlVGV4dCI6IiJ9LCJjaXRhdGlvbkl0ZW1zIjpbeyJpZCI6IjkxODUyYWY3LTAzNjItMzI0ZC04YTc4LTdmNjUxMzRmNzEwYyIsIml0ZW1EYXRhIjp7InR5cGUiOiJ3ZWJwYWdlIiwiaWQiOiI5MTg1MmFmNy0wMzYyLTMyNGQtOGE3OC03ZjY1MTM0ZjcxMGMiLCJ0aXRsZSI6Ik9uY2UgZm9yIFdhbGVzIENvbmNlcm5zIE1hbmFnZW1lbnQgU3lzdGVtIC0gTkhTIFdhbGVzIFNoYXJlZCBTZXJ2aWNlcyBQYXJ0bmVyc2hpcCIsImFjY2Vzc2VkIjp7ImRhdGUtcGFydHMiOltbMjAyNiwxLDI4XV19LCJVUkwiOiJodHRwczovL253c3NwLm5ocy53YWxlcy9hLXdwL29uY2UtZm9yLXdhbGVzLWNvbmNlcm5zLW1hbmFnZW1lbnQtc3lzdGVtLyIsImNvbnRhaW5lci10aXRsZS1zaG9ydCI6IiJ9LCJpc1RlbXBvcmFyeSI6ZmFsc2V9LHsiaWQiOiI3NGVhOWUyZC0wMDZlLTNjZTEtYmJmOC00Njg5NGFkZDExOWMiLCJpdGVtRGF0YSI6eyJ0eXBlIjoiYXJ0aWNsZS1qb3VybmFsIiwiaWQiOiI3NGVhOWUyZC0wMDZlLTNjZTEtYmJmOC00Njg5NGFkZDExOWMiLCJ0aXRsZSI6Ik9uY2UgZm9yIFdhbGVzIENvbmNlcm5zIE1hbmFnZW1lbnQgU3lzdGVtIERhdGl4IEN5bXJ1IENvbW11bml0eSBQaGFybWFjeSBQYXRpZW50IFNhZmV0eSBJbmNpZGVudCBSZXBvcnRpbmcgYW5kIE1hbmFnZW1lbnQgUXVpY2sgUmVmZXJlbmNlIFVzZXIgR3VpZGUiLCJhY2Nlc3NlZCI6eyJkYXRlLXBhcnRzIjpbWzIwMjYsMSwyOF1dfSwiY29udGFpbmVyLXRpdGxlLXNob3J0IjoiIn0sImlzVGVtcG9yYXJ5IjpmYWxzZX0seyJpZCI6ImI2ZjIyZmMyLWVhMzAtMzEyNC05OTc5LWFlOTJhODBlYzc3YSIsIml0ZW1EYXRhIjp7InR5cGUiOiJhcnRpY2xlLWpvdXJuYWwiLCJpZCI6ImI2ZjIyZmMyLWVhMzAtMzEyNC05OTc5LWFlOTJhODBlYzc3YSIsInRpdGxlIjoiREFUSVggQ1lNUlUtSU5DSURFTlQgUkVQT1JUSU5HIiwiYWNjZXNzZWQiOnsiZGF0ZS1wYXJ0cyI6W1syMDI2LDEsMjhdXX0sImNvbnRhaW5lci10aXRsZS1zaG9ydCI6IiJ9LCJpc1RlbXBvcmFyeSI6ZmFsc2V9XX0=&quot;,&quot;citationItems&quot;:[{&quot;id&quot;:&quot;91852af7-0362-324d-8a78-7f65134f710c&quot;,&quot;itemData&quot;:{&quot;type&quot;:&quot;webpage&quot;,&quot;id&quot;:&quot;91852af7-0362-324d-8a78-7f65134f710c&quot;,&quot;title&quot;:&quot;Once for Wales Concerns Management System - NHS Wales Shared Services Partnership&quot;,&quot;accessed&quot;:{&quot;date-parts&quot;:[[2026,1,28]]},&quot;URL&quot;:&quot;https://nwssp.nhs.wales/a-wp/once-for-wales-concerns-management-system/&quot;,&quot;container-title-short&quot;:&quot;&quot;},&quot;isTemporary&quot;:false},{&quot;id&quot;:&quot;74ea9e2d-006e-3ce1-bbf8-46894add119c&quot;,&quot;itemData&quot;:{&quot;type&quot;:&quot;article-journal&quot;,&quot;id&quot;:&quot;74ea9e2d-006e-3ce1-bbf8-46894add119c&quot;,&quot;title&quot;:&quot;Once for Wales Concerns Management System Datix Cymru Community Pharmacy Patient Safety Incident Reporting and Management Quick Reference User Guide&quot;,&quot;accessed&quot;:{&quot;date-parts&quot;:[[2026,1,28]]},&quot;container-title-short&quot;:&quot;&quot;},&quot;isTemporary&quot;:false},{&quot;id&quot;:&quot;b6f22fc2-ea30-3124-9979-ae92a80ec77a&quot;,&quot;itemData&quot;:{&quot;type&quot;:&quot;article-journal&quot;,&quot;id&quot;:&quot;b6f22fc2-ea30-3124-9979-ae92a80ec77a&quot;,&quot;title&quot;:&quot;DATIX CYMRU-INCIDENT REPORTING&quot;,&quot;accessed&quot;:{&quot;date-parts&quot;:[[2026,1,28]]},&quot;container-title-short&quot;:&quot;&quot;},&quot;isTemporary&quot;:false}]}]"/>
    <we:property name="MENDELEY_CITATIONS_STYLE" value="{&quot;id&quot;:&quot;https://www.zotero.org/styles/apa&quot;,&quot;title&quot;:&quot;APA Style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343FB-31AF-4DF7-B01F-9FE9FF021A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1974</Words>
  <Characters>11257</Characters>
  <Application>Microsoft Office Word</Application>
  <DocSecurity>0</DocSecurity>
  <Lines>93</Lines>
  <Paragraphs>26</Paragraphs>
  <ScaleCrop>false</ScaleCrop>
  <Company/>
  <LinksUpToDate>false</LinksUpToDate>
  <CharactersWithSpaces>13205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Pooja Chawla (2515021)</dc:creator>
  <cp:keywords/>
  <dc:description/>
  <cp:lastModifiedBy>Pooja Chawla (Welsh Ambulance Service NHS Trust - 020)</cp:lastModifiedBy>
  <cp:revision>2</cp:revision>
  <dcterms:created xsi:type="dcterms:W3CDTF">2026-01-29T11:02:00Z</dcterms:created>
  <dcterms:modified xsi:type="dcterms:W3CDTF">2026-01-29T11:02:00Z</dcterms:modified>
</cp:coreProperties>
</file>