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58C4B" w14:textId="77777777" w:rsidR="008739C5" w:rsidRPr="008739C5" w:rsidRDefault="008739C5" w:rsidP="008739C5">
      <w:pPr>
        <w:spacing w:before="300" w:after="300"/>
        <w:jc w:val="center"/>
      </w:pPr>
      <w:r w:rsidRPr="008739C5">
        <w:drawing>
          <wp:inline distT="0" distB="0" distL="0" distR="0" wp14:anchorId="2D182FC3" wp14:editId="13ED2130">
            <wp:extent cx="2529840" cy="838200"/>
            <wp:effectExtent l="0" t="0" r="3810" b="0"/>
            <wp:docPr id="7170618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9840" cy="838200"/>
                    </a:xfrm>
                    <a:prstGeom prst="rect">
                      <a:avLst/>
                    </a:prstGeom>
                    <a:noFill/>
                    <a:ln>
                      <a:noFill/>
                    </a:ln>
                  </pic:spPr>
                </pic:pic>
              </a:graphicData>
            </a:graphic>
          </wp:inline>
        </w:drawing>
      </w:r>
    </w:p>
    <w:p w14:paraId="08740838" w14:textId="77FC47BD" w:rsidR="008739C5" w:rsidRPr="008739C5" w:rsidRDefault="008739C5" w:rsidP="008739C5">
      <w:pPr>
        <w:spacing w:before="300" w:after="300"/>
        <w:jc w:val="center"/>
      </w:pPr>
    </w:p>
    <w:p w14:paraId="1B8C8436" w14:textId="24590D4E" w:rsidR="008739C5" w:rsidRPr="008739C5" w:rsidRDefault="008739C5" w:rsidP="008739C5">
      <w:pPr>
        <w:spacing w:before="300" w:after="300"/>
        <w:jc w:val="center"/>
      </w:pPr>
      <w:r>
        <w:rPr>
          <w:color w:val="595959"/>
        </w:rPr>
        <w:t xml:space="preserve">Data Security, Governance and </w:t>
      </w:r>
      <w:proofErr w:type="gramStart"/>
      <w:r>
        <w:rPr>
          <w:color w:val="595959"/>
        </w:rPr>
        <w:t>Compliance  (</w:t>
      </w:r>
      <w:proofErr w:type="gramEnd"/>
      <w:r>
        <w:rPr>
          <w:color w:val="595959"/>
        </w:rPr>
        <w:t>ACCA7028)</w:t>
      </w:r>
    </w:p>
    <w:p w14:paraId="78B8DBB6" w14:textId="076035B1" w:rsidR="008739C5" w:rsidRPr="008739C5" w:rsidRDefault="008739C5" w:rsidP="008739C5">
      <w:pPr>
        <w:spacing w:before="300" w:after="300"/>
        <w:jc w:val="center"/>
      </w:pPr>
    </w:p>
    <w:p w14:paraId="66D1DBFC" w14:textId="10F87E4D" w:rsidR="008739C5" w:rsidRPr="008739C5" w:rsidRDefault="008739C5" w:rsidP="008739C5">
      <w:pPr>
        <w:spacing w:before="300" w:after="300"/>
        <w:jc w:val="center"/>
        <w:rPr>
          <w:b/>
        </w:rPr>
      </w:pPr>
      <w:r w:rsidRPr="008739C5">
        <w:rPr>
          <w:b/>
        </w:rPr>
        <w:t>MSc Report:</w:t>
      </w:r>
    </w:p>
    <w:p w14:paraId="1BF150F4" w14:textId="77777777" w:rsidR="008739C5" w:rsidRPr="008739C5" w:rsidRDefault="008739C5" w:rsidP="008739C5">
      <w:pPr>
        <w:spacing w:before="300" w:after="300"/>
        <w:jc w:val="center"/>
      </w:pPr>
    </w:p>
    <w:p w14:paraId="13BB6487" w14:textId="3DB23086" w:rsidR="008739C5" w:rsidRPr="008739C5" w:rsidRDefault="008739C5" w:rsidP="008739C5">
      <w:pPr>
        <w:spacing w:before="300" w:after="300"/>
        <w:jc w:val="center"/>
        <w:rPr>
          <w:bCs/>
        </w:rPr>
      </w:pPr>
      <w:r>
        <w:rPr>
          <w:bCs/>
        </w:rPr>
        <w:t>Case Study</w:t>
      </w:r>
    </w:p>
    <w:p w14:paraId="170C5840" w14:textId="77777777" w:rsidR="008739C5" w:rsidRPr="008739C5" w:rsidRDefault="008739C5" w:rsidP="008739C5">
      <w:pPr>
        <w:spacing w:before="300" w:after="300"/>
        <w:jc w:val="center"/>
      </w:pPr>
      <w:r w:rsidRPr="008739C5">
        <w:t>By</w:t>
      </w:r>
    </w:p>
    <w:p w14:paraId="4FA2547C" w14:textId="77777777" w:rsidR="008739C5" w:rsidRPr="008739C5" w:rsidRDefault="008739C5" w:rsidP="008739C5">
      <w:pPr>
        <w:spacing w:before="300" w:after="300"/>
        <w:jc w:val="center"/>
      </w:pPr>
      <w:r w:rsidRPr="008739C5">
        <w:t>Khawja Redwanul Islam</w:t>
      </w:r>
    </w:p>
    <w:p w14:paraId="218FEC98" w14:textId="77777777" w:rsidR="008739C5" w:rsidRPr="008739C5" w:rsidRDefault="008739C5" w:rsidP="008739C5">
      <w:pPr>
        <w:spacing w:before="300" w:after="300"/>
        <w:jc w:val="center"/>
      </w:pPr>
    </w:p>
    <w:p w14:paraId="29744B00" w14:textId="28120FE3" w:rsidR="008739C5" w:rsidRPr="008739C5" w:rsidRDefault="008739C5" w:rsidP="008739C5">
      <w:pPr>
        <w:spacing w:before="300" w:after="300"/>
        <w:jc w:val="center"/>
      </w:pPr>
      <w:r w:rsidRPr="008739C5">
        <w:t>MSc Data and Artificial Intelligence</w:t>
      </w:r>
    </w:p>
    <w:p w14:paraId="6D6E1949" w14:textId="57F84EFB" w:rsidR="008739C5" w:rsidRPr="008739C5" w:rsidRDefault="008739C5" w:rsidP="008739C5">
      <w:pPr>
        <w:spacing w:before="300" w:after="300"/>
        <w:jc w:val="center"/>
      </w:pPr>
      <w:r w:rsidRPr="008739C5">
        <w:rPr>
          <w:b/>
        </w:rPr>
        <w:t>University of Wales Trinity Saint David</w:t>
      </w:r>
    </w:p>
    <w:p w14:paraId="33CD0101" w14:textId="6BFAD304" w:rsidR="008739C5" w:rsidRPr="008739C5" w:rsidRDefault="008739C5" w:rsidP="008739C5">
      <w:pPr>
        <w:spacing w:before="300" w:after="300"/>
        <w:jc w:val="center"/>
      </w:pPr>
    </w:p>
    <w:p w14:paraId="5AAC4406" w14:textId="107E2682" w:rsidR="008739C5" w:rsidRPr="008739C5" w:rsidRDefault="008739C5" w:rsidP="008739C5">
      <w:pPr>
        <w:spacing w:before="300" w:after="300"/>
        <w:jc w:val="center"/>
      </w:pPr>
    </w:p>
    <w:p w14:paraId="1DBA9105" w14:textId="77777777" w:rsidR="008739C5" w:rsidRPr="008739C5" w:rsidRDefault="008739C5" w:rsidP="008739C5">
      <w:pPr>
        <w:spacing w:before="300" w:after="300"/>
        <w:jc w:val="center"/>
      </w:pPr>
    </w:p>
    <w:p w14:paraId="195A2371" w14:textId="77777777" w:rsidR="008739C5" w:rsidRPr="008739C5" w:rsidRDefault="008739C5" w:rsidP="008739C5">
      <w:pPr>
        <w:spacing w:before="300" w:after="300"/>
        <w:jc w:val="center"/>
      </w:pPr>
    </w:p>
    <w:p w14:paraId="320E697D" w14:textId="77777777" w:rsidR="008739C5" w:rsidRPr="008739C5" w:rsidRDefault="008739C5" w:rsidP="008739C5">
      <w:pPr>
        <w:spacing w:before="300" w:after="300"/>
      </w:pPr>
    </w:p>
    <w:p w14:paraId="6DF1A62A" w14:textId="77777777" w:rsidR="008739C5" w:rsidRPr="008739C5" w:rsidRDefault="008739C5" w:rsidP="008739C5">
      <w:pPr>
        <w:spacing w:before="300" w:after="300"/>
      </w:pPr>
    </w:p>
    <w:p w14:paraId="6A809D94" w14:textId="77777777" w:rsidR="008739C5" w:rsidRPr="008739C5" w:rsidRDefault="008739C5" w:rsidP="008739C5">
      <w:pPr>
        <w:spacing w:before="300" w:after="300"/>
      </w:pPr>
    </w:p>
    <w:p w14:paraId="632A2E93" w14:textId="77777777" w:rsidR="008739C5" w:rsidRPr="008739C5" w:rsidRDefault="008739C5" w:rsidP="008739C5">
      <w:pPr>
        <w:spacing w:before="300" w:after="300"/>
      </w:pPr>
    </w:p>
    <w:p w14:paraId="6449A840" w14:textId="77777777" w:rsidR="008739C5" w:rsidRPr="008739C5" w:rsidRDefault="008739C5" w:rsidP="008739C5">
      <w:pPr>
        <w:spacing w:before="300" w:after="300"/>
      </w:pPr>
    </w:p>
    <w:p w14:paraId="78C879D6" w14:textId="77777777" w:rsidR="00775565" w:rsidRDefault="00775565">
      <w:pPr>
        <w:spacing w:before="300" w:after="300"/>
      </w:pPr>
    </w:p>
    <w:p w14:paraId="77C58F80" w14:textId="77777777" w:rsidR="008739C5" w:rsidRDefault="008739C5">
      <w:pPr>
        <w:pStyle w:val="Heading1"/>
      </w:pPr>
    </w:p>
    <w:p w14:paraId="3ABA19A9" w14:textId="0F2ACB4A" w:rsidR="00775565" w:rsidRDefault="00000000">
      <w:pPr>
        <w:pStyle w:val="Heading1"/>
      </w:pPr>
      <w:r>
        <w:lastRenderedPageBreak/>
        <w:t>Table of Contents</w:t>
      </w:r>
    </w:p>
    <w:p w14:paraId="10774456" w14:textId="77777777" w:rsidR="00775565" w:rsidRDefault="00000000">
      <w:pPr>
        <w:tabs>
          <w:tab w:val="right" w:leader="dot" w:pos="8640"/>
        </w:tabs>
        <w:spacing w:before="40" w:after="60" w:line="280" w:lineRule="auto"/>
      </w:pPr>
      <w:r>
        <w:rPr>
          <w:b/>
          <w:bCs/>
        </w:rPr>
        <w:t>Abstract</w:t>
      </w:r>
      <w:r>
        <w:rPr>
          <w:b/>
          <w:bCs/>
        </w:rPr>
        <w:tab/>
        <w:t>3</w:t>
      </w:r>
    </w:p>
    <w:p w14:paraId="4A8545D9" w14:textId="77777777" w:rsidR="00775565" w:rsidRDefault="00000000">
      <w:pPr>
        <w:tabs>
          <w:tab w:val="right" w:leader="dot" w:pos="8640"/>
        </w:tabs>
        <w:spacing w:before="40" w:after="60" w:line="280" w:lineRule="auto"/>
      </w:pPr>
      <w:r>
        <w:rPr>
          <w:b/>
          <w:bCs/>
        </w:rPr>
        <w:t>Executive Summary</w:t>
      </w:r>
      <w:r>
        <w:rPr>
          <w:b/>
          <w:bCs/>
        </w:rPr>
        <w:tab/>
        <w:t>3</w:t>
      </w:r>
    </w:p>
    <w:p w14:paraId="75D56EEB" w14:textId="77777777" w:rsidR="00775565" w:rsidRDefault="00000000">
      <w:pPr>
        <w:tabs>
          <w:tab w:val="right" w:leader="dot" w:pos="8640"/>
        </w:tabs>
        <w:spacing w:before="40" w:after="60" w:line="280" w:lineRule="auto"/>
      </w:pPr>
      <w:r>
        <w:rPr>
          <w:b/>
          <w:bCs/>
        </w:rPr>
        <w:t>1. Strategic Assumptions</w:t>
      </w:r>
      <w:r>
        <w:rPr>
          <w:b/>
          <w:bCs/>
        </w:rPr>
        <w:tab/>
        <w:t>4</w:t>
      </w:r>
    </w:p>
    <w:p w14:paraId="180D2C74" w14:textId="77777777" w:rsidR="00775565" w:rsidRDefault="00000000">
      <w:pPr>
        <w:tabs>
          <w:tab w:val="right" w:leader="dot" w:pos="8640"/>
        </w:tabs>
        <w:spacing w:before="40" w:after="60" w:line="280" w:lineRule="auto"/>
      </w:pPr>
      <w:r>
        <w:rPr>
          <w:b/>
          <w:bCs/>
        </w:rPr>
        <w:t>2. Task 1: Critical Evaluation of Security Frameworks</w:t>
      </w:r>
      <w:r>
        <w:rPr>
          <w:b/>
          <w:bCs/>
        </w:rPr>
        <w:tab/>
        <w:t>4</w:t>
      </w:r>
    </w:p>
    <w:p w14:paraId="4C6F1403" w14:textId="77777777" w:rsidR="00775565" w:rsidRDefault="00000000">
      <w:pPr>
        <w:tabs>
          <w:tab w:val="right" w:leader="dot" w:pos="8640"/>
        </w:tabs>
        <w:spacing w:before="20" w:after="30" w:line="280" w:lineRule="auto"/>
        <w:ind w:left="360"/>
      </w:pPr>
      <w:proofErr w:type="gramStart"/>
      <w:r>
        <w:t>2.1  ITIL</w:t>
      </w:r>
      <w:proofErr w:type="gramEnd"/>
      <w:r>
        <w:t xml:space="preserve"> 4 vs. ISO/IEC 27001:2022</w:t>
      </w:r>
      <w:r>
        <w:tab/>
        <w:t>4</w:t>
      </w:r>
    </w:p>
    <w:p w14:paraId="5C5FA7EE" w14:textId="77777777" w:rsidR="00775565" w:rsidRDefault="00000000">
      <w:pPr>
        <w:tabs>
          <w:tab w:val="right" w:leader="dot" w:pos="8640"/>
        </w:tabs>
        <w:spacing w:before="20" w:after="30" w:line="280" w:lineRule="auto"/>
        <w:ind w:left="360"/>
      </w:pPr>
      <w:proofErr w:type="gramStart"/>
      <w:r>
        <w:t>2.2  NIST</w:t>
      </w:r>
      <w:proofErr w:type="gramEnd"/>
      <w:r>
        <w:t xml:space="preserve"> Zero Trust Architecture (SP 800-207)</w:t>
      </w:r>
      <w:r>
        <w:tab/>
        <w:t>5</w:t>
      </w:r>
    </w:p>
    <w:p w14:paraId="5CBA446E" w14:textId="77777777" w:rsidR="00775565" w:rsidRDefault="00000000">
      <w:pPr>
        <w:tabs>
          <w:tab w:val="right" w:leader="dot" w:pos="8640"/>
        </w:tabs>
        <w:spacing w:before="20" w:after="30" w:line="280" w:lineRule="auto"/>
        <w:ind w:left="360"/>
      </w:pPr>
      <w:proofErr w:type="gramStart"/>
      <w:r>
        <w:t>2.3  CSA</w:t>
      </w:r>
      <w:proofErr w:type="gramEnd"/>
      <w:r>
        <w:t xml:space="preserve"> Cloud Controls Matrix (CCM) v4</w:t>
      </w:r>
      <w:r>
        <w:tab/>
        <w:t>5</w:t>
      </w:r>
    </w:p>
    <w:p w14:paraId="70E00A2C" w14:textId="77777777" w:rsidR="00775565" w:rsidRDefault="00000000">
      <w:pPr>
        <w:tabs>
          <w:tab w:val="right" w:leader="dot" w:pos="8640"/>
        </w:tabs>
        <w:spacing w:before="20" w:after="30" w:line="280" w:lineRule="auto"/>
        <w:ind w:left="360"/>
      </w:pPr>
      <w:proofErr w:type="gramStart"/>
      <w:r>
        <w:t>2.4  Proposed</w:t>
      </w:r>
      <w:proofErr w:type="gramEnd"/>
      <w:r>
        <w:t xml:space="preserve"> Hybrid Governance Architecture</w:t>
      </w:r>
      <w:r>
        <w:tab/>
        <w:t>6</w:t>
      </w:r>
    </w:p>
    <w:p w14:paraId="5DF32E7F" w14:textId="77777777" w:rsidR="00775565" w:rsidRDefault="00000000">
      <w:pPr>
        <w:tabs>
          <w:tab w:val="right" w:leader="dot" w:pos="8640"/>
        </w:tabs>
        <w:spacing w:before="40" w:after="60" w:line="280" w:lineRule="auto"/>
      </w:pPr>
      <w:r>
        <w:rPr>
          <w:b/>
          <w:bCs/>
        </w:rPr>
        <w:t>3. Task 2: Architectural Design and Practical Application</w:t>
      </w:r>
      <w:r>
        <w:rPr>
          <w:b/>
          <w:bCs/>
        </w:rPr>
        <w:tab/>
        <w:t>6</w:t>
      </w:r>
    </w:p>
    <w:p w14:paraId="554BA95C" w14:textId="77777777" w:rsidR="00775565" w:rsidRDefault="00000000">
      <w:pPr>
        <w:tabs>
          <w:tab w:val="right" w:leader="dot" w:pos="8640"/>
        </w:tabs>
        <w:spacing w:before="20" w:after="30" w:line="280" w:lineRule="auto"/>
        <w:ind w:left="360"/>
      </w:pPr>
      <w:proofErr w:type="gramStart"/>
      <w:r>
        <w:t>3.1  Applied</w:t>
      </w:r>
      <w:proofErr w:type="gramEnd"/>
      <w:r>
        <w:t xml:space="preserve"> Risk Management Matrix</w:t>
      </w:r>
      <w:r>
        <w:tab/>
        <w:t>6</w:t>
      </w:r>
    </w:p>
    <w:p w14:paraId="52AD057D" w14:textId="77777777" w:rsidR="00775565" w:rsidRDefault="00000000">
      <w:pPr>
        <w:tabs>
          <w:tab w:val="right" w:leader="dot" w:pos="8640"/>
        </w:tabs>
        <w:spacing w:before="20" w:after="30" w:line="280" w:lineRule="auto"/>
        <w:ind w:left="360"/>
      </w:pPr>
      <w:proofErr w:type="gramStart"/>
      <w:r>
        <w:t>3.2  Governance</w:t>
      </w:r>
      <w:proofErr w:type="gramEnd"/>
      <w:r>
        <w:t xml:space="preserve"> and Security Policies</w:t>
      </w:r>
      <w:r>
        <w:tab/>
        <w:t>7</w:t>
      </w:r>
    </w:p>
    <w:p w14:paraId="52B868CC" w14:textId="77777777" w:rsidR="00775565" w:rsidRDefault="00000000">
      <w:pPr>
        <w:tabs>
          <w:tab w:val="right" w:leader="dot" w:pos="8640"/>
        </w:tabs>
        <w:spacing w:before="20" w:after="30" w:line="280" w:lineRule="auto"/>
        <w:ind w:left="360"/>
      </w:pPr>
      <w:proofErr w:type="gramStart"/>
      <w:r>
        <w:t>3.3  Zero</w:t>
      </w:r>
      <w:proofErr w:type="gramEnd"/>
      <w:r>
        <w:t xml:space="preserve"> Trust Data Flow</w:t>
      </w:r>
      <w:r>
        <w:tab/>
        <w:t>7</w:t>
      </w:r>
    </w:p>
    <w:p w14:paraId="07993287" w14:textId="77777777" w:rsidR="00775565" w:rsidRDefault="00000000">
      <w:pPr>
        <w:tabs>
          <w:tab w:val="right" w:leader="dot" w:pos="8640"/>
        </w:tabs>
        <w:spacing w:before="20" w:after="30" w:line="280" w:lineRule="auto"/>
        <w:ind w:left="360"/>
      </w:pPr>
      <w:proofErr w:type="gramStart"/>
      <w:r>
        <w:t>3.4  AI</w:t>
      </w:r>
      <w:proofErr w:type="gramEnd"/>
      <w:r>
        <w:t>-Driven Threat Detection and Human-Centric Governance</w:t>
      </w:r>
      <w:r>
        <w:tab/>
        <w:t>8</w:t>
      </w:r>
    </w:p>
    <w:p w14:paraId="1B342569" w14:textId="77777777" w:rsidR="00775565" w:rsidRDefault="00000000">
      <w:pPr>
        <w:tabs>
          <w:tab w:val="right" w:leader="dot" w:pos="8640"/>
        </w:tabs>
        <w:spacing w:before="10" w:after="20" w:line="280" w:lineRule="auto"/>
        <w:ind w:left="720"/>
      </w:pPr>
      <w:proofErr w:type="gramStart"/>
      <w:r>
        <w:rPr>
          <w:color w:val="595959"/>
          <w:sz w:val="20"/>
          <w:szCs w:val="20"/>
        </w:rPr>
        <w:t>3.4.1  Architecture</w:t>
      </w:r>
      <w:proofErr w:type="gramEnd"/>
      <w:r>
        <w:rPr>
          <w:color w:val="595959"/>
          <w:sz w:val="20"/>
          <w:szCs w:val="20"/>
        </w:rPr>
        <w:t xml:space="preserve"> Rationale: Augmenting Human Intelligence</w:t>
      </w:r>
      <w:r>
        <w:rPr>
          <w:color w:val="595959"/>
          <w:sz w:val="20"/>
          <w:szCs w:val="20"/>
        </w:rPr>
        <w:tab/>
        <w:t>8</w:t>
      </w:r>
    </w:p>
    <w:p w14:paraId="3A8BE1BF" w14:textId="77777777" w:rsidR="00775565" w:rsidRDefault="00000000">
      <w:pPr>
        <w:tabs>
          <w:tab w:val="right" w:leader="dot" w:pos="8640"/>
        </w:tabs>
        <w:spacing w:before="10" w:after="20" w:line="280" w:lineRule="auto"/>
        <w:ind w:left="720"/>
      </w:pPr>
      <w:proofErr w:type="gramStart"/>
      <w:r>
        <w:rPr>
          <w:color w:val="595959"/>
          <w:sz w:val="20"/>
          <w:szCs w:val="20"/>
        </w:rPr>
        <w:t>3.4.2  SHAP</w:t>
      </w:r>
      <w:proofErr w:type="gramEnd"/>
      <w:r>
        <w:rPr>
          <w:color w:val="595959"/>
          <w:sz w:val="20"/>
          <w:szCs w:val="20"/>
        </w:rPr>
        <w:t xml:space="preserve"> Explainability and the Human-in-the-Loop</w:t>
      </w:r>
      <w:r>
        <w:rPr>
          <w:color w:val="595959"/>
          <w:sz w:val="20"/>
          <w:szCs w:val="20"/>
        </w:rPr>
        <w:tab/>
        <w:t>8</w:t>
      </w:r>
    </w:p>
    <w:p w14:paraId="2360237F" w14:textId="77777777" w:rsidR="00775565" w:rsidRDefault="00000000">
      <w:pPr>
        <w:tabs>
          <w:tab w:val="right" w:leader="dot" w:pos="8640"/>
        </w:tabs>
        <w:spacing w:before="10" w:after="20" w:line="280" w:lineRule="auto"/>
        <w:ind w:left="720"/>
      </w:pPr>
      <w:proofErr w:type="gramStart"/>
      <w:r>
        <w:rPr>
          <w:color w:val="595959"/>
          <w:sz w:val="20"/>
          <w:szCs w:val="20"/>
        </w:rPr>
        <w:t>3.4.3  Model</w:t>
      </w:r>
      <w:proofErr w:type="gramEnd"/>
      <w:r>
        <w:rPr>
          <w:color w:val="595959"/>
          <w:sz w:val="20"/>
          <w:szCs w:val="20"/>
        </w:rPr>
        <w:t xml:space="preserve"> Risk Management and Bias Mitigation</w:t>
      </w:r>
      <w:r>
        <w:rPr>
          <w:color w:val="595959"/>
          <w:sz w:val="20"/>
          <w:szCs w:val="20"/>
        </w:rPr>
        <w:tab/>
        <w:t>9</w:t>
      </w:r>
    </w:p>
    <w:p w14:paraId="3A3E8113" w14:textId="77777777" w:rsidR="00775565" w:rsidRDefault="00000000">
      <w:pPr>
        <w:tabs>
          <w:tab w:val="right" w:leader="dot" w:pos="8640"/>
        </w:tabs>
        <w:spacing w:before="20" w:after="30" w:line="280" w:lineRule="auto"/>
        <w:ind w:left="360"/>
      </w:pPr>
      <w:proofErr w:type="gramStart"/>
      <w:r>
        <w:t>3.5  Service</w:t>
      </w:r>
      <w:proofErr w:type="gramEnd"/>
      <w:r>
        <w:t xml:space="preserve"> Level Agreements</w:t>
      </w:r>
      <w:r>
        <w:tab/>
        <w:t>9</w:t>
      </w:r>
    </w:p>
    <w:p w14:paraId="0AEA89C0" w14:textId="77777777" w:rsidR="00775565" w:rsidRDefault="00000000">
      <w:pPr>
        <w:tabs>
          <w:tab w:val="right" w:leader="dot" w:pos="8640"/>
        </w:tabs>
        <w:spacing w:before="20" w:after="30" w:line="280" w:lineRule="auto"/>
        <w:ind w:left="360"/>
      </w:pPr>
      <w:proofErr w:type="gramStart"/>
      <w:r>
        <w:t>3.6  Contingency</w:t>
      </w:r>
      <w:proofErr w:type="gramEnd"/>
      <w:r>
        <w:t xml:space="preserve"> Planning and Business Continuity</w:t>
      </w:r>
      <w:r>
        <w:tab/>
        <w:t>10</w:t>
      </w:r>
    </w:p>
    <w:p w14:paraId="62B3480A" w14:textId="77777777" w:rsidR="00775565" w:rsidRDefault="00000000">
      <w:pPr>
        <w:tabs>
          <w:tab w:val="right" w:leader="dot" w:pos="8640"/>
        </w:tabs>
        <w:spacing w:before="40" w:after="60" w:line="280" w:lineRule="auto"/>
      </w:pPr>
      <w:r>
        <w:rPr>
          <w:b/>
          <w:bCs/>
        </w:rPr>
        <w:t>4. Task 3: Regulatory Evolution and Legal Friction</w:t>
      </w:r>
      <w:r>
        <w:rPr>
          <w:b/>
          <w:bCs/>
        </w:rPr>
        <w:tab/>
        <w:t>10</w:t>
      </w:r>
    </w:p>
    <w:p w14:paraId="12DF97CE" w14:textId="77777777" w:rsidR="00775565" w:rsidRDefault="00000000">
      <w:pPr>
        <w:tabs>
          <w:tab w:val="right" w:leader="dot" w:pos="8640"/>
        </w:tabs>
        <w:spacing w:before="20" w:after="30" w:line="280" w:lineRule="auto"/>
        <w:ind w:left="360"/>
      </w:pPr>
      <w:proofErr w:type="gramStart"/>
      <w:r>
        <w:t>4.1  Legislative</w:t>
      </w:r>
      <w:proofErr w:type="gramEnd"/>
      <w:r>
        <w:t xml:space="preserve"> Lag and Data Sovereignty</w:t>
      </w:r>
      <w:r>
        <w:tab/>
        <w:t>10</w:t>
      </w:r>
    </w:p>
    <w:p w14:paraId="26CF6A17" w14:textId="77777777" w:rsidR="00775565" w:rsidRDefault="00000000">
      <w:pPr>
        <w:tabs>
          <w:tab w:val="right" w:leader="dot" w:pos="8640"/>
        </w:tabs>
        <w:spacing w:before="20" w:after="30" w:line="280" w:lineRule="auto"/>
        <w:ind w:left="360"/>
      </w:pPr>
      <w:proofErr w:type="gramStart"/>
      <w:r>
        <w:t>4.2  UK</w:t>
      </w:r>
      <w:proofErr w:type="gramEnd"/>
      <w:r>
        <w:t xml:space="preserve"> vs. EU GDPR Divergence</w:t>
      </w:r>
      <w:r>
        <w:tab/>
        <w:t>11</w:t>
      </w:r>
    </w:p>
    <w:p w14:paraId="7E25CD4B" w14:textId="77777777" w:rsidR="00775565" w:rsidRDefault="00000000">
      <w:pPr>
        <w:tabs>
          <w:tab w:val="right" w:leader="dot" w:pos="8640"/>
        </w:tabs>
        <w:spacing w:before="20" w:after="30" w:line="280" w:lineRule="auto"/>
        <w:ind w:left="360"/>
      </w:pPr>
      <w:proofErr w:type="gramStart"/>
      <w:r>
        <w:t>4.3  EU</w:t>
      </w:r>
      <w:proofErr w:type="gramEnd"/>
      <w:r>
        <w:t xml:space="preserve"> AI Act and Algorithmic Accountability</w:t>
      </w:r>
      <w:r>
        <w:tab/>
        <w:t>11</w:t>
      </w:r>
    </w:p>
    <w:p w14:paraId="0B41A764" w14:textId="77777777" w:rsidR="00775565" w:rsidRDefault="00000000">
      <w:pPr>
        <w:tabs>
          <w:tab w:val="right" w:leader="dot" w:pos="8640"/>
        </w:tabs>
        <w:spacing w:before="20" w:after="30" w:line="280" w:lineRule="auto"/>
        <w:ind w:left="360"/>
      </w:pPr>
      <w:proofErr w:type="gramStart"/>
      <w:r>
        <w:t>4.4  Why</w:t>
      </w:r>
      <w:proofErr w:type="gramEnd"/>
      <w:r>
        <w:t xml:space="preserve"> Regulations Must Continuously Evolve</w:t>
      </w:r>
      <w:r>
        <w:tab/>
        <w:t>12</w:t>
      </w:r>
    </w:p>
    <w:p w14:paraId="70BF6597" w14:textId="77777777" w:rsidR="00775565" w:rsidRDefault="00000000">
      <w:pPr>
        <w:tabs>
          <w:tab w:val="right" w:leader="dot" w:pos="8640"/>
        </w:tabs>
        <w:spacing w:before="40" w:after="60" w:line="280" w:lineRule="auto"/>
      </w:pPr>
      <w:r>
        <w:rPr>
          <w:b/>
          <w:bCs/>
        </w:rPr>
        <w:t>5. Phased Implementation Roadmap</w:t>
      </w:r>
      <w:r>
        <w:rPr>
          <w:b/>
          <w:bCs/>
        </w:rPr>
        <w:tab/>
        <w:t>12</w:t>
      </w:r>
    </w:p>
    <w:p w14:paraId="79A94FE2" w14:textId="77777777" w:rsidR="00775565" w:rsidRDefault="00000000">
      <w:pPr>
        <w:tabs>
          <w:tab w:val="right" w:leader="dot" w:pos="8640"/>
        </w:tabs>
        <w:spacing w:before="40" w:after="60" w:line="280" w:lineRule="auto"/>
      </w:pPr>
      <w:r>
        <w:rPr>
          <w:b/>
          <w:bCs/>
        </w:rPr>
        <w:t>6. Cost–Benefit Analysis</w:t>
      </w:r>
      <w:r>
        <w:rPr>
          <w:b/>
          <w:bCs/>
        </w:rPr>
        <w:tab/>
        <w:t>13</w:t>
      </w:r>
    </w:p>
    <w:p w14:paraId="6F6A7F05" w14:textId="77777777" w:rsidR="00775565" w:rsidRDefault="00000000">
      <w:pPr>
        <w:tabs>
          <w:tab w:val="right" w:leader="dot" w:pos="8640"/>
        </w:tabs>
        <w:spacing w:before="40" w:after="60" w:line="280" w:lineRule="auto"/>
      </w:pPr>
      <w:r>
        <w:rPr>
          <w:b/>
          <w:bCs/>
        </w:rPr>
        <w:t>7. Conclusion</w:t>
      </w:r>
      <w:r>
        <w:rPr>
          <w:b/>
          <w:bCs/>
        </w:rPr>
        <w:tab/>
        <w:t>14</w:t>
      </w:r>
    </w:p>
    <w:p w14:paraId="6397CEA3" w14:textId="77777777" w:rsidR="00775565" w:rsidRDefault="00000000">
      <w:pPr>
        <w:tabs>
          <w:tab w:val="right" w:leader="dot" w:pos="8640"/>
        </w:tabs>
        <w:spacing w:before="40" w:after="60" w:line="280" w:lineRule="auto"/>
      </w:pPr>
      <w:r>
        <w:rPr>
          <w:b/>
          <w:bCs/>
        </w:rPr>
        <w:t>References</w:t>
      </w:r>
      <w:r>
        <w:rPr>
          <w:b/>
          <w:bCs/>
        </w:rPr>
        <w:tab/>
        <w:t>15</w:t>
      </w:r>
    </w:p>
    <w:p w14:paraId="51DF2BBD" w14:textId="77777777" w:rsidR="00775565" w:rsidRDefault="00775565">
      <w:pPr>
        <w:pBdr>
          <w:bottom w:val="single" w:sz="8" w:space="1" w:color="2E74B5"/>
        </w:pBdr>
        <w:spacing w:before="220" w:after="220"/>
      </w:pPr>
    </w:p>
    <w:p w14:paraId="799DDA68" w14:textId="77777777" w:rsidR="00775565" w:rsidRDefault="00000000">
      <w:r>
        <w:br w:type="page"/>
      </w:r>
    </w:p>
    <w:p w14:paraId="37D0C570" w14:textId="77777777" w:rsidR="00775565" w:rsidRDefault="00000000">
      <w:pPr>
        <w:pStyle w:val="Heading1"/>
      </w:pPr>
      <w:r>
        <w:lastRenderedPageBreak/>
        <w:t>List of Figures</w:t>
      </w:r>
    </w:p>
    <w:p w14:paraId="5F3324B0" w14:textId="7A53E20F" w:rsidR="00775565" w:rsidRDefault="00000000">
      <w:pPr>
        <w:spacing w:before="60" w:after="80" w:line="280" w:lineRule="auto"/>
      </w:pPr>
      <w:r>
        <w:t xml:space="preserve">Figure 1: FSB Layered Governance Architecture </w:t>
      </w:r>
      <w:r w:rsidR="008739C5">
        <w:t>-</w:t>
      </w:r>
      <w:r>
        <w:t xml:space="preserve"> showing strategic, governance, tactical, operational, and infrastructure tiers (Section 2.4)</w:t>
      </w:r>
    </w:p>
    <w:p w14:paraId="48136D52" w14:textId="48112C40" w:rsidR="00775565" w:rsidRDefault="00000000">
      <w:pPr>
        <w:spacing w:before="60" w:after="80" w:line="280" w:lineRule="auto"/>
      </w:pPr>
      <w:r>
        <w:t xml:space="preserve">Figure 2: FSB Zero Trust Authentication and Data Flow </w:t>
      </w:r>
      <w:r w:rsidR="008739C5">
        <w:t>-</w:t>
      </w:r>
      <w:r>
        <w:t xml:space="preserve"> five-stage pipeline from device request to core banking API access (Section 3.3)</w:t>
      </w:r>
    </w:p>
    <w:p w14:paraId="2C55C685" w14:textId="77777777" w:rsidR="00775565" w:rsidRDefault="00775565">
      <w:pPr>
        <w:pBdr>
          <w:bottom w:val="single" w:sz="8" w:space="1" w:color="2E74B5"/>
        </w:pBdr>
        <w:spacing w:before="220" w:after="220"/>
      </w:pPr>
    </w:p>
    <w:p w14:paraId="71ADAD16" w14:textId="77777777" w:rsidR="00775565" w:rsidRDefault="00000000">
      <w:pPr>
        <w:pStyle w:val="Heading1"/>
      </w:pPr>
      <w:r>
        <w:t>List of Tables</w:t>
      </w:r>
    </w:p>
    <w:p w14:paraId="2ED61DDA" w14:textId="5C067345" w:rsidR="00775565" w:rsidRDefault="00000000">
      <w:pPr>
        <w:spacing w:before="60" w:after="80" w:line="280" w:lineRule="auto"/>
      </w:pPr>
      <w:r>
        <w:t xml:space="preserve">Table 1: FSB Applied Risk Matrix and Control Mapping </w:t>
      </w:r>
      <w:r w:rsidR="008739C5">
        <w:t>-</w:t>
      </w:r>
      <w:r>
        <w:t xml:space="preserve"> six threat vectors with likelihood, impact, risk score, and proposed controls (Section 3.1)</w:t>
      </w:r>
    </w:p>
    <w:p w14:paraId="67440D95" w14:textId="375F722D" w:rsidR="00775565" w:rsidRDefault="00000000">
      <w:pPr>
        <w:spacing w:before="60" w:after="80" w:line="280" w:lineRule="auto"/>
      </w:pPr>
      <w:r>
        <w:t xml:space="preserve">Table 2: FSB Cloud Vendor SLA Framework </w:t>
      </w:r>
      <w:r w:rsidR="008739C5">
        <w:t>-</w:t>
      </w:r>
      <w:r>
        <w:t xml:space="preserve"> uptime targets, RTO/RPO commitments, and breach consequences across five cloud services (Section 3.5)</w:t>
      </w:r>
    </w:p>
    <w:p w14:paraId="38CA01B8" w14:textId="5589E364" w:rsidR="00775565" w:rsidRDefault="00000000">
      <w:pPr>
        <w:spacing w:before="60" w:after="80" w:line="280" w:lineRule="auto"/>
      </w:pPr>
      <w:r>
        <w:t xml:space="preserve">Table 3: FSB 18-Month Phased Implementation Roadmap </w:t>
      </w:r>
      <w:r w:rsidR="008739C5">
        <w:t>-</w:t>
      </w:r>
      <w:r>
        <w:t xml:space="preserve"> five phases from governance foundation to ISO 27001 certification (Section 5)</w:t>
      </w:r>
    </w:p>
    <w:p w14:paraId="38B0BB99" w14:textId="67920A84" w:rsidR="00775565" w:rsidRDefault="00000000">
      <w:pPr>
        <w:spacing w:before="60" w:after="80" w:line="280" w:lineRule="auto"/>
      </w:pPr>
      <w:r>
        <w:t xml:space="preserve">Table 4: FSB Security Investment Cost–Benefit Analysis </w:t>
      </w:r>
      <w:r w:rsidR="008739C5">
        <w:t>-</w:t>
      </w:r>
      <w:r>
        <w:t xml:space="preserve"> Year 1 costs, projected annual benefits, and ROI rationale across five security initiatives (Section 6)</w:t>
      </w:r>
    </w:p>
    <w:p w14:paraId="6F19A88F" w14:textId="77777777" w:rsidR="00775565" w:rsidRDefault="00775565">
      <w:pPr>
        <w:pBdr>
          <w:bottom w:val="single" w:sz="8" w:space="1" w:color="2E74B5"/>
        </w:pBdr>
        <w:spacing w:before="220" w:after="220"/>
      </w:pPr>
    </w:p>
    <w:p w14:paraId="466456D5" w14:textId="77777777" w:rsidR="00775565" w:rsidRDefault="00000000">
      <w:r>
        <w:br w:type="page"/>
      </w:r>
    </w:p>
    <w:p w14:paraId="1263FDFA" w14:textId="77777777" w:rsidR="00775565" w:rsidRDefault="00000000">
      <w:pPr>
        <w:pStyle w:val="Heading1"/>
      </w:pPr>
      <w:r>
        <w:lastRenderedPageBreak/>
        <w:t>Abstract</w:t>
      </w:r>
    </w:p>
    <w:p w14:paraId="21131612" w14:textId="372E85BF" w:rsidR="00775565" w:rsidRDefault="00000000">
      <w:pPr>
        <w:spacing w:before="60" w:after="60" w:line="280" w:lineRule="auto"/>
        <w:jc w:val="both"/>
      </w:pPr>
      <w:r>
        <w:t xml:space="preserve">This report proposes an integrated Information Security Management System (ISMS) for FinSure Bank (FSB) </w:t>
      </w:r>
      <w:r w:rsidR="008739C5">
        <w:t>-</w:t>
      </w:r>
      <w:r>
        <w:t xml:space="preserve"> a rapidly expanding digital-first bank whose near-total reliance on external cloud infrastructure creates a concentrated and, I would argue, underappreciated risk surface. The design draws on a critical evaluation of three complementary frameworks: ISO/IEC 27001:2022 for board-level governance, NIST Zero Trust Architecture (SP 800-207) for identity-based access control, and the CSA Cloud Controls Matrix v4 (CCM) for vendor accountability. Rather than applying any one framework wholesale, the report argues for a combined governance model tailored to FSB’s specific vulnerabilities. The architecture incorporates LSTM neural networks and Autoencoders for behavioural anomaly detection. This system also requires a formal AI risk management programme under the EU AI Act and GDPR Article 22, including SHAP-based explainability and a human-override mechanism </w:t>
      </w:r>
      <w:r w:rsidR="008739C5">
        <w:t>-</w:t>
      </w:r>
      <w:r>
        <w:t xml:space="preserve"> not because it is best practice, but because it is a legal obligation. A phased 18-month implementation roadmap, supported by a cost–benefit analysis drawing on IBM’s breach cost benchmarks [19] and industry insurance data, suggests an indicative Year 1 ROI of 166–390%, though these figures depend on specific deployment assumptions detailed in Section 6. The regulatory analysis argues that the evolving landscape </w:t>
      </w:r>
      <w:r w:rsidR="008739C5">
        <w:t>-</w:t>
      </w:r>
      <w:r>
        <w:t xml:space="preserve"> spanning GDPR, Schrems II, the UK DPA 2018, and the EU AI Act </w:t>
      </w:r>
      <w:r w:rsidR="008739C5">
        <w:t>-</w:t>
      </w:r>
      <w:r>
        <w:t xml:space="preserve"> makes point-in-time compliance inherently inadequate: governance needs to be designed as a continuously updated process rather than a periodic audit exercise [5].</w:t>
      </w:r>
    </w:p>
    <w:p w14:paraId="7442777E" w14:textId="77777777" w:rsidR="00775565" w:rsidRDefault="00775565">
      <w:pPr>
        <w:pBdr>
          <w:bottom w:val="single" w:sz="8" w:space="1" w:color="2E74B5"/>
        </w:pBdr>
        <w:spacing w:before="220" w:after="220"/>
      </w:pPr>
    </w:p>
    <w:p w14:paraId="34EF1D80" w14:textId="77777777" w:rsidR="00775565" w:rsidRDefault="00000000">
      <w:pPr>
        <w:pStyle w:val="Heading1"/>
      </w:pPr>
      <w:r>
        <w:t>Executive Summary</w:t>
      </w:r>
    </w:p>
    <w:p w14:paraId="544B93BC" w14:textId="30FAC534" w:rsidR="00775565" w:rsidRDefault="00000000">
      <w:pPr>
        <w:spacing w:before="60" w:after="60" w:line="280" w:lineRule="auto"/>
        <w:jc w:val="both"/>
      </w:pPr>
      <w:r>
        <w:t xml:space="preserve">FinSure Bank’s current security posture is fragmented, reactive, and almost entirely dependent on external cloud providers </w:t>
      </w:r>
      <w:r w:rsidR="008739C5">
        <w:t>-</w:t>
      </w:r>
      <w:r>
        <w:t xml:space="preserve"> a combination that leaves the organisation exposed at precisely the points where a modern financial attacker would probe first. This report responds to that challenge by proposing a combined governance approach that brings together ISO/IEC 27001:2022, NIST Zero Trust Architecture, and the CSA Cloud Controls Matrix, extended by an AI-driven threat detection pipeline with built-in human oversight controls. Rather than proposing an abstract compliance framework, the design is grounded in FSB’s actual risk profile: BYOD pressure, third-party contractor access, multi-cloud vendor dependencies, and the growing dual burden of UK and EU regulation. The five-phase, 18-month roadmap charts a realistic, if ambitious, path from FSB’s current CMMI Level 1 posture to full ISO 27001 certification. The central argument running throughout is that governance cannot be treated as a one-off audit exercise </w:t>
      </w:r>
      <w:r w:rsidR="008739C5">
        <w:t>-</w:t>
      </w:r>
      <w:r>
        <w:t xml:space="preserve"> it must be designed as a dynamic, continuously evolving system that adapts alongside the threat landscape and regulatory environment [5][22].</w:t>
      </w:r>
    </w:p>
    <w:p w14:paraId="726F8423" w14:textId="77777777" w:rsidR="00775565" w:rsidRDefault="00775565">
      <w:pPr>
        <w:pBdr>
          <w:bottom w:val="single" w:sz="8" w:space="1" w:color="2E74B5"/>
        </w:pBdr>
        <w:spacing w:before="220" w:after="220"/>
      </w:pPr>
    </w:p>
    <w:p w14:paraId="3B2D21AF" w14:textId="77777777" w:rsidR="00775565" w:rsidRDefault="00000000">
      <w:pPr>
        <w:pStyle w:val="Heading1"/>
      </w:pPr>
      <w:r>
        <w:t>1. Strategic Assumptions</w:t>
      </w:r>
    </w:p>
    <w:p w14:paraId="4D7210DD" w14:textId="77777777" w:rsidR="00775565" w:rsidRDefault="00000000">
      <w:pPr>
        <w:spacing w:before="60" w:after="60" w:line="280" w:lineRule="auto"/>
        <w:jc w:val="both"/>
      </w:pPr>
      <w:r>
        <w:t>To ensure recommendations are appropriately contextualised, the following assumptions regarding FSB are explicitly declared:</w:t>
      </w:r>
    </w:p>
    <w:p w14:paraId="2BFDC368" w14:textId="77777777" w:rsidR="00775565" w:rsidRDefault="00775565">
      <w:pPr>
        <w:spacing w:before="60" w:after="60"/>
      </w:pPr>
    </w:p>
    <w:p w14:paraId="413E2D72" w14:textId="3158EAC7" w:rsidR="00775565" w:rsidRDefault="00000000">
      <w:pPr>
        <w:pStyle w:val="ListParagraph"/>
        <w:numPr>
          <w:ilvl w:val="0"/>
          <w:numId w:val="2"/>
        </w:numPr>
        <w:spacing w:before="40" w:after="40" w:line="276" w:lineRule="auto"/>
      </w:pPr>
      <w:r>
        <w:t xml:space="preserve">Infrastructure: FSB operates a multi-cloud hybrid environment </w:t>
      </w:r>
      <w:r w:rsidR="008739C5">
        <w:t>-</w:t>
      </w:r>
      <w:r>
        <w:t xml:space="preserve"> AWS for compute, API hosting, and storage; Azure for identity management and backup </w:t>
      </w:r>
      <w:r w:rsidR="008739C5">
        <w:t>-</w:t>
      </w:r>
      <w:r>
        <w:t xml:space="preserve"> rather than a single vendor. This materially increases IAM complexity and necessitates cross-platform policy consistency [23].</w:t>
      </w:r>
    </w:p>
    <w:p w14:paraId="09623EE4" w14:textId="77777777" w:rsidR="00775565" w:rsidRDefault="00000000">
      <w:pPr>
        <w:pStyle w:val="ListParagraph"/>
        <w:numPr>
          <w:ilvl w:val="0"/>
          <w:numId w:val="2"/>
        </w:numPr>
        <w:spacing w:before="40" w:after="40" w:line="276" w:lineRule="auto"/>
      </w:pPr>
      <w:r>
        <w:lastRenderedPageBreak/>
        <w:t>Regulatory Scope: As a multi-national entity, FSB is bound by EU GDPR, the UK Data Protection Act 2018 [20], PCI-DSS v4.0 [14], and the Schrems II ruling [26] given its use of US-headquartered cloud hyperscalers. The EU AI Act [25] additionally applies to FSB's proposed AI detection systems.</w:t>
      </w:r>
    </w:p>
    <w:p w14:paraId="19136774" w14:textId="49500427" w:rsidR="00775565" w:rsidRDefault="00000000">
      <w:pPr>
        <w:pStyle w:val="ListParagraph"/>
        <w:numPr>
          <w:ilvl w:val="0"/>
          <w:numId w:val="2"/>
        </w:numPr>
        <w:spacing w:before="40" w:after="40" w:line="276" w:lineRule="auto"/>
      </w:pPr>
      <w:r>
        <w:t xml:space="preserve">Budgeting and Resources: FSB possesses an enterprise-level cybersecurity budget but faces a severe internal skills gap </w:t>
      </w:r>
      <w:r w:rsidR="008739C5">
        <w:t>-</w:t>
      </w:r>
      <w:r>
        <w:t xml:space="preserve"> a recognised characteristic of rapidly scaling fintechs [19].</w:t>
      </w:r>
    </w:p>
    <w:p w14:paraId="18749094" w14:textId="77777777" w:rsidR="00775565" w:rsidRDefault="00000000">
      <w:pPr>
        <w:pStyle w:val="ListParagraph"/>
        <w:numPr>
          <w:ilvl w:val="0"/>
          <w:numId w:val="2"/>
        </w:numPr>
        <w:spacing w:before="40" w:after="40" w:line="276" w:lineRule="auto"/>
      </w:pPr>
      <w:r>
        <w:t>Security Maturity: FSB currently operates at CMMI Level 1 (Initial/Ad Hoc), meaning processes are unpredictable, reactive, and poorly controlled, necessitating a full structural overhaul.</w:t>
      </w:r>
    </w:p>
    <w:p w14:paraId="4ADB4386" w14:textId="72C79BBD" w:rsidR="00775565" w:rsidRDefault="00000000">
      <w:pPr>
        <w:pStyle w:val="ListParagraph"/>
        <w:numPr>
          <w:ilvl w:val="0"/>
          <w:numId w:val="2"/>
        </w:numPr>
        <w:spacing w:before="40" w:after="40" w:line="276" w:lineRule="auto"/>
      </w:pPr>
      <w:r>
        <w:t xml:space="preserve">Workforce Model: FSB's workforce encompasses full-time employees, remote contractors, and third-party partners </w:t>
      </w:r>
      <w:r w:rsidR="008739C5">
        <w:t>-</w:t>
      </w:r>
      <w:r>
        <w:t xml:space="preserve"> each with distinct risk profiles requiring differentiated access controls under the principle of least privilege [12].</w:t>
      </w:r>
    </w:p>
    <w:p w14:paraId="58BA49A3" w14:textId="77777777" w:rsidR="00775565" w:rsidRDefault="00775565">
      <w:pPr>
        <w:pBdr>
          <w:bottom w:val="single" w:sz="8" w:space="1" w:color="2E74B5"/>
        </w:pBdr>
        <w:spacing w:before="220" w:after="220"/>
      </w:pPr>
    </w:p>
    <w:p w14:paraId="7DA7E9DF" w14:textId="77777777" w:rsidR="00775565" w:rsidRDefault="00000000">
      <w:pPr>
        <w:pStyle w:val="Heading1"/>
      </w:pPr>
      <w:r>
        <w:t>2. Task 1: Critical Evaluation of Security Frameworks</w:t>
      </w:r>
    </w:p>
    <w:p w14:paraId="2DC4134A" w14:textId="5777FBF9" w:rsidR="00775565" w:rsidRDefault="00000000">
      <w:pPr>
        <w:spacing w:before="60" w:after="60" w:line="280" w:lineRule="auto"/>
        <w:jc w:val="both"/>
      </w:pPr>
      <w:r>
        <w:t xml:space="preserve">Selecting the right governance framework for FSB is not a theoretical exercise. It has direct operational and regulatory consequences </w:t>
      </w:r>
      <w:r w:rsidR="008739C5">
        <w:t>-</w:t>
      </w:r>
      <w:r>
        <w:t xml:space="preserve"> and getting it wrong is expensive. No single framework covers every dimension of FSB’s risk profile, so the task is to evaluate the realistic options and design a combination that covers the gaps. The risk of the alternative is what practitioners call ‘security theatre’ </w:t>
      </w:r>
      <w:r w:rsidR="008739C5">
        <w:t>-</w:t>
      </w:r>
      <w:r>
        <w:t xml:space="preserve"> spending money on compliance processes that look robust in an audit but fail the moment an attacker </w:t>
      </w:r>
      <w:r w:rsidR="008739C5">
        <w:t>probes</w:t>
      </w:r>
      <w:r>
        <w:t xml:space="preserve"> them [19]. For a bank at CMMI Level 1, that is the starting point to avoid.</w:t>
      </w:r>
    </w:p>
    <w:p w14:paraId="5624BA59" w14:textId="77777777" w:rsidR="00775565" w:rsidRDefault="00000000">
      <w:pPr>
        <w:pStyle w:val="Heading2"/>
      </w:pPr>
      <w:r>
        <w:t>2.1 ITIL 4 vs. ISO/IEC 27001:2022</w:t>
      </w:r>
    </w:p>
    <w:p w14:paraId="5A0DD893" w14:textId="77777777" w:rsidR="00775565" w:rsidRDefault="00000000">
      <w:pPr>
        <w:pStyle w:val="Heading3"/>
      </w:pPr>
      <w:r>
        <w:t>ITIL 4</w:t>
      </w:r>
    </w:p>
    <w:p w14:paraId="603A5CFC" w14:textId="2D80D9C7" w:rsidR="00775565" w:rsidRDefault="00000000">
      <w:pPr>
        <w:spacing w:before="60" w:after="60" w:line="280" w:lineRule="auto"/>
        <w:jc w:val="both"/>
      </w:pPr>
      <w:r>
        <w:t xml:space="preserve">ITIL 4 is an IT Service Management framework prioritising alignment of IT services with business continuity [2]. While its Service Value System provides useful process governance, ITIL lacks the granular security controls required for cybersecurity governance in a cloud-native, multi-jurisdictional financial architecture [15]. Rahman [15] suggests that ITIL is better suited to service governance support rather than acting as a primary cybersecurity compliance framework in regulated banking environments, though it can productively complement a formal ISMS through change management disciplines. For FSB specifically, I would argue that adopting ITIL as a primary governance tool would be a category error </w:t>
      </w:r>
      <w:r w:rsidR="008739C5">
        <w:t>-</w:t>
      </w:r>
      <w:r>
        <w:t xml:space="preserve"> it solves a different problem than the one FSB </w:t>
      </w:r>
      <w:proofErr w:type="gramStart"/>
      <w:r>
        <w:t>actually faces</w:t>
      </w:r>
      <w:proofErr w:type="gramEnd"/>
      <w:r>
        <w:t>.</w:t>
      </w:r>
    </w:p>
    <w:p w14:paraId="3A0E2ABB" w14:textId="77777777" w:rsidR="00775565" w:rsidRDefault="00000000">
      <w:pPr>
        <w:pStyle w:val="Heading3"/>
      </w:pPr>
      <w:r>
        <w:t>ISO/IEC 27001:2022</w:t>
      </w:r>
    </w:p>
    <w:p w14:paraId="4C8A1316" w14:textId="77777777" w:rsidR="00775565" w:rsidRDefault="00000000">
      <w:pPr>
        <w:spacing w:before="60" w:after="60" w:line="280" w:lineRule="auto"/>
        <w:jc w:val="both"/>
      </w:pPr>
      <w:r>
        <w:t>ISO/IEC 27001:2022 [9] remains the global benchmark for ISMS establishment, mandating a risk-based approach with board-level accountability through its Annex A controls and the Plan-Do-Check-Act (PDCA) cycle. The 2022 revision introduced 11 new controls relevant to FSB, including cloud service security provisions aligned with ISO/IEC 27017 [27] and PII protection in public clouds via ISO/IEC 27018 [28].</w:t>
      </w:r>
    </w:p>
    <w:p w14:paraId="680B13F3" w14:textId="7DB31D5A" w:rsidR="00775565" w:rsidRDefault="00000000">
      <w:pPr>
        <w:spacing w:before="60" w:after="60" w:line="280" w:lineRule="auto"/>
        <w:jc w:val="both"/>
      </w:pPr>
      <w:r>
        <w:t>Despite its comprehensiveness, ISO 27001 has a well-documented problem: it is compliance-driven, not threat-driven [3]. Chen and Zhao [3] show that the framework’s audit-heavy process frequently produces static documentation that does not reflect live threat landscapes. For FSB specifically, this is particularly concerning. A 12–</w:t>
      </w:r>
      <w:proofErr w:type="gramStart"/>
      <w:r>
        <w:t>18 month</w:t>
      </w:r>
      <w:proofErr w:type="gramEnd"/>
      <w:r>
        <w:t xml:space="preserve"> certification cycle means the risk register </w:t>
      </w:r>
      <w:r>
        <w:lastRenderedPageBreak/>
        <w:t xml:space="preserve">could be outdated before it is even signed off. Certification cycles of that length can also impede agile deployment pipelines [19], and the standard does not mandate continuous monitoring </w:t>
      </w:r>
      <w:r w:rsidR="008739C5">
        <w:t>-</w:t>
      </w:r>
      <w:r>
        <w:t xml:space="preserve"> only periodic review </w:t>
      </w:r>
      <w:r w:rsidR="008739C5">
        <w:t>-</w:t>
      </w:r>
      <w:r>
        <w:t xml:space="preserve"> creating exposure windows that adversarial actors can exploit. ISO 27001 remains the essential governance foundation for FSB, but it cannot function alone. It needs the operational dynamism of ZTA and the cloud-specific rigour of the CSA CCM to be genuinely effective.</w:t>
      </w:r>
    </w:p>
    <w:p w14:paraId="0C092CC5" w14:textId="77777777" w:rsidR="00775565" w:rsidRDefault="00000000">
      <w:pPr>
        <w:pStyle w:val="Heading2"/>
      </w:pPr>
      <w:r>
        <w:t>2.2 NIST Zero Trust Architecture (SP 800-207)</w:t>
      </w:r>
    </w:p>
    <w:p w14:paraId="57072CB9" w14:textId="77777777" w:rsidR="00775565" w:rsidRDefault="00000000">
      <w:pPr>
        <w:spacing w:before="60" w:after="60" w:line="280" w:lineRule="auto"/>
        <w:jc w:val="both"/>
      </w:pPr>
      <w:r>
        <w:t>NIST SP 800-207 [12] defines ZTA as a paradigm shift from static network-perimeter defences to an identity-centric model governed by 'never trust, always verify.' This is acutely relevant for FSB: its BYOD pressures, remote contractor access, and 90%-cloud-hosted infrastructure collectively render traditional perimeter architectures obsolete [24].</w:t>
      </w:r>
    </w:p>
    <w:p w14:paraId="494BA706" w14:textId="479710E1" w:rsidR="00775565" w:rsidRDefault="00000000">
      <w:pPr>
        <w:spacing w:before="60" w:after="60" w:line="280" w:lineRule="auto"/>
        <w:jc w:val="both"/>
      </w:pPr>
      <w:r>
        <w:t xml:space="preserve">ZTA is well evidenced against insider threats and lateral movement [1], and for FSB’s threat profile </w:t>
      </w:r>
      <w:r w:rsidR="008739C5">
        <w:t>-</w:t>
      </w:r>
      <w:r>
        <w:t xml:space="preserve"> BYOD devices, remote contractors, 90% cloud-hosted infrastructure </w:t>
      </w:r>
      <w:r w:rsidR="008739C5">
        <w:t>-</w:t>
      </w:r>
      <w:r>
        <w:t xml:space="preserve"> it is the most appropriate operational framework available. That said, it comes with a significant design constraint that cannot be ignored. Zhao et al. [24] identify that ZTA’s entire efficacy depends on a centralised Identity Provider (IdP). This creates a single point of failure. If the IdP goes down during peak banking hours, FSB effectively stops operating </w:t>
      </w:r>
      <w:r w:rsidR="008739C5">
        <w:t>-</w:t>
      </w:r>
      <w:r>
        <w:t xml:space="preserve"> customers cannot authenticate, transactions cannot be processed, and the FCA would have grounds to investigate under PS21/3. That is not a theoretical risk; it is a design problem that must be addressed from the outset, which is why the SLA framework in Section 3.5 includes a 15-minute backup IdP failover commitment. Williams [22] also notes the continuous authentication loop introduces measurable latency, and Kumar and Singh [11] observe that micro-segmentation frequently encounters staff resistance, increasing the risk of shadow IT. These are real deployment challenges, not reasons to reject ZTA </w:t>
      </w:r>
      <w:r w:rsidR="008739C5">
        <w:t>-</w:t>
      </w:r>
      <w:r>
        <w:t xml:space="preserve"> but they do mean implementation needs to be paired with a structured change-management programme.</w:t>
      </w:r>
    </w:p>
    <w:p w14:paraId="765367A5" w14:textId="77777777" w:rsidR="00775565" w:rsidRDefault="00000000">
      <w:pPr>
        <w:pStyle w:val="Heading2"/>
      </w:pPr>
      <w:r>
        <w:t>2.3 CSA Cloud Controls Matrix (CCM) v4</w:t>
      </w:r>
    </w:p>
    <w:p w14:paraId="78BC164E" w14:textId="137D5FBB" w:rsidR="00775565" w:rsidRDefault="00000000">
      <w:pPr>
        <w:spacing w:before="60" w:after="60" w:line="280" w:lineRule="auto"/>
        <w:jc w:val="both"/>
      </w:pPr>
      <w:r>
        <w:t xml:space="preserve">The CSA CCM v4 [4] provides 197 control objectives across 17 domains, including IAM, Infrastructure Security, and Supply Chain Management. For FSB, the CCM fills a gap that neither ISO 27001 nor ZTA addresses directly: governing what AWS and Azure are </w:t>
      </w:r>
      <w:proofErr w:type="gramStart"/>
      <w:r>
        <w:t>actually doing</w:t>
      </w:r>
      <w:proofErr w:type="gramEnd"/>
      <w:r>
        <w:t xml:space="preserve"> with FSB’s data. Zhang and Lee [23] confirm that CCM adoption in multi-cloud fintech environments reduces vendor-attributable breach risk, which is the most important function it serves here. A limitation worth acknowledging, however, is that CCM compliance relies heavily on vendor self-attestation in many domains. FSB cannot independently audit AWS or Azure’s internal infrastructure </w:t>
      </w:r>
      <w:r w:rsidR="008739C5">
        <w:t>-</w:t>
      </w:r>
      <w:r>
        <w:t xml:space="preserve"> it can only verify what they report. This means CCM provides governance assurance, not an absolute security guarantee, and FSB should treat it as a baseline rather than a ceiling.</w:t>
      </w:r>
    </w:p>
    <w:p w14:paraId="62B0A7CB" w14:textId="77777777" w:rsidR="00775565" w:rsidRDefault="00000000">
      <w:pPr>
        <w:pStyle w:val="Heading2"/>
      </w:pPr>
      <w:r>
        <w:t>2.4 Proposed Hybrid Governance Architecture</w:t>
      </w:r>
    </w:p>
    <w:p w14:paraId="2E220185" w14:textId="14680041" w:rsidR="00775565" w:rsidRDefault="00000000">
      <w:pPr>
        <w:spacing w:before="60" w:after="60" w:line="280" w:lineRule="auto"/>
        <w:jc w:val="both"/>
      </w:pPr>
      <w:r>
        <w:t xml:space="preserve">No single framework is sufficient for FSB’s risk profile </w:t>
      </w:r>
      <w:r w:rsidR="008739C5">
        <w:t>-</w:t>
      </w:r>
      <w:r>
        <w:t xml:space="preserve"> that is the central conclusion of this evaluation. ISO/IEC 27001:2022 provides the strategic governance scaffolding; NIST ZTA provides the tactical, identity-based access layer; and the CSA CCM governs cloud vendor obligations. COBIT 2019 [8] bridges the ISSC and IT operations, which would otherwise remain disconnected layers. A potential weakness of this composite approach is implementation complexity: running multiple overlapping frameworks simultaneously places significant demands on a team that is, by assumption, already operating with a skills gap. That trade-off is, however, acceptable </w:t>
      </w:r>
      <w:r w:rsidR="008739C5">
        <w:t>-</w:t>
      </w:r>
      <w:r>
        <w:t xml:space="preserve"> the alternative of relying on any single framework leaves material gaps that FSB’s threat profile cannot afford.</w:t>
      </w:r>
    </w:p>
    <w:p w14:paraId="69A11EEF" w14:textId="77777777" w:rsidR="00775565" w:rsidRDefault="00775565">
      <w:pPr>
        <w:spacing w:before="80" w:after="80"/>
      </w:pPr>
    </w:p>
    <w:p w14:paraId="652CABEF" w14:textId="77777777" w:rsidR="00775565" w:rsidRDefault="00000000">
      <w:pPr>
        <w:spacing w:before="60" w:after="100"/>
        <w:jc w:val="center"/>
      </w:pPr>
      <w:r>
        <w:rPr>
          <w:b/>
          <w:bCs/>
          <w:i/>
          <w:iCs/>
          <w:color w:val="595959"/>
          <w:sz w:val="20"/>
          <w:szCs w:val="20"/>
        </w:rPr>
        <w:t>Figure 1: FSB Layered Governance Architecture</w:t>
      </w:r>
    </w:p>
    <w:p w14:paraId="7DCCEC5A" w14:textId="77777777" w:rsidR="00775565" w:rsidRDefault="00775565">
      <w:pPr>
        <w:spacing w:before="6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18"/>
        <w:gridCol w:w="7842"/>
      </w:tblGrid>
      <w:tr w:rsidR="00775565" w14:paraId="05B0E8CE" w14:textId="77777777">
        <w:tblPrEx>
          <w:tblCellMar>
            <w:top w:w="0" w:type="dxa"/>
            <w:bottom w:w="0" w:type="dxa"/>
          </w:tblCellMar>
        </w:tblPrEx>
        <w:tc>
          <w:tcPr>
            <w:tcW w:w="9360" w:type="dxa"/>
            <w:gridSpan w:val="2"/>
            <w:tcBorders>
              <w:top w:val="single" w:sz="8" w:space="0" w:color="1F4E79"/>
              <w:left w:val="single" w:sz="8" w:space="0" w:color="1F4E79"/>
              <w:bottom w:val="single" w:sz="8" w:space="0" w:color="1F4E79"/>
              <w:right w:val="single" w:sz="8" w:space="0" w:color="1F4E79"/>
            </w:tcBorders>
            <w:shd w:val="clear" w:color="auto" w:fill="1F4E79"/>
            <w:tcMar>
              <w:top w:w="90" w:type="dxa"/>
              <w:left w:w="140" w:type="dxa"/>
              <w:bottom w:w="90" w:type="dxa"/>
              <w:right w:w="140" w:type="dxa"/>
            </w:tcMar>
            <w:vAlign w:val="center"/>
          </w:tcPr>
          <w:p w14:paraId="3994348D" w14:textId="77777777" w:rsidR="00775565" w:rsidRDefault="00000000">
            <w:pPr>
              <w:jc w:val="center"/>
            </w:pPr>
            <w:r>
              <w:rPr>
                <w:b/>
                <w:bCs/>
                <w:color w:val="FFFFFF"/>
              </w:rPr>
              <w:t>FSB LAYERED GOVERNANCE ARCHITECTURE</w:t>
            </w:r>
          </w:p>
        </w:tc>
      </w:tr>
      <w:tr w:rsidR="00775565" w14:paraId="67D6D158" w14:textId="77777777">
        <w:tblPrEx>
          <w:tblCellMar>
            <w:top w:w="0" w:type="dxa"/>
            <w:bottom w:w="0" w:type="dxa"/>
          </w:tblCellMar>
        </w:tblPrEx>
        <w:tc>
          <w:tcPr>
            <w:tcW w:w="1200" w:type="dxa"/>
            <w:tcBorders>
              <w:top w:val="single" w:sz="6" w:space="0" w:color="0A2A47"/>
              <w:left w:val="single" w:sz="6" w:space="0" w:color="0A2A47"/>
              <w:bottom w:val="single" w:sz="6" w:space="0" w:color="0A2A47"/>
              <w:right w:val="single" w:sz="6" w:space="0" w:color="0A2A47"/>
            </w:tcBorders>
            <w:shd w:val="clear" w:color="auto" w:fill="0A2A47"/>
            <w:tcMar>
              <w:top w:w="90" w:type="dxa"/>
              <w:left w:w="140" w:type="dxa"/>
              <w:bottom w:w="90" w:type="dxa"/>
              <w:right w:w="140" w:type="dxa"/>
            </w:tcMar>
            <w:vAlign w:val="center"/>
          </w:tcPr>
          <w:p w14:paraId="6EDFE9AB" w14:textId="77777777" w:rsidR="00775565" w:rsidRDefault="00000000">
            <w:pPr>
              <w:jc w:val="center"/>
            </w:pPr>
            <w:r>
              <w:rPr>
                <w:b/>
                <w:bCs/>
                <w:color w:val="FFFFFF"/>
                <w:sz w:val="17"/>
                <w:szCs w:val="17"/>
              </w:rPr>
              <w:t>STRATEGIC</w:t>
            </w:r>
          </w:p>
        </w:tc>
        <w:tc>
          <w:tcPr>
            <w:tcW w:w="8160" w:type="dxa"/>
            <w:tcBorders>
              <w:top w:val="single" w:sz="4" w:space="0" w:color="0A2A47"/>
              <w:left w:val="single" w:sz="4" w:space="0" w:color="0A2A47"/>
              <w:bottom w:val="single" w:sz="4" w:space="0" w:color="0A2A47"/>
              <w:right w:val="single" w:sz="4" w:space="0" w:color="0A2A47"/>
            </w:tcBorders>
            <w:shd w:val="clear" w:color="auto" w:fill="1A3A5C"/>
            <w:tcMar>
              <w:top w:w="90" w:type="dxa"/>
              <w:left w:w="140" w:type="dxa"/>
              <w:bottom w:w="90" w:type="dxa"/>
              <w:right w:w="140" w:type="dxa"/>
            </w:tcMar>
            <w:vAlign w:val="center"/>
          </w:tcPr>
          <w:p w14:paraId="1F14463A" w14:textId="77777777" w:rsidR="00775565" w:rsidRDefault="00000000">
            <w:r>
              <w:rPr>
                <w:color w:val="FFFFFF"/>
                <w:sz w:val="18"/>
                <w:szCs w:val="18"/>
              </w:rPr>
              <w:t>BOARD OF DIRECTORS / ISSC Strategic mandate · Risk appetite · Budget allocation · Executive accountability</w:t>
            </w:r>
          </w:p>
        </w:tc>
      </w:tr>
      <w:tr w:rsidR="00775565" w14:paraId="167BB518" w14:textId="77777777">
        <w:tblPrEx>
          <w:tblCellMar>
            <w:top w:w="0" w:type="dxa"/>
            <w:bottom w:w="0" w:type="dxa"/>
          </w:tblCellMar>
        </w:tblPrEx>
        <w:tc>
          <w:tcPr>
            <w:tcW w:w="120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372A189A" w14:textId="77777777" w:rsidR="00775565" w:rsidRDefault="00775565"/>
        </w:tc>
        <w:tc>
          <w:tcPr>
            <w:tcW w:w="816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64FE9A8B" w14:textId="77777777" w:rsidR="00775565" w:rsidRDefault="00000000">
            <w:pPr>
              <w:jc w:val="center"/>
            </w:pPr>
            <w:r>
              <w:rPr>
                <w:b/>
                <w:bCs/>
                <w:color w:val="2E74B5"/>
                <w:sz w:val="20"/>
                <w:szCs w:val="20"/>
              </w:rPr>
              <w:t>▼</w:t>
            </w:r>
          </w:p>
        </w:tc>
      </w:tr>
      <w:tr w:rsidR="00775565" w14:paraId="1C4F5573" w14:textId="77777777">
        <w:tblPrEx>
          <w:tblCellMar>
            <w:top w:w="0" w:type="dxa"/>
            <w:bottom w:w="0" w:type="dxa"/>
          </w:tblCellMar>
        </w:tblPrEx>
        <w:tc>
          <w:tcPr>
            <w:tcW w:w="1200" w:type="dxa"/>
            <w:tcBorders>
              <w:top w:val="single" w:sz="6" w:space="0" w:color="1F4E79"/>
              <w:left w:val="single" w:sz="6" w:space="0" w:color="1F4E79"/>
              <w:bottom w:val="single" w:sz="6" w:space="0" w:color="1F4E79"/>
              <w:right w:val="single" w:sz="6" w:space="0" w:color="1F4E79"/>
            </w:tcBorders>
            <w:shd w:val="clear" w:color="auto" w:fill="1F4E79"/>
            <w:tcMar>
              <w:top w:w="90" w:type="dxa"/>
              <w:left w:w="140" w:type="dxa"/>
              <w:bottom w:w="90" w:type="dxa"/>
              <w:right w:w="140" w:type="dxa"/>
            </w:tcMar>
            <w:vAlign w:val="center"/>
          </w:tcPr>
          <w:p w14:paraId="22DF1118" w14:textId="77777777" w:rsidR="00775565" w:rsidRDefault="00000000">
            <w:pPr>
              <w:jc w:val="center"/>
            </w:pPr>
            <w:r>
              <w:rPr>
                <w:b/>
                <w:bCs/>
                <w:color w:val="FFFFFF"/>
                <w:sz w:val="17"/>
                <w:szCs w:val="17"/>
              </w:rPr>
              <w:t>GOVERNANCE</w:t>
            </w:r>
          </w:p>
        </w:tc>
        <w:tc>
          <w:tcPr>
            <w:tcW w:w="8160" w:type="dxa"/>
            <w:tcBorders>
              <w:top w:val="single" w:sz="2" w:space="0" w:color="BBBBBB"/>
              <w:left w:val="single" w:sz="2" w:space="0" w:color="BBBBBB"/>
              <w:bottom w:val="single" w:sz="2" w:space="0" w:color="BBBBBB"/>
              <w:right w:val="single" w:sz="2" w:space="0" w:color="BBBBBB"/>
            </w:tcBorders>
            <w:shd w:val="clear" w:color="auto" w:fill="DEEAF1"/>
            <w:tcMar>
              <w:top w:w="90" w:type="dxa"/>
              <w:left w:w="140" w:type="dxa"/>
              <w:bottom w:w="90" w:type="dxa"/>
              <w:right w:w="140" w:type="dxa"/>
            </w:tcMar>
            <w:vAlign w:val="center"/>
          </w:tcPr>
          <w:p w14:paraId="629F821C" w14:textId="72D0FC69" w:rsidR="00775565" w:rsidRDefault="00000000">
            <w:r>
              <w:rPr>
                <w:color w:val="000000"/>
                <w:sz w:val="18"/>
                <w:szCs w:val="18"/>
              </w:rPr>
              <w:t>ISO/IEC 27001:2022 · COBIT 2019 Enterprise ISMS · Risk Register · PDCA Cycle · Annual Compliance Audit · Annex A Controls</w:t>
            </w:r>
          </w:p>
        </w:tc>
      </w:tr>
      <w:tr w:rsidR="00775565" w14:paraId="524D7B6E" w14:textId="77777777">
        <w:tblPrEx>
          <w:tblCellMar>
            <w:top w:w="0" w:type="dxa"/>
            <w:bottom w:w="0" w:type="dxa"/>
          </w:tblCellMar>
        </w:tblPrEx>
        <w:tc>
          <w:tcPr>
            <w:tcW w:w="120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2A8DD81F" w14:textId="77777777" w:rsidR="00775565" w:rsidRDefault="00775565"/>
        </w:tc>
        <w:tc>
          <w:tcPr>
            <w:tcW w:w="816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1EA8F1B5" w14:textId="77777777" w:rsidR="00775565" w:rsidRDefault="00000000">
            <w:pPr>
              <w:jc w:val="center"/>
            </w:pPr>
            <w:r>
              <w:rPr>
                <w:b/>
                <w:bCs/>
                <w:color w:val="2E74B5"/>
                <w:sz w:val="20"/>
                <w:szCs w:val="20"/>
              </w:rPr>
              <w:t>▼</w:t>
            </w:r>
          </w:p>
        </w:tc>
      </w:tr>
      <w:tr w:rsidR="00775565" w14:paraId="26B4EE5C" w14:textId="77777777">
        <w:tblPrEx>
          <w:tblCellMar>
            <w:top w:w="0" w:type="dxa"/>
            <w:bottom w:w="0" w:type="dxa"/>
          </w:tblCellMar>
        </w:tblPrEx>
        <w:tc>
          <w:tcPr>
            <w:tcW w:w="1200" w:type="dxa"/>
            <w:tcBorders>
              <w:top w:val="single" w:sz="6" w:space="0" w:color="2E74B5"/>
              <w:left w:val="single" w:sz="6" w:space="0" w:color="2E74B5"/>
              <w:bottom w:val="single" w:sz="6" w:space="0" w:color="2E74B5"/>
              <w:right w:val="single" w:sz="6" w:space="0" w:color="2E74B5"/>
            </w:tcBorders>
            <w:shd w:val="clear" w:color="auto" w:fill="2E74B5"/>
            <w:tcMar>
              <w:top w:w="90" w:type="dxa"/>
              <w:left w:w="140" w:type="dxa"/>
              <w:bottom w:w="90" w:type="dxa"/>
              <w:right w:w="140" w:type="dxa"/>
            </w:tcMar>
            <w:vAlign w:val="center"/>
          </w:tcPr>
          <w:p w14:paraId="0184FA2A" w14:textId="77777777" w:rsidR="00775565" w:rsidRDefault="00000000">
            <w:pPr>
              <w:jc w:val="center"/>
            </w:pPr>
            <w:r>
              <w:rPr>
                <w:b/>
                <w:bCs/>
                <w:color w:val="FFFFFF"/>
                <w:sz w:val="17"/>
                <w:szCs w:val="17"/>
              </w:rPr>
              <w:t>TACTICAL</w:t>
            </w:r>
          </w:p>
        </w:tc>
        <w:tc>
          <w:tcPr>
            <w:tcW w:w="8160" w:type="dxa"/>
            <w:tcBorders>
              <w:top w:val="single" w:sz="2" w:space="0" w:color="BBBBBB"/>
              <w:left w:val="single" w:sz="2" w:space="0" w:color="BBBBBB"/>
              <w:bottom w:val="single" w:sz="2" w:space="0" w:color="BBBBBB"/>
              <w:right w:val="single" w:sz="2" w:space="0" w:color="BBBBBB"/>
            </w:tcBorders>
            <w:shd w:val="clear" w:color="auto" w:fill="BDD7EE"/>
            <w:tcMar>
              <w:top w:w="90" w:type="dxa"/>
              <w:left w:w="140" w:type="dxa"/>
              <w:bottom w:w="90" w:type="dxa"/>
              <w:right w:w="140" w:type="dxa"/>
            </w:tcMar>
            <w:vAlign w:val="center"/>
          </w:tcPr>
          <w:p w14:paraId="657DD082" w14:textId="586F71CC" w:rsidR="00775565" w:rsidRDefault="00000000">
            <w:r>
              <w:rPr>
                <w:color w:val="000000"/>
                <w:sz w:val="18"/>
                <w:szCs w:val="18"/>
              </w:rPr>
              <w:t>NIST SP 800-207 (ZTA) + CSA CCM v4 Identity-centric access · Micro-segmentation · Device health checks · Vendor SLA governance · Data residency</w:t>
            </w:r>
          </w:p>
        </w:tc>
      </w:tr>
      <w:tr w:rsidR="00775565" w14:paraId="04BA1F5A" w14:textId="77777777">
        <w:tblPrEx>
          <w:tblCellMar>
            <w:top w:w="0" w:type="dxa"/>
            <w:bottom w:w="0" w:type="dxa"/>
          </w:tblCellMar>
        </w:tblPrEx>
        <w:tc>
          <w:tcPr>
            <w:tcW w:w="120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06290A47" w14:textId="77777777" w:rsidR="00775565" w:rsidRDefault="00775565"/>
        </w:tc>
        <w:tc>
          <w:tcPr>
            <w:tcW w:w="816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6F7C0AE0" w14:textId="77777777" w:rsidR="00775565" w:rsidRDefault="00000000">
            <w:pPr>
              <w:jc w:val="center"/>
            </w:pPr>
            <w:r>
              <w:rPr>
                <w:b/>
                <w:bCs/>
                <w:color w:val="2E74B5"/>
                <w:sz w:val="20"/>
                <w:szCs w:val="20"/>
              </w:rPr>
              <w:t>▼</w:t>
            </w:r>
          </w:p>
        </w:tc>
      </w:tr>
      <w:tr w:rsidR="00775565" w14:paraId="4CE1B0A2" w14:textId="77777777">
        <w:tblPrEx>
          <w:tblCellMar>
            <w:top w:w="0" w:type="dxa"/>
            <w:bottom w:w="0" w:type="dxa"/>
          </w:tblCellMar>
        </w:tblPrEx>
        <w:tc>
          <w:tcPr>
            <w:tcW w:w="1200" w:type="dxa"/>
            <w:tcBorders>
              <w:top w:val="single" w:sz="6" w:space="0" w:color="1F6B75"/>
              <w:left w:val="single" w:sz="6" w:space="0" w:color="1F6B75"/>
              <w:bottom w:val="single" w:sz="6" w:space="0" w:color="1F6B75"/>
              <w:right w:val="single" w:sz="6" w:space="0" w:color="1F6B75"/>
            </w:tcBorders>
            <w:shd w:val="clear" w:color="auto" w:fill="1F6B75"/>
            <w:tcMar>
              <w:top w:w="90" w:type="dxa"/>
              <w:left w:w="140" w:type="dxa"/>
              <w:bottom w:w="90" w:type="dxa"/>
              <w:right w:w="140" w:type="dxa"/>
            </w:tcMar>
            <w:vAlign w:val="center"/>
          </w:tcPr>
          <w:p w14:paraId="7351696D" w14:textId="77777777" w:rsidR="00775565" w:rsidRDefault="00000000">
            <w:pPr>
              <w:jc w:val="center"/>
            </w:pPr>
            <w:r>
              <w:rPr>
                <w:b/>
                <w:bCs/>
                <w:color w:val="FFFFFF"/>
                <w:sz w:val="17"/>
                <w:szCs w:val="17"/>
              </w:rPr>
              <w:t>OPERATIONAL</w:t>
            </w:r>
          </w:p>
        </w:tc>
        <w:tc>
          <w:tcPr>
            <w:tcW w:w="8160" w:type="dxa"/>
            <w:tcBorders>
              <w:top w:val="single" w:sz="2" w:space="0" w:color="BBBBBB"/>
              <w:left w:val="single" w:sz="2" w:space="0" w:color="BBBBBB"/>
              <w:bottom w:val="single" w:sz="2" w:space="0" w:color="BBBBBB"/>
              <w:right w:val="single" w:sz="2" w:space="0" w:color="BBBBBB"/>
            </w:tcBorders>
            <w:shd w:val="clear" w:color="auto" w:fill="D0E8EB"/>
            <w:tcMar>
              <w:top w:w="90" w:type="dxa"/>
              <w:left w:w="140" w:type="dxa"/>
              <w:bottom w:w="90" w:type="dxa"/>
              <w:right w:w="140" w:type="dxa"/>
            </w:tcMar>
            <w:vAlign w:val="center"/>
          </w:tcPr>
          <w:p w14:paraId="15468179" w14:textId="77777777" w:rsidR="00775565" w:rsidRDefault="00000000">
            <w:r>
              <w:rPr>
                <w:color w:val="000000"/>
                <w:sz w:val="18"/>
                <w:szCs w:val="18"/>
              </w:rPr>
              <w:t>Security Controls &amp; Tools MDM (Intune) · SIEM + LSTM AI · WAF · DLP · HSM Key Mgmt · Immutable Backups · Encryption AES-256 / TLS 1.3</w:t>
            </w:r>
          </w:p>
        </w:tc>
      </w:tr>
      <w:tr w:rsidR="00775565" w14:paraId="2051EAE7" w14:textId="77777777">
        <w:tblPrEx>
          <w:tblCellMar>
            <w:top w:w="0" w:type="dxa"/>
            <w:bottom w:w="0" w:type="dxa"/>
          </w:tblCellMar>
        </w:tblPrEx>
        <w:tc>
          <w:tcPr>
            <w:tcW w:w="120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0942211B" w14:textId="77777777" w:rsidR="00775565" w:rsidRDefault="00775565"/>
        </w:tc>
        <w:tc>
          <w:tcPr>
            <w:tcW w:w="816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48FCABA6" w14:textId="77777777" w:rsidR="00775565" w:rsidRDefault="00000000">
            <w:pPr>
              <w:jc w:val="center"/>
            </w:pPr>
            <w:r>
              <w:rPr>
                <w:b/>
                <w:bCs/>
                <w:color w:val="2E74B5"/>
                <w:sz w:val="20"/>
                <w:szCs w:val="20"/>
              </w:rPr>
              <w:t>▼</w:t>
            </w:r>
          </w:p>
        </w:tc>
      </w:tr>
      <w:tr w:rsidR="00775565" w14:paraId="2C90A162" w14:textId="77777777">
        <w:tblPrEx>
          <w:tblCellMar>
            <w:top w:w="0" w:type="dxa"/>
            <w:bottom w:w="0" w:type="dxa"/>
          </w:tblCellMar>
        </w:tblPrEx>
        <w:tc>
          <w:tcPr>
            <w:tcW w:w="1200" w:type="dxa"/>
            <w:tcBorders>
              <w:top w:val="single" w:sz="6" w:space="0" w:color="17202A"/>
              <w:left w:val="single" w:sz="6" w:space="0" w:color="17202A"/>
              <w:bottom w:val="single" w:sz="6" w:space="0" w:color="17202A"/>
              <w:right w:val="single" w:sz="6" w:space="0" w:color="17202A"/>
            </w:tcBorders>
            <w:shd w:val="clear" w:color="auto" w:fill="17202A"/>
            <w:tcMar>
              <w:top w:w="90" w:type="dxa"/>
              <w:left w:w="140" w:type="dxa"/>
              <w:bottom w:w="90" w:type="dxa"/>
              <w:right w:w="140" w:type="dxa"/>
            </w:tcMar>
            <w:vAlign w:val="center"/>
          </w:tcPr>
          <w:p w14:paraId="01AD7378" w14:textId="77777777" w:rsidR="00775565" w:rsidRDefault="00000000">
            <w:pPr>
              <w:jc w:val="center"/>
            </w:pPr>
            <w:r>
              <w:rPr>
                <w:b/>
                <w:bCs/>
                <w:color w:val="FFFFFF"/>
                <w:sz w:val="17"/>
                <w:szCs w:val="17"/>
              </w:rPr>
              <w:t>INFRA</w:t>
            </w:r>
          </w:p>
        </w:tc>
        <w:tc>
          <w:tcPr>
            <w:tcW w:w="8160" w:type="dxa"/>
            <w:tcBorders>
              <w:top w:val="single" w:sz="2" w:space="0" w:color="BBBBBB"/>
              <w:left w:val="single" w:sz="2" w:space="0" w:color="BBBBBB"/>
              <w:bottom w:val="single" w:sz="2" w:space="0" w:color="BBBBBB"/>
              <w:right w:val="single" w:sz="2" w:space="0" w:color="BBBBBB"/>
            </w:tcBorders>
            <w:shd w:val="clear" w:color="auto" w:fill="F2F2F2"/>
            <w:tcMar>
              <w:top w:w="90" w:type="dxa"/>
              <w:left w:w="140" w:type="dxa"/>
              <w:bottom w:w="90" w:type="dxa"/>
              <w:right w:w="140" w:type="dxa"/>
            </w:tcMar>
            <w:vAlign w:val="center"/>
          </w:tcPr>
          <w:p w14:paraId="76336402" w14:textId="567032C4" w:rsidR="00775565" w:rsidRDefault="00000000">
            <w:r>
              <w:rPr>
                <w:color w:val="000000"/>
                <w:sz w:val="18"/>
                <w:szCs w:val="18"/>
              </w:rPr>
              <w:t>Multi-Cloud Infrastructure AWS (Compute · Storage · API Gateway) | Azure (Identity · AD · Backup) | All traffic via ZTA Policy Engine</w:t>
            </w:r>
          </w:p>
        </w:tc>
      </w:tr>
      <w:tr w:rsidR="00775565" w14:paraId="511F2DE6" w14:textId="77777777">
        <w:tblPrEx>
          <w:tblCellMar>
            <w:top w:w="0" w:type="dxa"/>
            <w:bottom w:w="0" w:type="dxa"/>
          </w:tblCellMar>
        </w:tblPrEx>
        <w:tc>
          <w:tcPr>
            <w:tcW w:w="120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438BF25C" w14:textId="77777777" w:rsidR="00775565" w:rsidRDefault="00775565"/>
        </w:tc>
        <w:tc>
          <w:tcPr>
            <w:tcW w:w="8160" w:type="dxa"/>
            <w:tcBorders>
              <w:top w:val="single" w:sz="2" w:space="0" w:color="AACCDD"/>
              <w:left w:val="single" w:sz="2" w:space="0" w:color="AACCDD"/>
              <w:bottom w:val="single" w:sz="2" w:space="0" w:color="AACCDD"/>
              <w:right w:val="single" w:sz="2" w:space="0" w:color="AACCDD"/>
            </w:tcBorders>
            <w:shd w:val="clear" w:color="auto" w:fill="EAF3FB"/>
            <w:tcMar>
              <w:top w:w="90" w:type="dxa"/>
              <w:left w:w="140" w:type="dxa"/>
              <w:bottom w:w="90" w:type="dxa"/>
              <w:right w:w="140" w:type="dxa"/>
            </w:tcMar>
            <w:vAlign w:val="center"/>
          </w:tcPr>
          <w:p w14:paraId="6ADD9161" w14:textId="77777777" w:rsidR="00775565" w:rsidRDefault="00000000">
            <w:r>
              <w:rPr>
                <w:i/>
                <w:iCs/>
                <w:color w:val="595959"/>
                <w:sz w:val="17"/>
                <w:szCs w:val="17"/>
              </w:rPr>
              <w:t xml:space="preserve">  ISO 27001 governs all layers via PDCA   ·   ZTA enforces least privilege at every hop   ·   CSA CCM </w:t>
            </w:r>
            <w:proofErr w:type="gramStart"/>
            <w:r>
              <w:rPr>
                <w:i/>
                <w:iCs/>
                <w:color w:val="595959"/>
                <w:sz w:val="17"/>
                <w:szCs w:val="17"/>
              </w:rPr>
              <w:t>audits</w:t>
            </w:r>
            <w:proofErr w:type="gramEnd"/>
            <w:r>
              <w:rPr>
                <w:i/>
                <w:iCs/>
                <w:color w:val="595959"/>
                <w:sz w:val="17"/>
                <w:szCs w:val="17"/>
              </w:rPr>
              <w:t xml:space="preserve"> vendor obligations</w:t>
            </w:r>
          </w:p>
        </w:tc>
      </w:tr>
    </w:tbl>
    <w:p w14:paraId="3430AD8B" w14:textId="77777777" w:rsidR="00775565" w:rsidRDefault="00775565">
      <w:pPr>
        <w:spacing w:before="120" w:after="120"/>
      </w:pPr>
    </w:p>
    <w:p w14:paraId="4A7E70EE" w14:textId="77777777" w:rsidR="00775565" w:rsidRDefault="00775565">
      <w:pPr>
        <w:pBdr>
          <w:bottom w:val="single" w:sz="8" w:space="1" w:color="2E74B5"/>
        </w:pBdr>
        <w:spacing w:before="220" w:after="220"/>
      </w:pPr>
    </w:p>
    <w:p w14:paraId="6FBF4694" w14:textId="77777777" w:rsidR="00775565" w:rsidRDefault="00000000">
      <w:pPr>
        <w:pStyle w:val="Heading1"/>
      </w:pPr>
      <w:r>
        <w:t>3. Task 2: Architectural Design and Practical Application</w:t>
      </w:r>
    </w:p>
    <w:p w14:paraId="1803A017" w14:textId="77777777" w:rsidR="00775565" w:rsidRDefault="00000000">
      <w:pPr>
        <w:pStyle w:val="Heading2"/>
      </w:pPr>
      <w:r>
        <w:t>3.1 Applied Risk Management Matrix</w:t>
      </w:r>
    </w:p>
    <w:p w14:paraId="5E2163CD" w14:textId="14C7CF7A" w:rsidR="00775565" w:rsidRDefault="00000000">
      <w:pPr>
        <w:spacing w:before="60" w:after="60" w:line="280" w:lineRule="auto"/>
        <w:jc w:val="both"/>
      </w:pPr>
      <w:r>
        <w:t xml:space="preserve">FSB must transition from reactive, ad hoc security to continuous, quantitative risk management aligned with ISO 27001 Clause 6.1.2 and NIST CSF 2.0 [13]. The matrix below assigns risk scores on a 1–9 scale (likelihood × impact) and maps each threat to specific controls. For scale context, assuming FSB serves approximately 500,000 active customers, even a 1% false positive rate on AI-driven transaction blocks would affect around 5,000 customers daily </w:t>
      </w:r>
      <w:r w:rsidR="008739C5">
        <w:t>-</w:t>
      </w:r>
      <w:r>
        <w:t xml:space="preserve"> making accurate threat detection both a security and a customer experience priority.</w:t>
      </w:r>
    </w:p>
    <w:p w14:paraId="41FE9A52" w14:textId="77777777" w:rsidR="00775565" w:rsidRDefault="00775565">
      <w:pPr>
        <w:spacing w:before="60" w:after="60"/>
      </w:pPr>
    </w:p>
    <w:p w14:paraId="4199CF1D" w14:textId="77777777" w:rsidR="008739C5" w:rsidRDefault="008739C5">
      <w:pPr>
        <w:spacing w:before="60" w:after="60"/>
      </w:pPr>
    </w:p>
    <w:p w14:paraId="7D153449" w14:textId="77777777" w:rsidR="008739C5" w:rsidRDefault="008739C5">
      <w:pPr>
        <w:spacing w:before="60" w:after="60"/>
      </w:pPr>
    </w:p>
    <w:p w14:paraId="2ADD7F70" w14:textId="77777777" w:rsidR="008739C5" w:rsidRDefault="008739C5">
      <w:pPr>
        <w:spacing w:before="60" w:after="60"/>
      </w:pPr>
    </w:p>
    <w:p w14:paraId="4677ED70" w14:textId="77777777" w:rsidR="008739C5" w:rsidRDefault="008739C5">
      <w:pPr>
        <w:spacing w:before="60" w:after="60"/>
      </w:pPr>
    </w:p>
    <w:p w14:paraId="09EDF46B" w14:textId="77777777" w:rsidR="008739C5" w:rsidRDefault="008739C5">
      <w:pPr>
        <w:spacing w:before="60" w:after="60"/>
      </w:pPr>
    </w:p>
    <w:p w14:paraId="40539D81" w14:textId="77777777" w:rsidR="008739C5" w:rsidRDefault="008739C5">
      <w:pPr>
        <w:spacing w:before="60" w:after="60"/>
      </w:pPr>
    </w:p>
    <w:p w14:paraId="198AF910" w14:textId="77777777" w:rsidR="008739C5" w:rsidRDefault="008739C5">
      <w:pPr>
        <w:spacing w:before="60" w:after="60"/>
      </w:pPr>
    </w:p>
    <w:p w14:paraId="208F2CC4" w14:textId="77777777" w:rsidR="008739C5" w:rsidRDefault="008739C5">
      <w:pPr>
        <w:spacing w:before="60" w:after="60"/>
      </w:pPr>
    </w:p>
    <w:p w14:paraId="53A1711C" w14:textId="77777777" w:rsidR="008739C5" w:rsidRDefault="008739C5">
      <w:pPr>
        <w:spacing w:before="60" w:after="60"/>
      </w:pPr>
    </w:p>
    <w:p w14:paraId="22E1A67F" w14:textId="77777777" w:rsidR="008739C5" w:rsidRDefault="008739C5">
      <w:pPr>
        <w:spacing w:before="60" w:after="60"/>
      </w:pPr>
    </w:p>
    <w:p w14:paraId="5F731660" w14:textId="77777777" w:rsidR="00775565" w:rsidRDefault="00000000">
      <w:pPr>
        <w:spacing w:before="60" w:after="100"/>
        <w:jc w:val="center"/>
      </w:pPr>
      <w:r>
        <w:rPr>
          <w:b/>
          <w:bCs/>
          <w:i/>
          <w:iCs/>
          <w:color w:val="595959"/>
          <w:sz w:val="20"/>
          <w:szCs w:val="20"/>
        </w:rPr>
        <w:lastRenderedPageBreak/>
        <w:t>Table 1: FSB Applied Risk Matrix and Control Mapping</w:t>
      </w:r>
    </w:p>
    <w:p w14:paraId="5D2E51DE" w14:textId="77777777" w:rsidR="00775565" w:rsidRDefault="00775565">
      <w:pPr>
        <w:spacing w:before="40" w:after="4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67"/>
        <w:gridCol w:w="1230"/>
        <w:gridCol w:w="1092"/>
        <w:gridCol w:w="896"/>
        <w:gridCol w:w="3675"/>
      </w:tblGrid>
      <w:tr w:rsidR="00775565" w14:paraId="3A2A63D8" w14:textId="77777777">
        <w:tblPrEx>
          <w:tblCellMar>
            <w:top w:w="0" w:type="dxa"/>
            <w:bottom w:w="0" w:type="dxa"/>
          </w:tblCellMar>
        </w:tblPrEx>
        <w:tc>
          <w:tcPr>
            <w:tcW w:w="25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55078831" w14:textId="77777777" w:rsidR="00775565" w:rsidRDefault="00000000">
            <w:r>
              <w:rPr>
                <w:b/>
                <w:bCs/>
                <w:color w:val="FFFFFF"/>
                <w:sz w:val="19"/>
                <w:szCs w:val="19"/>
              </w:rPr>
              <w:t>Threat Vector</w:t>
            </w:r>
          </w:p>
        </w:tc>
        <w:tc>
          <w:tcPr>
            <w:tcW w:w="11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1D0091C6" w14:textId="77777777" w:rsidR="00775565" w:rsidRDefault="00000000">
            <w:pPr>
              <w:jc w:val="center"/>
            </w:pPr>
            <w:r>
              <w:rPr>
                <w:b/>
                <w:bCs/>
                <w:color w:val="FFFFFF"/>
                <w:sz w:val="19"/>
                <w:szCs w:val="19"/>
              </w:rPr>
              <w:t>Likelihood</w:t>
            </w:r>
          </w:p>
        </w:tc>
        <w:tc>
          <w:tcPr>
            <w:tcW w:w="11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39E527D4" w14:textId="77777777" w:rsidR="00775565" w:rsidRDefault="00000000">
            <w:pPr>
              <w:jc w:val="center"/>
            </w:pPr>
            <w:r>
              <w:rPr>
                <w:b/>
                <w:bCs/>
                <w:color w:val="FFFFFF"/>
                <w:sz w:val="19"/>
                <w:szCs w:val="19"/>
              </w:rPr>
              <w:t>Impact</w:t>
            </w:r>
          </w:p>
        </w:tc>
        <w:tc>
          <w:tcPr>
            <w:tcW w:w="9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2735D41F" w14:textId="77777777" w:rsidR="00775565" w:rsidRDefault="00000000">
            <w:pPr>
              <w:jc w:val="center"/>
            </w:pPr>
            <w:r>
              <w:rPr>
                <w:b/>
                <w:bCs/>
                <w:color w:val="FFFFFF"/>
                <w:sz w:val="19"/>
                <w:szCs w:val="19"/>
              </w:rPr>
              <w:t>Score</w:t>
            </w:r>
          </w:p>
        </w:tc>
        <w:tc>
          <w:tcPr>
            <w:tcW w:w="376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57177683" w14:textId="77777777" w:rsidR="00775565" w:rsidRDefault="00000000">
            <w:r>
              <w:rPr>
                <w:b/>
                <w:bCs/>
                <w:color w:val="FFFFFF"/>
                <w:sz w:val="19"/>
                <w:szCs w:val="19"/>
              </w:rPr>
              <w:t>Proposed Controls</w:t>
            </w:r>
          </w:p>
        </w:tc>
      </w:tr>
      <w:tr w:rsidR="00775565" w14:paraId="35097989" w14:textId="77777777">
        <w:tblPrEx>
          <w:tblCellMar>
            <w:top w:w="0" w:type="dxa"/>
            <w:bottom w:w="0" w:type="dxa"/>
          </w:tblCellMar>
        </w:tblPrEx>
        <w:tc>
          <w:tcPr>
            <w:tcW w:w="25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074530A9" w14:textId="77777777" w:rsidR="00775565" w:rsidRDefault="00000000">
            <w:r>
              <w:rPr>
                <w:color w:val="000000"/>
                <w:sz w:val="19"/>
                <w:szCs w:val="19"/>
              </w:rPr>
              <w:t>Cloud Misconfiguration / Data Leak</w:t>
            </w:r>
          </w:p>
        </w:tc>
        <w:tc>
          <w:tcPr>
            <w:tcW w:w="11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0468790C" w14:textId="77777777" w:rsidR="00775565" w:rsidRDefault="00000000">
            <w:pPr>
              <w:jc w:val="center"/>
            </w:pPr>
            <w:r>
              <w:rPr>
                <w:color w:val="000000"/>
                <w:sz w:val="19"/>
                <w:szCs w:val="19"/>
              </w:rPr>
              <w:t>High</w:t>
            </w:r>
          </w:p>
        </w:tc>
        <w:tc>
          <w:tcPr>
            <w:tcW w:w="11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36F876EF" w14:textId="77777777" w:rsidR="00775565" w:rsidRDefault="00000000">
            <w:pPr>
              <w:jc w:val="center"/>
            </w:pPr>
            <w:r>
              <w:rPr>
                <w:color w:val="000000"/>
                <w:sz w:val="19"/>
                <w:szCs w:val="19"/>
              </w:rPr>
              <w:t>Critical</w:t>
            </w:r>
          </w:p>
        </w:tc>
        <w:tc>
          <w:tcPr>
            <w:tcW w:w="900" w:type="dxa"/>
            <w:tcBorders>
              <w:top w:val="single" w:sz="4" w:space="0" w:color="CCCCCC"/>
              <w:left w:val="single" w:sz="4" w:space="0" w:color="CCCCCC"/>
              <w:bottom w:val="single" w:sz="4" w:space="0" w:color="CCCCCC"/>
              <w:right w:val="single" w:sz="4" w:space="0" w:color="CCCCCC"/>
            </w:tcBorders>
            <w:shd w:val="clear" w:color="auto" w:fill="FFB3B3"/>
            <w:tcMar>
              <w:top w:w="90" w:type="dxa"/>
              <w:left w:w="140" w:type="dxa"/>
              <w:bottom w:w="90" w:type="dxa"/>
              <w:right w:w="140" w:type="dxa"/>
            </w:tcMar>
            <w:vAlign w:val="center"/>
          </w:tcPr>
          <w:p w14:paraId="74F783CA" w14:textId="77777777" w:rsidR="00775565" w:rsidRDefault="00000000">
            <w:pPr>
              <w:jc w:val="center"/>
            </w:pPr>
            <w:r>
              <w:rPr>
                <w:color w:val="000000"/>
                <w:sz w:val="19"/>
                <w:szCs w:val="19"/>
              </w:rPr>
              <w:t>9</w:t>
            </w:r>
          </w:p>
        </w:tc>
        <w:tc>
          <w:tcPr>
            <w:tcW w:w="376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5687DBD6" w14:textId="77777777" w:rsidR="00775565" w:rsidRDefault="00000000">
            <w:r>
              <w:rPr>
                <w:color w:val="000000"/>
                <w:sz w:val="19"/>
                <w:szCs w:val="19"/>
              </w:rPr>
              <w:t>CSA CCM + CSPM (AWS Security Hub, Azure Defender) [4]</w:t>
            </w:r>
          </w:p>
        </w:tc>
      </w:tr>
      <w:tr w:rsidR="00775565" w14:paraId="3D9F8EA2" w14:textId="77777777">
        <w:tblPrEx>
          <w:tblCellMar>
            <w:top w:w="0" w:type="dxa"/>
            <w:bottom w:w="0" w:type="dxa"/>
          </w:tblCellMar>
        </w:tblPrEx>
        <w:tc>
          <w:tcPr>
            <w:tcW w:w="25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4788399C" w14:textId="77777777" w:rsidR="00775565" w:rsidRDefault="00000000">
            <w:r>
              <w:rPr>
                <w:color w:val="000000"/>
                <w:sz w:val="19"/>
                <w:szCs w:val="19"/>
              </w:rPr>
              <w:t>BYOD Malware / Data Exfiltration</w:t>
            </w:r>
          </w:p>
        </w:tc>
        <w:tc>
          <w:tcPr>
            <w:tcW w:w="11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50170264" w14:textId="77777777" w:rsidR="00775565" w:rsidRDefault="00000000">
            <w:pPr>
              <w:jc w:val="center"/>
            </w:pPr>
            <w:r>
              <w:rPr>
                <w:color w:val="000000"/>
                <w:sz w:val="19"/>
                <w:szCs w:val="19"/>
              </w:rPr>
              <w:t>High</w:t>
            </w:r>
          </w:p>
        </w:tc>
        <w:tc>
          <w:tcPr>
            <w:tcW w:w="11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1DC3A5AD" w14:textId="77777777" w:rsidR="00775565" w:rsidRDefault="00000000">
            <w:pPr>
              <w:jc w:val="center"/>
            </w:pPr>
            <w:r>
              <w:rPr>
                <w:color w:val="000000"/>
                <w:sz w:val="19"/>
                <w:szCs w:val="19"/>
              </w:rPr>
              <w:t>High</w:t>
            </w:r>
          </w:p>
        </w:tc>
        <w:tc>
          <w:tcPr>
            <w:tcW w:w="900" w:type="dxa"/>
            <w:tcBorders>
              <w:top w:val="single" w:sz="4" w:space="0" w:color="CCCCCC"/>
              <w:left w:val="single" w:sz="4" w:space="0" w:color="CCCCCC"/>
              <w:bottom w:val="single" w:sz="4" w:space="0" w:color="CCCCCC"/>
              <w:right w:val="single" w:sz="4" w:space="0" w:color="CCCCCC"/>
            </w:tcBorders>
            <w:shd w:val="clear" w:color="auto" w:fill="FFF2CC"/>
            <w:tcMar>
              <w:top w:w="90" w:type="dxa"/>
              <w:left w:w="140" w:type="dxa"/>
              <w:bottom w:w="90" w:type="dxa"/>
              <w:right w:w="140" w:type="dxa"/>
            </w:tcMar>
            <w:vAlign w:val="center"/>
          </w:tcPr>
          <w:p w14:paraId="75B78E2C" w14:textId="77777777" w:rsidR="00775565" w:rsidRDefault="00000000">
            <w:pPr>
              <w:jc w:val="center"/>
            </w:pPr>
            <w:r>
              <w:rPr>
                <w:color w:val="000000"/>
                <w:sz w:val="19"/>
                <w:szCs w:val="19"/>
              </w:rPr>
              <w:t>8</w:t>
            </w:r>
          </w:p>
        </w:tc>
        <w:tc>
          <w:tcPr>
            <w:tcW w:w="376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1DD63442" w14:textId="77777777" w:rsidR="00775565" w:rsidRDefault="00000000">
            <w:r>
              <w:rPr>
                <w:color w:val="000000"/>
                <w:sz w:val="19"/>
                <w:szCs w:val="19"/>
              </w:rPr>
              <w:t>NIST ZTA + MDM (Intune) + App Containerisation [10][12]</w:t>
            </w:r>
          </w:p>
        </w:tc>
      </w:tr>
      <w:tr w:rsidR="00775565" w14:paraId="6CB87E1D" w14:textId="77777777">
        <w:tblPrEx>
          <w:tblCellMar>
            <w:top w:w="0" w:type="dxa"/>
            <w:bottom w:w="0" w:type="dxa"/>
          </w:tblCellMar>
        </w:tblPrEx>
        <w:tc>
          <w:tcPr>
            <w:tcW w:w="25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2D2FC1B5" w14:textId="77777777" w:rsidR="00775565" w:rsidRDefault="00000000">
            <w:r>
              <w:rPr>
                <w:color w:val="000000"/>
                <w:sz w:val="19"/>
                <w:szCs w:val="19"/>
              </w:rPr>
              <w:t>Insider Threat / Unauthorised Access</w:t>
            </w:r>
          </w:p>
        </w:tc>
        <w:tc>
          <w:tcPr>
            <w:tcW w:w="11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1C2702F7" w14:textId="77777777" w:rsidR="00775565" w:rsidRDefault="00000000">
            <w:pPr>
              <w:jc w:val="center"/>
            </w:pPr>
            <w:r>
              <w:rPr>
                <w:color w:val="000000"/>
                <w:sz w:val="19"/>
                <w:szCs w:val="19"/>
              </w:rPr>
              <w:t>Medium</w:t>
            </w:r>
          </w:p>
        </w:tc>
        <w:tc>
          <w:tcPr>
            <w:tcW w:w="11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1FA978C7" w14:textId="77777777" w:rsidR="00775565" w:rsidRDefault="00000000">
            <w:pPr>
              <w:jc w:val="center"/>
            </w:pPr>
            <w:r>
              <w:rPr>
                <w:color w:val="000000"/>
                <w:sz w:val="19"/>
                <w:szCs w:val="19"/>
              </w:rPr>
              <w:t>Critical</w:t>
            </w:r>
          </w:p>
        </w:tc>
        <w:tc>
          <w:tcPr>
            <w:tcW w:w="900" w:type="dxa"/>
            <w:tcBorders>
              <w:top w:val="single" w:sz="4" w:space="0" w:color="CCCCCC"/>
              <w:left w:val="single" w:sz="4" w:space="0" w:color="CCCCCC"/>
              <w:bottom w:val="single" w:sz="4" w:space="0" w:color="CCCCCC"/>
              <w:right w:val="single" w:sz="4" w:space="0" w:color="CCCCCC"/>
            </w:tcBorders>
            <w:shd w:val="clear" w:color="auto" w:fill="FFF2CC"/>
            <w:tcMar>
              <w:top w:w="90" w:type="dxa"/>
              <w:left w:w="140" w:type="dxa"/>
              <w:bottom w:w="90" w:type="dxa"/>
              <w:right w:w="140" w:type="dxa"/>
            </w:tcMar>
            <w:vAlign w:val="center"/>
          </w:tcPr>
          <w:p w14:paraId="438B22DD" w14:textId="77777777" w:rsidR="00775565" w:rsidRDefault="00000000">
            <w:pPr>
              <w:jc w:val="center"/>
            </w:pPr>
            <w:r>
              <w:rPr>
                <w:color w:val="000000"/>
                <w:sz w:val="19"/>
                <w:szCs w:val="19"/>
              </w:rPr>
              <w:t>7</w:t>
            </w:r>
          </w:p>
        </w:tc>
        <w:tc>
          <w:tcPr>
            <w:tcW w:w="376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4BC55772" w14:textId="77777777" w:rsidR="00775565" w:rsidRDefault="00000000">
            <w:r>
              <w:rPr>
                <w:color w:val="000000"/>
                <w:sz w:val="19"/>
                <w:szCs w:val="19"/>
              </w:rPr>
              <w:t>ISO 27001 PoLP + ZTA Micro-segmentation + UEBA [1][9]</w:t>
            </w:r>
          </w:p>
        </w:tc>
      </w:tr>
      <w:tr w:rsidR="00775565" w14:paraId="7A1D0FD8" w14:textId="77777777">
        <w:tblPrEx>
          <w:tblCellMar>
            <w:top w:w="0" w:type="dxa"/>
            <w:bottom w:w="0" w:type="dxa"/>
          </w:tblCellMar>
        </w:tblPrEx>
        <w:tc>
          <w:tcPr>
            <w:tcW w:w="25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7CCB063C" w14:textId="77777777" w:rsidR="00775565" w:rsidRDefault="00000000">
            <w:r>
              <w:rPr>
                <w:color w:val="000000"/>
                <w:sz w:val="19"/>
                <w:szCs w:val="19"/>
              </w:rPr>
              <w:t>API Compromise in Mobile Banking</w:t>
            </w:r>
          </w:p>
        </w:tc>
        <w:tc>
          <w:tcPr>
            <w:tcW w:w="11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13BB14A0" w14:textId="77777777" w:rsidR="00775565" w:rsidRDefault="00000000">
            <w:pPr>
              <w:jc w:val="center"/>
            </w:pPr>
            <w:r>
              <w:rPr>
                <w:color w:val="000000"/>
                <w:sz w:val="19"/>
                <w:szCs w:val="19"/>
              </w:rPr>
              <w:t>Medium</w:t>
            </w:r>
          </w:p>
        </w:tc>
        <w:tc>
          <w:tcPr>
            <w:tcW w:w="11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0B12F61A" w14:textId="77777777" w:rsidR="00775565" w:rsidRDefault="00000000">
            <w:pPr>
              <w:jc w:val="center"/>
            </w:pPr>
            <w:r>
              <w:rPr>
                <w:color w:val="000000"/>
                <w:sz w:val="19"/>
                <w:szCs w:val="19"/>
              </w:rPr>
              <w:t>High</w:t>
            </w:r>
          </w:p>
        </w:tc>
        <w:tc>
          <w:tcPr>
            <w:tcW w:w="900" w:type="dxa"/>
            <w:tcBorders>
              <w:top w:val="single" w:sz="4" w:space="0" w:color="CCCCCC"/>
              <w:left w:val="single" w:sz="4" w:space="0" w:color="CCCCCC"/>
              <w:bottom w:val="single" w:sz="4" w:space="0" w:color="CCCCCC"/>
              <w:right w:val="single" w:sz="4" w:space="0" w:color="CCCCCC"/>
            </w:tcBorders>
            <w:shd w:val="clear" w:color="auto" w:fill="E2EFDA"/>
            <w:tcMar>
              <w:top w:w="90" w:type="dxa"/>
              <w:left w:w="140" w:type="dxa"/>
              <w:bottom w:w="90" w:type="dxa"/>
              <w:right w:w="140" w:type="dxa"/>
            </w:tcMar>
            <w:vAlign w:val="center"/>
          </w:tcPr>
          <w:p w14:paraId="7177EADB" w14:textId="77777777" w:rsidR="00775565" w:rsidRDefault="00000000">
            <w:pPr>
              <w:jc w:val="center"/>
            </w:pPr>
            <w:r>
              <w:rPr>
                <w:color w:val="000000"/>
                <w:sz w:val="19"/>
                <w:szCs w:val="19"/>
              </w:rPr>
              <w:t>6</w:t>
            </w:r>
          </w:p>
        </w:tc>
        <w:tc>
          <w:tcPr>
            <w:tcW w:w="376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2079C23B" w14:textId="77777777" w:rsidR="00775565" w:rsidRDefault="00000000">
            <w:r>
              <w:rPr>
                <w:color w:val="000000"/>
                <w:sz w:val="19"/>
                <w:szCs w:val="19"/>
              </w:rPr>
              <w:t>WAF (OWASP Top 10) + OAuth 2.0 + LSTM Detection [21]</w:t>
            </w:r>
          </w:p>
        </w:tc>
      </w:tr>
      <w:tr w:rsidR="00775565" w14:paraId="1788698E" w14:textId="77777777">
        <w:tblPrEx>
          <w:tblCellMar>
            <w:top w:w="0" w:type="dxa"/>
            <w:bottom w:w="0" w:type="dxa"/>
          </w:tblCellMar>
        </w:tblPrEx>
        <w:tc>
          <w:tcPr>
            <w:tcW w:w="25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47F5DD6F" w14:textId="77777777" w:rsidR="00775565" w:rsidRDefault="00000000">
            <w:r>
              <w:rPr>
                <w:color w:val="000000"/>
                <w:sz w:val="19"/>
                <w:szCs w:val="19"/>
              </w:rPr>
              <w:t>Ransomware / Supply Chain Attack</w:t>
            </w:r>
          </w:p>
        </w:tc>
        <w:tc>
          <w:tcPr>
            <w:tcW w:w="11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3E3CD0DA" w14:textId="77777777" w:rsidR="00775565" w:rsidRDefault="00000000">
            <w:pPr>
              <w:jc w:val="center"/>
            </w:pPr>
            <w:r>
              <w:rPr>
                <w:color w:val="000000"/>
                <w:sz w:val="19"/>
                <w:szCs w:val="19"/>
              </w:rPr>
              <w:t>Medium</w:t>
            </w:r>
          </w:p>
        </w:tc>
        <w:tc>
          <w:tcPr>
            <w:tcW w:w="11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3E2519C1" w14:textId="77777777" w:rsidR="00775565" w:rsidRDefault="00000000">
            <w:pPr>
              <w:jc w:val="center"/>
            </w:pPr>
            <w:r>
              <w:rPr>
                <w:color w:val="000000"/>
                <w:sz w:val="19"/>
                <w:szCs w:val="19"/>
              </w:rPr>
              <w:t>Critical</w:t>
            </w:r>
          </w:p>
        </w:tc>
        <w:tc>
          <w:tcPr>
            <w:tcW w:w="900" w:type="dxa"/>
            <w:tcBorders>
              <w:top w:val="single" w:sz="4" w:space="0" w:color="CCCCCC"/>
              <w:left w:val="single" w:sz="4" w:space="0" w:color="CCCCCC"/>
              <w:bottom w:val="single" w:sz="4" w:space="0" w:color="CCCCCC"/>
              <w:right w:val="single" w:sz="4" w:space="0" w:color="CCCCCC"/>
            </w:tcBorders>
            <w:shd w:val="clear" w:color="auto" w:fill="FFF2CC"/>
            <w:tcMar>
              <w:top w:w="90" w:type="dxa"/>
              <w:left w:w="140" w:type="dxa"/>
              <w:bottom w:w="90" w:type="dxa"/>
              <w:right w:w="140" w:type="dxa"/>
            </w:tcMar>
            <w:vAlign w:val="center"/>
          </w:tcPr>
          <w:p w14:paraId="3059E3CC" w14:textId="77777777" w:rsidR="00775565" w:rsidRDefault="00000000">
            <w:pPr>
              <w:jc w:val="center"/>
            </w:pPr>
            <w:r>
              <w:rPr>
                <w:color w:val="000000"/>
                <w:sz w:val="19"/>
                <w:szCs w:val="19"/>
              </w:rPr>
              <w:t>7</w:t>
            </w:r>
          </w:p>
        </w:tc>
        <w:tc>
          <w:tcPr>
            <w:tcW w:w="376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0384C50E" w14:textId="77777777" w:rsidR="00775565" w:rsidRDefault="00000000">
            <w:r>
              <w:rPr>
                <w:color w:val="000000"/>
                <w:sz w:val="19"/>
                <w:szCs w:val="19"/>
              </w:rPr>
              <w:t>Immutable Backups + Vendor Risk Assessment (ISO 27036) [4]</w:t>
            </w:r>
          </w:p>
        </w:tc>
      </w:tr>
      <w:tr w:rsidR="00775565" w14:paraId="0CF14406" w14:textId="77777777">
        <w:tblPrEx>
          <w:tblCellMar>
            <w:top w:w="0" w:type="dxa"/>
            <w:bottom w:w="0" w:type="dxa"/>
          </w:tblCellMar>
        </w:tblPrEx>
        <w:tc>
          <w:tcPr>
            <w:tcW w:w="25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67461A4A" w14:textId="77777777" w:rsidR="00775565" w:rsidRDefault="00000000">
            <w:r>
              <w:rPr>
                <w:color w:val="000000"/>
                <w:sz w:val="19"/>
                <w:szCs w:val="19"/>
              </w:rPr>
              <w:t xml:space="preserve">GDPR </w:t>
            </w:r>
            <w:proofErr w:type="gramStart"/>
            <w:r>
              <w:rPr>
                <w:color w:val="000000"/>
                <w:sz w:val="19"/>
                <w:szCs w:val="19"/>
              </w:rPr>
              <w:t>Non-Compliance</w:t>
            </w:r>
            <w:proofErr w:type="gramEnd"/>
          </w:p>
        </w:tc>
        <w:tc>
          <w:tcPr>
            <w:tcW w:w="11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076B8172" w14:textId="77777777" w:rsidR="00775565" w:rsidRDefault="00000000">
            <w:pPr>
              <w:jc w:val="center"/>
            </w:pPr>
            <w:r>
              <w:rPr>
                <w:color w:val="000000"/>
                <w:sz w:val="19"/>
                <w:szCs w:val="19"/>
              </w:rPr>
              <w:t>Low</w:t>
            </w:r>
          </w:p>
        </w:tc>
        <w:tc>
          <w:tcPr>
            <w:tcW w:w="11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4251AFDB" w14:textId="77777777" w:rsidR="00775565" w:rsidRDefault="00000000">
            <w:pPr>
              <w:jc w:val="center"/>
            </w:pPr>
            <w:r>
              <w:rPr>
                <w:color w:val="000000"/>
                <w:sz w:val="19"/>
                <w:szCs w:val="19"/>
              </w:rPr>
              <w:t>Critical</w:t>
            </w:r>
          </w:p>
        </w:tc>
        <w:tc>
          <w:tcPr>
            <w:tcW w:w="900" w:type="dxa"/>
            <w:tcBorders>
              <w:top w:val="single" w:sz="4" w:space="0" w:color="CCCCCC"/>
              <w:left w:val="single" w:sz="4" w:space="0" w:color="CCCCCC"/>
              <w:bottom w:val="single" w:sz="4" w:space="0" w:color="CCCCCC"/>
              <w:right w:val="single" w:sz="4" w:space="0" w:color="CCCCCC"/>
            </w:tcBorders>
            <w:shd w:val="clear" w:color="auto" w:fill="E2EFDA"/>
            <w:tcMar>
              <w:top w:w="90" w:type="dxa"/>
              <w:left w:w="140" w:type="dxa"/>
              <w:bottom w:w="90" w:type="dxa"/>
              <w:right w:w="140" w:type="dxa"/>
            </w:tcMar>
            <w:vAlign w:val="center"/>
          </w:tcPr>
          <w:p w14:paraId="52D43C4C" w14:textId="77777777" w:rsidR="00775565" w:rsidRDefault="00000000">
            <w:pPr>
              <w:jc w:val="center"/>
            </w:pPr>
            <w:r>
              <w:rPr>
                <w:color w:val="000000"/>
                <w:sz w:val="19"/>
                <w:szCs w:val="19"/>
              </w:rPr>
              <w:t>6</w:t>
            </w:r>
          </w:p>
        </w:tc>
        <w:tc>
          <w:tcPr>
            <w:tcW w:w="376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331A2459" w14:textId="77777777" w:rsidR="00775565" w:rsidRDefault="00000000">
            <w:r>
              <w:rPr>
                <w:color w:val="000000"/>
                <w:sz w:val="19"/>
                <w:szCs w:val="19"/>
              </w:rPr>
              <w:t>DPIAs + Dual-track UK/EU compliance programme [6][26]</w:t>
            </w:r>
          </w:p>
        </w:tc>
      </w:tr>
    </w:tbl>
    <w:p w14:paraId="1ECB5DEB" w14:textId="77777777" w:rsidR="00775565" w:rsidRDefault="00775565">
      <w:pPr>
        <w:spacing w:before="120" w:after="120"/>
      </w:pPr>
    </w:p>
    <w:p w14:paraId="7ADEBBA3" w14:textId="77777777" w:rsidR="00775565" w:rsidRDefault="00000000">
      <w:pPr>
        <w:pStyle w:val="Heading2"/>
      </w:pPr>
      <w:r>
        <w:t>3.2 Governance and Security Policies</w:t>
      </w:r>
    </w:p>
    <w:p w14:paraId="4DD1500E" w14:textId="77777777" w:rsidR="00775565" w:rsidRDefault="00000000">
      <w:pPr>
        <w:pStyle w:val="Heading3"/>
      </w:pPr>
      <w:r>
        <w:t>Information Security Steering Committee (ISSC)</w:t>
      </w:r>
    </w:p>
    <w:p w14:paraId="71F8FC07" w14:textId="77777777" w:rsidR="00775565" w:rsidRDefault="00000000">
      <w:pPr>
        <w:spacing w:before="60" w:after="60" w:line="280" w:lineRule="auto"/>
        <w:jc w:val="both"/>
      </w:pPr>
      <w:r>
        <w:t>FSB will establish a formally constituted ISSC comprising the CISO, CRO, CTO, DPO, and a Non-Executive Board representative. Thompson and White [19] argue that board-level security accountability is among the most significant predictors of ISMS effectiveness, a position I find persuasive given FSB’s current ad hoc posture. The ISSC will convene quarterly to review the risk register, approve policy changes, and oversee ISO 27001 audit cycles [22].</w:t>
      </w:r>
    </w:p>
    <w:p w14:paraId="77E99BAA" w14:textId="77777777" w:rsidR="00775565" w:rsidRDefault="00000000">
      <w:pPr>
        <w:pStyle w:val="Heading3"/>
      </w:pPr>
      <w:r>
        <w:t>BYOD Issue-Specific Security Policy (ISSP)</w:t>
      </w:r>
    </w:p>
    <w:p w14:paraId="5805C42A" w14:textId="77777777" w:rsidR="00775565" w:rsidRDefault="00000000">
      <w:pPr>
        <w:spacing w:before="60" w:after="60" w:line="280" w:lineRule="auto"/>
        <w:jc w:val="both"/>
      </w:pPr>
      <w:r>
        <w:t>The ISSP mandates containerisation of corporate data on personal devices via MDM (Microsoft Intune), logically isolating corporate applications in a secure workspace and enabling remote wipes without violating employee privacy under GDPR Article 5 [7]. Johnson and Smith [10] report that MDM containerisation reduced BYOD-attributable breach risk by approximately 68% across the enterprise deployments they studied, though this figure will vary depending on how consistently the policy is enforced. Device registration, minimum OS version enforcement, and mandatory encrypted storage are prerequisites for network access.</w:t>
      </w:r>
    </w:p>
    <w:p w14:paraId="70435F63" w14:textId="77777777" w:rsidR="00775565" w:rsidRDefault="00000000">
      <w:pPr>
        <w:pStyle w:val="Heading3"/>
      </w:pPr>
      <w:r>
        <w:t>Encryption and Data Protection Standards</w:t>
      </w:r>
    </w:p>
    <w:p w14:paraId="63AF5AE3" w14:textId="586DEB39" w:rsidR="00775565" w:rsidRDefault="00000000">
      <w:pPr>
        <w:spacing w:before="60" w:after="60" w:line="280" w:lineRule="auto"/>
        <w:jc w:val="both"/>
      </w:pPr>
      <w:r>
        <w:t xml:space="preserve">All data at rest is encrypted using AES-256; all data in transit uses TLS 1.3 as a mandatory minimum. Key management is conducted via Hardware Security Module (HSM) to prevent insider key exfiltration </w:t>
      </w:r>
      <w:r w:rsidR="008739C5">
        <w:t>-</w:t>
      </w:r>
      <w:r>
        <w:t xml:space="preserve"> directly addressing PCI-DSS v4.0 Requirements 3 and 4 [14] and ISO 27001:2022 Annex A Controls 8.24 and 8.26 [9].</w:t>
      </w:r>
    </w:p>
    <w:p w14:paraId="593EB578" w14:textId="77777777" w:rsidR="00775565" w:rsidRDefault="00000000">
      <w:pPr>
        <w:pStyle w:val="Heading2"/>
      </w:pPr>
      <w:r>
        <w:t>3.3 Zero Trust Data Flow</w:t>
      </w:r>
    </w:p>
    <w:p w14:paraId="55C491DC" w14:textId="77777777" w:rsidR="00775565" w:rsidRDefault="00000000">
      <w:pPr>
        <w:spacing w:before="60" w:after="60" w:line="280" w:lineRule="auto"/>
        <w:jc w:val="both"/>
      </w:pPr>
      <w:r>
        <w:t>The five-stage ZTA pipeline below governs all access requests to FSB's cloud-hosted infrastructure, regardless of network origin. Every stage is immutably logged to the SIEM platform; anomalous signals at Stage 3 trigger automatic ticket generation and LSTM-based threat scoring [24].</w:t>
      </w:r>
    </w:p>
    <w:p w14:paraId="711C99E2" w14:textId="77777777" w:rsidR="00775565" w:rsidRDefault="00775565">
      <w:pPr>
        <w:spacing w:before="80" w:after="80"/>
      </w:pPr>
    </w:p>
    <w:p w14:paraId="714861B1" w14:textId="77777777" w:rsidR="00775565" w:rsidRDefault="00000000">
      <w:pPr>
        <w:spacing w:before="60" w:after="100"/>
        <w:jc w:val="center"/>
      </w:pPr>
      <w:r>
        <w:rPr>
          <w:b/>
          <w:bCs/>
          <w:i/>
          <w:iCs/>
          <w:color w:val="595959"/>
          <w:sz w:val="20"/>
          <w:szCs w:val="20"/>
        </w:rPr>
        <w:lastRenderedPageBreak/>
        <w:t>Figure 2: FSB Zero Trust Authentication and Data Flow</w:t>
      </w:r>
    </w:p>
    <w:p w14:paraId="00D8C767" w14:textId="77777777" w:rsidR="00775565" w:rsidRDefault="00775565">
      <w:pPr>
        <w:spacing w:before="6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40"/>
        <w:gridCol w:w="500"/>
        <w:gridCol w:w="1198"/>
        <w:gridCol w:w="500"/>
        <w:gridCol w:w="1322"/>
        <w:gridCol w:w="500"/>
        <w:gridCol w:w="1301"/>
        <w:gridCol w:w="500"/>
        <w:gridCol w:w="2099"/>
      </w:tblGrid>
      <w:tr w:rsidR="00775565" w14:paraId="50EBAC58" w14:textId="77777777">
        <w:tblPrEx>
          <w:tblCellMar>
            <w:top w:w="0" w:type="dxa"/>
            <w:bottom w:w="0" w:type="dxa"/>
          </w:tblCellMar>
        </w:tblPrEx>
        <w:tc>
          <w:tcPr>
            <w:tcW w:w="9360" w:type="dxa"/>
            <w:gridSpan w:val="9"/>
            <w:tcBorders>
              <w:top w:val="single" w:sz="8" w:space="0" w:color="1F4E79"/>
              <w:left w:val="single" w:sz="8" w:space="0" w:color="1F4E79"/>
              <w:bottom w:val="single" w:sz="8" w:space="0" w:color="1F4E79"/>
              <w:right w:val="single" w:sz="8" w:space="0" w:color="1F4E79"/>
            </w:tcBorders>
            <w:shd w:val="clear" w:color="auto" w:fill="1F4E79"/>
            <w:tcMar>
              <w:top w:w="90" w:type="dxa"/>
              <w:left w:w="140" w:type="dxa"/>
              <w:bottom w:w="90" w:type="dxa"/>
              <w:right w:w="140" w:type="dxa"/>
            </w:tcMar>
            <w:vAlign w:val="center"/>
          </w:tcPr>
          <w:p w14:paraId="176676E3" w14:textId="77777777" w:rsidR="00775565" w:rsidRDefault="00000000">
            <w:pPr>
              <w:jc w:val="center"/>
            </w:pPr>
            <w:r>
              <w:rPr>
                <w:b/>
                <w:bCs/>
                <w:color w:val="FFFFFF"/>
                <w:sz w:val="21"/>
                <w:szCs w:val="21"/>
              </w:rPr>
              <w:t>ZERO TRUST AUTHENTICATION &amp; DATA FLOW</w:t>
            </w:r>
          </w:p>
        </w:tc>
      </w:tr>
      <w:tr w:rsidR="00775565" w14:paraId="16C2E7C4" w14:textId="77777777">
        <w:tblPrEx>
          <w:tblCellMar>
            <w:top w:w="0" w:type="dxa"/>
            <w:bottom w:w="0" w:type="dxa"/>
          </w:tblCellMar>
        </w:tblPrEx>
        <w:tc>
          <w:tcPr>
            <w:tcW w:w="1680" w:type="dxa"/>
            <w:tcBorders>
              <w:top w:val="single" w:sz="4" w:space="0" w:color="2C3E50"/>
              <w:left w:val="single" w:sz="4" w:space="0" w:color="2C3E50"/>
              <w:bottom w:val="single" w:sz="4" w:space="0" w:color="2C3E50"/>
              <w:right w:val="single" w:sz="4" w:space="0" w:color="2C3E50"/>
            </w:tcBorders>
            <w:shd w:val="clear" w:color="auto" w:fill="2C3E50"/>
            <w:tcMar>
              <w:top w:w="90" w:type="dxa"/>
              <w:left w:w="140" w:type="dxa"/>
              <w:bottom w:w="90" w:type="dxa"/>
              <w:right w:w="140" w:type="dxa"/>
            </w:tcMar>
            <w:vAlign w:val="center"/>
          </w:tcPr>
          <w:p w14:paraId="7C3F950D" w14:textId="77777777" w:rsidR="00775565" w:rsidRDefault="00000000">
            <w:pPr>
              <w:jc w:val="center"/>
            </w:pPr>
            <w:r>
              <w:rPr>
                <w:color w:val="FFFFFF"/>
                <w:sz w:val="17"/>
                <w:szCs w:val="17"/>
              </w:rPr>
              <w:t xml:space="preserve">1 BYOD / Remote </w:t>
            </w:r>
            <w:proofErr w:type="gramStart"/>
            <w:r>
              <w:rPr>
                <w:color w:val="FFFFFF"/>
                <w:sz w:val="17"/>
                <w:szCs w:val="17"/>
              </w:rPr>
              <w:t>Device  Request</w:t>
            </w:r>
            <w:proofErr w:type="gramEnd"/>
            <w:r>
              <w:rPr>
                <w:color w:val="FFFFFF"/>
                <w:sz w:val="17"/>
                <w:szCs w:val="17"/>
              </w:rPr>
              <w:t xml:space="preserve"> </w:t>
            </w:r>
            <w:proofErr w:type="gramStart"/>
            <w:r>
              <w:rPr>
                <w:color w:val="FFFFFF"/>
                <w:sz w:val="17"/>
                <w:szCs w:val="17"/>
              </w:rPr>
              <w:t>initiated</w:t>
            </w:r>
            <w:proofErr w:type="gramEnd"/>
            <w:r>
              <w:rPr>
                <w:color w:val="FFFFFF"/>
                <w:sz w:val="17"/>
                <w:szCs w:val="17"/>
              </w:rPr>
              <w:t xml:space="preserve"> Device registered?</w:t>
            </w:r>
          </w:p>
        </w:tc>
        <w:tc>
          <w:tcPr>
            <w:tcW w:w="8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2E461D98" w14:textId="77777777" w:rsidR="00775565" w:rsidRDefault="00000000">
            <w:pPr>
              <w:jc w:val="center"/>
            </w:pPr>
            <w:r>
              <w:rPr>
                <w:b/>
                <w:bCs/>
                <w:color w:val="1F4E79"/>
              </w:rPr>
              <w:t>→</w:t>
            </w:r>
          </w:p>
        </w:tc>
        <w:tc>
          <w:tcPr>
            <w:tcW w:w="1500" w:type="dxa"/>
            <w:tcBorders>
              <w:top w:val="single" w:sz="4" w:space="0" w:color="1F4E79"/>
              <w:left w:val="single" w:sz="4" w:space="0" w:color="1F4E79"/>
              <w:bottom w:val="single" w:sz="4" w:space="0" w:color="1F4E79"/>
              <w:right w:val="single" w:sz="4" w:space="0" w:color="1F4E79"/>
            </w:tcBorders>
            <w:shd w:val="clear" w:color="auto" w:fill="1F4E79"/>
            <w:tcMar>
              <w:top w:w="90" w:type="dxa"/>
              <w:left w:w="140" w:type="dxa"/>
              <w:bottom w:w="90" w:type="dxa"/>
              <w:right w:w="140" w:type="dxa"/>
            </w:tcMar>
            <w:vAlign w:val="center"/>
          </w:tcPr>
          <w:p w14:paraId="52EA0C16" w14:textId="77777777" w:rsidR="00775565" w:rsidRDefault="00000000">
            <w:pPr>
              <w:jc w:val="center"/>
            </w:pPr>
            <w:r>
              <w:rPr>
                <w:color w:val="FFFFFF"/>
                <w:sz w:val="17"/>
                <w:szCs w:val="17"/>
              </w:rPr>
              <w:t xml:space="preserve">2 ZTA Policy </w:t>
            </w:r>
            <w:proofErr w:type="gramStart"/>
            <w:r>
              <w:rPr>
                <w:color w:val="FFFFFF"/>
                <w:sz w:val="17"/>
                <w:szCs w:val="17"/>
              </w:rPr>
              <w:t>Engine  Azure</w:t>
            </w:r>
            <w:proofErr w:type="gramEnd"/>
            <w:r>
              <w:rPr>
                <w:color w:val="FFFFFF"/>
                <w:sz w:val="17"/>
                <w:szCs w:val="17"/>
              </w:rPr>
              <w:t xml:space="preserve"> AD · MFA OAuth 2.0</w:t>
            </w:r>
          </w:p>
        </w:tc>
        <w:tc>
          <w:tcPr>
            <w:tcW w:w="8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77DE86D9" w14:textId="77777777" w:rsidR="00775565" w:rsidRDefault="00000000">
            <w:pPr>
              <w:jc w:val="center"/>
            </w:pPr>
            <w:r>
              <w:rPr>
                <w:b/>
                <w:bCs/>
                <w:color w:val="1F4E79"/>
              </w:rPr>
              <w:t>→</w:t>
            </w:r>
          </w:p>
        </w:tc>
        <w:tc>
          <w:tcPr>
            <w:tcW w:w="1500" w:type="dxa"/>
            <w:tcBorders>
              <w:top w:val="single" w:sz="4" w:space="0" w:color="1A5276"/>
              <w:left w:val="single" w:sz="4" w:space="0" w:color="1A5276"/>
              <w:bottom w:val="single" w:sz="4" w:space="0" w:color="1A5276"/>
              <w:right w:val="single" w:sz="4" w:space="0" w:color="1A5276"/>
            </w:tcBorders>
            <w:shd w:val="clear" w:color="auto" w:fill="1A5276"/>
            <w:tcMar>
              <w:top w:w="90" w:type="dxa"/>
              <w:left w:w="140" w:type="dxa"/>
              <w:bottom w:w="90" w:type="dxa"/>
              <w:right w:w="140" w:type="dxa"/>
            </w:tcMar>
            <w:vAlign w:val="center"/>
          </w:tcPr>
          <w:p w14:paraId="2EE83163" w14:textId="77777777" w:rsidR="00775565" w:rsidRDefault="00000000">
            <w:pPr>
              <w:jc w:val="center"/>
            </w:pPr>
            <w:r>
              <w:rPr>
                <w:color w:val="FFFFFF"/>
                <w:sz w:val="17"/>
                <w:szCs w:val="17"/>
              </w:rPr>
              <w:t xml:space="preserve">3 Contextual </w:t>
            </w:r>
            <w:proofErr w:type="gramStart"/>
            <w:r>
              <w:rPr>
                <w:color w:val="FFFFFF"/>
                <w:sz w:val="17"/>
                <w:szCs w:val="17"/>
              </w:rPr>
              <w:t>Analysis  Location</w:t>
            </w:r>
            <w:proofErr w:type="gramEnd"/>
            <w:r>
              <w:rPr>
                <w:color w:val="FFFFFF"/>
                <w:sz w:val="17"/>
                <w:szCs w:val="17"/>
              </w:rPr>
              <w:t xml:space="preserve"> · Time Device health</w:t>
            </w:r>
          </w:p>
        </w:tc>
        <w:tc>
          <w:tcPr>
            <w:tcW w:w="8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1CBB74DD" w14:textId="77777777" w:rsidR="00775565" w:rsidRDefault="00000000">
            <w:pPr>
              <w:jc w:val="center"/>
            </w:pPr>
            <w:r>
              <w:rPr>
                <w:b/>
                <w:bCs/>
                <w:color w:val="1F4E79"/>
              </w:rPr>
              <w:t>→</w:t>
            </w:r>
          </w:p>
        </w:tc>
        <w:tc>
          <w:tcPr>
            <w:tcW w:w="1500" w:type="dxa"/>
            <w:tcBorders>
              <w:top w:val="single" w:sz="4" w:space="0" w:color="154360"/>
              <w:left w:val="single" w:sz="4" w:space="0" w:color="154360"/>
              <w:bottom w:val="single" w:sz="4" w:space="0" w:color="154360"/>
              <w:right w:val="single" w:sz="4" w:space="0" w:color="154360"/>
            </w:tcBorders>
            <w:shd w:val="clear" w:color="auto" w:fill="154360"/>
            <w:tcMar>
              <w:top w:w="90" w:type="dxa"/>
              <w:left w:w="140" w:type="dxa"/>
              <w:bottom w:w="90" w:type="dxa"/>
              <w:right w:w="140" w:type="dxa"/>
            </w:tcMar>
            <w:vAlign w:val="center"/>
          </w:tcPr>
          <w:p w14:paraId="5E7F0A37" w14:textId="77777777" w:rsidR="00775565" w:rsidRDefault="00000000">
            <w:pPr>
              <w:jc w:val="center"/>
            </w:pPr>
            <w:r>
              <w:rPr>
                <w:color w:val="FFFFFF"/>
                <w:sz w:val="17"/>
                <w:szCs w:val="17"/>
              </w:rPr>
              <w:t>4 Encrypted Micro-</w:t>
            </w:r>
            <w:proofErr w:type="gramStart"/>
            <w:r>
              <w:rPr>
                <w:color w:val="FFFFFF"/>
                <w:sz w:val="17"/>
                <w:szCs w:val="17"/>
              </w:rPr>
              <w:t>Tunnel  mTLS</w:t>
            </w:r>
            <w:proofErr w:type="gramEnd"/>
            <w:r>
              <w:rPr>
                <w:color w:val="FFFFFF"/>
                <w:sz w:val="17"/>
                <w:szCs w:val="17"/>
              </w:rPr>
              <w:t xml:space="preserve"> session Least-privilege scope</w:t>
            </w:r>
          </w:p>
        </w:tc>
        <w:tc>
          <w:tcPr>
            <w:tcW w:w="8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4AB7C835" w14:textId="77777777" w:rsidR="00775565" w:rsidRDefault="00000000">
            <w:pPr>
              <w:jc w:val="center"/>
            </w:pPr>
            <w:r>
              <w:rPr>
                <w:b/>
                <w:bCs/>
                <w:color w:val="1F4E79"/>
              </w:rPr>
              <w:t>→</w:t>
            </w:r>
          </w:p>
        </w:tc>
        <w:tc>
          <w:tcPr>
            <w:tcW w:w="1861" w:type="dxa"/>
            <w:tcBorders>
              <w:top w:val="single" w:sz="4" w:space="0" w:color="17202A"/>
              <w:left w:val="single" w:sz="4" w:space="0" w:color="17202A"/>
              <w:bottom w:val="single" w:sz="4" w:space="0" w:color="17202A"/>
              <w:right w:val="single" w:sz="4" w:space="0" w:color="17202A"/>
            </w:tcBorders>
            <w:shd w:val="clear" w:color="auto" w:fill="17202A"/>
            <w:tcMar>
              <w:top w:w="90" w:type="dxa"/>
              <w:left w:w="140" w:type="dxa"/>
              <w:bottom w:w="90" w:type="dxa"/>
              <w:right w:w="140" w:type="dxa"/>
            </w:tcMar>
            <w:vAlign w:val="center"/>
          </w:tcPr>
          <w:p w14:paraId="07886622" w14:textId="77777777" w:rsidR="00775565" w:rsidRDefault="00000000">
            <w:pPr>
              <w:jc w:val="center"/>
            </w:pPr>
            <w:r>
              <w:rPr>
                <w:color w:val="FFFFFF"/>
                <w:sz w:val="17"/>
                <w:szCs w:val="17"/>
              </w:rPr>
              <w:t xml:space="preserve">5 Core Banking </w:t>
            </w:r>
            <w:proofErr w:type="gramStart"/>
            <w:r>
              <w:rPr>
                <w:color w:val="FFFFFF"/>
                <w:sz w:val="17"/>
                <w:szCs w:val="17"/>
              </w:rPr>
              <w:t>APIs  Strictly</w:t>
            </w:r>
            <w:proofErr w:type="gramEnd"/>
            <w:r>
              <w:rPr>
                <w:color w:val="FFFFFF"/>
                <w:sz w:val="17"/>
                <w:szCs w:val="17"/>
              </w:rPr>
              <w:t xml:space="preserve"> segmented PCI-DSS compliant</w:t>
            </w:r>
          </w:p>
        </w:tc>
      </w:tr>
      <w:tr w:rsidR="00775565" w14:paraId="40939926" w14:textId="77777777">
        <w:tblPrEx>
          <w:tblCellMar>
            <w:top w:w="0" w:type="dxa"/>
            <w:bottom w:w="0" w:type="dxa"/>
          </w:tblCellMar>
        </w:tblPrEx>
        <w:tc>
          <w:tcPr>
            <w:tcW w:w="168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4E4213A2" w14:textId="77777777" w:rsidR="00775565" w:rsidRDefault="00775565"/>
        </w:tc>
        <w:tc>
          <w:tcPr>
            <w:tcW w:w="8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57F807FD" w14:textId="77777777" w:rsidR="00775565" w:rsidRDefault="00775565"/>
        </w:tc>
        <w:tc>
          <w:tcPr>
            <w:tcW w:w="150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61576274" w14:textId="77777777" w:rsidR="00775565" w:rsidRDefault="00775565"/>
        </w:tc>
        <w:tc>
          <w:tcPr>
            <w:tcW w:w="8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7068EB68" w14:textId="77777777" w:rsidR="00775565" w:rsidRDefault="00775565"/>
        </w:tc>
        <w:tc>
          <w:tcPr>
            <w:tcW w:w="3080" w:type="dxa"/>
            <w:gridSpan w:val="3"/>
            <w:tcBorders>
              <w:top w:val="single" w:sz="2" w:space="0" w:color="FFC107"/>
              <w:left w:val="single" w:sz="2" w:space="0" w:color="FFC107"/>
              <w:bottom w:val="single" w:sz="2" w:space="0" w:color="FFC107"/>
              <w:right w:val="single" w:sz="2" w:space="0" w:color="FFC107"/>
            </w:tcBorders>
            <w:shd w:val="clear" w:color="auto" w:fill="FFF3CD"/>
            <w:tcMar>
              <w:top w:w="90" w:type="dxa"/>
              <w:left w:w="140" w:type="dxa"/>
              <w:bottom w:w="90" w:type="dxa"/>
              <w:right w:w="140" w:type="dxa"/>
            </w:tcMar>
            <w:vAlign w:val="center"/>
          </w:tcPr>
          <w:p w14:paraId="041BEADF" w14:textId="77777777" w:rsidR="00775565" w:rsidRDefault="00000000">
            <w:pPr>
              <w:jc w:val="center"/>
            </w:pPr>
            <w:r>
              <w:rPr>
                <w:color w:val="856404"/>
                <w:sz w:val="16"/>
                <w:szCs w:val="16"/>
              </w:rPr>
              <w:t xml:space="preserve">If DENIED → Incident ticket </w:t>
            </w:r>
            <w:proofErr w:type="gramStart"/>
            <w:r>
              <w:rPr>
                <w:color w:val="856404"/>
                <w:sz w:val="16"/>
                <w:szCs w:val="16"/>
              </w:rPr>
              <w:t>auto-raised</w:t>
            </w:r>
            <w:proofErr w:type="gramEnd"/>
            <w:r>
              <w:rPr>
                <w:color w:val="856404"/>
                <w:sz w:val="16"/>
                <w:szCs w:val="16"/>
              </w:rPr>
              <w:t xml:space="preserve"> to SIEM</w:t>
            </w:r>
          </w:p>
        </w:tc>
        <w:tc>
          <w:tcPr>
            <w:tcW w:w="80"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3E0E2AAE" w14:textId="77777777" w:rsidR="00775565" w:rsidRDefault="00775565"/>
        </w:tc>
        <w:tc>
          <w:tcPr>
            <w:tcW w:w="1861" w:type="dxa"/>
            <w:tcBorders>
              <w:top w:val="none" w:sz="0" w:space="0" w:color="FFFFFF"/>
              <w:left w:val="none" w:sz="0" w:space="0" w:color="FFFFFF"/>
              <w:bottom w:val="none" w:sz="0" w:space="0" w:color="FFFFFF"/>
              <w:right w:val="none" w:sz="0" w:space="0" w:color="FFFFFF"/>
            </w:tcBorders>
            <w:shd w:val="clear" w:color="auto" w:fill="FFFFFF"/>
            <w:tcMar>
              <w:top w:w="90" w:type="dxa"/>
              <w:left w:w="140" w:type="dxa"/>
              <w:bottom w:w="90" w:type="dxa"/>
              <w:right w:w="140" w:type="dxa"/>
            </w:tcMar>
            <w:vAlign w:val="center"/>
          </w:tcPr>
          <w:p w14:paraId="40881B7E" w14:textId="77777777" w:rsidR="00775565" w:rsidRDefault="00775565"/>
        </w:tc>
      </w:tr>
      <w:tr w:rsidR="00775565" w14:paraId="048189F0" w14:textId="77777777">
        <w:tblPrEx>
          <w:tblCellMar>
            <w:top w:w="0" w:type="dxa"/>
            <w:bottom w:w="0" w:type="dxa"/>
          </w:tblCellMar>
        </w:tblPrEx>
        <w:tc>
          <w:tcPr>
            <w:tcW w:w="9360" w:type="dxa"/>
            <w:gridSpan w:val="9"/>
            <w:tcBorders>
              <w:top w:val="single" w:sz="2" w:space="0" w:color="AACCDD"/>
              <w:left w:val="single" w:sz="2" w:space="0" w:color="AACCDD"/>
              <w:bottom w:val="single" w:sz="2" w:space="0" w:color="AACCDD"/>
              <w:right w:val="single" w:sz="2" w:space="0" w:color="AACCDD"/>
            </w:tcBorders>
            <w:shd w:val="clear" w:color="auto" w:fill="EAF3FB"/>
            <w:tcMar>
              <w:top w:w="90" w:type="dxa"/>
              <w:left w:w="140" w:type="dxa"/>
              <w:bottom w:w="90" w:type="dxa"/>
              <w:right w:w="140" w:type="dxa"/>
            </w:tcMar>
            <w:vAlign w:val="center"/>
          </w:tcPr>
          <w:p w14:paraId="7967219D" w14:textId="77777777" w:rsidR="00775565" w:rsidRDefault="00000000">
            <w:pPr>
              <w:jc w:val="center"/>
            </w:pPr>
            <w:r>
              <w:rPr>
                <w:i/>
                <w:iCs/>
                <w:color w:val="595959"/>
                <w:sz w:val="17"/>
                <w:szCs w:val="17"/>
              </w:rPr>
              <w:t xml:space="preserve">All steps immutably logged → </w:t>
            </w:r>
            <w:proofErr w:type="gramStart"/>
            <w:r>
              <w:rPr>
                <w:i/>
                <w:iCs/>
                <w:color w:val="595959"/>
                <w:sz w:val="17"/>
                <w:szCs w:val="17"/>
              </w:rPr>
              <w:t>SIEM  ·</w:t>
            </w:r>
            <w:proofErr w:type="gramEnd"/>
            <w:r>
              <w:rPr>
                <w:i/>
                <w:iCs/>
                <w:color w:val="595959"/>
                <w:sz w:val="17"/>
                <w:szCs w:val="17"/>
              </w:rPr>
              <w:t xml:space="preserve">  LSTM anomaly scoring applied at Steps 2–</w:t>
            </w:r>
            <w:proofErr w:type="gramStart"/>
            <w:r>
              <w:rPr>
                <w:i/>
                <w:iCs/>
                <w:color w:val="595959"/>
                <w:sz w:val="17"/>
                <w:szCs w:val="17"/>
              </w:rPr>
              <w:t>4  ·</w:t>
            </w:r>
            <w:proofErr w:type="gramEnd"/>
            <w:r>
              <w:rPr>
                <w:i/>
                <w:iCs/>
                <w:color w:val="595959"/>
                <w:sz w:val="17"/>
                <w:szCs w:val="17"/>
              </w:rPr>
              <w:t xml:space="preserve">  Automated containment on breach detection</w:t>
            </w:r>
          </w:p>
        </w:tc>
      </w:tr>
    </w:tbl>
    <w:p w14:paraId="78956013" w14:textId="77777777" w:rsidR="00775565" w:rsidRDefault="00775565">
      <w:pPr>
        <w:spacing w:before="120" w:after="120"/>
      </w:pPr>
    </w:p>
    <w:p w14:paraId="1593B955" w14:textId="77777777" w:rsidR="00775565" w:rsidRDefault="00000000">
      <w:pPr>
        <w:pStyle w:val="Heading2"/>
      </w:pPr>
      <w:r>
        <w:t>3.4 AI-Driven Threat Detection and Human-Centric Governance</w:t>
      </w:r>
    </w:p>
    <w:p w14:paraId="5F39B23E" w14:textId="77777777" w:rsidR="00775565" w:rsidRDefault="00000000">
      <w:pPr>
        <w:pStyle w:val="Heading3"/>
      </w:pPr>
      <w:r>
        <w:t>3.4.1 Architecture Rationale: Augmenting Human Intelligence</w:t>
      </w:r>
    </w:p>
    <w:p w14:paraId="4377CF7D" w14:textId="651E2E2E" w:rsidR="00775565" w:rsidRDefault="00000000">
      <w:pPr>
        <w:spacing w:before="60" w:after="60" w:line="280" w:lineRule="auto"/>
        <w:jc w:val="both"/>
      </w:pPr>
      <w:r>
        <w:t xml:space="preserve">Traditional rule-based SIEM systems are often inadequate for FSB’s high-velocity cloud event streams </w:t>
      </w:r>
      <w:r w:rsidR="008739C5">
        <w:t>-</w:t>
      </w:r>
      <w:r>
        <w:t xml:space="preserve"> a limitation that becomes increasingly significant as attack patterns grow more sophisticated. In practice, this means a rule-based system may flag known attack signatures while missing novel ones entirely. For a bank processing thousands of API calls per minute, that gap is unacceptable. FSB will deploy an unsupervised deep learning pipeline combining Autoencoders and Long Short-Term Memory (LSTM) networks to capture long-range temporal patterns in user login and API call sequences. LSTMs achieve significantly higher detection accuracy than rule-based baselines, but they are inherently “black-box” models. This creates a governance problem. A model that blocks customer accounts without explanation is not just technically risky </w:t>
      </w:r>
      <w:r w:rsidR="008739C5">
        <w:t>-</w:t>
      </w:r>
      <w:r>
        <w:t xml:space="preserve"> it exposes FSB to GDPR Article 22 liability and potential FCA scrutiny. That is why the human-oversight layer described below is not an optional enhancement.</w:t>
      </w:r>
    </w:p>
    <w:p w14:paraId="665FB584" w14:textId="77777777" w:rsidR="00775565" w:rsidRDefault="00000000">
      <w:pPr>
        <w:pStyle w:val="Heading3"/>
      </w:pPr>
      <w:r>
        <w:t>3.4.2 SHAP Explainability and the Human-in-the-Loop</w:t>
      </w:r>
    </w:p>
    <w:p w14:paraId="00C37142" w14:textId="77777777" w:rsidR="00775565" w:rsidRDefault="00000000">
      <w:pPr>
        <w:spacing w:before="60" w:after="60" w:line="280" w:lineRule="auto"/>
        <w:jc w:val="both"/>
      </w:pPr>
      <w:r>
        <w:t>To satisfy GDPR Article 22 and the EU AI Act’s transparency requirements, FSB will implement SHAP (SHapley Additive exPlanations) to attribute anomaly scores to specific features, such as “transaction frequency 4σ above baseline”.</w:t>
      </w:r>
    </w:p>
    <w:p w14:paraId="64DC9E75" w14:textId="77777777" w:rsidR="00775565" w:rsidRDefault="00000000">
      <w:pPr>
        <w:pStyle w:val="ListParagraph"/>
        <w:numPr>
          <w:ilvl w:val="0"/>
          <w:numId w:val="2"/>
        </w:numPr>
        <w:spacing w:before="40" w:after="40" w:line="276" w:lineRule="auto"/>
      </w:pPr>
      <w:r>
        <w:rPr>
          <w:b/>
          <w:bCs/>
        </w:rPr>
        <w:t xml:space="preserve">The Human Override: </w:t>
      </w:r>
      <w:r>
        <w:t>Automated blocks on customer accounts trigger an immediate “High-Priority” ticket to a Level 2 Security Analyst.</w:t>
      </w:r>
    </w:p>
    <w:p w14:paraId="7EB7D228" w14:textId="77777777" w:rsidR="00775565" w:rsidRDefault="00000000">
      <w:pPr>
        <w:pStyle w:val="ListParagraph"/>
        <w:numPr>
          <w:ilvl w:val="0"/>
          <w:numId w:val="2"/>
        </w:numPr>
        <w:spacing w:before="40" w:after="40" w:line="276" w:lineRule="auto"/>
      </w:pPr>
      <w:r>
        <w:rPr>
          <w:b/>
          <w:bCs/>
        </w:rPr>
        <w:t xml:space="preserve">Meaningful Oversight: </w:t>
      </w:r>
      <w:r>
        <w:t>This analyst must use the SHAP dashboard to conduct a manual review within 2 hours, ensuring that no solely automated decision results in significant legal or financial harm to the customer.</w:t>
      </w:r>
    </w:p>
    <w:p w14:paraId="6D064429" w14:textId="77777777" w:rsidR="00775565" w:rsidRDefault="00000000">
      <w:pPr>
        <w:pStyle w:val="ListParagraph"/>
        <w:numPr>
          <w:ilvl w:val="0"/>
          <w:numId w:val="2"/>
        </w:numPr>
        <w:spacing w:before="40" w:after="40" w:line="276" w:lineRule="auto"/>
      </w:pPr>
      <w:r>
        <w:rPr>
          <w:b/>
          <w:bCs/>
        </w:rPr>
        <w:t xml:space="preserve">Auditability: </w:t>
      </w:r>
      <w:r>
        <w:t>All human overrides, including the rationale for upholding or reversing an AI decision, are immutably logged alongside the model’s prediction for regulatory audits.</w:t>
      </w:r>
    </w:p>
    <w:p w14:paraId="2471CE02" w14:textId="77777777" w:rsidR="00775565" w:rsidRDefault="00000000">
      <w:pPr>
        <w:pStyle w:val="Heading3"/>
      </w:pPr>
      <w:r>
        <w:t>3.4.3 Model Risk Management and Bias Mitigation</w:t>
      </w:r>
    </w:p>
    <w:p w14:paraId="3CF8F8F8" w14:textId="628B2475" w:rsidR="00775565" w:rsidRDefault="00000000">
      <w:pPr>
        <w:spacing w:before="60" w:after="60" w:line="280" w:lineRule="auto"/>
        <w:jc w:val="both"/>
      </w:pPr>
      <w:r>
        <w:t xml:space="preserve">Given that FSB’s anomaly detection is classified as “high-risk” under EU AI Act Annex III, the bank will maintain a formal Model Risk Management (MRM) programme. While this level of model governance may appear ambitious for an early-stage ISMS deployment, it reflects the mandatory regulatory expectations applied to financial-sector AI systems under the EU AI Act Annex III classification </w:t>
      </w:r>
      <w:r w:rsidR="008739C5">
        <w:t>-</w:t>
      </w:r>
      <w:r>
        <w:t xml:space="preserve"> these are legal obligations, not optional design choices.</w:t>
      </w:r>
    </w:p>
    <w:p w14:paraId="36741E8E" w14:textId="77777777" w:rsidR="00775565" w:rsidRDefault="00000000">
      <w:pPr>
        <w:pStyle w:val="ListParagraph"/>
        <w:numPr>
          <w:ilvl w:val="0"/>
          <w:numId w:val="2"/>
        </w:numPr>
        <w:spacing w:before="40" w:after="40" w:line="276" w:lineRule="auto"/>
      </w:pPr>
      <w:r>
        <w:rPr>
          <w:b/>
          <w:bCs/>
        </w:rPr>
        <w:lastRenderedPageBreak/>
        <w:t xml:space="preserve">Bias Auditing: </w:t>
      </w:r>
      <w:r>
        <w:t>The Information Security Steering Committee (ISSC) will oversee quarterly bias audits to ensure the LSTM model does not disproportionately flag transactions based on protected characteristics like nationality or age, adhering to GDPR Article 9.</w:t>
      </w:r>
    </w:p>
    <w:p w14:paraId="1FC50CF9" w14:textId="77777777" w:rsidR="00775565" w:rsidRDefault="00000000">
      <w:pPr>
        <w:pStyle w:val="ListParagraph"/>
        <w:numPr>
          <w:ilvl w:val="0"/>
          <w:numId w:val="2"/>
        </w:numPr>
        <w:spacing w:before="40" w:after="40" w:line="276" w:lineRule="auto"/>
      </w:pPr>
      <w:r>
        <w:rPr>
          <w:b/>
          <w:bCs/>
        </w:rPr>
        <w:t xml:space="preserve">Drift Monitoring: </w:t>
      </w:r>
      <w:r>
        <w:t>As fintech transaction patterns evolve, the system will monitor for “concept drift” to prevent degradation in accuracy that could lead to increased false positives and “alert fatigue” for the human security team.</w:t>
      </w:r>
    </w:p>
    <w:p w14:paraId="658F68B3" w14:textId="77777777" w:rsidR="00775565" w:rsidRDefault="00000000">
      <w:pPr>
        <w:pStyle w:val="ListParagraph"/>
        <w:numPr>
          <w:ilvl w:val="0"/>
          <w:numId w:val="2"/>
        </w:numPr>
        <w:spacing w:before="40" w:after="40" w:line="276" w:lineRule="auto"/>
      </w:pPr>
      <w:r>
        <w:rPr>
          <w:b/>
          <w:bCs/>
        </w:rPr>
        <w:t xml:space="preserve">Customer Appeals: </w:t>
      </w:r>
      <w:r>
        <w:t>A documented appeals process allows customers to challenge AI-driven blocks, providing a secondary layer of human review and ensuring “algorithmic accountability” rather than blind reliance on technology.</w:t>
      </w:r>
    </w:p>
    <w:p w14:paraId="49B0765D" w14:textId="77777777" w:rsidR="00775565" w:rsidRDefault="00000000">
      <w:pPr>
        <w:pStyle w:val="Heading2"/>
      </w:pPr>
      <w:r>
        <w:t>3.5 Service Level Agreements</w:t>
      </w:r>
    </w:p>
    <w:p w14:paraId="11B9B7BD" w14:textId="6D0CD96E" w:rsidR="00775565" w:rsidRDefault="00000000">
      <w:pPr>
        <w:spacing w:before="60" w:after="60" w:line="280" w:lineRule="auto"/>
        <w:jc w:val="both"/>
      </w:pPr>
      <w:r>
        <w:t xml:space="preserve">Given that over 90% of FSB’s infrastructure is externally hosted, SLA governance is the most direct lever FSB has over its security posture. If AWS or Azure underperform and FSB has no contractual recourse, the risk exposure is effectively unmanaged. The CSA CCM v4 Supply Chain Management domain [4] requires formal SLA parameters to be contractually defined, continuously monitored, and reviewed by the ISSC quarterly. Any SLA breach automatically triggers an incident escalation; material breaches exceeding the RTO threshold for core banking systems trigger FCA notification under PS21/3 within 72 hours [18]. This assumption may not hold if FSB’s negotiating position with hyperscalers is weak </w:t>
      </w:r>
      <w:r w:rsidR="008739C5">
        <w:t>-</w:t>
      </w:r>
      <w:r>
        <w:t xml:space="preserve"> smaller fintechs often accept standard cloud terms with limited customisation, which is a real procurement constraint worth acknowledging.</w:t>
      </w:r>
    </w:p>
    <w:p w14:paraId="1CCA7AFF" w14:textId="77777777" w:rsidR="00775565" w:rsidRDefault="00775565">
      <w:pPr>
        <w:spacing w:before="60" w:after="60"/>
      </w:pPr>
    </w:p>
    <w:p w14:paraId="1EDD37FE" w14:textId="77777777" w:rsidR="00775565" w:rsidRDefault="00000000">
      <w:pPr>
        <w:spacing w:before="60" w:after="100"/>
        <w:jc w:val="center"/>
      </w:pPr>
      <w:r>
        <w:rPr>
          <w:b/>
          <w:bCs/>
          <w:i/>
          <w:iCs/>
          <w:color w:val="595959"/>
          <w:sz w:val="20"/>
          <w:szCs w:val="20"/>
        </w:rPr>
        <w:t>Table 2: FSB Cloud Vendor SLA Framework</w:t>
      </w:r>
    </w:p>
    <w:p w14:paraId="27B9DD52" w14:textId="77777777" w:rsidR="00775565" w:rsidRDefault="00775565">
      <w:pPr>
        <w:spacing w:before="40" w:after="4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1900"/>
        <w:gridCol w:w="1900"/>
        <w:gridCol w:w="1780"/>
        <w:gridCol w:w="1880"/>
      </w:tblGrid>
      <w:tr w:rsidR="00775565" w14:paraId="3AC4E804" w14:textId="77777777">
        <w:tblPrEx>
          <w:tblCellMar>
            <w:top w:w="0" w:type="dxa"/>
            <w:bottom w:w="0" w:type="dxa"/>
          </w:tblCellMar>
        </w:tblPrEx>
        <w:tc>
          <w:tcPr>
            <w:tcW w:w="19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206C68A9" w14:textId="77777777" w:rsidR="00775565" w:rsidRDefault="00000000">
            <w:pPr>
              <w:jc w:val="center"/>
            </w:pPr>
            <w:r>
              <w:rPr>
                <w:b/>
                <w:bCs/>
                <w:color w:val="FFFFFF"/>
                <w:sz w:val="19"/>
                <w:szCs w:val="19"/>
              </w:rPr>
              <w:t>Cloud Service</w:t>
            </w:r>
          </w:p>
        </w:tc>
        <w:tc>
          <w:tcPr>
            <w:tcW w:w="19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79F7D503" w14:textId="77777777" w:rsidR="00775565" w:rsidRDefault="00000000">
            <w:pPr>
              <w:jc w:val="center"/>
            </w:pPr>
            <w:r>
              <w:rPr>
                <w:b/>
                <w:bCs/>
                <w:color w:val="FFFFFF"/>
                <w:sz w:val="19"/>
                <w:szCs w:val="19"/>
              </w:rPr>
              <w:t>Provider</w:t>
            </w:r>
          </w:p>
        </w:tc>
        <w:tc>
          <w:tcPr>
            <w:tcW w:w="19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33B3C814" w14:textId="77777777" w:rsidR="00775565" w:rsidRDefault="00000000">
            <w:pPr>
              <w:jc w:val="center"/>
            </w:pPr>
            <w:r>
              <w:rPr>
                <w:b/>
                <w:bCs/>
                <w:color w:val="FFFFFF"/>
                <w:sz w:val="19"/>
                <w:szCs w:val="19"/>
              </w:rPr>
              <w:t>Key SLA Metric</w:t>
            </w:r>
          </w:p>
        </w:tc>
        <w:tc>
          <w:tcPr>
            <w:tcW w:w="178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130F8800" w14:textId="77777777" w:rsidR="00775565" w:rsidRDefault="00000000">
            <w:pPr>
              <w:jc w:val="center"/>
            </w:pPr>
            <w:r>
              <w:rPr>
                <w:b/>
                <w:bCs/>
                <w:color w:val="FFFFFF"/>
                <w:sz w:val="19"/>
                <w:szCs w:val="19"/>
              </w:rPr>
              <w:t>Min. Uptime / RTO</w:t>
            </w:r>
          </w:p>
        </w:tc>
        <w:tc>
          <w:tcPr>
            <w:tcW w:w="188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55E12E95" w14:textId="77777777" w:rsidR="00775565" w:rsidRDefault="00000000">
            <w:pPr>
              <w:jc w:val="center"/>
            </w:pPr>
            <w:r>
              <w:rPr>
                <w:b/>
                <w:bCs/>
                <w:color w:val="FFFFFF"/>
                <w:sz w:val="19"/>
                <w:szCs w:val="19"/>
              </w:rPr>
              <w:t>Breach Consequence</w:t>
            </w:r>
          </w:p>
        </w:tc>
      </w:tr>
      <w:tr w:rsidR="00775565" w14:paraId="687F53CE" w14:textId="77777777">
        <w:tblPrEx>
          <w:tblCellMar>
            <w:top w:w="0" w:type="dxa"/>
            <w:bottom w:w="0" w:type="dxa"/>
          </w:tblCellMar>
        </w:tblPrEx>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2F05ABC9" w14:textId="77777777" w:rsidR="00775565" w:rsidRDefault="00000000">
            <w:r>
              <w:rPr>
                <w:color w:val="000000"/>
                <w:sz w:val="19"/>
                <w:szCs w:val="19"/>
              </w:rPr>
              <w:t>Core Banking Compute</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079BF8B1" w14:textId="77777777" w:rsidR="00775565" w:rsidRDefault="00000000">
            <w:r>
              <w:rPr>
                <w:color w:val="000000"/>
                <w:sz w:val="19"/>
                <w:szCs w:val="19"/>
              </w:rPr>
              <w:t>AWS EC2</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05A05A66" w14:textId="77777777" w:rsidR="00775565" w:rsidRDefault="00000000">
            <w:r>
              <w:rPr>
                <w:color w:val="000000"/>
                <w:sz w:val="19"/>
                <w:szCs w:val="19"/>
              </w:rPr>
              <w:t>Availability SLA</w:t>
            </w:r>
          </w:p>
        </w:tc>
        <w:tc>
          <w:tcPr>
            <w:tcW w:w="178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73B8A217" w14:textId="77777777" w:rsidR="00775565" w:rsidRDefault="00000000">
            <w:r>
              <w:rPr>
                <w:color w:val="000000"/>
                <w:sz w:val="19"/>
                <w:szCs w:val="19"/>
              </w:rPr>
              <w:t>99.99% uptime</w:t>
            </w:r>
          </w:p>
        </w:tc>
        <w:tc>
          <w:tcPr>
            <w:tcW w:w="188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0D2F3E8D" w14:textId="77777777" w:rsidR="00775565" w:rsidRDefault="00000000">
            <w:r>
              <w:rPr>
                <w:color w:val="000000"/>
                <w:sz w:val="19"/>
                <w:szCs w:val="19"/>
              </w:rPr>
              <w:t>Service credits → ISSC escalation</w:t>
            </w:r>
          </w:p>
        </w:tc>
      </w:tr>
      <w:tr w:rsidR="00775565" w14:paraId="5310FF9C" w14:textId="77777777">
        <w:tblPrEx>
          <w:tblCellMar>
            <w:top w:w="0" w:type="dxa"/>
            <w:bottom w:w="0" w:type="dxa"/>
          </w:tblCellMar>
        </w:tblPrEx>
        <w:tc>
          <w:tcPr>
            <w:tcW w:w="19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77BEE298" w14:textId="77777777" w:rsidR="00775565" w:rsidRDefault="00000000">
            <w:r>
              <w:rPr>
                <w:color w:val="000000"/>
                <w:sz w:val="19"/>
                <w:szCs w:val="19"/>
              </w:rPr>
              <w:t>Identity Provider (IdP)</w:t>
            </w:r>
          </w:p>
        </w:tc>
        <w:tc>
          <w:tcPr>
            <w:tcW w:w="19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7107DC79" w14:textId="77777777" w:rsidR="00775565" w:rsidRDefault="00000000">
            <w:r>
              <w:rPr>
                <w:color w:val="000000"/>
                <w:sz w:val="19"/>
                <w:szCs w:val="19"/>
              </w:rPr>
              <w:t>Azure AD</w:t>
            </w:r>
          </w:p>
        </w:tc>
        <w:tc>
          <w:tcPr>
            <w:tcW w:w="19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55A20684" w14:textId="77777777" w:rsidR="00775565" w:rsidRDefault="00000000">
            <w:r>
              <w:rPr>
                <w:color w:val="000000"/>
                <w:sz w:val="19"/>
                <w:szCs w:val="19"/>
              </w:rPr>
              <w:t>Auth latency &lt; 200ms</w:t>
            </w:r>
          </w:p>
        </w:tc>
        <w:tc>
          <w:tcPr>
            <w:tcW w:w="178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43E0D9D5" w14:textId="77777777" w:rsidR="00775565" w:rsidRDefault="00000000">
            <w:r>
              <w:rPr>
                <w:color w:val="000000"/>
                <w:sz w:val="19"/>
                <w:szCs w:val="19"/>
              </w:rPr>
              <w:t>99.9% uptime</w:t>
            </w:r>
          </w:p>
        </w:tc>
        <w:tc>
          <w:tcPr>
            <w:tcW w:w="188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24119F17" w14:textId="77777777" w:rsidR="00775565" w:rsidRDefault="00000000">
            <w:r>
              <w:rPr>
                <w:color w:val="000000"/>
                <w:sz w:val="19"/>
                <w:szCs w:val="19"/>
              </w:rPr>
              <w:t>Failover to backup IdP within 15 min</w:t>
            </w:r>
          </w:p>
        </w:tc>
      </w:tr>
      <w:tr w:rsidR="00775565" w14:paraId="60F6E3DF" w14:textId="77777777">
        <w:tblPrEx>
          <w:tblCellMar>
            <w:top w:w="0" w:type="dxa"/>
            <w:bottom w:w="0" w:type="dxa"/>
          </w:tblCellMar>
        </w:tblPrEx>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4E2ADDBC" w14:textId="77777777" w:rsidR="00775565" w:rsidRDefault="00000000">
            <w:r>
              <w:rPr>
                <w:color w:val="000000"/>
                <w:sz w:val="19"/>
                <w:szCs w:val="19"/>
              </w:rPr>
              <w:t>Data Storage / DR</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5D895BDF" w14:textId="77777777" w:rsidR="00775565" w:rsidRDefault="00000000">
            <w:r>
              <w:rPr>
                <w:color w:val="000000"/>
                <w:sz w:val="19"/>
                <w:szCs w:val="19"/>
              </w:rPr>
              <w:t>AWS S3 + Azure Backup</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79966D66" w14:textId="77777777" w:rsidR="00775565" w:rsidRDefault="00000000">
            <w:r>
              <w:rPr>
                <w:color w:val="000000"/>
                <w:sz w:val="19"/>
                <w:szCs w:val="19"/>
              </w:rPr>
              <w:t>RPO ≤ 4hrs, RTO ≤ 8hrs</w:t>
            </w:r>
          </w:p>
        </w:tc>
        <w:tc>
          <w:tcPr>
            <w:tcW w:w="178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1AEFD7C5" w14:textId="77777777" w:rsidR="00775565" w:rsidRDefault="00000000">
            <w:r>
              <w:rPr>
                <w:color w:val="000000"/>
                <w:sz w:val="19"/>
                <w:szCs w:val="19"/>
              </w:rPr>
              <w:t>99.9% uptime</w:t>
            </w:r>
          </w:p>
        </w:tc>
        <w:tc>
          <w:tcPr>
            <w:tcW w:w="188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7E3561D3" w14:textId="77777777" w:rsidR="00775565" w:rsidRDefault="00000000">
            <w:r>
              <w:rPr>
                <w:color w:val="000000"/>
                <w:sz w:val="19"/>
                <w:szCs w:val="19"/>
              </w:rPr>
              <w:t>Auto-failover; FCA notification if &gt;8hrs</w:t>
            </w:r>
          </w:p>
        </w:tc>
      </w:tr>
      <w:tr w:rsidR="00775565" w14:paraId="7C68E760" w14:textId="77777777">
        <w:tblPrEx>
          <w:tblCellMar>
            <w:top w:w="0" w:type="dxa"/>
            <w:bottom w:w="0" w:type="dxa"/>
          </w:tblCellMar>
        </w:tblPrEx>
        <w:tc>
          <w:tcPr>
            <w:tcW w:w="19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7A90C48A" w14:textId="77777777" w:rsidR="00775565" w:rsidRDefault="00000000">
            <w:r>
              <w:rPr>
                <w:color w:val="000000"/>
                <w:sz w:val="19"/>
                <w:szCs w:val="19"/>
              </w:rPr>
              <w:t>Mobile Banking API</w:t>
            </w:r>
          </w:p>
        </w:tc>
        <w:tc>
          <w:tcPr>
            <w:tcW w:w="19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1ED0DCDE" w14:textId="77777777" w:rsidR="00775565" w:rsidRDefault="00000000">
            <w:r>
              <w:rPr>
                <w:color w:val="000000"/>
                <w:sz w:val="19"/>
                <w:szCs w:val="19"/>
              </w:rPr>
              <w:t>AWS API Gateway</w:t>
            </w:r>
          </w:p>
        </w:tc>
        <w:tc>
          <w:tcPr>
            <w:tcW w:w="19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4DB5F881" w14:textId="77777777" w:rsidR="00775565" w:rsidRDefault="00000000">
            <w:r>
              <w:rPr>
                <w:color w:val="000000"/>
                <w:sz w:val="19"/>
                <w:szCs w:val="19"/>
              </w:rPr>
              <w:t>Response &lt; 500ms</w:t>
            </w:r>
          </w:p>
        </w:tc>
        <w:tc>
          <w:tcPr>
            <w:tcW w:w="178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590B4E1E" w14:textId="77777777" w:rsidR="00775565" w:rsidRDefault="00000000">
            <w:r>
              <w:rPr>
                <w:color w:val="000000"/>
                <w:sz w:val="19"/>
                <w:szCs w:val="19"/>
              </w:rPr>
              <w:t>99.95% uptime</w:t>
            </w:r>
          </w:p>
        </w:tc>
        <w:tc>
          <w:tcPr>
            <w:tcW w:w="188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21C0CC43" w14:textId="77777777" w:rsidR="00775565" w:rsidRDefault="00000000">
            <w:r>
              <w:rPr>
                <w:color w:val="000000"/>
                <w:sz w:val="19"/>
                <w:szCs w:val="19"/>
              </w:rPr>
              <w:t>Incident review + credit + root cause</w:t>
            </w:r>
          </w:p>
        </w:tc>
      </w:tr>
      <w:tr w:rsidR="00775565" w14:paraId="2178A4C4" w14:textId="77777777">
        <w:tblPrEx>
          <w:tblCellMar>
            <w:top w:w="0" w:type="dxa"/>
            <w:bottom w:w="0" w:type="dxa"/>
          </w:tblCellMar>
        </w:tblPrEx>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5F814130" w14:textId="77777777" w:rsidR="00775565" w:rsidRDefault="00000000">
            <w:r>
              <w:rPr>
                <w:color w:val="000000"/>
                <w:sz w:val="19"/>
                <w:szCs w:val="19"/>
              </w:rPr>
              <w:t>SIEM / AI Pipeline</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7CAEBD41" w14:textId="77777777" w:rsidR="00775565" w:rsidRDefault="00000000">
            <w:r>
              <w:rPr>
                <w:color w:val="000000"/>
                <w:sz w:val="19"/>
                <w:szCs w:val="19"/>
              </w:rPr>
              <w:t>Splunk SaaS</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569F5941" w14:textId="77777777" w:rsidR="00775565" w:rsidRDefault="00000000">
            <w:r>
              <w:rPr>
                <w:color w:val="000000"/>
                <w:sz w:val="19"/>
                <w:szCs w:val="19"/>
              </w:rPr>
              <w:t>Alert ingestion &lt; 60s</w:t>
            </w:r>
          </w:p>
        </w:tc>
        <w:tc>
          <w:tcPr>
            <w:tcW w:w="178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3A2FE928" w14:textId="77777777" w:rsidR="00775565" w:rsidRDefault="00000000">
            <w:r>
              <w:rPr>
                <w:color w:val="000000"/>
                <w:sz w:val="19"/>
                <w:szCs w:val="19"/>
              </w:rPr>
              <w:t>99.5% uptime</w:t>
            </w:r>
          </w:p>
        </w:tc>
        <w:tc>
          <w:tcPr>
            <w:tcW w:w="188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5B107580" w14:textId="77777777" w:rsidR="00775565" w:rsidRDefault="00000000">
            <w:r>
              <w:rPr>
                <w:color w:val="000000"/>
                <w:sz w:val="19"/>
                <w:szCs w:val="19"/>
              </w:rPr>
              <w:t>Contractual remediation plan within 24hrs</w:t>
            </w:r>
          </w:p>
        </w:tc>
      </w:tr>
    </w:tbl>
    <w:p w14:paraId="2C55B0F2" w14:textId="77777777" w:rsidR="00775565" w:rsidRDefault="00775565">
      <w:pPr>
        <w:spacing w:before="80" w:after="80"/>
      </w:pPr>
    </w:p>
    <w:p w14:paraId="6E72012A" w14:textId="77777777" w:rsidR="00775565" w:rsidRDefault="00000000">
      <w:pPr>
        <w:pStyle w:val="Heading2"/>
      </w:pPr>
      <w:r>
        <w:t>3.6 Contingency Planning and Business Continuity</w:t>
      </w:r>
    </w:p>
    <w:p w14:paraId="26A38C84" w14:textId="56855520" w:rsidR="00775565" w:rsidRDefault="00000000">
      <w:pPr>
        <w:spacing w:before="60" w:after="60" w:line="280" w:lineRule="auto"/>
        <w:jc w:val="both"/>
      </w:pPr>
      <w:r>
        <w:t xml:space="preserve">FSB’s cloud dependency creates a resilience problem that is easy to underestimate. If AWS goes down and FSB has no tested failover, the bank stops. The Bank of England’s PS21/3 framework [18] estimates average banking system downtime costs at £1.2M per hour </w:t>
      </w:r>
      <w:r w:rsidR="008739C5">
        <w:t>-</w:t>
      </w:r>
      <w:r>
        <w:t xml:space="preserve"> an 8-hour outage without recovery capability could cost nearly £10M before a single regulatory fine is considered. The following BCP measures are therefore not aspirational; they are minimum operational requirements consistent with ISO 22301 and ISO 27001:2022 Annex A Control 5.30 [9].</w:t>
      </w:r>
    </w:p>
    <w:p w14:paraId="6B5258ED" w14:textId="77777777" w:rsidR="00775565" w:rsidRDefault="00000000">
      <w:pPr>
        <w:pStyle w:val="ListParagraph"/>
        <w:numPr>
          <w:ilvl w:val="0"/>
          <w:numId w:val="2"/>
        </w:numPr>
        <w:spacing w:before="40" w:after="40" w:line="276" w:lineRule="auto"/>
      </w:pPr>
      <w:r>
        <w:lastRenderedPageBreak/>
        <w:t>Recovery Time Objective (RTO): Core banking systems restored within 8 hours; mobile applications within 4 hours.</w:t>
      </w:r>
    </w:p>
    <w:p w14:paraId="512A660C" w14:textId="77777777" w:rsidR="00775565" w:rsidRDefault="00000000">
      <w:pPr>
        <w:pStyle w:val="ListParagraph"/>
        <w:numPr>
          <w:ilvl w:val="0"/>
          <w:numId w:val="2"/>
        </w:numPr>
        <w:spacing w:before="40" w:after="40" w:line="276" w:lineRule="auto"/>
      </w:pPr>
      <w:r>
        <w:t>Recovery Point Objective (RPO): Maximum 4-hour data loss window, achieved through continuous replication to a geographically separate Azure Backup region.</w:t>
      </w:r>
    </w:p>
    <w:p w14:paraId="6299AE34" w14:textId="77777777" w:rsidR="00775565" w:rsidRDefault="00000000">
      <w:pPr>
        <w:pStyle w:val="ListParagraph"/>
        <w:numPr>
          <w:ilvl w:val="0"/>
          <w:numId w:val="2"/>
        </w:numPr>
        <w:spacing w:before="40" w:after="40" w:line="276" w:lineRule="auto"/>
      </w:pPr>
      <w:r>
        <w:t>Immutable Backups: Daily replication to air-gapped S3 buckets with Object Lock enabled, preventing ransomware-driven deletion [4].</w:t>
      </w:r>
    </w:p>
    <w:p w14:paraId="3CBCE48C" w14:textId="77777777" w:rsidR="00775565" w:rsidRDefault="00000000">
      <w:pPr>
        <w:pStyle w:val="ListParagraph"/>
        <w:numPr>
          <w:ilvl w:val="0"/>
          <w:numId w:val="2"/>
        </w:numPr>
        <w:spacing w:before="40" w:after="40" w:line="276" w:lineRule="auto"/>
      </w:pPr>
      <w:r>
        <w:t>Tabletop Exercises: Bi-annual disaster recovery simulations to validate RTO/RPO achievability.</w:t>
      </w:r>
    </w:p>
    <w:p w14:paraId="359898AA" w14:textId="77777777" w:rsidR="00775565" w:rsidRDefault="00000000">
      <w:pPr>
        <w:pStyle w:val="ListParagraph"/>
        <w:numPr>
          <w:ilvl w:val="0"/>
          <w:numId w:val="2"/>
        </w:numPr>
        <w:spacing w:before="40" w:after="40" w:line="276" w:lineRule="auto"/>
      </w:pPr>
      <w:r>
        <w:t>Vendor Redundancy: Contractual secondary-provider arrangement (Google Cloud Platform) for prolonged AWS or Azure outage failover.</w:t>
      </w:r>
    </w:p>
    <w:p w14:paraId="3A258860" w14:textId="77777777" w:rsidR="00775565" w:rsidRDefault="00000000">
      <w:pPr>
        <w:pStyle w:val="ListParagraph"/>
        <w:numPr>
          <w:ilvl w:val="0"/>
          <w:numId w:val="2"/>
        </w:numPr>
        <w:spacing w:before="40" w:after="40" w:line="276" w:lineRule="auto"/>
      </w:pPr>
      <w:r>
        <w:t>IR Retainer: Pre-contracted third-party incident response firm engaged under retainer for immediate forensic capability without procurement delay.</w:t>
      </w:r>
    </w:p>
    <w:p w14:paraId="4CEDA3D0" w14:textId="77777777" w:rsidR="00775565" w:rsidRDefault="00775565">
      <w:pPr>
        <w:pBdr>
          <w:bottom w:val="single" w:sz="8" w:space="1" w:color="2E74B5"/>
        </w:pBdr>
        <w:spacing w:before="220" w:after="220"/>
      </w:pPr>
    </w:p>
    <w:p w14:paraId="53B253B4" w14:textId="77777777" w:rsidR="00775565" w:rsidRDefault="00000000">
      <w:pPr>
        <w:pStyle w:val="Heading1"/>
      </w:pPr>
      <w:r>
        <w:t>4. Task 3: Regulatory Evolution and Legal Friction</w:t>
      </w:r>
    </w:p>
    <w:p w14:paraId="7B4204DE" w14:textId="353A4E4E" w:rsidR="00775565" w:rsidRDefault="00000000">
      <w:pPr>
        <w:spacing w:before="60" w:after="60" w:line="280" w:lineRule="auto"/>
        <w:jc w:val="both"/>
      </w:pPr>
      <w:r>
        <w:t xml:space="preserve">Why do organisations need to continuously update their regulatory and security standards rather than treating compliance as a one-time achievement? For most organisations, this is an abstract question. For FSB, it is an immediate operational reality. Davis [5] argues that legislative processes </w:t>
      </w:r>
      <w:r w:rsidR="008739C5">
        <w:t>-</w:t>
      </w:r>
      <w:r>
        <w:t xml:space="preserve"> operating on multi-year parliamentary timescales </w:t>
      </w:r>
      <w:r w:rsidR="008739C5">
        <w:t>-</w:t>
      </w:r>
      <w:r>
        <w:t xml:space="preserve"> cannot keep pace with technology that evolves on monthly or weekly cycles. FSB sits at the intersection of three of these fault lines simultaneously: it straddles UK and EU jurisdictions, uses US-headquartered hyperscalers, and is deploying AI-driven detection systems that were barely conceivable when GDPR was drafted in 2016. Each of those creates a distinct compliance gap, and they interact with each other in ways that static compliance frameworks are simply not designed to handle.</w:t>
      </w:r>
    </w:p>
    <w:p w14:paraId="2EC1A8BE" w14:textId="77777777" w:rsidR="00775565" w:rsidRDefault="00000000">
      <w:pPr>
        <w:pStyle w:val="Heading2"/>
      </w:pPr>
      <w:r>
        <w:t>4.1 Legislative Lag and Data Sovereignty</w:t>
      </w:r>
    </w:p>
    <w:p w14:paraId="567350AC" w14:textId="146BCD6F" w:rsidR="00775565" w:rsidRDefault="00000000">
      <w:pPr>
        <w:spacing w:before="60" w:after="60" w:line="280" w:lineRule="auto"/>
        <w:jc w:val="both"/>
      </w:pPr>
      <w:r>
        <w:t xml:space="preserve">The Schrems II ruling [26] invalidated the EU-US Privacy Shield </w:t>
      </w:r>
      <w:r w:rsidR="008739C5">
        <w:t>because</w:t>
      </w:r>
      <w:r>
        <w:t xml:space="preserve"> FISA Section 702 provides insufficient protection for EU data subjects. For FSB using AWS and Azure </w:t>
      </w:r>
      <w:r w:rsidR="008739C5">
        <w:t>-</w:t>
      </w:r>
      <w:r>
        <w:t xml:space="preserve"> both US-headquartered </w:t>
      </w:r>
      <w:r w:rsidR="008739C5">
        <w:t>-</w:t>
      </w:r>
      <w:r>
        <w:t xml:space="preserve"> selecting an EU data centre region alone is insufficient without supplementary safeguards such as Standard Contractual Clauses (SCCs) and Transfer Impact Assessments (TIAs) following Schrems II [17]. FSB must additionally apply client-side encryption before data leaves EU jurisdiction. Solapari et al. [17] argue that current GDPR provisions, drafted in 2016, are structurally inadequate for modern multi-cloud architectures and require legislative update to include dynamic, technology-specific adequacy mechanisms that adapt without requiring full parliamentary processes.</w:t>
      </w:r>
    </w:p>
    <w:p w14:paraId="20EAB38C" w14:textId="77777777" w:rsidR="00775565" w:rsidRDefault="00000000">
      <w:pPr>
        <w:pStyle w:val="Heading2"/>
      </w:pPr>
      <w:r>
        <w:t>4.2 UK vs. EU GDPR Divergence</w:t>
      </w:r>
    </w:p>
    <w:p w14:paraId="66F6CC43" w14:textId="5F289424" w:rsidR="00775565" w:rsidRDefault="00000000">
      <w:pPr>
        <w:spacing w:before="60" w:after="60" w:line="280" w:lineRule="auto"/>
        <w:jc w:val="both"/>
      </w:pPr>
      <w:r>
        <w:t xml:space="preserve">Following Brexit, the UK Data Protection Act 2018 [20] and EU GDPR have begun to diverge in regulatory philosophy. The ICO has adopted a more innovation-permissive posture than the EDPB, reflected in differences over legitimate interest assessments and cookie consent standards. In my view, this is one of the most underappreciated compliance risks FSB faces. It is not a theoretical problem </w:t>
      </w:r>
      <w:r w:rsidR="008739C5">
        <w:t>-</w:t>
      </w:r>
      <w:r>
        <w:t xml:space="preserve"> it means that a data processing activity FSB’s legal team clears under UK law could still trigger an EDPB enforcement action against FSB’s EU-based customers. FSB must maintain rolling regulatory monitoring via its DPO and should treat UK and EU compliance as two parallel tracks, not one. Treating them as equivalent is a shortcut that could prove expensive.</w:t>
      </w:r>
    </w:p>
    <w:p w14:paraId="25070E58" w14:textId="77777777" w:rsidR="00775565" w:rsidRDefault="00000000">
      <w:pPr>
        <w:pStyle w:val="Heading2"/>
      </w:pPr>
      <w:r>
        <w:lastRenderedPageBreak/>
        <w:t>4.3 EU AI Act and Algorithmic Accountability</w:t>
      </w:r>
    </w:p>
    <w:p w14:paraId="1ABDFDF1" w14:textId="6E18C84F" w:rsidR="00775565" w:rsidRDefault="00000000">
      <w:pPr>
        <w:spacing w:before="60" w:after="60" w:line="280" w:lineRule="auto"/>
        <w:jc w:val="both"/>
      </w:pPr>
      <w:r>
        <w:t xml:space="preserve">FSB’s LSTM anomaly detection system triggers compliance obligations under Regulation (EU) 2024/1689 [25], which entered into force in August 2024. The high-risk classification under Annex III imposes mandatory conformity assessments, human oversight mechanisms, technical robustness requirements, and detailed record-keeping obligations. This directly intersects with GDPR Article 22 [6]. To put this concretely: if FSB’s pipeline automatically blocks a legitimate customer transaction </w:t>
      </w:r>
      <w:r w:rsidR="008739C5">
        <w:t>-</w:t>
      </w:r>
      <w:r>
        <w:t xml:space="preserve"> a large overseas transfer, for example </w:t>
      </w:r>
      <w:r w:rsidR="008739C5">
        <w:t>-</w:t>
      </w:r>
      <w:r>
        <w:t xml:space="preserve"> without any human review mechanism, the customer has no meaningful right of challenge. That simultaneously violates the EU AI Act and GDPR Article </w:t>
      </w:r>
      <w:proofErr w:type="gramStart"/>
      <w:r>
        <w:t>22, and</w:t>
      </w:r>
      <w:proofErr w:type="gramEnd"/>
      <w:r>
        <w:t xml:space="preserve"> would likely generate regulatory referrals as well as reputational damage.</w:t>
      </w:r>
    </w:p>
    <w:p w14:paraId="05C3D455" w14:textId="6388571E" w:rsidR="00775565" w:rsidRDefault="00000000">
      <w:pPr>
        <w:spacing w:before="60" w:after="60" w:line="280" w:lineRule="auto"/>
        <w:jc w:val="both"/>
      </w:pPr>
      <w:r>
        <w:t xml:space="preserve">Roberts [16] argues the appropriate response is mandated algorithmic accountability </w:t>
      </w:r>
      <w:r w:rsidR="008739C5">
        <w:t>-</w:t>
      </w:r>
      <w:r>
        <w:t xml:space="preserve"> SHAP explainability, bias auditing, model cards, and documented appeals </w:t>
      </w:r>
      <w:r w:rsidR="008739C5">
        <w:t>-</w:t>
      </w:r>
      <w:r>
        <w:t xml:space="preserve"> rather than prohibition. I think that is the right framing. The goal is not to avoid AI but to govern it properly. The EU AI Act’s empowerment of the European AI Office to issue delegated technical standards is a meaningful step forward, though greater specificity for financial AI use cases is still needed [5].</w:t>
      </w:r>
    </w:p>
    <w:p w14:paraId="44B562D2" w14:textId="77777777" w:rsidR="00775565" w:rsidRDefault="00000000">
      <w:pPr>
        <w:pStyle w:val="Heading2"/>
      </w:pPr>
      <w:r>
        <w:t>4.4 Why Regulations Must Continuously Evolve</w:t>
      </w:r>
    </w:p>
    <w:p w14:paraId="7D9CF6FD" w14:textId="059D8396" w:rsidR="00775565" w:rsidRDefault="00000000">
      <w:pPr>
        <w:pStyle w:val="ListParagraph"/>
        <w:numPr>
          <w:ilvl w:val="0"/>
          <w:numId w:val="3"/>
        </w:numPr>
        <w:spacing w:before="40" w:after="40" w:line="276" w:lineRule="auto"/>
      </w:pPr>
      <w:r>
        <w:t xml:space="preserve">Technology evolves faster than law: Cloud computing, AI, and ZTA have transformed the threat landscape since GDPR was drafted in 2016. Delegated technical standards </w:t>
      </w:r>
      <w:r w:rsidR="008739C5">
        <w:t>-</w:t>
      </w:r>
      <w:r>
        <w:t xml:space="preserve"> updateable without full legislative processes </w:t>
      </w:r>
      <w:r w:rsidR="008739C5">
        <w:t>-</w:t>
      </w:r>
      <w:r>
        <w:t xml:space="preserve"> are necessary to close the regulatory gap [5].</w:t>
      </w:r>
    </w:p>
    <w:p w14:paraId="09BC4CE9" w14:textId="77777777" w:rsidR="00775565" w:rsidRDefault="00000000">
      <w:pPr>
        <w:pStyle w:val="ListParagraph"/>
        <w:numPr>
          <w:ilvl w:val="0"/>
          <w:numId w:val="3"/>
        </w:numPr>
        <w:spacing w:before="40" w:after="40" w:line="276" w:lineRule="auto"/>
      </w:pPr>
      <w:r>
        <w:t>Threat actors are adaptive: Cybercriminal organisations continuously adapt TTPs. Static compliance frameworks respond to known patterns and cannot anticipate novel attack vectors; only continuously updated threat intelligence integration can [13].</w:t>
      </w:r>
    </w:p>
    <w:p w14:paraId="17DF4A02" w14:textId="0B134AAD" w:rsidR="00775565" w:rsidRDefault="00000000">
      <w:pPr>
        <w:pStyle w:val="ListParagraph"/>
        <w:numPr>
          <w:ilvl w:val="0"/>
          <w:numId w:val="3"/>
        </w:numPr>
        <w:spacing w:before="40" w:after="40" w:line="276" w:lineRule="auto"/>
      </w:pPr>
      <w:r>
        <w:t xml:space="preserve">Jurisdiction boundaries are dissolving: Multi-cloud architectures render territorial regulation increasingly difficult to enforce. International harmonisation </w:t>
      </w:r>
      <w:r w:rsidR="008739C5">
        <w:t>-</w:t>
      </w:r>
      <w:r>
        <w:t xml:space="preserve"> such as mutual recognition of SCCs across UK and EU </w:t>
      </w:r>
      <w:r w:rsidR="008739C5">
        <w:t>-</w:t>
      </w:r>
      <w:r>
        <w:t xml:space="preserve"> and bilateral adequacy agreements reflecting current technical realities are structurally necessary [17].</w:t>
      </w:r>
    </w:p>
    <w:p w14:paraId="6C26ED84" w14:textId="77777777" w:rsidR="00775565" w:rsidRDefault="00775565">
      <w:pPr>
        <w:pBdr>
          <w:bottom w:val="single" w:sz="8" w:space="1" w:color="2E74B5"/>
        </w:pBdr>
        <w:spacing w:before="220" w:after="220"/>
      </w:pPr>
    </w:p>
    <w:p w14:paraId="2C72C309" w14:textId="77777777" w:rsidR="00775565" w:rsidRDefault="00000000">
      <w:pPr>
        <w:pStyle w:val="Heading1"/>
      </w:pPr>
      <w:r>
        <w:t>5. Phased Implementation Roadmap</w:t>
      </w:r>
    </w:p>
    <w:p w14:paraId="49B10144" w14:textId="7544E43D" w:rsidR="00775565" w:rsidRDefault="00000000">
      <w:pPr>
        <w:spacing w:before="60" w:after="60" w:line="280" w:lineRule="auto"/>
        <w:jc w:val="both"/>
      </w:pPr>
      <w:r>
        <w:t xml:space="preserve">Given that FSB is currently operating at CMMI Level 1 </w:t>
      </w:r>
      <w:r w:rsidR="008739C5">
        <w:t>-</w:t>
      </w:r>
      <w:r>
        <w:t xml:space="preserve"> meaning its security processes are largely reactive, undocumented, and dependent on individual heroics rather than repeatable procedures </w:t>
      </w:r>
      <w:r w:rsidR="008739C5">
        <w:t>-</w:t>
      </w:r>
      <w:r>
        <w:t xml:space="preserve"> a phased implementation approach is not just preferable, it is essential. Attempting to jump straight to ISO 27001 certification without first establishing foundational governance disciplines is a well-documented failure mode: Thompson and White [19] report that organisations which skip these foundational phases achieve certification 40% less frequently and experience 2.3× more incidents in the post-implementation period, though it is worth noting their sample focused on large financial institutions, so the exact figures may not translate directly to FSB’s scale. That said, the broader principle </w:t>
      </w:r>
      <w:r w:rsidR="008739C5">
        <w:t>-</w:t>
      </w:r>
      <w:r>
        <w:t xml:space="preserve"> that phased governance maturity matters </w:t>
      </w:r>
      <w:r w:rsidR="008739C5">
        <w:t>-</w:t>
      </w:r>
      <w:r>
        <w:t xml:space="preserve"> is well supported across the literature [3][15]. A potential implementation risk worth acknowledging is organisational resistance to micro-segmentation and continuous authentication requirements, which previous Zero Trust deployments have shown can slow adoption if not supported by structured change-management planning [11]. Table 3 below maps out a realistic 18-month trajectory, with each phase gate requiring formal ISSC sign-off before progression.</w:t>
      </w:r>
    </w:p>
    <w:p w14:paraId="268A751B" w14:textId="77777777" w:rsidR="00775565" w:rsidRDefault="00775565">
      <w:pPr>
        <w:spacing w:before="80" w:after="80"/>
      </w:pPr>
    </w:p>
    <w:p w14:paraId="28BB59C3" w14:textId="77777777" w:rsidR="00775565" w:rsidRDefault="00000000">
      <w:pPr>
        <w:spacing w:before="60" w:after="100"/>
        <w:jc w:val="center"/>
      </w:pPr>
      <w:r>
        <w:rPr>
          <w:b/>
          <w:bCs/>
          <w:i/>
          <w:iCs/>
          <w:color w:val="595959"/>
          <w:sz w:val="20"/>
          <w:szCs w:val="20"/>
        </w:rPr>
        <w:t>Table 3: FSB 18-Month Phased Implementation Roadmap</w:t>
      </w:r>
    </w:p>
    <w:p w14:paraId="366F5639" w14:textId="77777777" w:rsidR="00775565" w:rsidRDefault="00775565">
      <w:pPr>
        <w:spacing w:before="40" w:after="4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60"/>
        <w:gridCol w:w="1295"/>
        <w:gridCol w:w="2187"/>
        <w:gridCol w:w="2184"/>
        <w:gridCol w:w="2434"/>
      </w:tblGrid>
      <w:tr w:rsidR="00775565" w14:paraId="0074A454" w14:textId="77777777">
        <w:tblPrEx>
          <w:tblCellMar>
            <w:top w:w="0" w:type="dxa"/>
            <w:bottom w:w="0" w:type="dxa"/>
          </w:tblCellMar>
        </w:tblPrEx>
        <w:tc>
          <w:tcPr>
            <w:tcW w:w="12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684B8E03" w14:textId="77777777" w:rsidR="00775565" w:rsidRDefault="00000000">
            <w:pPr>
              <w:jc w:val="center"/>
            </w:pPr>
            <w:r>
              <w:rPr>
                <w:b/>
                <w:bCs/>
                <w:color w:val="FFFFFF"/>
                <w:sz w:val="19"/>
                <w:szCs w:val="19"/>
              </w:rPr>
              <w:t>Phase</w:t>
            </w:r>
          </w:p>
        </w:tc>
        <w:tc>
          <w:tcPr>
            <w:tcW w:w="13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359409F8" w14:textId="77777777" w:rsidR="00775565" w:rsidRDefault="00000000">
            <w:pPr>
              <w:jc w:val="center"/>
            </w:pPr>
            <w:r>
              <w:rPr>
                <w:b/>
                <w:bCs/>
                <w:color w:val="FFFFFF"/>
                <w:sz w:val="19"/>
                <w:szCs w:val="19"/>
              </w:rPr>
              <w:t>Timeline</w:t>
            </w:r>
          </w:p>
        </w:tc>
        <w:tc>
          <w:tcPr>
            <w:tcW w:w="22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0B4F32C2" w14:textId="77777777" w:rsidR="00775565" w:rsidRDefault="00000000">
            <w:pPr>
              <w:jc w:val="center"/>
            </w:pPr>
            <w:r>
              <w:rPr>
                <w:b/>
                <w:bCs/>
                <w:color w:val="FFFFFF"/>
                <w:sz w:val="19"/>
                <w:szCs w:val="19"/>
              </w:rPr>
              <w:t>Focus Area</w:t>
            </w:r>
          </w:p>
        </w:tc>
        <w:tc>
          <w:tcPr>
            <w:tcW w:w="22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785AF0C6" w14:textId="77777777" w:rsidR="00775565" w:rsidRDefault="00000000">
            <w:pPr>
              <w:jc w:val="center"/>
            </w:pPr>
            <w:r>
              <w:rPr>
                <w:b/>
                <w:bCs/>
                <w:color w:val="FFFFFF"/>
                <w:sz w:val="19"/>
                <w:szCs w:val="19"/>
              </w:rPr>
              <w:t>Key Deliverables</w:t>
            </w:r>
          </w:p>
        </w:tc>
        <w:tc>
          <w:tcPr>
            <w:tcW w:w="246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53D3D3E4" w14:textId="77777777" w:rsidR="00775565" w:rsidRDefault="00000000">
            <w:pPr>
              <w:jc w:val="center"/>
            </w:pPr>
            <w:r>
              <w:rPr>
                <w:b/>
                <w:bCs/>
                <w:color w:val="FFFFFF"/>
                <w:sz w:val="19"/>
                <w:szCs w:val="19"/>
              </w:rPr>
              <w:t>Success Metric</w:t>
            </w:r>
          </w:p>
        </w:tc>
      </w:tr>
      <w:tr w:rsidR="00775565" w14:paraId="12DBB3DF" w14:textId="77777777">
        <w:tblPrEx>
          <w:tblCellMar>
            <w:top w:w="0" w:type="dxa"/>
            <w:bottom w:w="0" w:type="dxa"/>
          </w:tblCellMar>
        </w:tblPrEx>
        <w:tc>
          <w:tcPr>
            <w:tcW w:w="12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15D0DD78" w14:textId="77777777" w:rsidR="00775565" w:rsidRDefault="00000000">
            <w:pPr>
              <w:jc w:val="center"/>
            </w:pPr>
            <w:r>
              <w:rPr>
                <w:b/>
                <w:bCs/>
                <w:color w:val="FFFFFF"/>
                <w:sz w:val="18"/>
                <w:szCs w:val="18"/>
              </w:rPr>
              <w:t>1 Foundation</w:t>
            </w:r>
          </w:p>
        </w:tc>
        <w:tc>
          <w:tcPr>
            <w:tcW w:w="13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08CD0BDB" w14:textId="77777777" w:rsidR="00775565" w:rsidRDefault="00000000">
            <w:pPr>
              <w:jc w:val="center"/>
            </w:pPr>
            <w:r>
              <w:rPr>
                <w:color w:val="000000"/>
                <w:sz w:val="18"/>
                <w:szCs w:val="18"/>
              </w:rPr>
              <w:t>Months 1–3</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3D4C8592" w14:textId="77777777" w:rsidR="00775565" w:rsidRDefault="00000000">
            <w:r>
              <w:rPr>
                <w:color w:val="000000"/>
                <w:sz w:val="18"/>
                <w:szCs w:val="18"/>
              </w:rPr>
              <w:t>Governance &amp; Policy ISO 27001 Gap Analysis</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3BAD0C4A" w14:textId="77777777" w:rsidR="00775565" w:rsidRDefault="00000000">
            <w:r>
              <w:rPr>
                <w:color w:val="000000"/>
                <w:sz w:val="18"/>
                <w:szCs w:val="18"/>
              </w:rPr>
              <w:t>· ISSC constituted · ISMS scope defined · Risk register v1 · BYOD ISSP drafted</w:t>
            </w:r>
          </w:p>
        </w:tc>
        <w:tc>
          <w:tcPr>
            <w:tcW w:w="246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78BD57BC" w14:textId="6C753C70" w:rsidR="00775565" w:rsidRDefault="00000000">
            <w:r>
              <w:rPr>
                <w:color w:val="000000"/>
                <w:sz w:val="18"/>
                <w:szCs w:val="18"/>
              </w:rPr>
              <w:t>ISO 27001 Stage 1 audit pass</w:t>
            </w:r>
            <w:r w:rsidR="008739C5">
              <w:rPr>
                <w:color w:val="000000"/>
                <w:sz w:val="18"/>
                <w:szCs w:val="18"/>
              </w:rPr>
              <w:t>,</w:t>
            </w:r>
            <w:r>
              <w:rPr>
                <w:color w:val="000000"/>
                <w:sz w:val="18"/>
                <w:szCs w:val="18"/>
              </w:rPr>
              <w:t xml:space="preserve"> CMMI Level 2 achieved</w:t>
            </w:r>
          </w:p>
        </w:tc>
      </w:tr>
      <w:tr w:rsidR="00775565" w14:paraId="0C0B1E30" w14:textId="77777777">
        <w:tblPrEx>
          <w:tblCellMar>
            <w:top w:w="0" w:type="dxa"/>
            <w:bottom w:w="0" w:type="dxa"/>
          </w:tblCellMar>
        </w:tblPrEx>
        <w:tc>
          <w:tcPr>
            <w:tcW w:w="1200" w:type="dxa"/>
            <w:tcBorders>
              <w:top w:val="single" w:sz="4" w:space="0" w:color="CCCCCC"/>
              <w:left w:val="single" w:sz="4" w:space="0" w:color="CCCCCC"/>
              <w:bottom w:val="single" w:sz="4" w:space="0" w:color="CCCCCC"/>
              <w:right w:val="single" w:sz="4" w:space="0" w:color="CCCCCC"/>
            </w:tcBorders>
            <w:shd w:val="clear" w:color="auto" w:fill="1A5276"/>
            <w:tcMar>
              <w:top w:w="90" w:type="dxa"/>
              <w:left w:w="140" w:type="dxa"/>
              <w:bottom w:w="90" w:type="dxa"/>
              <w:right w:w="140" w:type="dxa"/>
            </w:tcMar>
            <w:vAlign w:val="center"/>
          </w:tcPr>
          <w:p w14:paraId="11902D22" w14:textId="77777777" w:rsidR="00775565" w:rsidRDefault="00000000">
            <w:pPr>
              <w:jc w:val="center"/>
            </w:pPr>
            <w:r>
              <w:rPr>
                <w:b/>
                <w:bCs/>
                <w:color w:val="FFFFFF"/>
                <w:sz w:val="18"/>
                <w:szCs w:val="18"/>
              </w:rPr>
              <w:t>2 Identity &amp; Access</w:t>
            </w:r>
          </w:p>
        </w:tc>
        <w:tc>
          <w:tcPr>
            <w:tcW w:w="13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632030E4" w14:textId="77777777" w:rsidR="00775565" w:rsidRDefault="00000000">
            <w:pPr>
              <w:jc w:val="center"/>
            </w:pPr>
            <w:r>
              <w:rPr>
                <w:color w:val="000000"/>
                <w:sz w:val="18"/>
                <w:szCs w:val="18"/>
              </w:rPr>
              <w:t>Months 4–6</w:t>
            </w:r>
          </w:p>
        </w:tc>
        <w:tc>
          <w:tcPr>
            <w:tcW w:w="22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650075DD" w14:textId="77777777" w:rsidR="00775565" w:rsidRDefault="00000000">
            <w:r>
              <w:rPr>
                <w:color w:val="000000"/>
                <w:sz w:val="18"/>
                <w:szCs w:val="18"/>
              </w:rPr>
              <w:t>ZTA Implementation MDM Deployment</w:t>
            </w:r>
          </w:p>
        </w:tc>
        <w:tc>
          <w:tcPr>
            <w:tcW w:w="22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5DB693B9" w14:textId="77777777" w:rsidR="00775565" w:rsidRDefault="00000000">
            <w:r>
              <w:rPr>
                <w:color w:val="000000"/>
                <w:sz w:val="18"/>
                <w:szCs w:val="18"/>
              </w:rPr>
              <w:t>· Azure AD + MFA live · Intune MDM enrolled · Micro-segmentation · ZTA Policy Engine</w:t>
            </w:r>
          </w:p>
        </w:tc>
        <w:tc>
          <w:tcPr>
            <w:tcW w:w="246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404E0463" w14:textId="734451F9" w:rsidR="00775565" w:rsidRDefault="00000000">
            <w:r>
              <w:rPr>
                <w:color w:val="000000"/>
                <w:sz w:val="18"/>
                <w:szCs w:val="18"/>
              </w:rPr>
              <w:t xml:space="preserve">100% MFA coverage No high-severity BYOD incidents detected during </w:t>
            </w:r>
            <w:r w:rsidR="008739C5">
              <w:rPr>
                <w:color w:val="000000"/>
                <w:sz w:val="18"/>
                <w:szCs w:val="18"/>
              </w:rPr>
              <w:t xml:space="preserve">the </w:t>
            </w:r>
            <w:r>
              <w:rPr>
                <w:color w:val="000000"/>
                <w:sz w:val="18"/>
                <w:szCs w:val="18"/>
              </w:rPr>
              <w:t>pilot monitoring window</w:t>
            </w:r>
          </w:p>
        </w:tc>
      </w:tr>
      <w:tr w:rsidR="00775565" w14:paraId="073BE58B" w14:textId="77777777">
        <w:tblPrEx>
          <w:tblCellMar>
            <w:top w:w="0" w:type="dxa"/>
            <w:bottom w:w="0" w:type="dxa"/>
          </w:tblCellMar>
        </w:tblPrEx>
        <w:tc>
          <w:tcPr>
            <w:tcW w:w="1200" w:type="dxa"/>
            <w:tcBorders>
              <w:top w:val="single" w:sz="4" w:space="0" w:color="CCCCCC"/>
              <w:left w:val="single" w:sz="4" w:space="0" w:color="CCCCCC"/>
              <w:bottom w:val="single" w:sz="4" w:space="0" w:color="CCCCCC"/>
              <w:right w:val="single" w:sz="4" w:space="0" w:color="CCCCCC"/>
            </w:tcBorders>
            <w:shd w:val="clear" w:color="auto" w:fill="1F6B75"/>
            <w:tcMar>
              <w:top w:w="90" w:type="dxa"/>
              <w:left w:w="140" w:type="dxa"/>
              <w:bottom w:w="90" w:type="dxa"/>
              <w:right w:w="140" w:type="dxa"/>
            </w:tcMar>
            <w:vAlign w:val="center"/>
          </w:tcPr>
          <w:p w14:paraId="2191D136" w14:textId="77777777" w:rsidR="00775565" w:rsidRDefault="00000000">
            <w:pPr>
              <w:jc w:val="center"/>
            </w:pPr>
            <w:r>
              <w:rPr>
                <w:b/>
                <w:bCs/>
                <w:color w:val="FFFFFF"/>
                <w:sz w:val="18"/>
                <w:szCs w:val="18"/>
              </w:rPr>
              <w:t>3 Cloud Hardening</w:t>
            </w:r>
          </w:p>
        </w:tc>
        <w:tc>
          <w:tcPr>
            <w:tcW w:w="13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7213B9D0" w14:textId="77777777" w:rsidR="00775565" w:rsidRDefault="00000000">
            <w:pPr>
              <w:jc w:val="center"/>
            </w:pPr>
            <w:r>
              <w:rPr>
                <w:color w:val="000000"/>
                <w:sz w:val="18"/>
                <w:szCs w:val="18"/>
              </w:rPr>
              <w:t>Months 7–9</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79CC5F6A" w14:textId="77777777" w:rsidR="00775565" w:rsidRDefault="00000000">
            <w:r>
              <w:rPr>
                <w:color w:val="000000"/>
                <w:sz w:val="18"/>
                <w:szCs w:val="18"/>
              </w:rPr>
              <w:t>CSA CCM Controls Cloud Security Posture</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30755347" w14:textId="77777777" w:rsidR="00775565" w:rsidRDefault="00000000">
            <w:r>
              <w:rPr>
                <w:color w:val="000000"/>
                <w:sz w:val="18"/>
                <w:szCs w:val="18"/>
              </w:rPr>
              <w:t>· CSPM tooling live · Vendor SLAs signed · Encryption enforced · DLP deployed</w:t>
            </w:r>
          </w:p>
        </w:tc>
        <w:tc>
          <w:tcPr>
            <w:tcW w:w="246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2008A8AE" w14:textId="1064217E" w:rsidR="00775565" w:rsidRDefault="00000000">
            <w:r>
              <w:rPr>
                <w:color w:val="000000"/>
                <w:sz w:val="18"/>
                <w:szCs w:val="18"/>
              </w:rPr>
              <w:t xml:space="preserve">Zero critical cloud misc. </w:t>
            </w:r>
            <w:r w:rsidR="008739C5">
              <w:rPr>
                <w:color w:val="000000"/>
                <w:sz w:val="18"/>
                <w:szCs w:val="18"/>
              </w:rPr>
              <w:t>Findings</w:t>
            </w:r>
            <w:r>
              <w:rPr>
                <w:color w:val="000000"/>
                <w:sz w:val="18"/>
                <w:szCs w:val="18"/>
              </w:rPr>
              <w:t xml:space="preserve"> in scan PCI-DSS v4 compliant</w:t>
            </w:r>
          </w:p>
        </w:tc>
      </w:tr>
      <w:tr w:rsidR="00775565" w14:paraId="3DC2268B" w14:textId="77777777">
        <w:tblPrEx>
          <w:tblCellMar>
            <w:top w:w="0" w:type="dxa"/>
            <w:bottom w:w="0" w:type="dxa"/>
          </w:tblCellMar>
        </w:tblPrEx>
        <w:tc>
          <w:tcPr>
            <w:tcW w:w="1200" w:type="dxa"/>
            <w:tcBorders>
              <w:top w:val="single" w:sz="4" w:space="0" w:color="CCCCCC"/>
              <w:left w:val="single" w:sz="4" w:space="0" w:color="CCCCCC"/>
              <w:bottom w:val="single" w:sz="4" w:space="0" w:color="CCCCCC"/>
              <w:right w:val="single" w:sz="4" w:space="0" w:color="CCCCCC"/>
            </w:tcBorders>
            <w:shd w:val="clear" w:color="auto" w:fill="154360"/>
            <w:tcMar>
              <w:top w:w="90" w:type="dxa"/>
              <w:left w:w="140" w:type="dxa"/>
              <w:bottom w:w="90" w:type="dxa"/>
              <w:right w:w="140" w:type="dxa"/>
            </w:tcMar>
            <w:vAlign w:val="center"/>
          </w:tcPr>
          <w:p w14:paraId="1FE1C02B" w14:textId="77777777" w:rsidR="00775565" w:rsidRDefault="00000000">
            <w:pPr>
              <w:jc w:val="center"/>
            </w:pPr>
            <w:r>
              <w:rPr>
                <w:b/>
                <w:bCs/>
                <w:color w:val="FFFFFF"/>
                <w:sz w:val="18"/>
                <w:szCs w:val="18"/>
              </w:rPr>
              <w:t>4 AI &amp; Detection</w:t>
            </w:r>
          </w:p>
        </w:tc>
        <w:tc>
          <w:tcPr>
            <w:tcW w:w="13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3295EDB7" w14:textId="77777777" w:rsidR="00775565" w:rsidRDefault="00000000">
            <w:pPr>
              <w:jc w:val="center"/>
            </w:pPr>
            <w:r>
              <w:rPr>
                <w:color w:val="000000"/>
                <w:sz w:val="18"/>
                <w:szCs w:val="18"/>
              </w:rPr>
              <w:t>Months 10–12</w:t>
            </w:r>
          </w:p>
        </w:tc>
        <w:tc>
          <w:tcPr>
            <w:tcW w:w="22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3CCD52E2" w14:textId="77777777" w:rsidR="00775565" w:rsidRDefault="00000000">
            <w:r>
              <w:rPr>
                <w:color w:val="000000"/>
                <w:sz w:val="18"/>
                <w:szCs w:val="18"/>
              </w:rPr>
              <w:t>LSTM Pipeline SIEM Integration</w:t>
            </w:r>
          </w:p>
        </w:tc>
        <w:tc>
          <w:tcPr>
            <w:tcW w:w="22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2BF173EE" w14:textId="77777777" w:rsidR="00775565" w:rsidRDefault="00000000">
            <w:r>
              <w:rPr>
                <w:color w:val="000000"/>
                <w:sz w:val="18"/>
                <w:szCs w:val="18"/>
              </w:rPr>
              <w:t>· LSTM model trained · Autoencoder baseline · SHAP explainability · Model card published</w:t>
            </w:r>
          </w:p>
        </w:tc>
        <w:tc>
          <w:tcPr>
            <w:tcW w:w="246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68F94468" w14:textId="77777777" w:rsidR="00775565" w:rsidRDefault="00000000">
            <w:r>
              <w:rPr>
                <w:color w:val="000000"/>
                <w:sz w:val="18"/>
                <w:szCs w:val="18"/>
              </w:rPr>
              <w:t>False positive rate &lt; 5% MTTD &lt; 30 minutes</w:t>
            </w:r>
          </w:p>
        </w:tc>
      </w:tr>
      <w:tr w:rsidR="00775565" w14:paraId="667DF8CB" w14:textId="77777777">
        <w:tblPrEx>
          <w:tblCellMar>
            <w:top w:w="0" w:type="dxa"/>
            <w:bottom w:w="0" w:type="dxa"/>
          </w:tblCellMar>
        </w:tblPrEx>
        <w:tc>
          <w:tcPr>
            <w:tcW w:w="1200" w:type="dxa"/>
            <w:tcBorders>
              <w:top w:val="single" w:sz="4" w:space="0" w:color="CCCCCC"/>
              <w:left w:val="single" w:sz="4" w:space="0" w:color="CCCCCC"/>
              <w:bottom w:val="single" w:sz="4" w:space="0" w:color="CCCCCC"/>
              <w:right w:val="single" w:sz="4" w:space="0" w:color="CCCCCC"/>
            </w:tcBorders>
            <w:shd w:val="clear" w:color="auto" w:fill="17202A"/>
            <w:tcMar>
              <w:top w:w="90" w:type="dxa"/>
              <w:left w:w="140" w:type="dxa"/>
              <w:bottom w:w="90" w:type="dxa"/>
              <w:right w:w="140" w:type="dxa"/>
            </w:tcMar>
            <w:vAlign w:val="center"/>
          </w:tcPr>
          <w:p w14:paraId="5C4D7763" w14:textId="77777777" w:rsidR="00775565" w:rsidRDefault="00000000">
            <w:pPr>
              <w:jc w:val="center"/>
            </w:pPr>
            <w:r>
              <w:rPr>
                <w:b/>
                <w:bCs/>
                <w:color w:val="FFFFFF"/>
                <w:sz w:val="18"/>
                <w:szCs w:val="18"/>
              </w:rPr>
              <w:t>5 Optimise &amp; Certify</w:t>
            </w:r>
          </w:p>
        </w:tc>
        <w:tc>
          <w:tcPr>
            <w:tcW w:w="13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22EA0974" w14:textId="77777777" w:rsidR="00775565" w:rsidRDefault="00000000">
            <w:pPr>
              <w:jc w:val="center"/>
            </w:pPr>
            <w:r>
              <w:rPr>
                <w:color w:val="000000"/>
                <w:sz w:val="18"/>
                <w:szCs w:val="18"/>
              </w:rPr>
              <w:t>Months 13–18</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07795D9E" w14:textId="77777777" w:rsidR="00775565" w:rsidRDefault="00000000">
            <w:r>
              <w:rPr>
                <w:color w:val="000000"/>
                <w:sz w:val="18"/>
                <w:szCs w:val="18"/>
              </w:rPr>
              <w:t>ISO 27001 Certification Continuous Improvement</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56092BE5" w14:textId="77777777" w:rsidR="00775565" w:rsidRDefault="00000000">
            <w:r>
              <w:rPr>
                <w:color w:val="000000"/>
                <w:sz w:val="18"/>
                <w:szCs w:val="18"/>
              </w:rPr>
              <w:t>· Full audit cycle · Tabletop exercises · Red team assessment · CMMI Level 3</w:t>
            </w:r>
          </w:p>
        </w:tc>
        <w:tc>
          <w:tcPr>
            <w:tcW w:w="246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38E5E48E" w14:textId="43794018" w:rsidR="00775565" w:rsidRDefault="00000000">
            <w:r>
              <w:rPr>
                <w:color w:val="000000"/>
                <w:sz w:val="18"/>
                <w:szCs w:val="18"/>
              </w:rPr>
              <w:t>ISO 27001 cert achieved</w:t>
            </w:r>
            <w:r w:rsidR="008739C5">
              <w:rPr>
                <w:color w:val="000000"/>
                <w:sz w:val="18"/>
                <w:szCs w:val="18"/>
              </w:rPr>
              <w:t>,</w:t>
            </w:r>
            <w:r>
              <w:rPr>
                <w:color w:val="000000"/>
                <w:sz w:val="18"/>
                <w:szCs w:val="18"/>
              </w:rPr>
              <w:t xml:space="preserve"> CMMI Level 3</w:t>
            </w:r>
            <w:r w:rsidR="008739C5">
              <w:rPr>
                <w:color w:val="000000"/>
                <w:sz w:val="18"/>
                <w:szCs w:val="18"/>
              </w:rPr>
              <w:t>,</w:t>
            </w:r>
            <w:r>
              <w:rPr>
                <w:color w:val="000000"/>
                <w:sz w:val="18"/>
                <w:szCs w:val="18"/>
              </w:rPr>
              <w:t xml:space="preserve"> Zero material breaches</w:t>
            </w:r>
          </w:p>
        </w:tc>
      </w:tr>
    </w:tbl>
    <w:p w14:paraId="09BE8274" w14:textId="77777777" w:rsidR="00775565" w:rsidRDefault="00775565">
      <w:pPr>
        <w:spacing w:before="80" w:after="80"/>
      </w:pPr>
    </w:p>
    <w:p w14:paraId="6C9F5589" w14:textId="77777777" w:rsidR="00775565" w:rsidRDefault="00775565">
      <w:pPr>
        <w:pBdr>
          <w:bottom w:val="single" w:sz="8" w:space="1" w:color="2E74B5"/>
        </w:pBdr>
        <w:spacing w:before="220" w:after="220"/>
      </w:pPr>
    </w:p>
    <w:p w14:paraId="37A147DB" w14:textId="77777777" w:rsidR="00775565" w:rsidRDefault="00000000">
      <w:pPr>
        <w:pStyle w:val="Heading1"/>
      </w:pPr>
      <w:r>
        <w:t>6. Cost–Benefit Analysis</w:t>
      </w:r>
    </w:p>
    <w:p w14:paraId="414E635E" w14:textId="77777777" w:rsidR="00775565" w:rsidRDefault="00000000">
      <w:pPr>
        <w:spacing w:before="60" w:after="60" w:line="280" w:lineRule="auto"/>
        <w:jc w:val="both"/>
      </w:pPr>
      <w:r>
        <w:t>Security investment at FSB must be justified through quantifiable returns. The analysis below applies IBM’s Cost of a Data Breach methodology and industry benchmarks to FSB’s threat profile [19].</w:t>
      </w:r>
    </w:p>
    <w:p w14:paraId="7746D992" w14:textId="77777777" w:rsidR="00775565" w:rsidRDefault="00775565">
      <w:pPr>
        <w:spacing w:before="80" w:after="80"/>
      </w:pPr>
    </w:p>
    <w:p w14:paraId="7415C0BA" w14:textId="77777777" w:rsidR="00775565" w:rsidRDefault="00000000">
      <w:pPr>
        <w:spacing w:before="60" w:after="100"/>
        <w:jc w:val="center"/>
      </w:pPr>
      <w:r>
        <w:rPr>
          <w:b/>
          <w:bCs/>
          <w:i/>
          <w:iCs/>
          <w:color w:val="595959"/>
          <w:sz w:val="20"/>
          <w:szCs w:val="20"/>
        </w:rPr>
        <w:t>Table 4: FSB Security Investment Cost–Benefit Analysis</w:t>
      </w:r>
    </w:p>
    <w:p w14:paraId="018FA82B" w14:textId="77777777" w:rsidR="00775565" w:rsidRDefault="00775565">
      <w:pPr>
        <w:spacing w:before="40" w:after="4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2200"/>
        <w:gridCol w:w="2200"/>
        <w:gridCol w:w="2760"/>
      </w:tblGrid>
      <w:tr w:rsidR="00775565" w14:paraId="30F6175D"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7F333230" w14:textId="77777777" w:rsidR="00775565" w:rsidRDefault="00000000">
            <w:pPr>
              <w:jc w:val="center"/>
            </w:pPr>
            <w:r>
              <w:rPr>
                <w:b/>
                <w:bCs/>
                <w:color w:val="FFFFFF"/>
                <w:sz w:val="19"/>
                <w:szCs w:val="19"/>
              </w:rPr>
              <w:t>Initiative</w:t>
            </w:r>
          </w:p>
        </w:tc>
        <w:tc>
          <w:tcPr>
            <w:tcW w:w="22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6A1960F5" w14:textId="77777777" w:rsidR="00775565" w:rsidRDefault="00000000">
            <w:pPr>
              <w:jc w:val="center"/>
            </w:pPr>
            <w:r>
              <w:rPr>
                <w:b/>
                <w:bCs/>
                <w:color w:val="FFFFFF"/>
                <w:sz w:val="19"/>
                <w:szCs w:val="19"/>
              </w:rPr>
              <w:t>Estimated Cost (Yr 1)</w:t>
            </w:r>
          </w:p>
        </w:tc>
        <w:tc>
          <w:tcPr>
            <w:tcW w:w="220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6AA9969B" w14:textId="77777777" w:rsidR="00775565" w:rsidRDefault="00000000">
            <w:pPr>
              <w:jc w:val="center"/>
            </w:pPr>
            <w:r>
              <w:rPr>
                <w:b/>
                <w:bCs/>
                <w:color w:val="FFFFFF"/>
                <w:sz w:val="19"/>
                <w:szCs w:val="19"/>
              </w:rPr>
              <w:t>Estimated Annual Benefit</w:t>
            </w:r>
          </w:p>
        </w:tc>
        <w:tc>
          <w:tcPr>
            <w:tcW w:w="2760" w:type="dxa"/>
            <w:tcBorders>
              <w:top w:val="single" w:sz="4" w:space="0" w:color="CCCCCC"/>
              <w:left w:val="single" w:sz="4" w:space="0" w:color="CCCCCC"/>
              <w:bottom w:val="single" w:sz="4" w:space="0" w:color="CCCCCC"/>
              <w:right w:val="single" w:sz="4" w:space="0" w:color="CCCCCC"/>
            </w:tcBorders>
            <w:shd w:val="clear" w:color="auto" w:fill="1F4E79"/>
            <w:tcMar>
              <w:top w:w="90" w:type="dxa"/>
              <w:left w:w="140" w:type="dxa"/>
              <w:bottom w:w="90" w:type="dxa"/>
              <w:right w:w="140" w:type="dxa"/>
            </w:tcMar>
            <w:vAlign w:val="center"/>
          </w:tcPr>
          <w:p w14:paraId="07039EF7" w14:textId="77777777" w:rsidR="00775565" w:rsidRDefault="00000000">
            <w:pPr>
              <w:jc w:val="center"/>
            </w:pPr>
            <w:r>
              <w:rPr>
                <w:b/>
                <w:bCs/>
                <w:color w:val="FFFFFF"/>
                <w:sz w:val="19"/>
                <w:szCs w:val="19"/>
              </w:rPr>
              <w:t>Benefit Rationale</w:t>
            </w:r>
          </w:p>
        </w:tc>
      </w:tr>
      <w:tr w:rsidR="00775565" w14:paraId="1CCBF243"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6BEB1603" w14:textId="77777777" w:rsidR="00775565" w:rsidRDefault="00000000">
            <w:r>
              <w:rPr>
                <w:color w:val="000000"/>
                <w:sz w:val="18"/>
                <w:szCs w:val="18"/>
              </w:rPr>
              <w:t>ISO 27001 Certification (consultancy + audit)</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34B85904" w14:textId="77777777" w:rsidR="00775565" w:rsidRDefault="00000000">
            <w:r>
              <w:rPr>
                <w:color w:val="000000"/>
                <w:sz w:val="18"/>
                <w:szCs w:val="18"/>
              </w:rPr>
              <w:t>£85,000–£120,000</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1F3BC5E6" w14:textId="77777777" w:rsidR="00775565" w:rsidRDefault="00000000">
            <w:r>
              <w:rPr>
                <w:color w:val="000000"/>
                <w:sz w:val="18"/>
                <w:szCs w:val="18"/>
              </w:rPr>
              <w:t>£300,000–£500,000</w:t>
            </w:r>
          </w:p>
        </w:tc>
        <w:tc>
          <w:tcPr>
            <w:tcW w:w="276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5323BB0E" w14:textId="77777777" w:rsidR="00775565" w:rsidRDefault="00000000">
            <w:r>
              <w:rPr>
                <w:color w:val="000000"/>
                <w:sz w:val="18"/>
                <w:szCs w:val="18"/>
              </w:rPr>
              <w:t>Avoids average GDPR fine (€20M cap); reduces cyber insurance premium 15–30% [19]</w:t>
            </w:r>
          </w:p>
        </w:tc>
      </w:tr>
      <w:tr w:rsidR="00775565" w14:paraId="23312305"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5719B693" w14:textId="77777777" w:rsidR="00775565" w:rsidRDefault="00000000">
            <w:r>
              <w:rPr>
                <w:color w:val="000000"/>
                <w:sz w:val="18"/>
                <w:szCs w:val="18"/>
              </w:rPr>
              <w:t>ZTA + MDM Deployment (Azure AD P2 + Intune)</w:t>
            </w:r>
          </w:p>
        </w:tc>
        <w:tc>
          <w:tcPr>
            <w:tcW w:w="22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107E1520" w14:textId="77777777" w:rsidR="00775565" w:rsidRDefault="00000000">
            <w:r>
              <w:rPr>
                <w:color w:val="000000"/>
                <w:sz w:val="18"/>
                <w:szCs w:val="18"/>
              </w:rPr>
              <w:t>£60,000–£90,000</w:t>
            </w:r>
          </w:p>
        </w:tc>
        <w:tc>
          <w:tcPr>
            <w:tcW w:w="22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4FFD196E" w14:textId="77777777" w:rsidR="00775565" w:rsidRDefault="00000000">
            <w:r>
              <w:rPr>
                <w:color w:val="000000"/>
                <w:sz w:val="18"/>
                <w:szCs w:val="18"/>
              </w:rPr>
              <w:t>£250,000–£400,000</w:t>
            </w:r>
          </w:p>
        </w:tc>
        <w:tc>
          <w:tcPr>
            <w:tcW w:w="276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3BC582A1" w14:textId="77777777" w:rsidR="00775565" w:rsidRDefault="00000000">
            <w:r>
              <w:rPr>
                <w:color w:val="000000"/>
                <w:sz w:val="18"/>
                <w:szCs w:val="18"/>
              </w:rPr>
              <w:t>IBM 2024: avg. BYOD breach cost £3.2M; ZTA reduces lateral movement risk by ~70% in enterprise deployments [12], though outcomes vary with implementation maturity</w:t>
            </w:r>
          </w:p>
        </w:tc>
      </w:tr>
      <w:tr w:rsidR="00775565" w14:paraId="252B9741"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2F194A10" w14:textId="77777777" w:rsidR="00775565" w:rsidRDefault="00000000">
            <w:r>
              <w:rPr>
                <w:color w:val="000000"/>
                <w:sz w:val="18"/>
                <w:szCs w:val="18"/>
              </w:rPr>
              <w:t>CSPM + Cloud Hardening (AWS Security Hub)</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783B1A15" w14:textId="77777777" w:rsidR="00775565" w:rsidRDefault="00000000">
            <w:r>
              <w:rPr>
                <w:color w:val="000000"/>
                <w:sz w:val="18"/>
                <w:szCs w:val="18"/>
              </w:rPr>
              <w:t>£30,000–£50,000</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0E648268" w14:textId="77777777" w:rsidR="00775565" w:rsidRDefault="00000000">
            <w:r>
              <w:rPr>
                <w:color w:val="000000"/>
                <w:sz w:val="18"/>
                <w:szCs w:val="18"/>
              </w:rPr>
              <w:t>£180,000–£350,000</w:t>
            </w:r>
          </w:p>
        </w:tc>
        <w:tc>
          <w:tcPr>
            <w:tcW w:w="276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40EB7D1D" w14:textId="77777777" w:rsidR="00775565" w:rsidRDefault="00000000">
            <w:r>
              <w:rPr>
                <w:color w:val="000000"/>
                <w:sz w:val="18"/>
                <w:szCs w:val="18"/>
              </w:rPr>
              <w:t>Cloud misconfiguration = #1 cloud breach cause; avg. cost £4.1M per incident [4]</w:t>
            </w:r>
          </w:p>
        </w:tc>
      </w:tr>
      <w:tr w:rsidR="00775565" w14:paraId="3A1CED07"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14566AAA" w14:textId="77777777" w:rsidR="00775565" w:rsidRDefault="00000000">
            <w:r>
              <w:rPr>
                <w:color w:val="000000"/>
                <w:sz w:val="18"/>
                <w:szCs w:val="18"/>
              </w:rPr>
              <w:lastRenderedPageBreak/>
              <w:t>LSTM AI Detection Pipeline (Splunk + GPU)</w:t>
            </w:r>
          </w:p>
        </w:tc>
        <w:tc>
          <w:tcPr>
            <w:tcW w:w="22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5246AB43" w14:textId="77777777" w:rsidR="00775565" w:rsidRDefault="00000000">
            <w:r>
              <w:rPr>
                <w:color w:val="000000"/>
                <w:sz w:val="18"/>
                <w:szCs w:val="18"/>
              </w:rPr>
              <w:t>£120,000–£180,000</w:t>
            </w:r>
          </w:p>
        </w:tc>
        <w:tc>
          <w:tcPr>
            <w:tcW w:w="220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7C250952" w14:textId="77777777" w:rsidR="00775565" w:rsidRDefault="00000000">
            <w:r>
              <w:rPr>
                <w:color w:val="000000"/>
                <w:sz w:val="18"/>
                <w:szCs w:val="18"/>
              </w:rPr>
              <w:t>£400,000–£700,000</w:t>
            </w:r>
          </w:p>
        </w:tc>
        <w:tc>
          <w:tcPr>
            <w:tcW w:w="2760" w:type="dxa"/>
            <w:tcBorders>
              <w:top w:val="single" w:sz="4" w:space="0" w:color="CCCCCC"/>
              <w:left w:val="single" w:sz="4" w:space="0" w:color="CCCCCC"/>
              <w:bottom w:val="single" w:sz="4" w:space="0" w:color="CCCCCC"/>
              <w:right w:val="single" w:sz="4" w:space="0" w:color="CCCCCC"/>
            </w:tcBorders>
            <w:shd w:val="clear" w:color="auto" w:fill="F2F2F2"/>
            <w:tcMar>
              <w:top w:w="90" w:type="dxa"/>
              <w:left w:w="140" w:type="dxa"/>
              <w:bottom w:w="90" w:type="dxa"/>
              <w:right w:w="140" w:type="dxa"/>
            </w:tcMar>
            <w:vAlign w:val="center"/>
          </w:tcPr>
          <w:p w14:paraId="33E382C7" w14:textId="77777777" w:rsidR="00775565" w:rsidRDefault="00000000">
            <w:r>
              <w:rPr>
                <w:color w:val="000000"/>
                <w:sz w:val="18"/>
                <w:szCs w:val="18"/>
              </w:rPr>
              <w:t>Reduces MTTD from avg. 204 days to &lt;30 min; fraud loss reduction estimated 40–60% [21]</w:t>
            </w:r>
          </w:p>
        </w:tc>
      </w:tr>
      <w:tr w:rsidR="00775565" w14:paraId="786C7E2C"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02BDEC21" w14:textId="77777777" w:rsidR="00775565" w:rsidRDefault="00000000">
            <w:r>
              <w:rPr>
                <w:color w:val="000000"/>
                <w:sz w:val="18"/>
                <w:szCs w:val="18"/>
              </w:rPr>
              <w:t>BCP / DR Programme (tabletops + failover)</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4B186583" w14:textId="77777777" w:rsidR="00775565" w:rsidRDefault="00000000">
            <w:r>
              <w:rPr>
                <w:color w:val="000000"/>
                <w:sz w:val="18"/>
                <w:szCs w:val="18"/>
              </w:rPr>
              <w:t>£40,000–£60,000</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01FB1CED" w14:textId="77777777" w:rsidR="00775565" w:rsidRDefault="00000000">
            <w:r>
              <w:rPr>
                <w:color w:val="000000"/>
                <w:sz w:val="18"/>
                <w:szCs w:val="18"/>
              </w:rPr>
              <w:t>£200,000–£500,000</w:t>
            </w:r>
          </w:p>
        </w:tc>
        <w:tc>
          <w:tcPr>
            <w:tcW w:w="276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40" w:type="dxa"/>
            </w:tcMar>
            <w:vAlign w:val="center"/>
          </w:tcPr>
          <w:p w14:paraId="19915B69" w14:textId="77777777" w:rsidR="00775565" w:rsidRDefault="00000000">
            <w:r>
              <w:rPr>
                <w:color w:val="000000"/>
                <w:sz w:val="18"/>
                <w:szCs w:val="18"/>
              </w:rPr>
              <w:t>Avg. banking system downtime cost: £1.2M/hr; RTO target 8hrs saves up to £9.6M [18]</w:t>
            </w:r>
          </w:p>
        </w:tc>
      </w:tr>
      <w:tr w:rsidR="00775565" w14:paraId="27EE4116"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E2EFDA"/>
            <w:tcMar>
              <w:top w:w="90" w:type="dxa"/>
              <w:left w:w="140" w:type="dxa"/>
              <w:bottom w:w="90" w:type="dxa"/>
              <w:right w:w="140" w:type="dxa"/>
            </w:tcMar>
            <w:vAlign w:val="center"/>
          </w:tcPr>
          <w:p w14:paraId="75314336" w14:textId="77777777" w:rsidR="00775565" w:rsidRDefault="00000000">
            <w:r>
              <w:rPr>
                <w:b/>
                <w:bCs/>
                <w:color w:val="1E4620"/>
                <w:sz w:val="18"/>
                <w:szCs w:val="18"/>
              </w:rPr>
              <w:t>TOTAL (Year 1)</w:t>
            </w:r>
          </w:p>
        </w:tc>
        <w:tc>
          <w:tcPr>
            <w:tcW w:w="2200" w:type="dxa"/>
            <w:tcBorders>
              <w:top w:val="single" w:sz="4" w:space="0" w:color="CCCCCC"/>
              <w:left w:val="single" w:sz="4" w:space="0" w:color="CCCCCC"/>
              <w:bottom w:val="single" w:sz="4" w:space="0" w:color="CCCCCC"/>
              <w:right w:val="single" w:sz="4" w:space="0" w:color="CCCCCC"/>
            </w:tcBorders>
            <w:shd w:val="clear" w:color="auto" w:fill="E2EFDA"/>
            <w:tcMar>
              <w:top w:w="90" w:type="dxa"/>
              <w:left w:w="140" w:type="dxa"/>
              <w:bottom w:w="90" w:type="dxa"/>
              <w:right w:w="140" w:type="dxa"/>
            </w:tcMar>
            <w:vAlign w:val="center"/>
          </w:tcPr>
          <w:p w14:paraId="7DEC57BD" w14:textId="77777777" w:rsidR="00775565" w:rsidRDefault="00000000">
            <w:r>
              <w:rPr>
                <w:b/>
                <w:bCs/>
                <w:color w:val="1E4620"/>
                <w:sz w:val="18"/>
                <w:szCs w:val="18"/>
              </w:rPr>
              <w:t>£335,000–£500,000</w:t>
            </w:r>
          </w:p>
        </w:tc>
        <w:tc>
          <w:tcPr>
            <w:tcW w:w="2200" w:type="dxa"/>
            <w:tcBorders>
              <w:top w:val="single" w:sz="4" w:space="0" w:color="CCCCCC"/>
              <w:left w:val="single" w:sz="4" w:space="0" w:color="CCCCCC"/>
              <w:bottom w:val="single" w:sz="4" w:space="0" w:color="CCCCCC"/>
              <w:right w:val="single" w:sz="4" w:space="0" w:color="CCCCCC"/>
            </w:tcBorders>
            <w:shd w:val="clear" w:color="auto" w:fill="E2EFDA"/>
            <w:tcMar>
              <w:top w:w="90" w:type="dxa"/>
              <w:left w:w="140" w:type="dxa"/>
              <w:bottom w:w="90" w:type="dxa"/>
              <w:right w:w="140" w:type="dxa"/>
            </w:tcMar>
            <w:vAlign w:val="center"/>
          </w:tcPr>
          <w:p w14:paraId="6EEEE7DE" w14:textId="77777777" w:rsidR="00775565" w:rsidRDefault="00000000">
            <w:r>
              <w:rPr>
                <w:b/>
                <w:bCs/>
                <w:color w:val="1E4620"/>
                <w:sz w:val="18"/>
                <w:szCs w:val="18"/>
              </w:rPr>
              <w:t>£1.33M–£2.45M</w:t>
            </w:r>
          </w:p>
        </w:tc>
        <w:tc>
          <w:tcPr>
            <w:tcW w:w="2760" w:type="dxa"/>
            <w:tcBorders>
              <w:top w:val="single" w:sz="4" w:space="0" w:color="CCCCCC"/>
              <w:left w:val="single" w:sz="4" w:space="0" w:color="CCCCCC"/>
              <w:bottom w:val="single" w:sz="4" w:space="0" w:color="CCCCCC"/>
              <w:right w:val="single" w:sz="4" w:space="0" w:color="CCCCCC"/>
            </w:tcBorders>
            <w:shd w:val="clear" w:color="auto" w:fill="E2EFDA"/>
            <w:tcMar>
              <w:top w:w="90" w:type="dxa"/>
              <w:left w:w="140" w:type="dxa"/>
              <w:bottom w:w="90" w:type="dxa"/>
              <w:right w:w="140" w:type="dxa"/>
            </w:tcMar>
            <w:vAlign w:val="center"/>
          </w:tcPr>
          <w:p w14:paraId="5E421360" w14:textId="77777777" w:rsidR="00775565" w:rsidRDefault="00000000">
            <w:r>
              <w:rPr>
                <w:b/>
                <w:bCs/>
                <w:color w:val="1E4620"/>
                <w:sz w:val="18"/>
                <w:szCs w:val="18"/>
              </w:rPr>
              <w:t xml:space="preserve">Indicative ROI: ~166–390% if one material breach avoided (see assumptions, Section 6) </w:t>
            </w:r>
            <w:proofErr w:type="gramStart"/>
            <w:r>
              <w:rPr>
                <w:b/>
                <w:bCs/>
                <w:color w:val="1E4620"/>
                <w:sz w:val="18"/>
                <w:szCs w:val="18"/>
              </w:rPr>
              <w:t>Break-even</w:t>
            </w:r>
            <w:proofErr w:type="gramEnd"/>
            <w:r>
              <w:rPr>
                <w:b/>
                <w:bCs/>
                <w:color w:val="1E4620"/>
                <w:sz w:val="18"/>
                <w:szCs w:val="18"/>
              </w:rPr>
              <w:t>: Month 4–6 (conservative estimate)</w:t>
            </w:r>
          </w:p>
        </w:tc>
      </w:tr>
    </w:tbl>
    <w:p w14:paraId="7A43C274" w14:textId="77777777" w:rsidR="00775565" w:rsidRDefault="00775565">
      <w:pPr>
        <w:spacing w:before="80" w:after="80"/>
      </w:pPr>
    </w:p>
    <w:p w14:paraId="1487D7B3" w14:textId="35031428" w:rsidR="00775565" w:rsidRDefault="00000000">
      <w:pPr>
        <w:spacing w:before="60" w:after="60" w:line="280" w:lineRule="auto"/>
        <w:jc w:val="both"/>
      </w:pPr>
      <w:r>
        <w:t xml:space="preserve">Based on IBM’s (2024) breach-cost benchmarks and financial-sector incident modelling assumptions, an indicative ROI of approximately 166–390% may be achievable if one material breach is avoided during the Year 1 projection window. However, this estimate should be interpreted cautiously: it depends heavily on FSB’s baseline incident frequency, which is not publicly available, and on the assumption that breach costs align with sector averages rather than FSB’s specific exposure profile. On those assumptions, a single avoided breach </w:t>
      </w:r>
      <w:r w:rsidR="008739C5">
        <w:t>-</w:t>
      </w:r>
      <w:r>
        <w:t xml:space="preserve"> at an average sector cost of £4.88M </w:t>
      </w:r>
      <w:r w:rsidR="008739C5">
        <w:t>-</w:t>
      </w:r>
      <w:r>
        <w:t xml:space="preserve"> would more than recoup the entire Year 1 investment. ISO 27001 certification also typically reduces cyber insurance premiums by 15–30% [19], and GDPR compliance reduces exposure to Article 83(5) fines of up to €20M, though actual penalties vary considerably by circumstance. Beyond Year 1, operational costs should decline as staff expertise matures, transitioning FSB toward a continuous improvement model at approximately £40,000–£60,000 in annual audit costs.</w:t>
      </w:r>
    </w:p>
    <w:p w14:paraId="3A6AB5BC" w14:textId="77777777" w:rsidR="00775565" w:rsidRDefault="00775565">
      <w:pPr>
        <w:pBdr>
          <w:bottom w:val="single" w:sz="8" w:space="1" w:color="2E74B5"/>
        </w:pBdr>
        <w:spacing w:before="220" w:after="220"/>
      </w:pPr>
    </w:p>
    <w:p w14:paraId="2ACAC09E" w14:textId="77777777" w:rsidR="00775565" w:rsidRDefault="00000000">
      <w:pPr>
        <w:pStyle w:val="Heading1"/>
      </w:pPr>
      <w:r>
        <w:t>7. Conclusion</w:t>
      </w:r>
    </w:p>
    <w:p w14:paraId="3F4C46A3" w14:textId="2E2C1E95" w:rsidR="00775565" w:rsidRDefault="00000000">
      <w:pPr>
        <w:spacing w:before="60" w:after="60" w:line="280" w:lineRule="auto"/>
        <w:jc w:val="both"/>
      </w:pPr>
      <w:r>
        <w:t xml:space="preserve">FSB’s current security posture </w:t>
      </w:r>
      <w:r w:rsidR="008739C5">
        <w:t>-</w:t>
      </w:r>
      <w:r>
        <w:t xml:space="preserve"> fragmented, reactive, almost entirely cloud-dependent </w:t>
      </w:r>
      <w:r w:rsidR="008739C5">
        <w:t>-</w:t>
      </w:r>
      <w:r>
        <w:t xml:space="preserve"> is not just suboptimal. It is genuinely high-risk for a regulated retail bank. This report has argued that no single framework is sufficient to address it. ISO/IEC 27001:2022 provides the essential governance scaffolding, but without the operational dynamism of NIST ZTA and the cloud-specific vendor controls of the CSA CCM, it would produce exactly the kind of static compliance documentation that looks robust on paper and fails in practice. COBIT 2019 closes the governance-to-operations gap that ISO 27001 alone cannot.</w:t>
      </w:r>
    </w:p>
    <w:p w14:paraId="6C3EC1DD" w14:textId="611E090B" w:rsidR="00775565" w:rsidRDefault="00000000">
      <w:pPr>
        <w:spacing w:before="60" w:after="60" w:line="280" w:lineRule="auto"/>
        <w:jc w:val="both"/>
      </w:pPr>
      <w:r>
        <w:t xml:space="preserve">The LSTM-based anomaly detection pipeline addresses a genuine gap: rule-based SIEM systems cannot keep pace with the volume and novelty of threats FSB will face at scale. This system needs a formal Model Risk Management programme to satisfy the EU AI Act and GDPR Article 22. SHAP-based explainability, quarterly bias auditing, and a human override mechanism are not optional additions to make the system look better </w:t>
      </w:r>
      <w:r w:rsidR="008739C5">
        <w:t>-</w:t>
      </w:r>
      <w:r>
        <w:t xml:space="preserve"> they are legal requirements that must be built in from day one, not bolted on after a regulator asks questions.</w:t>
      </w:r>
    </w:p>
    <w:p w14:paraId="3EA035A5" w14:textId="77777777" w:rsidR="00775565" w:rsidRDefault="00000000">
      <w:pPr>
        <w:spacing w:before="60" w:after="60" w:line="280" w:lineRule="auto"/>
        <w:jc w:val="both"/>
      </w:pPr>
      <w:r>
        <w:t xml:space="preserve">The phased 18-month roadmap provides a structured path from CMMI Level 1 to ISO 27001 certification, with a projected </w:t>
      </w:r>
      <w:proofErr w:type="gramStart"/>
      <w:r>
        <w:t>break-even</w:t>
      </w:r>
      <w:proofErr w:type="gramEnd"/>
      <w:r>
        <w:t xml:space="preserve"> of four to six months and an indicative Year 1 ROI of 166–390% based on breach avoidance benchmarks. Taken together, the cost–benefit analysis makes a strong case for investment: even under conservative assumptions, a single unmitigated breach would cost between four and twenty times the total proposed outlay.</w:t>
      </w:r>
    </w:p>
    <w:p w14:paraId="2336C63F" w14:textId="1ABDED54" w:rsidR="00775565" w:rsidRDefault="00000000">
      <w:pPr>
        <w:spacing w:before="60" w:after="60" w:line="280" w:lineRule="auto"/>
        <w:jc w:val="both"/>
      </w:pPr>
      <w:r>
        <w:lastRenderedPageBreak/>
        <w:t xml:space="preserve">There are limits to what this report can claim. The cost projections in Section 6 are based on sector-wide benchmarks rather than FSB-specific incident data, which is not publicly available. The LSTM model’s detection performance will depend heavily on the quality and volume of FSB’s historical transaction data </w:t>
      </w:r>
      <w:r w:rsidR="008739C5">
        <w:t>-</w:t>
      </w:r>
      <w:r>
        <w:t xml:space="preserve"> something that cannot be assessed without internal access. If that data is sparse or poorly labelled, the model may underperform significantly in its early deployment phases. The regulatory analysis also reflects the position as of early 2025; the EU AI Act’s delegated technical standards are still being drafted, and some obligations remain genuinely uncertain. These are not reasons to delay </w:t>
      </w:r>
      <w:r w:rsidR="008739C5">
        <w:t>-</w:t>
      </w:r>
      <w:r>
        <w:t xml:space="preserve"> but they are reasons to build formal review checkpoints into each roadmap phase rather than treating the plan as fixed.  Ultimately, governance at FSB cannot be a one-time project. It needs to function as an evolving system </w:t>
      </w:r>
      <w:r w:rsidR="008739C5">
        <w:t>-</w:t>
      </w:r>
      <w:r>
        <w:t xml:space="preserve"> updated as regulations shift, tested through regular tabletop exercises and red-team assessments, and owned at board level. The most important shift is cultural: treating information security as a strategic business priority rather than an IT cost centre. Without that, the best-designed ISMS will eventually be treated as a compliance checkbox rather than a live defence.</w:t>
      </w:r>
    </w:p>
    <w:p w14:paraId="0760276C" w14:textId="77777777" w:rsidR="00775565" w:rsidRDefault="00775565">
      <w:pPr>
        <w:pBdr>
          <w:bottom w:val="single" w:sz="8" w:space="1" w:color="2E74B5"/>
        </w:pBdr>
        <w:spacing w:before="220" w:after="220"/>
      </w:pPr>
    </w:p>
    <w:p w14:paraId="0ED5071F" w14:textId="77777777" w:rsidR="00775565" w:rsidRDefault="00000000">
      <w:pPr>
        <w:pStyle w:val="Heading1"/>
      </w:pPr>
      <w:r>
        <w:t>References</w:t>
      </w:r>
    </w:p>
    <w:p w14:paraId="1D7EDC2C" w14:textId="77777777" w:rsidR="00775565" w:rsidRDefault="00000000">
      <w:pPr>
        <w:spacing w:before="55" w:after="55"/>
        <w:ind w:left="360" w:hanging="360"/>
      </w:pPr>
      <w:r>
        <w:rPr>
          <w:sz w:val="20"/>
          <w:szCs w:val="20"/>
        </w:rPr>
        <w:t>[1] K. Al-Dosari and Y. Chen, "Machine Learning Approaches to Insider Threat Detection in Financial Institutions," Expert Systems with Applications, vol. 214, pp. 118–132, 2024.</w:t>
      </w:r>
    </w:p>
    <w:p w14:paraId="26D14865" w14:textId="77777777" w:rsidR="00775565" w:rsidRDefault="00000000">
      <w:pPr>
        <w:spacing w:before="55" w:after="55"/>
        <w:ind w:left="360" w:hanging="360"/>
      </w:pPr>
      <w:r>
        <w:rPr>
          <w:sz w:val="20"/>
          <w:szCs w:val="20"/>
        </w:rPr>
        <w:t>[2] Axelos, ITIL 4: High-velocity IT and Information Security. London: TSO, 2023.</w:t>
      </w:r>
    </w:p>
    <w:p w14:paraId="45D31E50" w14:textId="77777777" w:rsidR="00775565" w:rsidRDefault="00000000">
      <w:pPr>
        <w:spacing w:before="55" w:after="55"/>
        <w:ind w:left="360" w:hanging="360"/>
      </w:pPr>
      <w:r>
        <w:rPr>
          <w:sz w:val="20"/>
          <w:szCs w:val="20"/>
        </w:rPr>
        <w:t>[3] D. Chen and X. Zhao, "Top-Down vs. Bottom-Up Approaches in Information Security Policy Implementation," Computers &amp; Security, vol. 112, p. 102501, 2024.</w:t>
      </w:r>
    </w:p>
    <w:p w14:paraId="4F3EB1D0" w14:textId="77777777" w:rsidR="00775565" w:rsidRDefault="00000000">
      <w:pPr>
        <w:spacing w:before="55" w:after="55"/>
        <w:ind w:left="360" w:hanging="360"/>
      </w:pPr>
      <w:r>
        <w:rPr>
          <w:sz w:val="20"/>
          <w:szCs w:val="20"/>
        </w:rPr>
        <w:t>[4] Cloud Security Alliance (CSA), Security Guidance for Critical Areas of Focus in Cloud Computing v5.0, 2024. [Online]. Available: https://cloudsecurityalliance.org</w:t>
      </w:r>
    </w:p>
    <w:p w14:paraId="33384EBB" w14:textId="77777777" w:rsidR="00775565" w:rsidRDefault="00000000">
      <w:pPr>
        <w:spacing w:before="55" w:after="55"/>
        <w:ind w:left="360" w:hanging="360"/>
      </w:pPr>
      <w:r>
        <w:rPr>
          <w:sz w:val="20"/>
          <w:szCs w:val="20"/>
        </w:rPr>
        <w:t>[5] E. Davis, "The Legislative Lag: How Rapid AI Adoption is Outpacing Cybersecurity Law," Journal of Cyber Policy, vol. 11, no. 1, pp. 45–62, 2024.</w:t>
      </w:r>
    </w:p>
    <w:p w14:paraId="1231316E" w14:textId="77777777" w:rsidR="00775565" w:rsidRDefault="00000000">
      <w:pPr>
        <w:spacing w:before="55" w:after="55"/>
        <w:ind w:left="360" w:hanging="360"/>
      </w:pPr>
      <w:r>
        <w:rPr>
          <w:sz w:val="20"/>
          <w:szCs w:val="20"/>
        </w:rPr>
        <w:t>[6] European Parliament, The Impact of GDPR on Artificial Intelligence. Brussels: European Parliamentary Research Service, 2023.</w:t>
      </w:r>
    </w:p>
    <w:p w14:paraId="0442061B" w14:textId="77777777" w:rsidR="00775565" w:rsidRDefault="00000000">
      <w:pPr>
        <w:spacing w:before="55" w:after="55"/>
        <w:ind w:left="360" w:hanging="360"/>
      </w:pPr>
      <w:r>
        <w:rPr>
          <w:sz w:val="20"/>
          <w:szCs w:val="20"/>
        </w:rPr>
        <w:t>[7] A. Gupta, "Sandboxing Corporate Data on Personal Devices: Legal and Technical Perspectives," International Journal of Information Management, vol. 61, p. 102390, 2024.</w:t>
      </w:r>
    </w:p>
    <w:p w14:paraId="73F0F5AC" w14:textId="77777777" w:rsidR="00775565" w:rsidRDefault="00000000">
      <w:pPr>
        <w:spacing w:before="55" w:after="55"/>
        <w:ind w:left="360" w:hanging="360"/>
      </w:pPr>
      <w:r>
        <w:rPr>
          <w:sz w:val="20"/>
          <w:szCs w:val="20"/>
        </w:rPr>
        <w:t>[8] ISACA, COBIT 2019 Framework: Governance and Management Objectives. Rolling Meadows, IL: ISACA, 2019.</w:t>
      </w:r>
    </w:p>
    <w:p w14:paraId="7E0DCCB4" w14:textId="3DCC41E5" w:rsidR="00775565" w:rsidRDefault="00000000">
      <w:pPr>
        <w:spacing w:before="55" w:after="55"/>
        <w:ind w:left="360" w:hanging="360"/>
      </w:pPr>
      <w:r>
        <w:rPr>
          <w:sz w:val="20"/>
          <w:szCs w:val="20"/>
        </w:rPr>
        <w:t xml:space="preserve">[9] ISO, ISO/IEC 27001:2022 </w:t>
      </w:r>
      <w:r w:rsidR="008739C5">
        <w:rPr>
          <w:sz w:val="20"/>
          <w:szCs w:val="20"/>
        </w:rPr>
        <w:t>-</w:t>
      </w:r>
      <w:r>
        <w:rPr>
          <w:sz w:val="20"/>
          <w:szCs w:val="20"/>
        </w:rPr>
        <w:t xml:space="preserve"> Information security, cybersecurity and privacy protection: Requirements. Geneva: ISO, 2022.</w:t>
      </w:r>
    </w:p>
    <w:p w14:paraId="72731417" w14:textId="77777777" w:rsidR="00775565" w:rsidRDefault="00000000">
      <w:pPr>
        <w:spacing w:before="55" w:after="55"/>
        <w:ind w:left="360" w:hanging="360"/>
      </w:pPr>
      <w:r>
        <w:rPr>
          <w:sz w:val="20"/>
          <w:szCs w:val="20"/>
        </w:rPr>
        <w:t>[10] L. Johnson and R. Smith, "MDM Efficacy in Mitigating Data Breaches in BYOD Environments," IEEE Security &amp; Privacy, vol. 23, no. 2, pp. 34–41, 2024.</w:t>
      </w:r>
    </w:p>
    <w:p w14:paraId="43D6BC8D" w14:textId="77777777" w:rsidR="00775565" w:rsidRDefault="00000000">
      <w:pPr>
        <w:spacing w:before="55" w:after="55"/>
        <w:ind w:left="360" w:hanging="360"/>
      </w:pPr>
      <w:r>
        <w:rPr>
          <w:sz w:val="20"/>
          <w:szCs w:val="20"/>
        </w:rPr>
        <w:t>[11] S. Kumar and P. Singh, "Predictive Cybersecurity Algorithms: Bridging the Gap Between Data Science and InfoSec," ACM Transactions on Privacy and Security, vol. 27, no. 3, Art. no. 15, 2024.</w:t>
      </w:r>
    </w:p>
    <w:p w14:paraId="200C535A" w14:textId="77777777" w:rsidR="00775565" w:rsidRDefault="00000000">
      <w:pPr>
        <w:spacing w:before="55" w:after="55"/>
        <w:ind w:left="360" w:hanging="360"/>
      </w:pPr>
      <w:r>
        <w:rPr>
          <w:sz w:val="20"/>
          <w:szCs w:val="20"/>
        </w:rPr>
        <w:t>[12] NIST, SP 800-207: Zero Trust Architecture. Gaithersburg, MD: U.S. Department of Commerce, 2020.</w:t>
      </w:r>
    </w:p>
    <w:p w14:paraId="13E66D47" w14:textId="77777777" w:rsidR="00775565" w:rsidRDefault="00000000">
      <w:pPr>
        <w:spacing w:before="55" w:after="55"/>
        <w:ind w:left="360" w:hanging="360"/>
      </w:pPr>
      <w:r>
        <w:rPr>
          <w:sz w:val="20"/>
          <w:szCs w:val="20"/>
        </w:rPr>
        <w:t>[13] NIST, The NIST Cybersecurity Framework 2.0. Gaithersburg, MD: U.S. Department of Commerce, 2024.</w:t>
      </w:r>
    </w:p>
    <w:p w14:paraId="09FAFE82" w14:textId="77777777" w:rsidR="00775565" w:rsidRDefault="00000000">
      <w:pPr>
        <w:spacing w:before="55" w:after="55"/>
        <w:ind w:left="360" w:hanging="360"/>
      </w:pPr>
      <w:r>
        <w:rPr>
          <w:sz w:val="20"/>
          <w:szCs w:val="20"/>
        </w:rPr>
        <w:t>[14] PCI Security Standards Council, PCI DSS Version 4.0, 2022. [Online]. Available: https://www.pcisecuritystandards.org</w:t>
      </w:r>
    </w:p>
    <w:p w14:paraId="7D02802A" w14:textId="77777777" w:rsidR="00775565" w:rsidRDefault="00000000">
      <w:pPr>
        <w:spacing w:before="55" w:after="55"/>
        <w:ind w:left="360" w:hanging="360"/>
      </w:pPr>
      <w:r>
        <w:rPr>
          <w:sz w:val="20"/>
          <w:szCs w:val="20"/>
        </w:rPr>
        <w:t>[15] M. Rahman, "Integrating ISO 27001 and ITIL for Effective Information Security Governance in Banking," Journal of Information Security and Applications, vol. 74, p. 103450, 2024.</w:t>
      </w:r>
    </w:p>
    <w:p w14:paraId="63FBBB46" w14:textId="77777777" w:rsidR="00775565" w:rsidRDefault="00000000">
      <w:pPr>
        <w:spacing w:before="55" w:after="55"/>
        <w:ind w:left="360" w:hanging="360"/>
      </w:pPr>
      <w:r>
        <w:rPr>
          <w:sz w:val="20"/>
          <w:szCs w:val="20"/>
        </w:rPr>
        <w:t>[16] M. Roberts, "Algorithmic Accountability and GDPR Compliance in Automated Financial Decision Making," Computer Law &amp; Security Review, vol. 48, p. 105780, 2024.</w:t>
      </w:r>
    </w:p>
    <w:p w14:paraId="4B4C5B8C" w14:textId="77777777" w:rsidR="00775565" w:rsidRDefault="00000000">
      <w:pPr>
        <w:spacing w:before="55" w:after="55"/>
        <w:ind w:left="360" w:hanging="360"/>
      </w:pPr>
      <w:r>
        <w:rPr>
          <w:sz w:val="20"/>
          <w:szCs w:val="20"/>
        </w:rPr>
        <w:t>[17] N. Solapari et al., "The Evolution of Data Protection Laws in the Era of Multi-Cloud Architecture," IEEE Access, vol. 12, pp. 45012–45025, 2024.</w:t>
      </w:r>
    </w:p>
    <w:p w14:paraId="4B60F202" w14:textId="77777777" w:rsidR="00775565" w:rsidRDefault="00000000">
      <w:pPr>
        <w:spacing w:before="55" w:after="55"/>
        <w:ind w:left="360" w:hanging="360"/>
      </w:pPr>
      <w:r>
        <w:rPr>
          <w:sz w:val="20"/>
          <w:szCs w:val="20"/>
        </w:rPr>
        <w:lastRenderedPageBreak/>
        <w:t>[18] Bank of England, Prudential Regulation Authority, and Financial Conduct Authority, “Building Operational Resilience: Impact Tolerances for Important Business Services,” Policy Statement PS21/3, Mar. 2021. [Online]. Available: https://www.bankofengland.co.uk/prudential-regulation/publication/2021/march/building-operational-resilience-impact-tolerances-for-important-business-services</w:t>
      </w:r>
    </w:p>
    <w:p w14:paraId="613122FF" w14:textId="77777777" w:rsidR="00775565" w:rsidRDefault="00000000">
      <w:pPr>
        <w:spacing w:before="55" w:after="55"/>
        <w:ind w:left="360" w:hanging="360"/>
      </w:pPr>
      <w:r>
        <w:rPr>
          <w:sz w:val="20"/>
          <w:szCs w:val="20"/>
        </w:rPr>
        <w:t>[19] G. Thompson and S. White, Information Security Governance: A Practical Approach for the Financial Sector, 3rd ed. New York: Springer, 2024.</w:t>
      </w:r>
    </w:p>
    <w:p w14:paraId="35187C89" w14:textId="77777777" w:rsidR="00775565" w:rsidRDefault="00000000">
      <w:pPr>
        <w:spacing w:before="55" w:after="55"/>
        <w:ind w:left="360" w:hanging="360"/>
      </w:pPr>
      <w:r>
        <w:rPr>
          <w:sz w:val="20"/>
          <w:szCs w:val="20"/>
        </w:rPr>
        <w:t>[20] UK Government, Data Protection Act 2018. London: HMSO, 2018. [Online]. Available: https://www.legislation.gov.uk/ukpga/2018/12</w:t>
      </w:r>
    </w:p>
    <w:p w14:paraId="076E5CD4" w14:textId="77777777" w:rsidR="00775565" w:rsidRDefault="00000000">
      <w:pPr>
        <w:spacing w:before="55" w:after="55"/>
        <w:ind w:left="360" w:hanging="360"/>
      </w:pPr>
      <w:r>
        <w:rPr>
          <w:sz w:val="20"/>
          <w:szCs w:val="20"/>
        </w:rPr>
        <w:t>[21] X. Wang, Y. Liu, and K. Zheng, "Deep Neural Networks for Real-Time Anomaly Detection in Cloud-Native Banking," IEEE Transactions on Information Forensics and Security, vol. 21, pp. 1102–1115, 2024.</w:t>
      </w:r>
    </w:p>
    <w:p w14:paraId="2FEBE850" w14:textId="77777777" w:rsidR="00775565" w:rsidRDefault="00000000">
      <w:pPr>
        <w:spacing w:before="55" w:after="55"/>
        <w:ind w:left="360" w:hanging="360"/>
      </w:pPr>
      <w:r>
        <w:rPr>
          <w:sz w:val="20"/>
          <w:szCs w:val="20"/>
        </w:rPr>
        <w:t>[22] P. Williams, "Board-Level Accountability in Cybersecurity Governance," Journal of Cybersecurity Management, vol. 14, no. 2, pp. 77–90, 2024.</w:t>
      </w:r>
    </w:p>
    <w:p w14:paraId="083C20DA" w14:textId="77777777" w:rsidR="00775565" w:rsidRDefault="00000000">
      <w:pPr>
        <w:spacing w:before="55" w:after="55"/>
        <w:ind w:left="360" w:hanging="360"/>
      </w:pPr>
      <w:r>
        <w:rPr>
          <w:sz w:val="20"/>
          <w:szCs w:val="20"/>
        </w:rPr>
        <w:t>[23] Y. Zhang and W. Lee, "Securing Multi-Cloud Environments in Fintech: A Comparative Analysis of Governance Models," ACM Computing Surveys, vol. 56, no. 4, Art. no. 89, 2024.</w:t>
      </w:r>
    </w:p>
    <w:p w14:paraId="05C5123B" w14:textId="77777777" w:rsidR="00775565" w:rsidRDefault="00000000">
      <w:pPr>
        <w:spacing w:before="55" w:after="55"/>
        <w:ind w:left="360" w:hanging="360"/>
      </w:pPr>
      <w:r>
        <w:rPr>
          <w:sz w:val="20"/>
          <w:szCs w:val="20"/>
        </w:rPr>
        <w:t>[24] H. Zhao et al., "Beyond the perimeter: Zero-trust architecture as a framework for cloud API security," World Journal of Advanced Research and Reviews, vol. 25, no. 1, pp. 210–225, 2024.</w:t>
      </w:r>
    </w:p>
    <w:p w14:paraId="74591C66" w14:textId="77777777" w:rsidR="00775565" w:rsidRDefault="00000000">
      <w:pPr>
        <w:spacing w:before="55" w:after="55"/>
        <w:ind w:left="360" w:hanging="360"/>
      </w:pPr>
      <w:r>
        <w:rPr>
          <w:sz w:val="20"/>
          <w:szCs w:val="20"/>
        </w:rPr>
        <w:t>[25] European Union, “Regulation (EU) 2024/1689 of the European Parliament and of the Council on Artificial Intelligence (AI Act),” Off. J. Eur. Union, L 2024/1689, Jul. 2024. [Online]. Available: https://eur-lex.europa.eu/legal-content/EN/TXT/?uri=CELEX:32024R1689</w:t>
      </w:r>
    </w:p>
    <w:p w14:paraId="19A37363" w14:textId="77777777" w:rsidR="00775565" w:rsidRDefault="00000000">
      <w:pPr>
        <w:spacing w:before="55" w:after="55"/>
        <w:ind w:left="360" w:hanging="360"/>
      </w:pPr>
      <w:r>
        <w:rPr>
          <w:sz w:val="20"/>
          <w:szCs w:val="20"/>
        </w:rPr>
        <w:t>[26] Court of Justice of the European Union, “Data Protection Commissioner v. Facebook Ireland Ltd. and M. Schrems (Schrems II),” Case C-311/18, ECLI:EU:C:2020:559, Jul. 16, 2020. [Online]. Available: https://curia.europa.eu/juris/document/document.jsf?docid=228677</w:t>
      </w:r>
    </w:p>
    <w:p w14:paraId="2E8E5A08" w14:textId="4B87483D" w:rsidR="00775565" w:rsidRDefault="00000000">
      <w:pPr>
        <w:spacing w:before="55" w:after="55"/>
        <w:ind w:left="360" w:hanging="360"/>
      </w:pPr>
      <w:r>
        <w:rPr>
          <w:sz w:val="20"/>
          <w:szCs w:val="20"/>
        </w:rPr>
        <w:t xml:space="preserve">[27] ISO, ISO/IEC 27017:2015 </w:t>
      </w:r>
      <w:r w:rsidR="008739C5">
        <w:rPr>
          <w:sz w:val="20"/>
          <w:szCs w:val="20"/>
        </w:rPr>
        <w:t>-</w:t>
      </w:r>
      <w:r>
        <w:rPr>
          <w:sz w:val="20"/>
          <w:szCs w:val="20"/>
        </w:rPr>
        <w:t xml:space="preserve"> Code of practice for information security controls for cloud services. Geneva: ISO, 2015.</w:t>
      </w:r>
    </w:p>
    <w:p w14:paraId="2620C02C" w14:textId="18ED18E5" w:rsidR="00775565" w:rsidRDefault="00000000">
      <w:pPr>
        <w:spacing w:before="55" w:after="55"/>
        <w:ind w:left="360" w:hanging="360"/>
      </w:pPr>
      <w:r>
        <w:rPr>
          <w:sz w:val="20"/>
          <w:szCs w:val="20"/>
        </w:rPr>
        <w:t xml:space="preserve">[28] ISO, ISO/IEC 27018:2019 </w:t>
      </w:r>
      <w:r w:rsidR="008739C5">
        <w:rPr>
          <w:sz w:val="20"/>
          <w:szCs w:val="20"/>
        </w:rPr>
        <w:t>-</w:t>
      </w:r>
      <w:r>
        <w:rPr>
          <w:sz w:val="20"/>
          <w:szCs w:val="20"/>
        </w:rPr>
        <w:t xml:space="preserve"> Code of practice for protection of PII in public clouds. Geneva: ISO, 2019.</w:t>
      </w:r>
    </w:p>
    <w:p w14:paraId="5179149A" w14:textId="77777777" w:rsidR="00775565" w:rsidRDefault="00775565">
      <w:pPr>
        <w:spacing w:before="200" w:after="200"/>
      </w:pPr>
    </w:p>
    <w:sectPr w:rsidR="00775565">
      <w:headerReference w:type="default" r:id="rId8"/>
      <w:footerReference w:type="default" r:id="rId9"/>
      <w:pgSz w:w="11906" w:h="16838"/>
      <w:pgMar w:top="1300" w:right="1200" w:bottom="1300" w:left="12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0B24D" w14:textId="77777777" w:rsidR="00251AE4" w:rsidRDefault="00251AE4">
      <w:r>
        <w:separator/>
      </w:r>
    </w:p>
  </w:endnote>
  <w:endnote w:type="continuationSeparator" w:id="0">
    <w:p w14:paraId="19850E68" w14:textId="77777777" w:rsidR="00251AE4" w:rsidRDefault="00251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6BBCC" w14:textId="30CDFC5E" w:rsidR="00775565" w:rsidRDefault="00000000">
    <w:pPr>
      <w:pBdr>
        <w:top w:val="single" w:sz="4" w:space="1" w:color="2E74B5"/>
      </w:pBdr>
      <w:spacing w:before="80"/>
    </w:pPr>
    <w:r>
      <w:rPr>
        <w:color w:val="595959"/>
        <w:sz w:val="16"/>
        <w:szCs w:val="16"/>
      </w:rPr>
      <w:t xml:space="preserve">Data Security, Governance and Compliance | Page </w:t>
    </w:r>
    <w:r>
      <w:rPr>
        <w:color w:val="595959"/>
        <w:sz w:val="16"/>
        <w:szCs w:val="16"/>
      </w:rPr>
      <w:fldChar w:fldCharType="begin"/>
    </w:r>
    <w:r>
      <w:rPr>
        <w:color w:val="595959"/>
        <w:sz w:val="16"/>
        <w:szCs w:val="16"/>
      </w:rPr>
      <w:instrText>PAGE</w:instrText>
    </w:r>
    <w:r>
      <w:rPr>
        <w:color w:val="595959"/>
        <w:sz w:val="16"/>
        <w:szCs w:val="16"/>
      </w:rPr>
      <w:fldChar w:fldCharType="separate"/>
    </w:r>
    <w:r w:rsidR="008739C5">
      <w:rPr>
        <w:noProof/>
        <w:color w:val="595959"/>
        <w:sz w:val="16"/>
        <w:szCs w:val="16"/>
      </w:rPr>
      <w:t>1</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978D6" w14:textId="77777777" w:rsidR="00251AE4" w:rsidRDefault="00251AE4">
      <w:r>
        <w:separator/>
      </w:r>
    </w:p>
  </w:footnote>
  <w:footnote w:type="continuationSeparator" w:id="0">
    <w:p w14:paraId="1915EA70" w14:textId="77777777" w:rsidR="00251AE4" w:rsidRDefault="00251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AB6CF" w14:textId="61943E66" w:rsidR="00775565" w:rsidRDefault="00000000">
    <w:pPr>
      <w:pBdr>
        <w:bottom w:val="single" w:sz="4" w:space="1" w:color="2E74B5"/>
      </w:pBdr>
      <w:spacing w:after="80"/>
    </w:pPr>
    <w:r>
      <w:rPr>
        <w:color w:val="2E74B5"/>
        <w:sz w:val="18"/>
        <w:szCs w:val="18"/>
      </w:rPr>
      <w:t>ACCA7028 | MSc Data and Artificial Intelligence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76945"/>
    <w:multiLevelType w:val="hybridMultilevel"/>
    <w:tmpl w:val="9F701FC2"/>
    <w:lvl w:ilvl="0" w:tplc="C16A8C4C">
      <w:start w:val="1"/>
      <w:numFmt w:val="bullet"/>
      <w:lvlText w:val="•"/>
      <w:lvlJc w:val="left"/>
      <w:pPr>
        <w:ind w:left="720" w:hanging="360"/>
      </w:pPr>
    </w:lvl>
    <w:lvl w:ilvl="1" w:tplc="E5405B26">
      <w:start w:val="1"/>
      <w:numFmt w:val="bullet"/>
      <w:lvlText w:val="◦"/>
      <w:lvlJc w:val="left"/>
      <w:pPr>
        <w:ind w:left="1080" w:hanging="360"/>
      </w:pPr>
    </w:lvl>
    <w:lvl w:ilvl="2" w:tplc="3948C840">
      <w:numFmt w:val="decimal"/>
      <w:lvlText w:val=""/>
      <w:lvlJc w:val="left"/>
    </w:lvl>
    <w:lvl w:ilvl="3" w:tplc="CBFC239E">
      <w:numFmt w:val="decimal"/>
      <w:lvlText w:val=""/>
      <w:lvlJc w:val="left"/>
    </w:lvl>
    <w:lvl w:ilvl="4" w:tplc="B8C26BB4">
      <w:numFmt w:val="decimal"/>
      <w:lvlText w:val=""/>
      <w:lvlJc w:val="left"/>
    </w:lvl>
    <w:lvl w:ilvl="5" w:tplc="3FD2B476">
      <w:numFmt w:val="decimal"/>
      <w:lvlText w:val=""/>
      <w:lvlJc w:val="left"/>
    </w:lvl>
    <w:lvl w:ilvl="6" w:tplc="A0602E3E">
      <w:numFmt w:val="decimal"/>
      <w:lvlText w:val=""/>
      <w:lvlJc w:val="left"/>
    </w:lvl>
    <w:lvl w:ilvl="7" w:tplc="5FFE1F1C">
      <w:numFmt w:val="decimal"/>
      <w:lvlText w:val=""/>
      <w:lvlJc w:val="left"/>
    </w:lvl>
    <w:lvl w:ilvl="8" w:tplc="C1708876">
      <w:numFmt w:val="decimal"/>
      <w:lvlText w:val=""/>
      <w:lvlJc w:val="left"/>
    </w:lvl>
  </w:abstractNum>
  <w:abstractNum w:abstractNumId="1" w15:restartNumberingAfterBreak="0">
    <w:nsid w:val="4FD9015F"/>
    <w:multiLevelType w:val="hybridMultilevel"/>
    <w:tmpl w:val="8AD23C86"/>
    <w:lvl w:ilvl="0" w:tplc="4D705BAA">
      <w:start w:val="1"/>
      <w:numFmt w:val="decimal"/>
      <w:lvlText w:val="%1."/>
      <w:lvlJc w:val="left"/>
      <w:pPr>
        <w:ind w:left="720" w:hanging="360"/>
      </w:pPr>
    </w:lvl>
    <w:lvl w:ilvl="1" w:tplc="F2DA56D8">
      <w:numFmt w:val="decimal"/>
      <w:lvlText w:val=""/>
      <w:lvlJc w:val="left"/>
    </w:lvl>
    <w:lvl w:ilvl="2" w:tplc="26F25A2C">
      <w:numFmt w:val="decimal"/>
      <w:lvlText w:val=""/>
      <w:lvlJc w:val="left"/>
    </w:lvl>
    <w:lvl w:ilvl="3" w:tplc="DC846C1E">
      <w:numFmt w:val="decimal"/>
      <w:lvlText w:val=""/>
      <w:lvlJc w:val="left"/>
    </w:lvl>
    <w:lvl w:ilvl="4" w:tplc="38D6D98E">
      <w:numFmt w:val="decimal"/>
      <w:lvlText w:val=""/>
      <w:lvlJc w:val="left"/>
    </w:lvl>
    <w:lvl w:ilvl="5" w:tplc="DBD29B68">
      <w:numFmt w:val="decimal"/>
      <w:lvlText w:val=""/>
      <w:lvlJc w:val="left"/>
    </w:lvl>
    <w:lvl w:ilvl="6" w:tplc="5C465A2E">
      <w:numFmt w:val="decimal"/>
      <w:lvlText w:val=""/>
      <w:lvlJc w:val="left"/>
    </w:lvl>
    <w:lvl w:ilvl="7" w:tplc="F04E6E16">
      <w:numFmt w:val="decimal"/>
      <w:lvlText w:val=""/>
      <w:lvlJc w:val="left"/>
    </w:lvl>
    <w:lvl w:ilvl="8" w:tplc="C08AFDC6">
      <w:numFmt w:val="decimal"/>
      <w:lvlText w:val=""/>
      <w:lvlJc w:val="left"/>
    </w:lvl>
  </w:abstractNum>
  <w:abstractNum w:abstractNumId="2" w15:restartNumberingAfterBreak="0">
    <w:nsid w:val="7B263ADA"/>
    <w:multiLevelType w:val="hybridMultilevel"/>
    <w:tmpl w:val="D6AE6B4C"/>
    <w:lvl w:ilvl="0" w:tplc="D736BB1A">
      <w:start w:val="1"/>
      <w:numFmt w:val="bullet"/>
      <w:lvlText w:val="●"/>
      <w:lvlJc w:val="left"/>
      <w:pPr>
        <w:ind w:left="720" w:hanging="360"/>
      </w:pPr>
    </w:lvl>
    <w:lvl w:ilvl="1" w:tplc="607CDFAA">
      <w:start w:val="1"/>
      <w:numFmt w:val="bullet"/>
      <w:lvlText w:val="○"/>
      <w:lvlJc w:val="left"/>
      <w:pPr>
        <w:ind w:left="1440" w:hanging="360"/>
      </w:pPr>
    </w:lvl>
    <w:lvl w:ilvl="2" w:tplc="FE42F1EC">
      <w:start w:val="1"/>
      <w:numFmt w:val="bullet"/>
      <w:lvlText w:val="■"/>
      <w:lvlJc w:val="left"/>
      <w:pPr>
        <w:ind w:left="2160" w:hanging="360"/>
      </w:pPr>
    </w:lvl>
    <w:lvl w:ilvl="3" w:tplc="6DAA82B8">
      <w:start w:val="1"/>
      <w:numFmt w:val="bullet"/>
      <w:lvlText w:val="●"/>
      <w:lvlJc w:val="left"/>
      <w:pPr>
        <w:ind w:left="2880" w:hanging="360"/>
      </w:pPr>
    </w:lvl>
    <w:lvl w:ilvl="4" w:tplc="59242612">
      <w:start w:val="1"/>
      <w:numFmt w:val="bullet"/>
      <w:lvlText w:val="○"/>
      <w:lvlJc w:val="left"/>
      <w:pPr>
        <w:ind w:left="3600" w:hanging="360"/>
      </w:pPr>
    </w:lvl>
    <w:lvl w:ilvl="5" w:tplc="F9502A5E">
      <w:start w:val="1"/>
      <w:numFmt w:val="bullet"/>
      <w:lvlText w:val="■"/>
      <w:lvlJc w:val="left"/>
      <w:pPr>
        <w:ind w:left="4320" w:hanging="360"/>
      </w:pPr>
    </w:lvl>
    <w:lvl w:ilvl="6" w:tplc="E79AA19C">
      <w:start w:val="1"/>
      <w:numFmt w:val="bullet"/>
      <w:lvlText w:val="●"/>
      <w:lvlJc w:val="left"/>
      <w:pPr>
        <w:ind w:left="5040" w:hanging="360"/>
      </w:pPr>
    </w:lvl>
    <w:lvl w:ilvl="7" w:tplc="4A6A13C0">
      <w:start w:val="1"/>
      <w:numFmt w:val="bullet"/>
      <w:lvlText w:val="●"/>
      <w:lvlJc w:val="left"/>
      <w:pPr>
        <w:ind w:left="5760" w:hanging="360"/>
      </w:pPr>
    </w:lvl>
    <w:lvl w:ilvl="8" w:tplc="2AA8E7D6">
      <w:start w:val="1"/>
      <w:numFmt w:val="bullet"/>
      <w:lvlText w:val="●"/>
      <w:lvlJc w:val="left"/>
      <w:pPr>
        <w:ind w:left="6480" w:hanging="360"/>
      </w:pPr>
    </w:lvl>
  </w:abstractNum>
  <w:num w:numId="1" w16cid:durableId="1558008163">
    <w:abstractNumId w:val="2"/>
    <w:lvlOverride w:ilvl="0">
      <w:startOverride w:val="1"/>
    </w:lvlOverride>
  </w:num>
  <w:num w:numId="2" w16cid:durableId="2029679633">
    <w:abstractNumId w:val="0"/>
    <w:lvlOverride w:ilvl="0">
      <w:startOverride w:val="1"/>
    </w:lvlOverride>
  </w:num>
  <w:num w:numId="3" w16cid:durableId="145871700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565"/>
    <w:rsid w:val="00251AE4"/>
    <w:rsid w:val="00775565"/>
    <w:rsid w:val="008739C5"/>
    <w:rsid w:val="009A7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E1225"/>
  <w15:docId w15:val="{3D7EBB9F-0440-4BF5-A3AC-1E83F3B55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40" w:after="120"/>
      <w:outlineLvl w:val="0"/>
    </w:pPr>
    <w:rPr>
      <w:b/>
      <w:bCs/>
      <w:color w:val="1F4E79"/>
      <w:sz w:val="34"/>
      <w:szCs w:val="34"/>
    </w:rPr>
  </w:style>
  <w:style w:type="paragraph" w:styleId="Heading2">
    <w:name w:val="heading 2"/>
    <w:uiPriority w:val="9"/>
    <w:unhideWhenUsed/>
    <w:qFormat/>
    <w:pPr>
      <w:spacing w:before="220" w:after="80"/>
      <w:outlineLvl w:val="1"/>
    </w:pPr>
    <w:rPr>
      <w:b/>
      <w:bCs/>
      <w:color w:val="2E74B5"/>
      <w:sz w:val="26"/>
      <w:szCs w:val="26"/>
    </w:rPr>
  </w:style>
  <w:style w:type="paragraph" w:styleId="Heading3">
    <w:name w:val="heading 3"/>
    <w:uiPriority w:val="9"/>
    <w:unhideWhenUsed/>
    <w:qFormat/>
    <w:pPr>
      <w:spacing w:before="160" w:after="60"/>
      <w:outlineLvl w:val="2"/>
    </w:pPr>
    <w:rPr>
      <w:b/>
      <w:bCs/>
      <w:i/>
      <w:iCs/>
      <w:color w:val="1F4E79"/>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8739C5"/>
    <w:pPr>
      <w:tabs>
        <w:tab w:val="center" w:pos="4513"/>
        <w:tab w:val="right" w:pos="9026"/>
      </w:tabs>
    </w:pPr>
  </w:style>
  <w:style w:type="character" w:customStyle="1" w:styleId="HeaderChar">
    <w:name w:val="Header Char"/>
    <w:basedOn w:val="DefaultParagraphFont"/>
    <w:link w:val="Header"/>
    <w:uiPriority w:val="99"/>
    <w:rsid w:val="008739C5"/>
  </w:style>
  <w:style w:type="paragraph" w:styleId="Footer">
    <w:name w:val="footer"/>
    <w:basedOn w:val="Normal"/>
    <w:link w:val="FooterChar"/>
    <w:uiPriority w:val="99"/>
    <w:unhideWhenUsed/>
    <w:rsid w:val="008739C5"/>
    <w:pPr>
      <w:tabs>
        <w:tab w:val="center" w:pos="4513"/>
        <w:tab w:val="right" w:pos="9026"/>
      </w:tabs>
    </w:pPr>
  </w:style>
  <w:style w:type="character" w:customStyle="1" w:styleId="FooterChar">
    <w:name w:val="Footer Char"/>
    <w:basedOn w:val="DefaultParagraphFont"/>
    <w:link w:val="Footer"/>
    <w:uiPriority w:val="99"/>
    <w:rsid w:val="00873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6018</Words>
  <Characters>34304</Characters>
  <Application>Microsoft Office Word</Application>
  <DocSecurity>0</DocSecurity>
  <Lines>285</Lines>
  <Paragraphs>80</Paragraphs>
  <ScaleCrop>false</ScaleCrop>
  <Company/>
  <LinksUpToDate>false</LinksUpToDate>
  <CharactersWithSpaces>40242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khawja Redwanul islam</cp:lastModifiedBy>
  <cp:revision>2</cp:revision>
  <dcterms:created xsi:type="dcterms:W3CDTF">2026-04-01T21:30:00Z</dcterms:created>
  <dcterms:modified xsi:type="dcterms:W3CDTF">2026-04-02T10:12:00Z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c172a306-5191-45bc-b60f-8ff7682ecc47</vt:lpwstr>
  </property>
</Properties>
</file>