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5BB3E" w14:textId="77777777" w:rsidR="005B30B6" w:rsidRPr="00CA08B2" w:rsidRDefault="005B30B6" w:rsidP="005B30B6">
      <w:pPr>
        <w:spacing w:line="360" w:lineRule="auto"/>
        <w:jc w:val="both"/>
        <w:rPr>
          <w:rFonts w:ascii="Times New Roman" w:hAnsi="Times New Roman" w:cs="Times New Roman"/>
          <w:sz w:val="24"/>
          <w:szCs w:val="24"/>
        </w:rPr>
      </w:pPr>
    </w:p>
    <w:p w14:paraId="1A3D1B75" w14:textId="77777777" w:rsidR="005B30B6" w:rsidRDefault="005B30B6" w:rsidP="005B30B6">
      <w:pPr>
        <w:jc w:val="both"/>
      </w:pPr>
      <w:r>
        <w:t xml:space="preserve">        </w:t>
      </w:r>
      <w:r>
        <w:fldChar w:fldCharType="begin"/>
      </w:r>
      <w:r>
        <w:instrText xml:space="preserve"> INCLUDEPICTURE "/Users/waleedalanesi/Library/Group Containers/UBF8T346G9.ms/WebArchiveCopyPasteTempFiles/com.microsoft.Word/UWTSD-Logo.jpg" \* MERGEFORMATINET </w:instrText>
      </w:r>
      <w:r>
        <w:fldChar w:fldCharType="separate"/>
      </w:r>
      <w:r>
        <w:rPr>
          <w:noProof/>
        </w:rPr>
        <w:drawing>
          <wp:inline distT="0" distB="0" distL="0" distR="0" wp14:anchorId="694DBB2C" wp14:editId="66126E4F">
            <wp:extent cx="4980214" cy="1992638"/>
            <wp:effectExtent l="0" t="0" r="0" b="1270"/>
            <wp:docPr id="418924229"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7824" cy="2003685"/>
                    </a:xfrm>
                    <a:prstGeom prst="rect">
                      <a:avLst/>
                    </a:prstGeom>
                    <a:noFill/>
                    <a:ln>
                      <a:noFill/>
                    </a:ln>
                  </pic:spPr>
                </pic:pic>
              </a:graphicData>
            </a:graphic>
          </wp:inline>
        </w:drawing>
      </w:r>
      <w:r>
        <w:fldChar w:fldCharType="end"/>
      </w:r>
    </w:p>
    <w:p w14:paraId="35531A7E" w14:textId="77777777" w:rsidR="005B30B6" w:rsidRDefault="005B30B6" w:rsidP="005B30B6">
      <w:pPr>
        <w:spacing w:line="360" w:lineRule="auto"/>
        <w:jc w:val="both"/>
      </w:pPr>
    </w:p>
    <w:p w14:paraId="502C1616" w14:textId="77777777" w:rsidR="005B30B6" w:rsidRDefault="005B30B6" w:rsidP="005B30B6">
      <w:pPr>
        <w:spacing w:line="360" w:lineRule="auto"/>
        <w:jc w:val="both"/>
      </w:pPr>
    </w:p>
    <w:p w14:paraId="46581A51" w14:textId="77777777" w:rsidR="005B30B6" w:rsidRPr="00435E87" w:rsidRDefault="005B30B6" w:rsidP="005B30B6">
      <w:pPr>
        <w:spacing w:line="480" w:lineRule="auto"/>
        <w:jc w:val="both"/>
      </w:pPr>
      <w:r>
        <w:t xml:space="preserve">      </w:t>
      </w:r>
      <w:r>
        <w:rPr>
          <w:rFonts w:ascii="Arial" w:hAnsi="Arial" w:cs="Arial"/>
          <w:b/>
        </w:rPr>
        <w:t>Improving Supply chain Performance (</w:t>
      </w:r>
      <w:r w:rsidRPr="00435E87">
        <w:rPr>
          <w:rFonts w:ascii="Arial" w:hAnsi="Arial" w:cs="Arial"/>
          <w:b/>
        </w:rPr>
        <w:t>International Supply Chain of Electronic Devices</w:t>
      </w:r>
      <w:r>
        <w:rPr>
          <w:rFonts w:ascii="Arial" w:hAnsi="Arial" w:cs="Arial"/>
          <w:b/>
        </w:rPr>
        <w:t>)</w:t>
      </w:r>
    </w:p>
    <w:p w14:paraId="3CF6647A" w14:textId="77777777" w:rsidR="005B30B6" w:rsidRPr="009934F7" w:rsidRDefault="005B30B6" w:rsidP="005B30B6">
      <w:pPr>
        <w:spacing w:before="120" w:after="120" w:line="480" w:lineRule="auto"/>
        <w:jc w:val="both"/>
        <w:rPr>
          <w:rFonts w:ascii="Arial" w:hAnsi="Arial" w:cs="Arial"/>
          <w:b/>
        </w:rPr>
      </w:pPr>
      <w:r>
        <w:rPr>
          <w:rFonts w:ascii="Arial" w:hAnsi="Arial" w:cs="Arial"/>
          <w:b/>
        </w:rPr>
        <w:t xml:space="preserve">                             Procurement and Supply Chain Management (ACEA 7011)</w:t>
      </w:r>
    </w:p>
    <w:p w14:paraId="537967FF" w14:textId="77777777" w:rsidR="005B30B6" w:rsidRDefault="005B30B6" w:rsidP="005B30B6">
      <w:pPr>
        <w:spacing w:line="480" w:lineRule="auto"/>
        <w:jc w:val="both"/>
        <w:rPr>
          <w:rFonts w:ascii="Arial" w:hAnsi="Arial" w:cs="Arial"/>
          <w:b/>
        </w:rPr>
      </w:pPr>
      <w:r>
        <w:rPr>
          <w:rFonts w:ascii="Arial" w:hAnsi="Arial" w:cs="Arial"/>
          <w:b/>
        </w:rPr>
        <w:t xml:space="preserve">                  MSc Lean and Agile Operations &amp; MSc Engineering Project Management</w:t>
      </w:r>
    </w:p>
    <w:p w14:paraId="73978D02" w14:textId="77777777" w:rsidR="005B30B6" w:rsidRDefault="005B30B6" w:rsidP="005B30B6">
      <w:pPr>
        <w:spacing w:line="480" w:lineRule="auto"/>
        <w:jc w:val="both"/>
        <w:rPr>
          <w:rFonts w:ascii="Arial" w:hAnsi="Arial" w:cs="Arial"/>
          <w:b/>
        </w:rPr>
      </w:pPr>
    </w:p>
    <w:p w14:paraId="18096ABC" w14:textId="77777777" w:rsidR="005B30B6" w:rsidRDefault="005B30B6" w:rsidP="005B30B6">
      <w:pPr>
        <w:spacing w:line="480" w:lineRule="auto"/>
        <w:jc w:val="both"/>
        <w:rPr>
          <w:rFonts w:ascii="Arial" w:hAnsi="Arial" w:cs="Arial"/>
          <w:b/>
        </w:rPr>
      </w:pPr>
      <w:r>
        <w:rPr>
          <w:rFonts w:ascii="Arial" w:hAnsi="Arial" w:cs="Arial"/>
          <w:b/>
        </w:rPr>
        <w:t xml:space="preserve">                                                            Waleed Al-Anesi</w:t>
      </w:r>
    </w:p>
    <w:p w14:paraId="3C505C14" w14:textId="77777777" w:rsidR="005B30B6" w:rsidRDefault="005B30B6" w:rsidP="005B30B6">
      <w:pPr>
        <w:spacing w:line="480" w:lineRule="auto"/>
        <w:jc w:val="both"/>
        <w:rPr>
          <w:rFonts w:ascii="Arial" w:hAnsi="Arial" w:cs="Arial"/>
          <w:b/>
        </w:rPr>
      </w:pPr>
      <w:r>
        <w:rPr>
          <w:rFonts w:ascii="Arial" w:hAnsi="Arial" w:cs="Arial"/>
          <w:b/>
        </w:rPr>
        <w:t xml:space="preserve">                                                                   2306909</w:t>
      </w:r>
    </w:p>
    <w:p w14:paraId="71E9446D" w14:textId="77777777" w:rsidR="005B30B6" w:rsidRDefault="005B30B6" w:rsidP="005B30B6">
      <w:pPr>
        <w:spacing w:line="480" w:lineRule="auto"/>
        <w:jc w:val="both"/>
        <w:rPr>
          <w:rFonts w:ascii="Arial" w:hAnsi="Arial" w:cs="Arial"/>
          <w:b/>
        </w:rPr>
      </w:pPr>
      <w:r>
        <w:rPr>
          <w:rFonts w:ascii="Arial" w:hAnsi="Arial" w:cs="Arial"/>
          <w:b/>
        </w:rPr>
        <w:t xml:space="preserve">         </w:t>
      </w:r>
    </w:p>
    <w:p w14:paraId="1CF30FA6" w14:textId="77777777" w:rsidR="005B30B6" w:rsidRDefault="005B30B6" w:rsidP="005B30B6">
      <w:pPr>
        <w:spacing w:line="480" w:lineRule="auto"/>
        <w:jc w:val="both"/>
        <w:rPr>
          <w:rFonts w:ascii="Arial" w:hAnsi="Arial" w:cs="Arial"/>
          <w:b/>
        </w:rPr>
      </w:pPr>
    </w:p>
    <w:p w14:paraId="1AE7AFCD" w14:textId="4135FA46" w:rsidR="00557066" w:rsidRPr="00CA08B2" w:rsidRDefault="005B30B6" w:rsidP="005B30B6">
      <w:pPr>
        <w:spacing w:line="480" w:lineRule="auto"/>
        <w:rPr>
          <w:rFonts w:ascii="Times New Roman" w:hAnsi="Times New Roman" w:cs="Times New Roman"/>
          <w:sz w:val="24"/>
          <w:szCs w:val="24"/>
        </w:rPr>
      </w:pPr>
      <w:r>
        <w:rPr>
          <w:rFonts w:ascii="Arial" w:hAnsi="Arial" w:cs="Arial"/>
          <w:b/>
          <w:noProof/>
        </w:rPr>
        <mc:AlternateContent>
          <mc:Choice Requires="wps">
            <w:drawing>
              <wp:anchor distT="0" distB="0" distL="114300" distR="114300" simplePos="0" relativeHeight="251659264" behindDoc="0" locked="0" layoutInCell="1" allowOverlap="1" wp14:anchorId="6C1EB90B" wp14:editId="71ADCDDC">
                <wp:simplePos x="0" y="0"/>
                <wp:positionH relativeFrom="column">
                  <wp:posOffset>4731488</wp:posOffset>
                </wp:positionH>
                <wp:positionV relativeFrom="paragraph">
                  <wp:posOffset>1694298</wp:posOffset>
                </wp:positionV>
                <wp:extent cx="1520456" cy="776177"/>
                <wp:effectExtent l="0" t="0" r="16510" b="11430"/>
                <wp:wrapNone/>
                <wp:docPr id="223171425" name="Text Box 2"/>
                <wp:cNvGraphicFramePr/>
                <a:graphic xmlns:a="http://schemas.openxmlformats.org/drawingml/2006/main">
                  <a:graphicData uri="http://schemas.microsoft.com/office/word/2010/wordprocessingShape">
                    <wps:wsp>
                      <wps:cNvSpPr txBox="1"/>
                      <wps:spPr>
                        <a:xfrm>
                          <a:off x="0" y="0"/>
                          <a:ext cx="1520456" cy="776177"/>
                        </a:xfrm>
                        <a:prstGeom prst="rect">
                          <a:avLst/>
                        </a:prstGeom>
                        <a:solidFill>
                          <a:schemeClr val="bg1"/>
                        </a:solidFill>
                        <a:ln>
                          <a:solidFill>
                            <a:schemeClr val="bg1"/>
                          </a:solidFill>
                        </a:ln>
                      </wps:spPr>
                      <wps:style>
                        <a:lnRef idx="2">
                          <a:schemeClr val="dk1"/>
                        </a:lnRef>
                        <a:fillRef idx="1">
                          <a:schemeClr val="lt1"/>
                        </a:fillRef>
                        <a:effectRef idx="0">
                          <a:schemeClr val="dk1"/>
                        </a:effectRef>
                        <a:fontRef idx="minor">
                          <a:schemeClr val="dk1"/>
                        </a:fontRef>
                      </wps:style>
                      <wps:txbx>
                        <w:txbxContent>
                          <w:p w14:paraId="24DFE6E6" w14:textId="77777777" w:rsidR="005B30B6" w:rsidRPr="00006E18" w:rsidRDefault="005B30B6" w:rsidP="005B30B6">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1EB90B" id="_x0000_t202" coordsize="21600,21600" o:spt="202" path="m,l,21600r21600,l21600,xe">
                <v:stroke joinstyle="miter"/>
                <v:path gradientshapeok="t" o:connecttype="rect"/>
              </v:shapetype>
              <v:shape id="Text Box 2" o:spid="_x0000_s1026" type="#_x0000_t202" style="position:absolute;margin-left:372.55pt;margin-top:133.4pt;width:119.7pt;height:61.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ruXbgIAAGoFAAAOAAAAZHJzL2Uyb0RvYy54bWysVEtvGyEQvlfqf0Dcm7UtP1rL68h1lKqS&#13;&#10;lURNqpwxCzYqy1DA3nV/fQf24TS1eoh6YYed+ebFN7O4rktNjsJ5BSanw6sBJcJwKJTZ5fT70+2H&#13;&#10;j5T4wEzBNBiR05Pw9Hr5/t2isnMxgj3oQjiCToyfVzan+xDsPMs834uS+SuwwqBSgitZwKvbZYVj&#13;&#10;FXovdTYaDKZZBa6wDrjwHv/eNEq6TP6lFDzcS+lFIDqnmFtIp0vnNp7ZcsHmO8fsXvE2DfaGLEqm&#13;&#10;DAbtXd2wwMjBqb9clYo78CDDFYcyAykVF6kGrGY4eFXN455ZkWrB5njbt8n/P7f87vhoHxwJ9Weo&#13;&#10;8QFjQyrr5x5/xnpq6cr4xUwJ6rGFp75tog6ER9BkNBhPppRw1M1m0+FsFt1kZ7R1PnwRUJIo5NTh&#13;&#10;s6RusePGh8a0M4nBPGhV3Cqt0yVSQay1I0eGj7jdpRzR+R9W2rwJiG4iMjuXnKRw0iL60+abkEQV&#13;&#10;WOQoJZx4eU6m+NElkywjRGLaPWh4CaRDB2ptI0wkrvbAwSXgOVpvnSKCCT2wVAbcv8Gyse+qbmqN&#13;&#10;ZYd6W7fPv4XihKxw0AyMt/xW4dNtmA8PzOGEIBFw6sM9HlJDlVNoJUr24H5d+h/tkbiopaTCicup&#13;&#10;/3lgTlCivxqk9KfheBxHNF3Gk9kIL+6lZvtSYw7lGpAPQ9wvlicx2gfdidJB+YzLYRWjoooZjrFz&#13;&#10;GjpxHZo9gMuFi9UqGeFQWhY25tHy6Dq2NxLzqX5mzrbsDcj7O+hmk81fkbixjUgDq0MAqRLDY4Ob&#13;&#10;rraNx4FOM9Iun7gxXt6T1XlFLn8DAAD//wMAUEsDBBQABgAIAAAAIQCGluNl6AAAABABAAAPAAAA&#13;&#10;ZHJzL2Rvd25yZXYueG1sTI/BTsMwEETvSPyDtUhcUGsntCFJ41QIBIcekGhL4ejGJomI11Hstilf&#13;&#10;z3KCy0qrnZmdVyxH27GjGXzrUEI0FcAMVk63WEvYbp4mKTAfFGrVOTQSzsbDsry8KFSu3QlfzXEd&#13;&#10;akYh6HMloQmhzzn3VWOs8lPXG6TbpxusCrQONdeDOlG47XgsRMKtapE+NKo3D42pvtYHSymbm/fs&#13;&#10;273Eu4+deLZhFXXn5E3K66vxcUHjfgEsmDH8OeCXgfpDScX27oDas07C3WwekVRCnCQEQoosnc2B&#13;&#10;7SXcppkAXhb8P0j5AwAA//8DAFBLAQItABQABgAIAAAAIQC2gziS/gAAAOEBAAATAAAAAAAAAAAA&#13;&#10;AAAAAAAAAABbQ29udGVudF9UeXBlc10ueG1sUEsBAi0AFAAGAAgAAAAhADj9If/WAAAAlAEAAAsA&#13;&#10;AAAAAAAAAAAAAAAALwEAAF9yZWxzLy5yZWxzUEsBAi0AFAAGAAgAAAAhACBGu5duAgAAagUAAA4A&#13;&#10;AAAAAAAAAAAAAAAALgIAAGRycy9lMm9Eb2MueG1sUEsBAi0AFAAGAAgAAAAhAIaW42XoAAAAEAEA&#13;&#10;AA8AAAAAAAAAAAAAAAAAyAQAAGRycy9kb3ducmV2LnhtbFBLBQYAAAAABAAEAPMAAADdBQAAAAA=&#13;&#10;" fillcolor="white [3212]" strokecolor="white [3212]" strokeweight="1pt">
                <v:textbox>
                  <w:txbxContent>
                    <w:p w14:paraId="24DFE6E6" w14:textId="77777777" w:rsidR="005B30B6" w:rsidRPr="00006E18" w:rsidRDefault="005B30B6" w:rsidP="005B30B6">
                      <w:pPr>
                        <w:rPr>
                          <w:color w:val="FFFFFF" w:themeColor="background1"/>
                        </w:rPr>
                      </w:pPr>
                    </w:p>
                  </w:txbxContent>
                </v:textbox>
              </v:shape>
            </w:pict>
          </mc:Fallback>
        </mc:AlternateContent>
      </w:r>
      <w:r>
        <w:rPr>
          <w:rFonts w:ascii="Arial" w:hAnsi="Arial" w:cs="Arial"/>
          <w:b/>
        </w:rPr>
        <w:t xml:space="preserve">                                                                  18/04/2024</w:t>
      </w:r>
      <w:r w:rsidR="00557066" w:rsidRPr="00CA08B2">
        <w:rPr>
          <w:rFonts w:ascii="Times New Roman" w:hAnsi="Times New Roman" w:cs="Times New Roman"/>
          <w:sz w:val="24"/>
          <w:szCs w:val="24"/>
        </w:rPr>
        <w:br w:type="page"/>
      </w:r>
    </w:p>
    <w:sdt>
      <w:sdtPr>
        <w:rPr>
          <w:rFonts w:ascii="Times New Roman" w:eastAsiaTheme="minorHAnsi" w:hAnsi="Times New Roman" w:cs="Times New Roman"/>
          <w:color w:val="auto"/>
          <w:kern w:val="2"/>
          <w:sz w:val="22"/>
          <w:szCs w:val="22"/>
          <w14:ligatures w14:val="standardContextual"/>
        </w:rPr>
        <w:id w:val="-1302147998"/>
        <w:docPartObj>
          <w:docPartGallery w:val="Table of Contents"/>
          <w:docPartUnique/>
        </w:docPartObj>
      </w:sdtPr>
      <w:sdtEndPr>
        <w:rPr>
          <w:b/>
          <w:bCs/>
          <w:noProof/>
        </w:rPr>
      </w:sdtEndPr>
      <w:sdtContent>
        <w:p w14:paraId="3AEE1F3D" w14:textId="5E64B99E" w:rsidR="00557066" w:rsidRPr="00CA08B2" w:rsidRDefault="00557066">
          <w:pPr>
            <w:pStyle w:val="TOCHeading"/>
            <w:rPr>
              <w:rFonts w:ascii="Times New Roman" w:hAnsi="Times New Roman" w:cs="Times New Roman"/>
              <w:color w:val="auto"/>
            </w:rPr>
          </w:pPr>
          <w:r w:rsidRPr="00CA08B2">
            <w:rPr>
              <w:rFonts w:ascii="Times New Roman" w:hAnsi="Times New Roman" w:cs="Times New Roman"/>
              <w:color w:val="auto"/>
            </w:rPr>
            <w:t>Contents</w:t>
          </w:r>
        </w:p>
        <w:p w14:paraId="34C1AAF1" w14:textId="5439AF75" w:rsidR="00557066" w:rsidRPr="00CA08B2" w:rsidRDefault="00557066">
          <w:pPr>
            <w:pStyle w:val="TOC1"/>
            <w:tabs>
              <w:tab w:val="right" w:leader="dot" w:pos="9350"/>
            </w:tabs>
            <w:rPr>
              <w:rFonts w:ascii="Times New Roman" w:hAnsi="Times New Roman" w:cs="Times New Roman"/>
              <w:noProof/>
            </w:rPr>
          </w:pPr>
          <w:r w:rsidRPr="00CA08B2">
            <w:rPr>
              <w:rFonts w:ascii="Times New Roman" w:hAnsi="Times New Roman" w:cs="Times New Roman"/>
            </w:rPr>
            <w:fldChar w:fldCharType="begin"/>
          </w:r>
          <w:r w:rsidRPr="00CA08B2">
            <w:rPr>
              <w:rFonts w:ascii="Times New Roman" w:hAnsi="Times New Roman" w:cs="Times New Roman"/>
            </w:rPr>
            <w:instrText xml:space="preserve"> TOC \o "1-3" \h \z \u </w:instrText>
          </w:r>
          <w:r w:rsidRPr="00CA08B2">
            <w:rPr>
              <w:rFonts w:ascii="Times New Roman" w:hAnsi="Times New Roman" w:cs="Times New Roman"/>
            </w:rPr>
            <w:fldChar w:fldCharType="separate"/>
          </w:r>
          <w:hyperlink w:anchor="_Toc163700017" w:history="1">
            <w:r w:rsidRPr="00CA08B2">
              <w:rPr>
                <w:rStyle w:val="Hyperlink"/>
                <w:rFonts w:ascii="Times New Roman" w:hAnsi="Times New Roman" w:cs="Times New Roman"/>
                <w:noProof/>
                <w:color w:val="auto"/>
              </w:rPr>
              <w:t>1.0 Introduction:</w:t>
            </w:r>
            <w:r w:rsidRPr="00CA08B2">
              <w:rPr>
                <w:rFonts w:ascii="Times New Roman" w:hAnsi="Times New Roman" w:cs="Times New Roman"/>
                <w:noProof/>
                <w:webHidden/>
              </w:rPr>
              <w:tab/>
            </w:r>
            <w:r w:rsidRPr="00CA08B2">
              <w:rPr>
                <w:rFonts w:ascii="Times New Roman" w:hAnsi="Times New Roman" w:cs="Times New Roman"/>
                <w:noProof/>
                <w:webHidden/>
              </w:rPr>
              <w:fldChar w:fldCharType="begin"/>
            </w:r>
            <w:r w:rsidRPr="00CA08B2">
              <w:rPr>
                <w:rFonts w:ascii="Times New Roman" w:hAnsi="Times New Roman" w:cs="Times New Roman"/>
                <w:noProof/>
                <w:webHidden/>
              </w:rPr>
              <w:instrText xml:space="preserve"> PAGEREF _Toc163700017 \h </w:instrText>
            </w:r>
            <w:r w:rsidRPr="00CA08B2">
              <w:rPr>
                <w:rFonts w:ascii="Times New Roman" w:hAnsi="Times New Roman" w:cs="Times New Roman"/>
                <w:noProof/>
                <w:webHidden/>
              </w:rPr>
            </w:r>
            <w:r w:rsidRPr="00CA08B2">
              <w:rPr>
                <w:rFonts w:ascii="Times New Roman" w:hAnsi="Times New Roman" w:cs="Times New Roman"/>
                <w:noProof/>
                <w:webHidden/>
              </w:rPr>
              <w:fldChar w:fldCharType="separate"/>
            </w:r>
            <w:r w:rsidRPr="00CA08B2">
              <w:rPr>
                <w:rFonts w:ascii="Times New Roman" w:hAnsi="Times New Roman" w:cs="Times New Roman"/>
                <w:noProof/>
                <w:webHidden/>
              </w:rPr>
              <w:t>3</w:t>
            </w:r>
            <w:r w:rsidRPr="00CA08B2">
              <w:rPr>
                <w:rFonts w:ascii="Times New Roman" w:hAnsi="Times New Roman" w:cs="Times New Roman"/>
                <w:noProof/>
                <w:webHidden/>
              </w:rPr>
              <w:fldChar w:fldCharType="end"/>
            </w:r>
          </w:hyperlink>
        </w:p>
        <w:p w14:paraId="04C7BA11" w14:textId="4AADACBD" w:rsidR="00557066" w:rsidRPr="00CA08B2" w:rsidRDefault="00000000">
          <w:pPr>
            <w:pStyle w:val="TOC1"/>
            <w:tabs>
              <w:tab w:val="right" w:leader="dot" w:pos="9350"/>
            </w:tabs>
            <w:rPr>
              <w:rFonts w:ascii="Times New Roman" w:hAnsi="Times New Roman" w:cs="Times New Roman"/>
              <w:noProof/>
            </w:rPr>
          </w:pPr>
          <w:hyperlink w:anchor="_Toc163700018" w:history="1">
            <w:r w:rsidR="00557066" w:rsidRPr="00CA08B2">
              <w:rPr>
                <w:rStyle w:val="Hyperlink"/>
                <w:rFonts w:ascii="Times New Roman" w:hAnsi="Times New Roman" w:cs="Times New Roman"/>
                <w:noProof/>
                <w:color w:val="auto"/>
              </w:rPr>
              <w:t>2.0 FMEA Analysis:</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_Toc163700018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3</w:t>
            </w:r>
            <w:r w:rsidR="00557066" w:rsidRPr="00CA08B2">
              <w:rPr>
                <w:rFonts w:ascii="Times New Roman" w:hAnsi="Times New Roman" w:cs="Times New Roman"/>
                <w:noProof/>
                <w:webHidden/>
              </w:rPr>
              <w:fldChar w:fldCharType="end"/>
            </w:r>
          </w:hyperlink>
        </w:p>
        <w:p w14:paraId="7D39E1D5" w14:textId="4D3E112A" w:rsidR="00557066" w:rsidRPr="00CA08B2" w:rsidRDefault="00000000">
          <w:pPr>
            <w:pStyle w:val="TOC1"/>
            <w:tabs>
              <w:tab w:val="right" w:leader="dot" w:pos="9350"/>
            </w:tabs>
            <w:rPr>
              <w:rFonts w:ascii="Times New Roman" w:hAnsi="Times New Roman" w:cs="Times New Roman"/>
              <w:noProof/>
            </w:rPr>
          </w:pPr>
          <w:hyperlink w:anchor="_Toc163700019" w:history="1">
            <w:r w:rsidR="00557066" w:rsidRPr="00CA08B2">
              <w:rPr>
                <w:rStyle w:val="Hyperlink"/>
                <w:rFonts w:ascii="Times New Roman" w:hAnsi="Times New Roman" w:cs="Times New Roman"/>
                <w:noProof/>
                <w:color w:val="auto"/>
              </w:rPr>
              <w:t xml:space="preserve">3.0 </w:t>
            </w:r>
            <w:r w:rsidR="00557066" w:rsidRPr="00CA08B2">
              <w:rPr>
                <w:rStyle w:val="Hyperlink"/>
                <w:rFonts w:ascii="Times New Roman" w:hAnsi="Times New Roman" w:cs="Times New Roman"/>
                <w:bCs/>
                <w:noProof/>
                <w:color w:val="auto"/>
              </w:rPr>
              <w:t>Steps to Enhance Supply Chain Resilience:</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_Toc163700019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5</w:t>
            </w:r>
            <w:r w:rsidR="00557066" w:rsidRPr="00CA08B2">
              <w:rPr>
                <w:rFonts w:ascii="Times New Roman" w:hAnsi="Times New Roman" w:cs="Times New Roman"/>
                <w:noProof/>
                <w:webHidden/>
              </w:rPr>
              <w:fldChar w:fldCharType="end"/>
            </w:r>
          </w:hyperlink>
        </w:p>
        <w:p w14:paraId="3099A968" w14:textId="37ED615E" w:rsidR="00557066" w:rsidRPr="00CA08B2" w:rsidRDefault="00000000">
          <w:pPr>
            <w:pStyle w:val="TOC2"/>
            <w:tabs>
              <w:tab w:val="right" w:leader="dot" w:pos="9350"/>
            </w:tabs>
            <w:rPr>
              <w:rFonts w:ascii="Times New Roman" w:hAnsi="Times New Roman" w:cs="Times New Roman"/>
              <w:noProof/>
            </w:rPr>
          </w:pPr>
          <w:hyperlink w:anchor="_Toc163700020" w:history="1">
            <w:r w:rsidR="00557066" w:rsidRPr="00CA08B2">
              <w:rPr>
                <w:rStyle w:val="Hyperlink"/>
                <w:rFonts w:ascii="Times New Roman" w:hAnsi="Times New Roman" w:cs="Times New Roman"/>
                <w:noProof/>
                <w:color w:val="auto"/>
              </w:rPr>
              <w:t>3.1 Diversification of Suppliers:</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_Toc163700020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6</w:t>
            </w:r>
            <w:r w:rsidR="00557066" w:rsidRPr="00CA08B2">
              <w:rPr>
                <w:rFonts w:ascii="Times New Roman" w:hAnsi="Times New Roman" w:cs="Times New Roman"/>
                <w:noProof/>
                <w:webHidden/>
              </w:rPr>
              <w:fldChar w:fldCharType="end"/>
            </w:r>
          </w:hyperlink>
        </w:p>
        <w:p w14:paraId="1204CC88" w14:textId="3F8854C4" w:rsidR="00557066" w:rsidRPr="00CA08B2" w:rsidRDefault="00000000">
          <w:pPr>
            <w:pStyle w:val="TOC2"/>
            <w:tabs>
              <w:tab w:val="right" w:leader="dot" w:pos="9350"/>
            </w:tabs>
            <w:rPr>
              <w:rFonts w:ascii="Times New Roman" w:hAnsi="Times New Roman" w:cs="Times New Roman"/>
              <w:noProof/>
            </w:rPr>
          </w:pPr>
          <w:hyperlink w:anchor="_Toc163700021" w:history="1">
            <w:r w:rsidR="00557066" w:rsidRPr="00CA08B2">
              <w:rPr>
                <w:rStyle w:val="Hyperlink"/>
                <w:rFonts w:ascii="Times New Roman" w:hAnsi="Times New Roman" w:cs="Times New Roman"/>
                <w:noProof/>
                <w:color w:val="auto"/>
              </w:rPr>
              <w:t>3.2 Robust Risk Management Systems:</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_Toc163700021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7</w:t>
            </w:r>
            <w:r w:rsidR="00557066" w:rsidRPr="00CA08B2">
              <w:rPr>
                <w:rFonts w:ascii="Times New Roman" w:hAnsi="Times New Roman" w:cs="Times New Roman"/>
                <w:noProof/>
                <w:webHidden/>
              </w:rPr>
              <w:fldChar w:fldCharType="end"/>
            </w:r>
          </w:hyperlink>
        </w:p>
        <w:p w14:paraId="5D273766" w14:textId="14078B99" w:rsidR="00557066" w:rsidRPr="00CA08B2" w:rsidRDefault="00000000">
          <w:pPr>
            <w:pStyle w:val="TOC2"/>
            <w:tabs>
              <w:tab w:val="right" w:leader="dot" w:pos="9350"/>
            </w:tabs>
            <w:rPr>
              <w:rFonts w:ascii="Times New Roman" w:hAnsi="Times New Roman" w:cs="Times New Roman"/>
              <w:noProof/>
            </w:rPr>
          </w:pPr>
          <w:hyperlink w:anchor="_Toc163700022" w:history="1">
            <w:r w:rsidR="00557066" w:rsidRPr="00CA08B2">
              <w:rPr>
                <w:rStyle w:val="Hyperlink"/>
                <w:rFonts w:ascii="Times New Roman" w:hAnsi="Times New Roman" w:cs="Times New Roman"/>
                <w:noProof/>
                <w:color w:val="auto"/>
              </w:rPr>
              <w:t>3.3 Collaboration and Information Sharing:</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_Toc163700022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7</w:t>
            </w:r>
            <w:r w:rsidR="00557066" w:rsidRPr="00CA08B2">
              <w:rPr>
                <w:rFonts w:ascii="Times New Roman" w:hAnsi="Times New Roman" w:cs="Times New Roman"/>
                <w:noProof/>
                <w:webHidden/>
              </w:rPr>
              <w:fldChar w:fldCharType="end"/>
            </w:r>
          </w:hyperlink>
        </w:p>
        <w:p w14:paraId="44853486" w14:textId="7FF6AAFA" w:rsidR="00557066" w:rsidRPr="00CA08B2" w:rsidRDefault="00000000">
          <w:pPr>
            <w:pStyle w:val="TOC2"/>
            <w:tabs>
              <w:tab w:val="right" w:leader="dot" w:pos="9350"/>
            </w:tabs>
            <w:rPr>
              <w:rFonts w:ascii="Times New Roman" w:hAnsi="Times New Roman" w:cs="Times New Roman"/>
              <w:noProof/>
            </w:rPr>
          </w:pPr>
          <w:hyperlink w:anchor="_Toc163700023" w:history="1">
            <w:r w:rsidR="00557066" w:rsidRPr="00CA08B2">
              <w:rPr>
                <w:rStyle w:val="Hyperlink"/>
                <w:rFonts w:ascii="Times New Roman" w:hAnsi="Times New Roman" w:cs="Times New Roman"/>
                <w:noProof/>
                <w:color w:val="auto"/>
              </w:rPr>
              <w:t>3.4 Resilient Logistics Infrastructure:</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_Toc163700023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8</w:t>
            </w:r>
            <w:r w:rsidR="00557066" w:rsidRPr="00CA08B2">
              <w:rPr>
                <w:rFonts w:ascii="Times New Roman" w:hAnsi="Times New Roman" w:cs="Times New Roman"/>
                <w:noProof/>
                <w:webHidden/>
              </w:rPr>
              <w:fldChar w:fldCharType="end"/>
            </w:r>
          </w:hyperlink>
        </w:p>
        <w:p w14:paraId="453CC4CF" w14:textId="582F093A" w:rsidR="00557066" w:rsidRPr="00CA08B2" w:rsidRDefault="00000000">
          <w:pPr>
            <w:pStyle w:val="TOC2"/>
            <w:tabs>
              <w:tab w:val="right" w:leader="dot" w:pos="9350"/>
            </w:tabs>
            <w:rPr>
              <w:rFonts w:ascii="Times New Roman" w:hAnsi="Times New Roman" w:cs="Times New Roman"/>
              <w:noProof/>
            </w:rPr>
          </w:pPr>
          <w:hyperlink w:anchor="_Toc163700024" w:history="1">
            <w:r w:rsidR="00557066" w:rsidRPr="00CA08B2">
              <w:rPr>
                <w:rStyle w:val="Hyperlink"/>
                <w:rFonts w:ascii="Times New Roman" w:hAnsi="Times New Roman" w:cs="Times New Roman"/>
                <w:noProof/>
                <w:color w:val="auto"/>
              </w:rPr>
              <w:t>3.5 Agile Supply Chain Design:</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_Toc163700024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8</w:t>
            </w:r>
            <w:r w:rsidR="00557066" w:rsidRPr="00CA08B2">
              <w:rPr>
                <w:rFonts w:ascii="Times New Roman" w:hAnsi="Times New Roman" w:cs="Times New Roman"/>
                <w:noProof/>
                <w:webHidden/>
              </w:rPr>
              <w:fldChar w:fldCharType="end"/>
            </w:r>
          </w:hyperlink>
        </w:p>
        <w:p w14:paraId="475701A8" w14:textId="0C8256B5" w:rsidR="00557066" w:rsidRPr="00CA08B2" w:rsidRDefault="00000000">
          <w:pPr>
            <w:pStyle w:val="TOC2"/>
            <w:tabs>
              <w:tab w:val="right" w:leader="dot" w:pos="9350"/>
            </w:tabs>
            <w:rPr>
              <w:rFonts w:ascii="Times New Roman" w:hAnsi="Times New Roman" w:cs="Times New Roman"/>
              <w:noProof/>
            </w:rPr>
          </w:pPr>
          <w:hyperlink w:anchor="_Toc163700025" w:history="1">
            <w:r w:rsidR="00557066" w:rsidRPr="00CA08B2">
              <w:rPr>
                <w:rStyle w:val="Hyperlink"/>
                <w:rFonts w:ascii="Times New Roman" w:hAnsi="Times New Roman" w:cs="Times New Roman"/>
                <w:noProof/>
                <w:color w:val="auto"/>
              </w:rPr>
              <w:t>3.6 Continuous Improvement and Scenario Planning:</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_Toc163700025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9</w:t>
            </w:r>
            <w:r w:rsidR="00557066" w:rsidRPr="00CA08B2">
              <w:rPr>
                <w:rFonts w:ascii="Times New Roman" w:hAnsi="Times New Roman" w:cs="Times New Roman"/>
                <w:noProof/>
                <w:webHidden/>
              </w:rPr>
              <w:fldChar w:fldCharType="end"/>
            </w:r>
          </w:hyperlink>
        </w:p>
        <w:p w14:paraId="6FE7564E" w14:textId="2CC8D09C" w:rsidR="00557066" w:rsidRPr="00CA08B2" w:rsidRDefault="00000000">
          <w:pPr>
            <w:pStyle w:val="TOC1"/>
            <w:tabs>
              <w:tab w:val="right" w:leader="dot" w:pos="9350"/>
            </w:tabs>
            <w:rPr>
              <w:rFonts w:ascii="Times New Roman" w:hAnsi="Times New Roman" w:cs="Times New Roman"/>
              <w:noProof/>
            </w:rPr>
          </w:pPr>
          <w:hyperlink w:anchor="_Toc163700026" w:history="1">
            <w:r w:rsidR="00557066" w:rsidRPr="00CA08B2">
              <w:rPr>
                <w:rStyle w:val="Hyperlink"/>
                <w:rFonts w:ascii="Times New Roman" w:hAnsi="Times New Roman" w:cs="Times New Roman"/>
                <w:noProof/>
                <w:color w:val="auto"/>
              </w:rPr>
              <w:t>4.0 Conclusions and Suggestions for Further Work/Research:</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_Toc163700026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9</w:t>
            </w:r>
            <w:r w:rsidR="00557066" w:rsidRPr="00CA08B2">
              <w:rPr>
                <w:rFonts w:ascii="Times New Roman" w:hAnsi="Times New Roman" w:cs="Times New Roman"/>
                <w:noProof/>
                <w:webHidden/>
              </w:rPr>
              <w:fldChar w:fldCharType="end"/>
            </w:r>
          </w:hyperlink>
        </w:p>
        <w:p w14:paraId="18E6EB18" w14:textId="10D9F226" w:rsidR="00557066" w:rsidRPr="00CA08B2" w:rsidRDefault="00000000">
          <w:pPr>
            <w:pStyle w:val="TOC1"/>
            <w:tabs>
              <w:tab w:val="right" w:leader="dot" w:pos="9350"/>
            </w:tabs>
            <w:rPr>
              <w:rFonts w:ascii="Times New Roman" w:hAnsi="Times New Roman" w:cs="Times New Roman"/>
              <w:noProof/>
            </w:rPr>
          </w:pPr>
          <w:hyperlink w:anchor="_Toc163700027" w:history="1">
            <w:r w:rsidR="00557066" w:rsidRPr="00CA08B2">
              <w:rPr>
                <w:rStyle w:val="Hyperlink"/>
                <w:rFonts w:ascii="Times New Roman" w:hAnsi="Times New Roman" w:cs="Times New Roman"/>
                <w:noProof/>
                <w:color w:val="auto"/>
              </w:rPr>
              <w:t>References:</w:t>
            </w:r>
            <w:r w:rsidR="00557066" w:rsidRPr="00CA08B2">
              <w:rPr>
                <w:rFonts w:ascii="Times New Roman" w:hAnsi="Times New Roman" w:cs="Times New Roman"/>
                <w:noProof/>
                <w:webHidden/>
              </w:rPr>
              <w:tab/>
            </w:r>
            <w:r w:rsidR="00557066" w:rsidRPr="00CA08B2">
              <w:rPr>
                <w:rFonts w:ascii="Times New Roman" w:hAnsi="Times New Roman" w:cs="Times New Roman"/>
                <w:noProof/>
                <w:webHidden/>
              </w:rPr>
              <w:fldChar w:fldCharType="begin"/>
            </w:r>
            <w:r w:rsidR="00557066" w:rsidRPr="00CA08B2">
              <w:rPr>
                <w:rFonts w:ascii="Times New Roman" w:hAnsi="Times New Roman" w:cs="Times New Roman"/>
                <w:noProof/>
                <w:webHidden/>
              </w:rPr>
              <w:instrText xml:space="preserve"> PAGEREF _Toc163700027 \h </w:instrText>
            </w:r>
            <w:r w:rsidR="00557066" w:rsidRPr="00CA08B2">
              <w:rPr>
                <w:rFonts w:ascii="Times New Roman" w:hAnsi="Times New Roman" w:cs="Times New Roman"/>
                <w:noProof/>
                <w:webHidden/>
              </w:rPr>
            </w:r>
            <w:r w:rsidR="00557066" w:rsidRPr="00CA08B2">
              <w:rPr>
                <w:rFonts w:ascii="Times New Roman" w:hAnsi="Times New Roman" w:cs="Times New Roman"/>
                <w:noProof/>
                <w:webHidden/>
              </w:rPr>
              <w:fldChar w:fldCharType="separate"/>
            </w:r>
            <w:r w:rsidR="00557066" w:rsidRPr="00CA08B2">
              <w:rPr>
                <w:rFonts w:ascii="Times New Roman" w:hAnsi="Times New Roman" w:cs="Times New Roman"/>
                <w:noProof/>
                <w:webHidden/>
              </w:rPr>
              <w:t>12</w:t>
            </w:r>
            <w:r w:rsidR="00557066" w:rsidRPr="00CA08B2">
              <w:rPr>
                <w:rFonts w:ascii="Times New Roman" w:hAnsi="Times New Roman" w:cs="Times New Roman"/>
                <w:noProof/>
                <w:webHidden/>
              </w:rPr>
              <w:fldChar w:fldCharType="end"/>
            </w:r>
          </w:hyperlink>
        </w:p>
        <w:p w14:paraId="5C3131A3" w14:textId="142B5B92" w:rsidR="00557066" w:rsidRPr="00CA08B2" w:rsidRDefault="00557066">
          <w:pPr>
            <w:rPr>
              <w:rFonts w:ascii="Times New Roman" w:hAnsi="Times New Roman" w:cs="Times New Roman"/>
            </w:rPr>
          </w:pPr>
          <w:r w:rsidRPr="00CA08B2">
            <w:rPr>
              <w:rFonts w:ascii="Times New Roman" w:hAnsi="Times New Roman" w:cs="Times New Roman"/>
              <w:b/>
              <w:bCs/>
              <w:noProof/>
            </w:rPr>
            <w:fldChar w:fldCharType="end"/>
          </w:r>
        </w:p>
      </w:sdtContent>
    </w:sdt>
    <w:p w14:paraId="5671E678" w14:textId="585CF5CB" w:rsidR="00B93CAF" w:rsidRPr="00CA08B2" w:rsidRDefault="00B93CAF">
      <w:pPr>
        <w:pStyle w:val="TableofFigures"/>
        <w:tabs>
          <w:tab w:val="right" w:leader="dot" w:pos="9350"/>
        </w:tabs>
        <w:rPr>
          <w:rFonts w:ascii="Times New Roman" w:hAnsi="Times New Roman" w:cs="Times New Roman"/>
          <w:noProof/>
        </w:rPr>
      </w:pPr>
      <w:r w:rsidRPr="00CA08B2">
        <w:rPr>
          <w:rFonts w:ascii="Times New Roman" w:hAnsi="Times New Roman" w:cs="Times New Roman"/>
          <w:sz w:val="24"/>
          <w:szCs w:val="24"/>
        </w:rPr>
        <w:fldChar w:fldCharType="begin"/>
      </w:r>
      <w:r w:rsidRPr="00CA08B2">
        <w:rPr>
          <w:rFonts w:ascii="Times New Roman" w:hAnsi="Times New Roman" w:cs="Times New Roman"/>
          <w:sz w:val="24"/>
          <w:szCs w:val="24"/>
        </w:rPr>
        <w:instrText xml:space="preserve"> TOC \h \z \c "Figure" </w:instrText>
      </w:r>
      <w:r w:rsidRPr="00CA08B2">
        <w:rPr>
          <w:rFonts w:ascii="Times New Roman" w:hAnsi="Times New Roman" w:cs="Times New Roman"/>
          <w:sz w:val="24"/>
          <w:szCs w:val="24"/>
        </w:rPr>
        <w:fldChar w:fldCharType="separate"/>
      </w:r>
      <w:hyperlink w:anchor="_Toc163700099" w:history="1">
        <w:r w:rsidRPr="00CA08B2">
          <w:rPr>
            <w:rStyle w:val="Hyperlink"/>
            <w:rFonts w:ascii="Times New Roman" w:hAnsi="Times New Roman" w:cs="Times New Roman"/>
            <w:noProof/>
            <w:color w:val="auto"/>
          </w:rPr>
          <w:t xml:space="preserve">Figure 1 </w:t>
        </w:r>
        <w:r w:rsidRPr="00CA08B2">
          <w:rPr>
            <w:rStyle w:val="Hyperlink"/>
            <w:rFonts w:ascii="Times New Roman" w:hAnsi="Times New Roman" w:cs="Times New Roman"/>
            <w:bCs/>
            <w:noProof/>
            <w:color w:val="auto"/>
          </w:rPr>
          <w:t>Supply Chain Resilience</w:t>
        </w:r>
        <w:r w:rsidRPr="00CA08B2">
          <w:rPr>
            <w:rFonts w:ascii="Times New Roman" w:hAnsi="Times New Roman" w:cs="Times New Roman"/>
            <w:noProof/>
            <w:webHidden/>
          </w:rPr>
          <w:tab/>
        </w:r>
        <w:r w:rsidRPr="00CA08B2">
          <w:rPr>
            <w:rFonts w:ascii="Times New Roman" w:hAnsi="Times New Roman" w:cs="Times New Roman"/>
            <w:noProof/>
            <w:webHidden/>
          </w:rPr>
          <w:fldChar w:fldCharType="begin"/>
        </w:r>
        <w:r w:rsidRPr="00CA08B2">
          <w:rPr>
            <w:rFonts w:ascii="Times New Roman" w:hAnsi="Times New Roman" w:cs="Times New Roman"/>
            <w:noProof/>
            <w:webHidden/>
          </w:rPr>
          <w:instrText xml:space="preserve"> PAGEREF _Toc163700099 \h </w:instrText>
        </w:r>
        <w:r w:rsidRPr="00CA08B2">
          <w:rPr>
            <w:rFonts w:ascii="Times New Roman" w:hAnsi="Times New Roman" w:cs="Times New Roman"/>
            <w:noProof/>
            <w:webHidden/>
          </w:rPr>
        </w:r>
        <w:r w:rsidRPr="00CA08B2">
          <w:rPr>
            <w:rFonts w:ascii="Times New Roman" w:hAnsi="Times New Roman" w:cs="Times New Roman"/>
            <w:noProof/>
            <w:webHidden/>
          </w:rPr>
          <w:fldChar w:fldCharType="separate"/>
        </w:r>
        <w:r w:rsidRPr="00CA08B2">
          <w:rPr>
            <w:rFonts w:ascii="Times New Roman" w:hAnsi="Times New Roman" w:cs="Times New Roman"/>
            <w:noProof/>
            <w:webHidden/>
          </w:rPr>
          <w:t>6</w:t>
        </w:r>
        <w:r w:rsidRPr="00CA08B2">
          <w:rPr>
            <w:rFonts w:ascii="Times New Roman" w:hAnsi="Times New Roman" w:cs="Times New Roman"/>
            <w:noProof/>
            <w:webHidden/>
          </w:rPr>
          <w:fldChar w:fldCharType="end"/>
        </w:r>
      </w:hyperlink>
    </w:p>
    <w:p w14:paraId="74C36289" w14:textId="77777777" w:rsidR="00B93CAF" w:rsidRPr="00CA08B2" w:rsidRDefault="00B93CAF" w:rsidP="00293140">
      <w:pPr>
        <w:spacing w:line="360" w:lineRule="auto"/>
        <w:jc w:val="both"/>
        <w:rPr>
          <w:rFonts w:ascii="Times New Roman" w:hAnsi="Times New Roman" w:cs="Times New Roman"/>
          <w:noProof/>
        </w:rPr>
      </w:pPr>
      <w:r w:rsidRPr="00CA08B2">
        <w:rPr>
          <w:rFonts w:ascii="Times New Roman" w:hAnsi="Times New Roman" w:cs="Times New Roman"/>
          <w:sz w:val="24"/>
          <w:szCs w:val="24"/>
        </w:rPr>
        <w:fldChar w:fldCharType="end"/>
      </w:r>
      <w:r w:rsidRPr="00CA08B2">
        <w:rPr>
          <w:rFonts w:ascii="Times New Roman" w:hAnsi="Times New Roman" w:cs="Times New Roman"/>
          <w:sz w:val="24"/>
          <w:szCs w:val="24"/>
        </w:rPr>
        <w:fldChar w:fldCharType="begin"/>
      </w:r>
      <w:r w:rsidRPr="00CA08B2">
        <w:rPr>
          <w:rFonts w:ascii="Times New Roman" w:hAnsi="Times New Roman" w:cs="Times New Roman"/>
          <w:sz w:val="24"/>
          <w:szCs w:val="24"/>
        </w:rPr>
        <w:instrText xml:space="preserve"> TOC \h \z \c "Table" </w:instrText>
      </w:r>
      <w:r w:rsidRPr="00CA08B2">
        <w:rPr>
          <w:rFonts w:ascii="Times New Roman" w:hAnsi="Times New Roman" w:cs="Times New Roman"/>
          <w:sz w:val="24"/>
          <w:szCs w:val="24"/>
        </w:rPr>
        <w:fldChar w:fldCharType="separate"/>
      </w:r>
    </w:p>
    <w:p w14:paraId="06A81277" w14:textId="55BA978E" w:rsidR="00B93CAF" w:rsidRPr="00CA08B2" w:rsidRDefault="00000000">
      <w:pPr>
        <w:pStyle w:val="TableofFigures"/>
        <w:tabs>
          <w:tab w:val="right" w:leader="dot" w:pos="9350"/>
        </w:tabs>
        <w:rPr>
          <w:rFonts w:ascii="Times New Roman" w:eastAsiaTheme="minorEastAsia" w:hAnsi="Times New Roman" w:cs="Times New Roman"/>
          <w:noProof/>
        </w:rPr>
      </w:pPr>
      <w:hyperlink w:anchor="_Toc163700107" w:history="1">
        <w:r w:rsidR="00B93CAF" w:rsidRPr="00CA08B2">
          <w:rPr>
            <w:rStyle w:val="Hyperlink"/>
            <w:rFonts w:ascii="Times New Roman" w:hAnsi="Times New Roman" w:cs="Times New Roman"/>
            <w:noProof/>
            <w:color w:val="auto"/>
          </w:rPr>
          <w:t>Table 1 FMEA Analysis</w:t>
        </w:r>
        <w:r w:rsidR="00B93CAF" w:rsidRPr="00CA08B2">
          <w:rPr>
            <w:rFonts w:ascii="Times New Roman" w:hAnsi="Times New Roman" w:cs="Times New Roman"/>
            <w:noProof/>
            <w:webHidden/>
          </w:rPr>
          <w:tab/>
        </w:r>
        <w:r w:rsidR="00B93CAF" w:rsidRPr="00CA08B2">
          <w:rPr>
            <w:rFonts w:ascii="Times New Roman" w:hAnsi="Times New Roman" w:cs="Times New Roman"/>
            <w:noProof/>
            <w:webHidden/>
          </w:rPr>
          <w:fldChar w:fldCharType="begin"/>
        </w:r>
        <w:r w:rsidR="00B93CAF" w:rsidRPr="00CA08B2">
          <w:rPr>
            <w:rFonts w:ascii="Times New Roman" w:hAnsi="Times New Roman" w:cs="Times New Roman"/>
            <w:noProof/>
            <w:webHidden/>
          </w:rPr>
          <w:instrText xml:space="preserve"> PAGEREF _Toc163700107 \h </w:instrText>
        </w:r>
        <w:r w:rsidR="00B93CAF" w:rsidRPr="00CA08B2">
          <w:rPr>
            <w:rFonts w:ascii="Times New Roman" w:hAnsi="Times New Roman" w:cs="Times New Roman"/>
            <w:noProof/>
            <w:webHidden/>
          </w:rPr>
        </w:r>
        <w:r w:rsidR="00B93CAF" w:rsidRPr="00CA08B2">
          <w:rPr>
            <w:rFonts w:ascii="Times New Roman" w:hAnsi="Times New Roman" w:cs="Times New Roman"/>
            <w:noProof/>
            <w:webHidden/>
          </w:rPr>
          <w:fldChar w:fldCharType="separate"/>
        </w:r>
        <w:r w:rsidR="00B93CAF" w:rsidRPr="00CA08B2">
          <w:rPr>
            <w:rFonts w:ascii="Times New Roman" w:hAnsi="Times New Roman" w:cs="Times New Roman"/>
            <w:noProof/>
            <w:webHidden/>
          </w:rPr>
          <w:t>4</w:t>
        </w:r>
        <w:r w:rsidR="00B93CAF" w:rsidRPr="00CA08B2">
          <w:rPr>
            <w:rFonts w:ascii="Times New Roman" w:hAnsi="Times New Roman" w:cs="Times New Roman"/>
            <w:noProof/>
            <w:webHidden/>
          </w:rPr>
          <w:fldChar w:fldCharType="end"/>
        </w:r>
      </w:hyperlink>
    </w:p>
    <w:p w14:paraId="0234A40F" w14:textId="27F81ED4" w:rsidR="00557066" w:rsidRPr="00CA08B2" w:rsidRDefault="00B93CAF"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fldChar w:fldCharType="end"/>
      </w:r>
    </w:p>
    <w:p w14:paraId="0670CA5E" w14:textId="77777777" w:rsidR="00557066" w:rsidRPr="00CA08B2" w:rsidRDefault="00557066">
      <w:pPr>
        <w:rPr>
          <w:rFonts w:ascii="Times New Roman" w:hAnsi="Times New Roman" w:cs="Times New Roman"/>
          <w:sz w:val="24"/>
          <w:szCs w:val="24"/>
        </w:rPr>
      </w:pPr>
      <w:r w:rsidRPr="00CA08B2">
        <w:rPr>
          <w:rFonts w:ascii="Times New Roman" w:hAnsi="Times New Roman" w:cs="Times New Roman"/>
          <w:sz w:val="24"/>
          <w:szCs w:val="24"/>
        </w:rPr>
        <w:br w:type="page"/>
      </w:r>
    </w:p>
    <w:p w14:paraId="2C475BAC" w14:textId="77777777" w:rsidR="0075408F" w:rsidRPr="00CA08B2" w:rsidRDefault="0075408F" w:rsidP="00293140">
      <w:pPr>
        <w:spacing w:line="360" w:lineRule="auto"/>
        <w:jc w:val="both"/>
        <w:rPr>
          <w:rFonts w:ascii="Times New Roman" w:hAnsi="Times New Roman" w:cs="Times New Roman"/>
          <w:sz w:val="24"/>
          <w:szCs w:val="24"/>
        </w:rPr>
      </w:pPr>
    </w:p>
    <w:p w14:paraId="7425CD8D" w14:textId="338305DB" w:rsidR="00960712" w:rsidRPr="00CA08B2" w:rsidRDefault="00CF7DAA" w:rsidP="00CF7DAA">
      <w:pPr>
        <w:pStyle w:val="Heading1"/>
        <w:rPr>
          <w:rFonts w:ascii="Times New Roman" w:hAnsi="Times New Roman" w:cs="Times New Roman"/>
          <w:b w:val="0"/>
          <w:color w:val="auto"/>
        </w:rPr>
      </w:pPr>
      <w:bookmarkStart w:id="0" w:name="_Toc163700017"/>
      <w:r w:rsidRPr="00CA08B2">
        <w:rPr>
          <w:rFonts w:ascii="Times New Roman" w:hAnsi="Times New Roman" w:cs="Times New Roman"/>
          <w:b w:val="0"/>
          <w:color w:val="auto"/>
        </w:rPr>
        <w:t xml:space="preserve">1.0 </w:t>
      </w:r>
      <w:r w:rsidR="00960712" w:rsidRPr="00CA08B2">
        <w:rPr>
          <w:rFonts w:ascii="Times New Roman" w:hAnsi="Times New Roman" w:cs="Times New Roman"/>
          <w:b w:val="0"/>
          <w:color w:val="auto"/>
        </w:rPr>
        <w:t>Introduction:</w:t>
      </w:r>
      <w:bookmarkEnd w:id="0"/>
    </w:p>
    <w:p w14:paraId="40E5BD0A" w14:textId="7CFAA5A8" w:rsidR="005A31B9" w:rsidRPr="00CA08B2" w:rsidRDefault="005A31B9"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electronics industry supply chain is an intricate network, which stretches across the world to different continents. The chain of supply starts at extraction of raw material, thereafter the components and subassemblies are made from such material, the final product is assembled, and then it fits to its end-users</w:t>
      </w:r>
      <w:r w:rsidR="00A34845" w:rsidRPr="00CA08B2">
        <w:rPr>
          <w:rFonts w:ascii="Times New Roman" w:hAnsi="Times New Roman" w:cs="Times New Roman"/>
          <w:sz w:val="24"/>
          <w:szCs w:val="24"/>
        </w:rPr>
        <w:fldChar w:fldCharType="begin"/>
      </w:r>
      <w:r w:rsidR="00A34845" w:rsidRPr="00CA08B2">
        <w:rPr>
          <w:rFonts w:ascii="Times New Roman" w:hAnsi="Times New Roman" w:cs="Times New Roman"/>
          <w:sz w:val="24"/>
          <w:szCs w:val="24"/>
        </w:rPr>
        <w:instrText xml:space="preserve"> ADDIN EN.CITE &lt;EndNote&gt;&lt;Cite&gt;&lt;Author&gt;Min&lt;/Author&gt;&lt;Year&gt;2019&lt;/Year&gt;&lt;RecNum&gt;436&lt;/RecNum&gt;&lt;DisplayText&gt;(Min, 2019)&lt;/DisplayText&gt;&lt;record&gt;&lt;rec-number&gt;436&lt;/rec-number&gt;&lt;foreign-keys&gt;&lt;key app="EN" db-id="vp0t0fz5q9wvv2etf21x9vp5rv92ew2dstft" timestamp="1712831333"&gt;436&lt;/key&gt;&lt;/foreign-keys&gt;&lt;ref-type name="Journal Article"&gt;17&lt;/ref-type&gt;&lt;contributors&gt;&lt;authors&gt;&lt;author&gt;Min, Hokey %J Business Horizons&lt;/author&gt;&lt;/authors&gt;&lt;/contributors&gt;&lt;titles&gt;&lt;title&gt;Blockchain technology for enhancing supply chain resilience&lt;/title&gt;&lt;/titles&gt;&lt;pages&gt;35-45&lt;/pages&gt;&lt;volume&gt;62&lt;/volume&gt;&lt;number&gt;1&lt;/number&gt;&lt;dates&gt;&lt;year&gt;2019&lt;/year&gt;&lt;/dates&gt;&lt;isbn&gt;0007-6813&lt;/isbn&gt;&lt;urls&gt;&lt;/urls&gt;&lt;/record&gt;&lt;/Cite&gt;&lt;/EndNote&gt;</w:instrText>
      </w:r>
      <w:r w:rsidR="00A34845" w:rsidRPr="00CA08B2">
        <w:rPr>
          <w:rFonts w:ascii="Times New Roman" w:hAnsi="Times New Roman" w:cs="Times New Roman"/>
          <w:sz w:val="24"/>
          <w:szCs w:val="24"/>
        </w:rPr>
        <w:fldChar w:fldCharType="separate"/>
      </w:r>
      <w:r w:rsidR="00A34845" w:rsidRPr="00CA08B2">
        <w:rPr>
          <w:rFonts w:ascii="Times New Roman" w:hAnsi="Times New Roman" w:cs="Times New Roman"/>
          <w:noProof/>
          <w:sz w:val="24"/>
          <w:szCs w:val="24"/>
        </w:rPr>
        <w:t>(Min, 2019)</w:t>
      </w:r>
      <w:r w:rsidR="00A34845" w:rsidRPr="00CA08B2">
        <w:rPr>
          <w:rFonts w:ascii="Times New Roman" w:hAnsi="Times New Roman" w:cs="Times New Roman"/>
          <w:sz w:val="24"/>
          <w:szCs w:val="24"/>
        </w:rPr>
        <w:fldChar w:fldCharType="end"/>
      </w:r>
      <w:r w:rsidRPr="00CA08B2">
        <w:rPr>
          <w:rFonts w:ascii="Times New Roman" w:hAnsi="Times New Roman" w:cs="Times New Roman"/>
          <w:sz w:val="24"/>
          <w:szCs w:val="24"/>
        </w:rPr>
        <w:t>. At every juncture of the development process, actors like raw material suppliers, component manufacturers, original equipment manufacturers (OEMs), logistics companies and retailers are engaged. Of course, the supply chain, just like any other functioning system, is under duress of the outer factors, such as the geopolitical tensions and trade policies, and the respective economic conditions and natural disasters, which can cause additional problems for its smooth operation</w:t>
      </w:r>
      <w:r w:rsidR="00A34845" w:rsidRPr="00CA08B2">
        <w:rPr>
          <w:rFonts w:ascii="Times New Roman" w:hAnsi="Times New Roman" w:cs="Times New Roman"/>
          <w:sz w:val="24"/>
          <w:szCs w:val="24"/>
        </w:rPr>
        <w:fldChar w:fldCharType="begin"/>
      </w:r>
      <w:r w:rsidR="00A34845" w:rsidRPr="00CA08B2">
        <w:rPr>
          <w:rFonts w:ascii="Times New Roman" w:hAnsi="Times New Roman" w:cs="Times New Roman"/>
          <w:sz w:val="24"/>
          <w:szCs w:val="24"/>
        </w:rPr>
        <w:instrText xml:space="preserve"> ADDIN EN.CITE &lt;EndNote&gt;&lt;Cite&gt;&lt;Author&gt;Spieske&lt;/Author&gt;&lt;Year&gt;2022&lt;/Year&gt;&lt;RecNum&gt;437&lt;/RecNum&gt;&lt;DisplayText&gt;(Spieske et al., 2022)&lt;/DisplayText&gt;&lt;record&gt;&lt;rec-number&gt;437&lt;/rec-number&gt;&lt;foreign-keys&gt;&lt;key app="EN" db-id="vp0t0fz5q9wvv2etf21x9vp5rv92ew2dstft" timestamp="1712831357"&gt;437&lt;/key&gt;&lt;/foreign-keys&gt;&lt;ref-type name="Journal Article"&gt;17&lt;/ref-type&gt;&lt;contributors&gt;&lt;authors&gt;&lt;author&gt;Spieske, Alexander&lt;/author&gt;&lt;author&gt;Gebhardt, Maximilian&lt;/author&gt;&lt;author&gt;Kopyto, Matthias&lt;/author&gt;&lt;author&gt;Birkel, Hendrik %J Journal of Purchasing&lt;/author&gt;&lt;author&gt;Supply Management&lt;/author&gt;&lt;/authors&gt;&lt;/contributors&gt;&lt;titles&gt;&lt;title&gt;Improving resilience of the healthcare supply chain in a pandemic: Evidence from Europe during the COVID-19 crisis&lt;/title&gt;&lt;/titles&gt;&lt;pages&gt;100748&lt;/pages&gt;&lt;volume&gt;28&lt;/volume&gt;&lt;number&gt;5&lt;/number&gt;&lt;dates&gt;&lt;year&gt;2022&lt;/year&gt;&lt;/dates&gt;&lt;isbn&gt;1478-4092&lt;/isbn&gt;&lt;urls&gt;&lt;/urls&gt;&lt;/record&gt;&lt;/Cite&gt;&lt;/EndNote&gt;</w:instrText>
      </w:r>
      <w:r w:rsidR="00A34845" w:rsidRPr="00CA08B2">
        <w:rPr>
          <w:rFonts w:ascii="Times New Roman" w:hAnsi="Times New Roman" w:cs="Times New Roman"/>
          <w:sz w:val="24"/>
          <w:szCs w:val="24"/>
        </w:rPr>
        <w:fldChar w:fldCharType="separate"/>
      </w:r>
      <w:r w:rsidR="00A34845" w:rsidRPr="00CA08B2">
        <w:rPr>
          <w:rFonts w:ascii="Times New Roman" w:hAnsi="Times New Roman" w:cs="Times New Roman"/>
          <w:noProof/>
          <w:sz w:val="24"/>
          <w:szCs w:val="24"/>
        </w:rPr>
        <w:t>(Spieske et al., 2022)</w:t>
      </w:r>
      <w:r w:rsidR="00A34845" w:rsidRPr="00CA08B2">
        <w:rPr>
          <w:rFonts w:ascii="Times New Roman" w:hAnsi="Times New Roman" w:cs="Times New Roman"/>
          <w:sz w:val="24"/>
          <w:szCs w:val="24"/>
        </w:rPr>
        <w:fldChar w:fldCharType="end"/>
      </w:r>
      <w:r w:rsidRPr="00CA08B2">
        <w:rPr>
          <w:rFonts w:ascii="Times New Roman" w:hAnsi="Times New Roman" w:cs="Times New Roman"/>
          <w:sz w:val="24"/>
          <w:szCs w:val="24"/>
        </w:rPr>
        <w:t>.</w:t>
      </w:r>
    </w:p>
    <w:p w14:paraId="26B493C4" w14:textId="53E4D3D7" w:rsidR="005A31B9" w:rsidRPr="00CA08B2" w:rsidRDefault="005A31B9"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Failure Mode Effects Analysis (FMEA) can be characterized as the methodical identification of the potential failure cases at the system level and the assessment of their effect on the overall performance</w:t>
      </w:r>
      <w:r w:rsidR="00A34845" w:rsidRPr="00CA08B2">
        <w:rPr>
          <w:rFonts w:ascii="Times New Roman" w:hAnsi="Times New Roman" w:cs="Times New Roman"/>
          <w:sz w:val="24"/>
          <w:szCs w:val="24"/>
        </w:rPr>
        <w:fldChar w:fldCharType="begin"/>
      </w:r>
      <w:r w:rsidR="00A34845" w:rsidRPr="00CA08B2">
        <w:rPr>
          <w:rFonts w:ascii="Times New Roman" w:hAnsi="Times New Roman" w:cs="Times New Roman"/>
          <w:sz w:val="24"/>
          <w:szCs w:val="24"/>
        </w:rPr>
        <w:instrText xml:space="preserve"> ADDIN EN.CITE &lt;EndNote&gt;&lt;Cite&gt;&lt;Author&gt;Sharma&lt;/Author&gt;&lt;Year&gt;2018&lt;/Year&gt;&lt;RecNum&gt;440&lt;/RecNum&gt;&lt;DisplayText&gt;(Sharma and Srivastava, 2018)&lt;/DisplayText&gt;&lt;record&gt;&lt;rec-number&gt;440&lt;/rec-number&gt;&lt;foreign-keys&gt;&lt;key app="EN" db-id="vp0t0fz5q9wvv2etf21x9vp5rv92ew2dstft" timestamp="1712831425"&gt;440&lt;/key&gt;&lt;/foreign-keys&gt;&lt;ref-type name="Journal Article"&gt;17&lt;/ref-type&gt;&lt;contributors&gt;&lt;authors&gt;&lt;author&gt;Sharma, Kapil Dev&lt;/author&gt;&lt;author&gt;Srivastava, Shobhit %J J Adv Res Aeronaut Space Sci&lt;/author&gt;&lt;/authors&gt;&lt;/contributors&gt;&lt;titles&gt;&lt;title&gt;Failure mode and effect analysis (FMEA) implementation: a literature review&lt;/title&gt;&lt;/titles&gt;&lt;pages&gt;1-17&lt;/pages&gt;&lt;volume&gt;5&lt;/volume&gt;&lt;number&gt;1-2&lt;/number&gt;&lt;dates&gt;&lt;year&gt;2018&lt;/year&gt;&lt;/dates&gt;&lt;urls&gt;&lt;/urls&gt;&lt;/record&gt;&lt;/Cite&gt;&lt;/EndNote&gt;</w:instrText>
      </w:r>
      <w:r w:rsidR="00A34845" w:rsidRPr="00CA08B2">
        <w:rPr>
          <w:rFonts w:ascii="Times New Roman" w:hAnsi="Times New Roman" w:cs="Times New Roman"/>
          <w:sz w:val="24"/>
          <w:szCs w:val="24"/>
        </w:rPr>
        <w:fldChar w:fldCharType="separate"/>
      </w:r>
      <w:r w:rsidR="00A34845" w:rsidRPr="00CA08B2">
        <w:rPr>
          <w:rFonts w:ascii="Times New Roman" w:hAnsi="Times New Roman" w:cs="Times New Roman"/>
          <w:noProof/>
          <w:sz w:val="24"/>
          <w:szCs w:val="24"/>
        </w:rPr>
        <w:t>(Sharma and Srivastava, 2018)</w:t>
      </w:r>
      <w:r w:rsidR="00A34845" w:rsidRPr="00CA08B2">
        <w:rPr>
          <w:rFonts w:ascii="Times New Roman" w:hAnsi="Times New Roman" w:cs="Times New Roman"/>
          <w:sz w:val="24"/>
          <w:szCs w:val="24"/>
        </w:rPr>
        <w:fldChar w:fldCharType="end"/>
      </w:r>
      <w:r w:rsidRPr="00CA08B2">
        <w:rPr>
          <w:rFonts w:ascii="Times New Roman" w:hAnsi="Times New Roman" w:cs="Times New Roman"/>
          <w:sz w:val="24"/>
          <w:szCs w:val="24"/>
        </w:rPr>
        <w:t>. The FMEA methodology includes the identification of the failure modes, their likelihood of occurrence, determination of the criticality index and priority numbers (RPNs) for each failure mode</w:t>
      </w:r>
      <w:r w:rsidR="00A34845" w:rsidRPr="00CA08B2">
        <w:rPr>
          <w:rFonts w:ascii="Times New Roman" w:hAnsi="Times New Roman" w:cs="Times New Roman"/>
          <w:sz w:val="24"/>
          <w:szCs w:val="24"/>
        </w:rPr>
        <w:fldChar w:fldCharType="begin"/>
      </w:r>
      <w:r w:rsidR="00A34845" w:rsidRPr="00CA08B2">
        <w:rPr>
          <w:rFonts w:ascii="Times New Roman" w:hAnsi="Times New Roman" w:cs="Times New Roman"/>
          <w:sz w:val="24"/>
          <w:szCs w:val="24"/>
        </w:rPr>
        <w:instrText xml:space="preserve"> ADDIN EN.CITE &lt;EndNote&gt;&lt;Cite&gt;&lt;Author&gt;Jain&lt;/Author&gt;&lt;Year&gt;2017&lt;/Year&gt;&lt;RecNum&gt;441&lt;/RecNum&gt;&lt;DisplayText&gt;(Jain, 2017)&lt;/DisplayText&gt;&lt;record&gt;&lt;rec-number&gt;441&lt;/rec-number&gt;&lt;foreign-keys&gt;&lt;key app="EN" db-id="vp0t0fz5q9wvv2etf21x9vp5rv92ew2dstft" timestamp="1712831442"&gt;441&lt;/key&gt;&lt;/foreign-keys&gt;&lt;ref-type name="Journal Article"&gt;17&lt;/ref-type&gt;&lt;contributors&gt;&lt;authors&gt;&lt;author&gt;Jain, Khushboo %J International Journal of Health Care Quality Assurance&lt;/author&gt;&lt;/authors&gt;&lt;/contributors&gt;&lt;titles&gt;&lt;title&gt;Use of failure mode effect analysis (FMEA) to improve medication management process&lt;/title&gt;&lt;/titles&gt;&lt;pages&gt;175-186&lt;/pages&gt;&lt;volume&gt;30&lt;/volume&gt;&lt;number&gt;2&lt;/number&gt;&lt;dates&gt;&lt;year&gt;2017&lt;/year&gt;&lt;/dates&gt;&lt;isbn&gt;0952-6862&lt;/isbn&gt;&lt;urls&gt;&lt;/urls&gt;&lt;/record&gt;&lt;/Cite&gt;&lt;/EndNote&gt;</w:instrText>
      </w:r>
      <w:r w:rsidR="00A34845" w:rsidRPr="00CA08B2">
        <w:rPr>
          <w:rFonts w:ascii="Times New Roman" w:hAnsi="Times New Roman" w:cs="Times New Roman"/>
          <w:sz w:val="24"/>
          <w:szCs w:val="24"/>
        </w:rPr>
        <w:fldChar w:fldCharType="separate"/>
      </w:r>
      <w:r w:rsidR="00A34845" w:rsidRPr="00CA08B2">
        <w:rPr>
          <w:rFonts w:ascii="Times New Roman" w:hAnsi="Times New Roman" w:cs="Times New Roman"/>
          <w:noProof/>
          <w:sz w:val="24"/>
          <w:szCs w:val="24"/>
        </w:rPr>
        <w:t>(Jain, 2017)</w:t>
      </w:r>
      <w:r w:rsidR="00A34845" w:rsidRPr="00CA08B2">
        <w:rPr>
          <w:rFonts w:ascii="Times New Roman" w:hAnsi="Times New Roman" w:cs="Times New Roman"/>
          <w:sz w:val="24"/>
          <w:szCs w:val="24"/>
        </w:rPr>
        <w:fldChar w:fldCharType="end"/>
      </w:r>
      <w:r w:rsidRPr="00CA08B2">
        <w:rPr>
          <w:rFonts w:ascii="Times New Roman" w:hAnsi="Times New Roman" w:cs="Times New Roman"/>
          <w:sz w:val="24"/>
          <w:szCs w:val="24"/>
        </w:rPr>
        <w:t>. The value of the RPN is got by multiplying all three aspects, the likelihood of the occurrence, the severity of impact and the detectability of the failure mode. the failure modes which have the highest RPNs are the most significant in considering and probably need immediate help</w:t>
      </w:r>
      <w:r w:rsidR="00A34845" w:rsidRPr="00CA08B2">
        <w:rPr>
          <w:rFonts w:ascii="Times New Roman" w:hAnsi="Times New Roman" w:cs="Times New Roman"/>
          <w:sz w:val="24"/>
          <w:szCs w:val="24"/>
        </w:rPr>
        <w:fldChar w:fldCharType="begin"/>
      </w:r>
      <w:r w:rsidR="00A34845" w:rsidRPr="00CA08B2">
        <w:rPr>
          <w:rFonts w:ascii="Times New Roman" w:hAnsi="Times New Roman" w:cs="Times New Roman"/>
          <w:sz w:val="24"/>
          <w:szCs w:val="24"/>
        </w:rPr>
        <w:instrText xml:space="preserve"> ADDIN EN.CITE &lt;EndNote&gt;&lt;Cite&gt;&lt;Author&gt;Fu&lt;/Author&gt;&lt;Year&gt;2019&lt;/Year&gt;&lt;RecNum&gt;438&lt;/RecNum&gt;&lt;DisplayText&gt;(Fu et al., 2019)&lt;/DisplayText&gt;&lt;record&gt;&lt;rec-number&gt;438&lt;/rec-number&gt;&lt;foreign-keys&gt;&lt;key app="EN" db-id="vp0t0fz5q9wvv2etf21x9vp5rv92ew2dstft" timestamp="1712831378"&gt;438&lt;/key&gt;&lt;/foreign-keys&gt;&lt;ref-type name="Journal Article"&gt;17&lt;/ref-type&gt;&lt;contributors&gt;&lt;authors&gt;&lt;author&gt;Fu, Wenhan&lt;/author&gt;&lt;author&gt;Chien, Chen-Fu %J Computers&lt;/author&gt;&lt;author&gt;Industrial Engineering&lt;/author&gt;&lt;/authors&gt;&lt;/contributors&gt;&lt;titles&gt;&lt;title&gt;UNISON data-driven intermittent demand forecast framework to empower supply chain resilience and an empirical study in electronics distribution&lt;/title&gt;&lt;/titles&gt;&lt;pages&gt;940-949&lt;/pages&gt;&lt;volume&gt;135&lt;/volume&gt;&lt;dates&gt;&lt;year&gt;2019&lt;/year&gt;&lt;/dates&gt;&lt;isbn&gt;0360-8352&lt;/isbn&gt;&lt;urls&gt;&lt;/urls&gt;&lt;/record&gt;&lt;/Cite&gt;&lt;/EndNote&gt;</w:instrText>
      </w:r>
      <w:r w:rsidR="00A34845" w:rsidRPr="00CA08B2">
        <w:rPr>
          <w:rFonts w:ascii="Times New Roman" w:hAnsi="Times New Roman" w:cs="Times New Roman"/>
          <w:sz w:val="24"/>
          <w:szCs w:val="24"/>
        </w:rPr>
        <w:fldChar w:fldCharType="separate"/>
      </w:r>
      <w:r w:rsidR="00A34845" w:rsidRPr="00CA08B2">
        <w:rPr>
          <w:rFonts w:ascii="Times New Roman" w:hAnsi="Times New Roman" w:cs="Times New Roman"/>
          <w:noProof/>
          <w:sz w:val="24"/>
          <w:szCs w:val="24"/>
        </w:rPr>
        <w:t>(Fu et al., 2019)</w:t>
      </w:r>
      <w:r w:rsidR="00A34845" w:rsidRPr="00CA08B2">
        <w:rPr>
          <w:rFonts w:ascii="Times New Roman" w:hAnsi="Times New Roman" w:cs="Times New Roman"/>
          <w:sz w:val="24"/>
          <w:szCs w:val="24"/>
        </w:rPr>
        <w:fldChar w:fldCharType="end"/>
      </w:r>
      <w:r w:rsidRPr="00CA08B2">
        <w:rPr>
          <w:rFonts w:ascii="Times New Roman" w:hAnsi="Times New Roman" w:cs="Times New Roman"/>
          <w:sz w:val="24"/>
          <w:szCs w:val="24"/>
        </w:rPr>
        <w:t>.</w:t>
      </w:r>
    </w:p>
    <w:p w14:paraId="694B8D16" w14:textId="14F2F6E9" w:rsidR="00960712" w:rsidRPr="00960712" w:rsidRDefault="005A31B9"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This report is intended to conduct a risk assessment of the international supply chain of electronic appliances and develop a series of strategies to enhance the corresponding resilience. The research findings can bring the supply chain stakeholders to grasp the environment they operate in better. They will be able to identify risks wisely and will take necessary measures to mitigate those risks. Hence, the supply chain will be able to cope with any disruption. Therefore, the end-users will receive the newly made gear timely</w:t>
      </w:r>
      <w:r w:rsidR="00A34845" w:rsidRPr="00CA08B2">
        <w:rPr>
          <w:rFonts w:ascii="Times New Roman" w:hAnsi="Times New Roman" w:cs="Times New Roman"/>
          <w:sz w:val="24"/>
          <w:szCs w:val="24"/>
        </w:rPr>
        <w:fldChar w:fldCharType="begin"/>
      </w:r>
      <w:r w:rsidR="00A34845" w:rsidRPr="00CA08B2">
        <w:rPr>
          <w:rFonts w:ascii="Times New Roman" w:hAnsi="Times New Roman" w:cs="Times New Roman"/>
          <w:sz w:val="24"/>
          <w:szCs w:val="24"/>
        </w:rPr>
        <w:instrText xml:space="preserve"> ADDIN EN.CITE &lt;EndNote&gt;&lt;Cite&gt;&lt;Author&gt;Isoniemi&lt;/Author&gt;&lt;Year&gt;2024&lt;/Year&gt;&lt;RecNum&gt;439&lt;/RecNum&gt;&lt;DisplayText&gt;(Isoniemi, 2024)&lt;/DisplayText&gt;&lt;record&gt;&lt;rec-number&gt;439&lt;/rec-number&gt;&lt;foreign-keys&gt;&lt;key app="EN" db-id="vp0t0fz5q9wvv2etf21x9vp5rv92ew2dstft" timestamp="1712831394"&gt;439&lt;/key&gt;&lt;/foreign-keys&gt;&lt;ref-type name="Journal Article"&gt;17&lt;/ref-type&gt;&lt;contributors&gt;&lt;authors&gt;&lt;author&gt;Isoniemi, Samy&lt;/author&gt;&lt;/authors&gt;&lt;/contributors&gt;&lt;titles&gt;&lt;title&gt;SUPPLY CHAIN RESILIENCE IN ELECTRONIC COMPONENTS SUPPLY CHAIN&lt;/title&gt;&lt;/titles&gt;&lt;dates&gt;&lt;year&gt;2024&lt;/year&gt;&lt;/dates&gt;&lt;urls&gt;&lt;/urls&gt;&lt;/record&gt;&lt;/Cite&gt;&lt;/EndNote&gt;</w:instrText>
      </w:r>
      <w:r w:rsidR="00A34845" w:rsidRPr="00CA08B2">
        <w:rPr>
          <w:rFonts w:ascii="Times New Roman" w:hAnsi="Times New Roman" w:cs="Times New Roman"/>
          <w:sz w:val="24"/>
          <w:szCs w:val="24"/>
        </w:rPr>
        <w:fldChar w:fldCharType="separate"/>
      </w:r>
      <w:r w:rsidR="00A34845" w:rsidRPr="00CA08B2">
        <w:rPr>
          <w:rFonts w:ascii="Times New Roman" w:hAnsi="Times New Roman" w:cs="Times New Roman"/>
          <w:noProof/>
          <w:sz w:val="24"/>
          <w:szCs w:val="24"/>
        </w:rPr>
        <w:t>(Isoniemi, 2024)</w:t>
      </w:r>
      <w:r w:rsidR="00A34845" w:rsidRPr="00CA08B2">
        <w:rPr>
          <w:rFonts w:ascii="Times New Roman" w:hAnsi="Times New Roman" w:cs="Times New Roman"/>
          <w:sz w:val="24"/>
          <w:szCs w:val="24"/>
        </w:rPr>
        <w:fldChar w:fldCharType="end"/>
      </w:r>
      <w:r w:rsidR="00960712" w:rsidRPr="00960712">
        <w:rPr>
          <w:rFonts w:ascii="Times New Roman" w:hAnsi="Times New Roman" w:cs="Times New Roman"/>
          <w:sz w:val="24"/>
          <w:szCs w:val="24"/>
        </w:rPr>
        <w:t>.</w:t>
      </w:r>
    </w:p>
    <w:p w14:paraId="1270705E" w14:textId="62D70792" w:rsidR="00960712" w:rsidRPr="00CA08B2" w:rsidRDefault="00CF7DAA" w:rsidP="00CF7DAA">
      <w:pPr>
        <w:pStyle w:val="Heading1"/>
        <w:rPr>
          <w:rFonts w:ascii="Times New Roman" w:hAnsi="Times New Roman" w:cs="Times New Roman"/>
          <w:color w:val="auto"/>
        </w:rPr>
      </w:pPr>
      <w:bookmarkStart w:id="1" w:name="_Toc163700018"/>
      <w:r w:rsidRPr="00CA08B2">
        <w:rPr>
          <w:rFonts w:ascii="Times New Roman" w:hAnsi="Times New Roman" w:cs="Times New Roman"/>
          <w:color w:val="auto"/>
        </w:rPr>
        <w:t xml:space="preserve">2.0 </w:t>
      </w:r>
      <w:r w:rsidR="00960712" w:rsidRPr="00CA08B2">
        <w:rPr>
          <w:rFonts w:ascii="Times New Roman" w:hAnsi="Times New Roman" w:cs="Times New Roman"/>
          <w:color w:val="auto"/>
        </w:rPr>
        <w:t>FMEA Analysis:</w:t>
      </w:r>
      <w:bookmarkEnd w:id="1"/>
    </w:p>
    <w:p w14:paraId="7E9384C9" w14:textId="6645AEF0" w:rsidR="00960712" w:rsidRPr="00CA08B2" w:rsidRDefault="008F1B3D"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Failure Mode and Effect Analysis (FMEA) is a directive method that aims to specify potential failure modes in a system, consider their impacts, and prioritize factors to remove the hazard; thereafter, it is possible to mitigate the risks</w:t>
      </w:r>
      <w:r w:rsidR="00A34845" w:rsidRPr="00CA08B2">
        <w:rPr>
          <w:rFonts w:ascii="Times New Roman" w:hAnsi="Times New Roman" w:cs="Times New Roman"/>
          <w:sz w:val="24"/>
          <w:szCs w:val="24"/>
        </w:rPr>
        <w:fldChar w:fldCharType="begin"/>
      </w:r>
      <w:r w:rsidR="00A34845" w:rsidRPr="00CA08B2">
        <w:rPr>
          <w:rFonts w:ascii="Times New Roman" w:hAnsi="Times New Roman" w:cs="Times New Roman"/>
          <w:sz w:val="24"/>
          <w:szCs w:val="24"/>
        </w:rPr>
        <w:instrText xml:space="preserve"> ADDIN EN.CITE &lt;EndNote&gt;&lt;Cite&gt;&lt;Author&gt;Sastry&lt;/Author&gt;&lt;Year&gt;2015&lt;/Year&gt;&lt;RecNum&gt;442&lt;/RecNum&gt;&lt;DisplayText&gt;(Sastry et al., 2015)&lt;/DisplayText&gt;&lt;record&gt;&lt;rec-number&gt;442&lt;/rec-number&gt;&lt;foreign-keys&gt;&lt;key app="EN" db-id="vp0t0fz5q9wvv2etf21x9vp5rv92ew2dstft" timestamp="1712831498"&gt;442&lt;/key&gt;&lt;/foreign-keys&gt;&lt;ref-type name="Conference Proceedings"&gt;10&lt;/ref-type&gt;&lt;contributors&gt;&lt;authors&gt;&lt;author&gt;Sastry, Arkanatha&lt;/author&gt;&lt;author&gt;Kulasekaran, Siddharth&lt;/author&gt;&lt;author&gt;Flicker, Jack&lt;/author&gt;&lt;author&gt;Ayyanar, Raja&lt;/author&gt;&lt;author&gt;TamizhMani, GovindSamy&lt;/author&gt;&lt;author&gt;Roy, Jinia&lt;/author&gt;&lt;author&gt;Srinivasan, Devarajan&lt;/author&gt;&lt;author&gt;Tilford, Ian&lt;/author&gt;&lt;/authors&gt;&lt;/contributors&gt;&lt;titles&gt;&lt;title&gt;Failure modes and effect analysis of module level power electronics&lt;/title&gt;&lt;secondary-title&gt;2015 IEEE 42nd Photovoltaic Specialist Conference (PVSC)&lt;/secondary-title&gt;&lt;/titles&gt;&lt;pages&gt;1-3&lt;/pages&gt;&lt;dates&gt;&lt;year&gt;2015&lt;/year&gt;&lt;/dates&gt;&lt;publisher&gt;IEEE&lt;/publisher&gt;&lt;isbn&gt;1479979449&lt;/isbn&gt;&lt;urls&gt;&lt;/urls&gt;&lt;/record&gt;&lt;/Cite&gt;&lt;/EndNote&gt;</w:instrText>
      </w:r>
      <w:r w:rsidR="00A34845" w:rsidRPr="00CA08B2">
        <w:rPr>
          <w:rFonts w:ascii="Times New Roman" w:hAnsi="Times New Roman" w:cs="Times New Roman"/>
          <w:sz w:val="24"/>
          <w:szCs w:val="24"/>
        </w:rPr>
        <w:fldChar w:fldCharType="separate"/>
      </w:r>
      <w:r w:rsidR="00A34845" w:rsidRPr="00CA08B2">
        <w:rPr>
          <w:rFonts w:ascii="Times New Roman" w:hAnsi="Times New Roman" w:cs="Times New Roman"/>
          <w:noProof/>
          <w:sz w:val="24"/>
          <w:szCs w:val="24"/>
        </w:rPr>
        <w:t>(Sastry et al., 2015)</w:t>
      </w:r>
      <w:r w:rsidR="00A34845" w:rsidRPr="00CA08B2">
        <w:rPr>
          <w:rFonts w:ascii="Times New Roman" w:hAnsi="Times New Roman" w:cs="Times New Roman"/>
          <w:sz w:val="24"/>
          <w:szCs w:val="24"/>
        </w:rPr>
        <w:fldChar w:fldCharType="end"/>
      </w:r>
      <w:r w:rsidRPr="00CA08B2">
        <w:rPr>
          <w:rFonts w:ascii="Times New Roman" w:hAnsi="Times New Roman" w:cs="Times New Roman"/>
          <w:sz w:val="24"/>
          <w:szCs w:val="24"/>
        </w:rPr>
        <w:t xml:space="preserve">. It (the analysis) will be presented </w:t>
      </w:r>
      <w:r w:rsidRPr="00CA08B2">
        <w:rPr>
          <w:rFonts w:ascii="Times New Roman" w:hAnsi="Times New Roman" w:cs="Times New Roman"/>
          <w:sz w:val="24"/>
          <w:szCs w:val="24"/>
        </w:rPr>
        <w:lastRenderedPageBreak/>
        <w:t>in a table format, as part of which the intensity of a failure mode will stand in comparison with its frequency and detection</w:t>
      </w:r>
      <w:r w:rsidR="00960712" w:rsidRPr="00960712">
        <w:rPr>
          <w:rFonts w:ascii="Times New Roman" w:hAnsi="Times New Roman" w:cs="Times New Roman"/>
          <w:sz w:val="24"/>
          <w:szCs w:val="24"/>
        </w:rPr>
        <w:t>.</w:t>
      </w:r>
    </w:p>
    <w:p w14:paraId="64201751" w14:textId="2A05D5B6" w:rsidR="00557066" w:rsidRPr="00960712" w:rsidRDefault="00557066" w:rsidP="00557066">
      <w:pPr>
        <w:pStyle w:val="Caption"/>
        <w:rPr>
          <w:rFonts w:ascii="Times New Roman" w:hAnsi="Times New Roman" w:cs="Times New Roman"/>
          <w:color w:val="auto"/>
          <w:sz w:val="24"/>
          <w:szCs w:val="24"/>
        </w:rPr>
      </w:pPr>
      <w:bookmarkStart w:id="2" w:name="_Toc163700107"/>
      <w:r w:rsidRPr="00CA08B2">
        <w:rPr>
          <w:rFonts w:ascii="Times New Roman" w:hAnsi="Times New Roman" w:cs="Times New Roman"/>
          <w:color w:val="auto"/>
        </w:rPr>
        <w:t xml:space="preserve">Table </w:t>
      </w:r>
      <w:r w:rsidRPr="00CA08B2">
        <w:rPr>
          <w:rFonts w:ascii="Times New Roman" w:hAnsi="Times New Roman" w:cs="Times New Roman"/>
          <w:color w:val="auto"/>
        </w:rPr>
        <w:fldChar w:fldCharType="begin"/>
      </w:r>
      <w:r w:rsidRPr="00CA08B2">
        <w:rPr>
          <w:rFonts w:ascii="Times New Roman" w:hAnsi="Times New Roman" w:cs="Times New Roman"/>
          <w:color w:val="auto"/>
        </w:rPr>
        <w:instrText xml:space="preserve"> SEQ Table \* ARABIC </w:instrText>
      </w:r>
      <w:r w:rsidRPr="00CA08B2">
        <w:rPr>
          <w:rFonts w:ascii="Times New Roman" w:hAnsi="Times New Roman" w:cs="Times New Roman"/>
          <w:color w:val="auto"/>
        </w:rPr>
        <w:fldChar w:fldCharType="separate"/>
      </w:r>
      <w:r w:rsidRPr="00CA08B2">
        <w:rPr>
          <w:rFonts w:ascii="Times New Roman" w:hAnsi="Times New Roman" w:cs="Times New Roman"/>
          <w:noProof/>
          <w:color w:val="auto"/>
        </w:rPr>
        <w:t>1</w:t>
      </w:r>
      <w:r w:rsidRPr="00CA08B2">
        <w:rPr>
          <w:rFonts w:ascii="Times New Roman" w:hAnsi="Times New Roman" w:cs="Times New Roman"/>
          <w:color w:val="auto"/>
        </w:rPr>
        <w:fldChar w:fldCharType="end"/>
      </w:r>
      <w:r w:rsidRPr="00CA08B2">
        <w:rPr>
          <w:rFonts w:ascii="Times New Roman" w:hAnsi="Times New Roman" w:cs="Times New Roman"/>
          <w:color w:val="auto"/>
        </w:rPr>
        <w:t xml:space="preserve"> </w:t>
      </w:r>
      <w:r w:rsidR="002F4B42" w:rsidRPr="00CA08B2">
        <w:rPr>
          <w:rFonts w:ascii="Times New Roman" w:hAnsi="Times New Roman" w:cs="Times New Roman"/>
          <w:color w:val="auto"/>
        </w:rPr>
        <w:t>FMEA Analysis</w:t>
      </w:r>
      <w:bookmarkEnd w:id="2"/>
    </w:p>
    <w:tbl>
      <w:tblPr>
        <w:tblStyle w:val="TableGrid"/>
        <w:tblW w:w="10380" w:type="dxa"/>
        <w:tblLook w:val="04A0" w:firstRow="1" w:lastRow="0" w:firstColumn="1" w:lastColumn="0" w:noHBand="0" w:noVBand="1"/>
      </w:tblPr>
      <w:tblGrid>
        <w:gridCol w:w="2119"/>
        <w:gridCol w:w="2174"/>
        <w:gridCol w:w="1162"/>
        <w:gridCol w:w="1534"/>
        <w:gridCol w:w="1308"/>
        <w:gridCol w:w="2083"/>
      </w:tblGrid>
      <w:tr w:rsidR="00CA08B2" w:rsidRPr="00CA08B2" w14:paraId="2DB8475A" w14:textId="77777777" w:rsidTr="001644FC">
        <w:tc>
          <w:tcPr>
            <w:tcW w:w="0" w:type="auto"/>
            <w:hideMark/>
          </w:tcPr>
          <w:p w14:paraId="7C5A0D86" w14:textId="77777777" w:rsidR="00960712" w:rsidRPr="00960712" w:rsidRDefault="00960712" w:rsidP="00E9079A">
            <w:pPr>
              <w:spacing w:after="160"/>
              <w:jc w:val="both"/>
              <w:rPr>
                <w:rFonts w:ascii="Times New Roman" w:hAnsi="Times New Roman" w:cs="Times New Roman"/>
                <w:b/>
                <w:bCs/>
                <w:sz w:val="24"/>
                <w:szCs w:val="24"/>
              </w:rPr>
            </w:pPr>
            <w:r w:rsidRPr="00960712">
              <w:rPr>
                <w:rFonts w:ascii="Times New Roman" w:hAnsi="Times New Roman" w:cs="Times New Roman"/>
                <w:b/>
                <w:bCs/>
                <w:sz w:val="24"/>
                <w:szCs w:val="24"/>
              </w:rPr>
              <w:t>Failure Mode</w:t>
            </w:r>
          </w:p>
        </w:tc>
        <w:tc>
          <w:tcPr>
            <w:tcW w:w="0" w:type="auto"/>
            <w:hideMark/>
          </w:tcPr>
          <w:p w14:paraId="25C5CD49" w14:textId="77777777" w:rsidR="00960712" w:rsidRPr="00960712" w:rsidRDefault="00960712" w:rsidP="00E9079A">
            <w:pPr>
              <w:spacing w:after="160"/>
              <w:jc w:val="both"/>
              <w:rPr>
                <w:rFonts w:ascii="Times New Roman" w:hAnsi="Times New Roman" w:cs="Times New Roman"/>
                <w:b/>
                <w:bCs/>
                <w:sz w:val="24"/>
                <w:szCs w:val="24"/>
              </w:rPr>
            </w:pPr>
            <w:r w:rsidRPr="00960712">
              <w:rPr>
                <w:rFonts w:ascii="Times New Roman" w:hAnsi="Times New Roman" w:cs="Times New Roman"/>
                <w:b/>
                <w:bCs/>
                <w:sz w:val="24"/>
                <w:szCs w:val="24"/>
              </w:rPr>
              <w:t>Potential Effects</w:t>
            </w:r>
          </w:p>
        </w:tc>
        <w:tc>
          <w:tcPr>
            <w:tcW w:w="0" w:type="auto"/>
            <w:hideMark/>
          </w:tcPr>
          <w:p w14:paraId="306129E2" w14:textId="77777777" w:rsidR="00960712" w:rsidRPr="00960712" w:rsidRDefault="00960712" w:rsidP="00E9079A">
            <w:pPr>
              <w:spacing w:after="160"/>
              <w:jc w:val="both"/>
              <w:rPr>
                <w:rFonts w:ascii="Times New Roman" w:hAnsi="Times New Roman" w:cs="Times New Roman"/>
                <w:b/>
                <w:bCs/>
                <w:sz w:val="24"/>
                <w:szCs w:val="24"/>
              </w:rPr>
            </w:pPr>
            <w:r w:rsidRPr="00960712">
              <w:rPr>
                <w:rFonts w:ascii="Times New Roman" w:hAnsi="Times New Roman" w:cs="Times New Roman"/>
                <w:b/>
                <w:bCs/>
                <w:sz w:val="24"/>
                <w:szCs w:val="24"/>
              </w:rPr>
              <w:t>Severity (S)</w:t>
            </w:r>
          </w:p>
        </w:tc>
        <w:tc>
          <w:tcPr>
            <w:tcW w:w="0" w:type="auto"/>
            <w:hideMark/>
          </w:tcPr>
          <w:p w14:paraId="1A909E11" w14:textId="77777777" w:rsidR="00960712" w:rsidRPr="00960712" w:rsidRDefault="00960712" w:rsidP="00E9079A">
            <w:pPr>
              <w:spacing w:after="160"/>
              <w:jc w:val="both"/>
              <w:rPr>
                <w:rFonts w:ascii="Times New Roman" w:hAnsi="Times New Roman" w:cs="Times New Roman"/>
                <w:b/>
                <w:bCs/>
                <w:sz w:val="24"/>
                <w:szCs w:val="24"/>
              </w:rPr>
            </w:pPr>
            <w:r w:rsidRPr="00960712">
              <w:rPr>
                <w:rFonts w:ascii="Times New Roman" w:hAnsi="Times New Roman" w:cs="Times New Roman"/>
                <w:b/>
                <w:bCs/>
                <w:sz w:val="24"/>
                <w:szCs w:val="24"/>
              </w:rPr>
              <w:t>Occurrence (O)</w:t>
            </w:r>
          </w:p>
        </w:tc>
        <w:tc>
          <w:tcPr>
            <w:tcW w:w="0" w:type="auto"/>
            <w:hideMark/>
          </w:tcPr>
          <w:p w14:paraId="390CB949" w14:textId="77777777" w:rsidR="00960712" w:rsidRPr="00960712" w:rsidRDefault="00960712" w:rsidP="00E9079A">
            <w:pPr>
              <w:spacing w:after="160"/>
              <w:jc w:val="both"/>
              <w:rPr>
                <w:rFonts w:ascii="Times New Roman" w:hAnsi="Times New Roman" w:cs="Times New Roman"/>
                <w:b/>
                <w:bCs/>
                <w:sz w:val="24"/>
                <w:szCs w:val="24"/>
              </w:rPr>
            </w:pPr>
            <w:r w:rsidRPr="00960712">
              <w:rPr>
                <w:rFonts w:ascii="Times New Roman" w:hAnsi="Times New Roman" w:cs="Times New Roman"/>
                <w:b/>
                <w:bCs/>
                <w:sz w:val="24"/>
                <w:szCs w:val="24"/>
              </w:rPr>
              <w:t>Detection (D)</w:t>
            </w:r>
          </w:p>
        </w:tc>
        <w:tc>
          <w:tcPr>
            <w:tcW w:w="0" w:type="auto"/>
            <w:hideMark/>
          </w:tcPr>
          <w:p w14:paraId="382CE775" w14:textId="77777777" w:rsidR="00960712" w:rsidRPr="00960712" w:rsidRDefault="00960712" w:rsidP="00E9079A">
            <w:pPr>
              <w:spacing w:after="160"/>
              <w:jc w:val="both"/>
              <w:rPr>
                <w:rFonts w:ascii="Times New Roman" w:hAnsi="Times New Roman" w:cs="Times New Roman"/>
                <w:b/>
                <w:bCs/>
                <w:sz w:val="24"/>
                <w:szCs w:val="24"/>
              </w:rPr>
            </w:pPr>
            <w:r w:rsidRPr="00960712">
              <w:rPr>
                <w:rFonts w:ascii="Times New Roman" w:hAnsi="Times New Roman" w:cs="Times New Roman"/>
                <w:b/>
                <w:bCs/>
                <w:sz w:val="24"/>
                <w:szCs w:val="24"/>
              </w:rPr>
              <w:t>Risk Priority Number (RPN) = S × O × D</w:t>
            </w:r>
          </w:p>
        </w:tc>
      </w:tr>
      <w:tr w:rsidR="00CA08B2" w:rsidRPr="00CA08B2" w14:paraId="4906A3C7" w14:textId="77777777" w:rsidTr="001644FC">
        <w:tc>
          <w:tcPr>
            <w:tcW w:w="0" w:type="auto"/>
            <w:hideMark/>
          </w:tcPr>
          <w:p w14:paraId="119604FD" w14:textId="77777777" w:rsidR="00960712" w:rsidRPr="00960712" w:rsidRDefault="00960712" w:rsidP="00E9079A">
            <w:pPr>
              <w:spacing w:after="160"/>
              <w:jc w:val="both"/>
              <w:rPr>
                <w:rFonts w:ascii="Times New Roman" w:hAnsi="Times New Roman" w:cs="Times New Roman"/>
                <w:sz w:val="24"/>
                <w:szCs w:val="24"/>
              </w:rPr>
            </w:pPr>
            <w:r w:rsidRPr="00960712">
              <w:rPr>
                <w:rFonts w:ascii="Times New Roman" w:hAnsi="Times New Roman" w:cs="Times New Roman"/>
                <w:sz w:val="24"/>
                <w:szCs w:val="24"/>
              </w:rPr>
              <w:t>Supplier bankruptcy</w:t>
            </w:r>
          </w:p>
        </w:tc>
        <w:tc>
          <w:tcPr>
            <w:tcW w:w="0" w:type="auto"/>
            <w:hideMark/>
          </w:tcPr>
          <w:p w14:paraId="434A27B7"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Disruption in the supply of components</w:t>
            </w:r>
          </w:p>
        </w:tc>
        <w:tc>
          <w:tcPr>
            <w:tcW w:w="0" w:type="auto"/>
            <w:hideMark/>
          </w:tcPr>
          <w:p w14:paraId="0EE26E1A"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9</w:t>
            </w:r>
          </w:p>
        </w:tc>
        <w:tc>
          <w:tcPr>
            <w:tcW w:w="0" w:type="auto"/>
            <w:hideMark/>
          </w:tcPr>
          <w:p w14:paraId="1FA68E06"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6</w:t>
            </w:r>
          </w:p>
        </w:tc>
        <w:tc>
          <w:tcPr>
            <w:tcW w:w="0" w:type="auto"/>
            <w:hideMark/>
          </w:tcPr>
          <w:p w14:paraId="53A346F5"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7</w:t>
            </w:r>
          </w:p>
        </w:tc>
        <w:tc>
          <w:tcPr>
            <w:tcW w:w="0" w:type="auto"/>
            <w:hideMark/>
          </w:tcPr>
          <w:p w14:paraId="39E6097C"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378</w:t>
            </w:r>
          </w:p>
        </w:tc>
      </w:tr>
      <w:tr w:rsidR="00CA08B2" w:rsidRPr="00CA08B2" w14:paraId="2B55C1B6" w14:textId="77777777" w:rsidTr="001644FC">
        <w:tc>
          <w:tcPr>
            <w:tcW w:w="0" w:type="auto"/>
            <w:hideMark/>
          </w:tcPr>
          <w:p w14:paraId="1EC5D8F2"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Transportation delays</w:t>
            </w:r>
          </w:p>
        </w:tc>
        <w:tc>
          <w:tcPr>
            <w:tcW w:w="0" w:type="auto"/>
            <w:hideMark/>
          </w:tcPr>
          <w:p w14:paraId="2720729D"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Delayed delivery of finished products</w:t>
            </w:r>
          </w:p>
        </w:tc>
        <w:tc>
          <w:tcPr>
            <w:tcW w:w="0" w:type="auto"/>
            <w:hideMark/>
          </w:tcPr>
          <w:p w14:paraId="22D9BB71"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8</w:t>
            </w:r>
          </w:p>
        </w:tc>
        <w:tc>
          <w:tcPr>
            <w:tcW w:w="0" w:type="auto"/>
            <w:hideMark/>
          </w:tcPr>
          <w:p w14:paraId="15F89FB1"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7</w:t>
            </w:r>
          </w:p>
        </w:tc>
        <w:tc>
          <w:tcPr>
            <w:tcW w:w="0" w:type="auto"/>
            <w:hideMark/>
          </w:tcPr>
          <w:p w14:paraId="7E130145"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8</w:t>
            </w:r>
          </w:p>
        </w:tc>
        <w:tc>
          <w:tcPr>
            <w:tcW w:w="0" w:type="auto"/>
            <w:hideMark/>
          </w:tcPr>
          <w:p w14:paraId="3A24A835"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448</w:t>
            </w:r>
          </w:p>
        </w:tc>
      </w:tr>
      <w:tr w:rsidR="00CA08B2" w:rsidRPr="00CA08B2" w14:paraId="41EA304A" w14:textId="77777777" w:rsidTr="001644FC">
        <w:tc>
          <w:tcPr>
            <w:tcW w:w="0" w:type="auto"/>
            <w:hideMark/>
          </w:tcPr>
          <w:p w14:paraId="13F52F66"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Quality issues in manufacturing</w:t>
            </w:r>
          </w:p>
        </w:tc>
        <w:tc>
          <w:tcPr>
            <w:tcW w:w="0" w:type="auto"/>
            <w:hideMark/>
          </w:tcPr>
          <w:p w14:paraId="40280C16"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Increased rework and scrap</w:t>
            </w:r>
          </w:p>
        </w:tc>
        <w:tc>
          <w:tcPr>
            <w:tcW w:w="0" w:type="auto"/>
            <w:hideMark/>
          </w:tcPr>
          <w:p w14:paraId="5B646C07"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7</w:t>
            </w:r>
          </w:p>
        </w:tc>
        <w:tc>
          <w:tcPr>
            <w:tcW w:w="0" w:type="auto"/>
            <w:hideMark/>
          </w:tcPr>
          <w:p w14:paraId="36911FAF"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5</w:t>
            </w:r>
          </w:p>
        </w:tc>
        <w:tc>
          <w:tcPr>
            <w:tcW w:w="0" w:type="auto"/>
            <w:hideMark/>
          </w:tcPr>
          <w:p w14:paraId="78795FED"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9</w:t>
            </w:r>
          </w:p>
        </w:tc>
        <w:tc>
          <w:tcPr>
            <w:tcW w:w="0" w:type="auto"/>
            <w:hideMark/>
          </w:tcPr>
          <w:p w14:paraId="636201C1"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315</w:t>
            </w:r>
          </w:p>
        </w:tc>
      </w:tr>
      <w:tr w:rsidR="00CA08B2" w:rsidRPr="00CA08B2" w14:paraId="4872F3E1" w14:textId="77777777" w:rsidTr="001644FC">
        <w:tc>
          <w:tcPr>
            <w:tcW w:w="0" w:type="auto"/>
            <w:hideMark/>
          </w:tcPr>
          <w:p w14:paraId="504B654B"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Political instability</w:t>
            </w:r>
          </w:p>
        </w:tc>
        <w:tc>
          <w:tcPr>
            <w:tcW w:w="0" w:type="auto"/>
            <w:hideMark/>
          </w:tcPr>
          <w:p w14:paraId="7779C2FD"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Trade restrictions or tariffs</w:t>
            </w:r>
          </w:p>
        </w:tc>
        <w:tc>
          <w:tcPr>
            <w:tcW w:w="0" w:type="auto"/>
            <w:hideMark/>
          </w:tcPr>
          <w:p w14:paraId="153A4E76"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9</w:t>
            </w:r>
          </w:p>
        </w:tc>
        <w:tc>
          <w:tcPr>
            <w:tcW w:w="0" w:type="auto"/>
            <w:hideMark/>
          </w:tcPr>
          <w:p w14:paraId="78E0C3BB"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4</w:t>
            </w:r>
          </w:p>
        </w:tc>
        <w:tc>
          <w:tcPr>
            <w:tcW w:w="0" w:type="auto"/>
            <w:hideMark/>
          </w:tcPr>
          <w:p w14:paraId="61C1C5FB"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6</w:t>
            </w:r>
          </w:p>
        </w:tc>
        <w:tc>
          <w:tcPr>
            <w:tcW w:w="0" w:type="auto"/>
            <w:hideMark/>
          </w:tcPr>
          <w:p w14:paraId="61D5217F"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216</w:t>
            </w:r>
          </w:p>
        </w:tc>
      </w:tr>
      <w:tr w:rsidR="00CA08B2" w:rsidRPr="00CA08B2" w14:paraId="168D63AA" w14:textId="77777777" w:rsidTr="001644FC">
        <w:tc>
          <w:tcPr>
            <w:tcW w:w="0" w:type="auto"/>
            <w:hideMark/>
          </w:tcPr>
          <w:p w14:paraId="7D02EA68"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Natural disasters</w:t>
            </w:r>
          </w:p>
        </w:tc>
        <w:tc>
          <w:tcPr>
            <w:tcW w:w="0" w:type="auto"/>
            <w:hideMark/>
          </w:tcPr>
          <w:p w14:paraId="73E798A8"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Damage to production facilities</w:t>
            </w:r>
          </w:p>
        </w:tc>
        <w:tc>
          <w:tcPr>
            <w:tcW w:w="0" w:type="auto"/>
            <w:hideMark/>
          </w:tcPr>
          <w:p w14:paraId="16D84F0F"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10</w:t>
            </w:r>
          </w:p>
        </w:tc>
        <w:tc>
          <w:tcPr>
            <w:tcW w:w="0" w:type="auto"/>
            <w:hideMark/>
          </w:tcPr>
          <w:p w14:paraId="035DA6D4"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3</w:t>
            </w:r>
          </w:p>
        </w:tc>
        <w:tc>
          <w:tcPr>
            <w:tcW w:w="0" w:type="auto"/>
            <w:hideMark/>
          </w:tcPr>
          <w:p w14:paraId="3AD5C538"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8</w:t>
            </w:r>
          </w:p>
        </w:tc>
        <w:tc>
          <w:tcPr>
            <w:tcW w:w="0" w:type="auto"/>
            <w:hideMark/>
          </w:tcPr>
          <w:p w14:paraId="35FBC3A5"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240</w:t>
            </w:r>
          </w:p>
        </w:tc>
      </w:tr>
      <w:tr w:rsidR="00CA08B2" w:rsidRPr="00CA08B2" w14:paraId="68AF5BFC" w14:textId="77777777" w:rsidTr="001644FC">
        <w:tc>
          <w:tcPr>
            <w:tcW w:w="0" w:type="auto"/>
            <w:hideMark/>
          </w:tcPr>
          <w:p w14:paraId="4935389D"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Fluctuating demand</w:t>
            </w:r>
          </w:p>
        </w:tc>
        <w:tc>
          <w:tcPr>
            <w:tcW w:w="0" w:type="auto"/>
            <w:hideMark/>
          </w:tcPr>
          <w:p w14:paraId="19C9C04B"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Excess inventory or stockouts</w:t>
            </w:r>
          </w:p>
        </w:tc>
        <w:tc>
          <w:tcPr>
            <w:tcW w:w="0" w:type="auto"/>
            <w:hideMark/>
          </w:tcPr>
          <w:p w14:paraId="6BE2CE3E"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8</w:t>
            </w:r>
          </w:p>
        </w:tc>
        <w:tc>
          <w:tcPr>
            <w:tcW w:w="0" w:type="auto"/>
            <w:hideMark/>
          </w:tcPr>
          <w:p w14:paraId="770F07EC"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6</w:t>
            </w:r>
          </w:p>
        </w:tc>
        <w:tc>
          <w:tcPr>
            <w:tcW w:w="0" w:type="auto"/>
            <w:hideMark/>
          </w:tcPr>
          <w:p w14:paraId="16AFDC0D"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7</w:t>
            </w:r>
          </w:p>
        </w:tc>
        <w:tc>
          <w:tcPr>
            <w:tcW w:w="0" w:type="auto"/>
            <w:hideMark/>
          </w:tcPr>
          <w:p w14:paraId="7399A72D" w14:textId="77777777" w:rsidR="00960712" w:rsidRPr="00960712" w:rsidRDefault="00960712" w:rsidP="00E9079A">
            <w:pPr>
              <w:jc w:val="both"/>
              <w:rPr>
                <w:rFonts w:ascii="Times New Roman" w:hAnsi="Times New Roman" w:cs="Times New Roman"/>
                <w:sz w:val="24"/>
                <w:szCs w:val="24"/>
              </w:rPr>
            </w:pPr>
            <w:r w:rsidRPr="00960712">
              <w:rPr>
                <w:rFonts w:ascii="Times New Roman" w:hAnsi="Times New Roman" w:cs="Times New Roman"/>
                <w:sz w:val="24"/>
                <w:szCs w:val="24"/>
              </w:rPr>
              <w:t>336</w:t>
            </w:r>
          </w:p>
        </w:tc>
      </w:tr>
    </w:tbl>
    <w:p w14:paraId="50658455" w14:textId="77777777" w:rsidR="008B605A" w:rsidRPr="00CA08B2" w:rsidRDefault="008B605A" w:rsidP="00293140">
      <w:pPr>
        <w:spacing w:line="360" w:lineRule="auto"/>
        <w:jc w:val="both"/>
        <w:rPr>
          <w:rFonts w:ascii="Times New Roman" w:hAnsi="Times New Roman" w:cs="Times New Roman"/>
          <w:sz w:val="24"/>
          <w:szCs w:val="24"/>
        </w:rPr>
      </w:pPr>
    </w:p>
    <w:p w14:paraId="0E198477" w14:textId="148F184E" w:rsidR="00E7450D" w:rsidRPr="00CA08B2" w:rsidRDefault="00E7450D"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table illustrates a thorough review of the possible ways in which supply chains at an international level could fail, the causes, and their impact as well as the existing corresponding ratings which look at the frequency, detection, and importance of and the suggestions on how to avoid the impacts of a particular failure mode are presented. Different failure modes stand for exclusive risk scenarios engaging in the disruption to the supply demand network due to the halt of goods and services supply flow.</w:t>
      </w:r>
    </w:p>
    <w:p w14:paraId="62CC3356" w14:textId="77777777" w:rsidR="00E7450D" w:rsidRPr="00CA08B2" w:rsidRDefault="00E7450D"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values from 1 (no impact on supply chain operations and performance) to 10 (the most serious adverse impact) convey severity rating, which means that the higher the value is, the more negative effect the failure mode brings on supply chain operations and performance. In addition, a case of supplier bankruptcy rating 9 implies such an event is that it causes the supply of critical components to be disrupted, and further could result in production disruptions or stoppages.</w:t>
      </w:r>
    </w:p>
    <w:p w14:paraId="29F382F4" w14:textId="77777777" w:rsidR="00E7450D" w:rsidRPr="00CA08B2" w:rsidRDefault="00E7450D"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The importance score involves calculating the probability of every failure model taking place given that their causal factors are quite varied in nature and include data from the past, market trends, and external issues. Besides truck or rail delays, representing an occurrence frequency of 7, goods </w:t>
      </w:r>
      <w:r w:rsidRPr="00CA08B2">
        <w:rPr>
          <w:rFonts w:ascii="Times New Roman" w:hAnsi="Times New Roman" w:cs="Times New Roman"/>
          <w:sz w:val="24"/>
          <w:szCs w:val="24"/>
        </w:rPr>
        <w:lastRenderedPageBreak/>
        <w:t>shipments might also experience delays caused by factors related to overcrowd, road accidents and logistic difficulties.</w:t>
      </w:r>
    </w:p>
    <w:p w14:paraId="03F1B747" w14:textId="77777777" w:rsidR="00E7450D" w:rsidRPr="00CA08B2" w:rsidRDefault="00E7450D"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performance rating involves an analysis to see how useful the existing controls or measures are in handling failure modes when they are still in their earliest stages and how effective they are in containing these disturbances when they grow to be a threat. A higher rating among the detectors denotes a higher confidence level in a supply chain's ability to detect issues and include them into the system as soon as possible. To illustrate: correctness problems in making, which are shown 9, show the manufacturing line quality management system able to catch defects before they lead to products having quality or performance issues.</w:t>
      </w:r>
    </w:p>
    <w:p w14:paraId="0A8559DB" w14:textId="20E3ADF8" w:rsidR="003E776A" w:rsidRPr="003E776A" w:rsidRDefault="00E7450D"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RPN, which is calculated by multiplying severity, occurrence, and detection ratings gives numeric value to compare all risks along with each individual failure modes. An elevated RPN illustrates that higher level of danger and the urgency towards mitigations measures implementation is increased. As an example, transit delays would be assigned a relative probability number of 448 and this would then signify an urgent threat that should be remedied as a matter of urgency to avoid major disruptions in the smooth operation of the supply chain as well as </w:t>
      </w:r>
      <w:r w:rsidR="00A34845" w:rsidRPr="00CA08B2">
        <w:rPr>
          <w:rFonts w:ascii="Times New Roman" w:hAnsi="Times New Roman" w:cs="Times New Roman"/>
          <w:sz w:val="24"/>
          <w:szCs w:val="24"/>
        </w:rPr>
        <w:t>custom</w:t>
      </w:r>
      <w:r w:rsidRPr="00CA08B2">
        <w:rPr>
          <w:rFonts w:ascii="Times New Roman" w:hAnsi="Times New Roman" w:cs="Times New Roman"/>
          <w:sz w:val="24"/>
          <w:szCs w:val="24"/>
        </w:rPr>
        <w:t xml:space="preserve"> service levels</w:t>
      </w:r>
      <w:r w:rsidR="003E776A" w:rsidRPr="003E776A">
        <w:rPr>
          <w:rFonts w:ascii="Times New Roman" w:hAnsi="Times New Roman" w:cs="Times New Roman"/>
          <w:sz w:val="24"/>
          <w:szCs w:val="24"/>
        </w:rPr>
        <w:t>.</w:t>
      </w:r>
    </w:p>
    <w:p w14:paraId="4EEEBA5C" w14:textId="77777777" w:rsidR="008B605A" w:rsidRPr="00CA08B2" w:rsidRDefault="008B605A" w:rsidP="00293140">
      <w:pPr>
        <w:spacing w:line="360" w:lineRule="auto"/>
        <w:jc w:val="both"/>
        <w:rPr>
          <w:rFonts w:ascii="Times New Roman" w:hAnsi="Times New Roman" w:cs="Times New Roman"/>
          <w:sz w:val="24"/>
          <w:szCs w:val="24"/>
        </w:rPr>
      </w:pPr>
    </w:p>
    <w:p w14:paraId="2A68CF74" w14:textId="0236087F" w:rsidR="00960712" w:rsidRPr="00CA08B2" w:rsidRDefault="0058222F" w:rsidP="0058222F">
      <w:pPr>
        <w:pStyle w:val="Heading1"/>
        <w:rPr>
          <w:rFonts w:ascii="Times New Roman" w:hAnsi="Times New Roman" w:cs="Times New Roman"/>
          <w:b w:val="0"/>
          <w:color w:val="auto"/>
        </w:rPr>
      </w:pPr>
      <w:bookmarkStart w:id="3" w:name="_Toc163700019"/>
      <w:r w:rsidRPr="00CA08B2">
        <w:rPr>
          <w:rFonts w:ascii="Times New Roman" w:hAnsi="Times New Roman" w:cs="Times New Roman"/>
          <w:color w:val="auto"/>
        </w:rPr>
        <w:t xml:space="preserve">3.0 </w:t>
      </w:r>
      <w:r w:rsidR="00960712" w:rsidRPr="00CA08B2">
        <w:rPr>
          <w:rFonts w:ascii="Times New Roman" w:hAnsi="Times New Roman" w:cs="Times New Roman"/>
          <w:bCs/>
          <w:color w:val="auto"/>
        </w:rPr>
        <w:t>Steps to Enhance Supply Chain Resilience:</w:t>
      </w:r>
      <w:bookmarkEnd w:id="3"/>
    </w:p>
    <w:p w14:paraId="6078CB7F" w14:textId="1DE18232" w:rsidR="00DB6C17" w:rsidRPr="00CA08B2" w:rsidRDefault="00DB6C17"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Supply chain resilience improvement is very important nowadays in the globalized business world where companies encounter various types of risks like floods, volcanoes, geopolitical challenges, </w:t>
      </w:r>
      <w:proofErr w:type="spellStart"/>
      <w:r w:rsidRPr="00CA08B2">
        <w:rPr>
          <w:rFonts w:ascii="Times New Roman" w:hAnsi="Times New Roman" w:cs="Times New Roman"/>
          <w:sz w:val="24"/>
          <w:szCs w:val="24"/>
        </w:rPr>
        <w:t>etc</w:t>
      </w:r>
      <w:proofErr w:type="spellEnd"/>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&lt;EndNote&gt;&lt;Cite&gt;&lt;Author&gt;Spieske&lt;/Author&gt;&lt;Year&gt;2021&lt;/Year&gt;&lt;RecNum&gt;443&lt;/RecNum&gt;&lt;DisplayText&gt;(Spieske et al., 2021)&lt;/DisplayText&gt;&lt;record&gt;&lt;rec-number&gt;443&lt;/rec-number&gt;&lt;foreign-keys&gt;&lt;key app="EN" db-id="vp0t0fz5q9wvv2etf21x9vp5rv92ew2dstft" timestamp="1712831574"&gt;443&lt;/key&gt;&lt;/foreign-keys&gt;&lt;ref-type name="Journal Article"&gt;17&lt;/ref-type&gt;&lt;contributors&gt;&lt;authors&gt;&lt;author&gt;Spieske, Alexander&lt;/author&gt;&lt;author&gt;Birkel, Hendrik %J Computers&lt;/author&gt;&lt;author&gt;Industrial Engineering&lt;/author&gt;&lt;/authors&gt;&lt;/contributors&gt;&lt;titles&gt;&lt;title&gt;Improving supply chain resilience through industry 4.0: A systematic literature review under the impressions of the COVID-19 pandemic&lt;/title&gt;&lt;/titles&gt;&lt;pages&gt;107452&lt;/pages&gt;&lt;volume&gt;158&lt;/volume&gt;&lt;dates&gt;&lt;year&gt;2021&lt;/year&gt;&lt;/dates&gt;&lt;isbn&gt;0360-8352&lt;/isbn&gt;&lt;urls&gt;&lt;/urls&gt;&lt;/record&gt;&lt;/Cite&gt;&lt;/EndNote&gt;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(Spieske et al., 2021)</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Through 360° approaches, business organizations will avoid the manifestation of disturbances thereby optimize their performance</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&lt;EndNote&gt;&lt;Cite&gt;&lt;Author&gt;Jain&lt;/Author&gt;&lt;Year&gt;2017&lt;/Year&gt;&lt;RecNum&gt;444&lt;/RecNum&gt;&lt;DisplayText&gt;(Jain et al., 2017)&lt;/DisplayText&gt;&lt;record&gt;&lt;rec-number&gt;444&lt;/rec-number&gt;&lt;foreign-keys&gt;&lt;key app="EN" db-id="vp0t0fz5q9wvv2etf21x9vp5rv92ew2dstft" timestamp="1712831595"&gt;444&lt;/key&gt;&lt;/foreign-keys&gt;&lt;ref-type name="Journal Article"&gt;17&lt;/ref-type&gt;&lt;contributors&gt;&lt;authors&gt;&lt;author&gt;Jain, Vipul&lt;/author&gt;&lt;author&gt;Kumar, Sameer&lt;/author&gt;&lt;author&gt;Soni, Umang&lt;/author&gt;&lt;author&gt;Chandra, Charu %J International Journal of Production Research&lt;/author&gt;&lt;/authors&gt;&lt;/contributors&gt;&lt;titles&gt;&lt;title&gt;Supply chain resilience: model development and empirical analysis&lt;/title&gt;&lt;/titles&gt;&lt;pages&gt;6779-6800&lt;/pages&gt;&lt;volume&gt;55&lt;/volume&gt;&lt;number&gt;22&lt;/number&gt;&lt;dates&gt;&lt;year&gt;2017&lt;/year&gt;&lt;/dates&gt;&lt;isbn&gt;0020-7543&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(Jain et al., 2017)</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Now let us take a closer look at each step and see how it competes in developing a supply chain which is able to endure multiple shocks</w:t>
      </w:r>
      <w:r w:rsidRPr="00DF72B6">
        <w:rPr>
          <w:rFonts w:ascii="Times New Roman" w:hAnsi="Times New Roman" w:cs="Times New Roman"/>
          <w:sz w:val="24"/>
          <w:szCs w:val="24"/>
        </w:rPr>
        <w:t>.</w:t>
      </w:r>
    </w:p>
    <w:p w14:paraId="49900418" w14:textId="4FB96630" w:rsidR="00050527" w:rsidRPr="00CA08B2" w:rsidRDefault="00050527" w:rsidP="00293140">
      <w:pPr>
        <w:pStyle w:val="NormalWeb"/>
        <w:spacing w:line="360" w:lineRule="auto"/>
        <w:jc w:val="center"/>
      </w:pPr>
      <w:r w:rsidRPr="00CA08B2">
        <w:rPr>
          <w:noProof/>
        </w:rPr>
        <w:lastRenderedPageBreak/>
        <w:drawing>
          <wp:inline distT="0" distB="0" distL="0" distR="0" wp14:anchorId="05AC99AC" wp14:editId="7CDA5A9A">
            <wp:extent cx="4391286" cy="3771900"/>
            <wp:effectExtent l="0" t="0" r="9525" b="0"/>
            <wp:docPr id="1302476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3852" cy="3774104"/>
                    </a:xfrm>
                    <a:prstGeom prst="rect">
                      <a:avLst/>
                    </a:prstGeom>
                    <a:noFill/>
                    <a:ln>
                      <a:noFill/>
                    </a:ln>
                  </pic:spPr>
                </pic:pic>
              </a:graphicData>
            </a:graphic>
          </wp:inline>
        </w:drawing>
      </w:r>
    </w:p>
    <w:p w14:paraId="24879070" w14:textId="30DFE233" w:rsidR="002F4B42" w:rsidRPr="00CA08B2" w:rsidRDefault="002F4B42" w:rsidP="002F4B42">
      <w:pPr>
        <w:pStyle w:val="Caption"/>
        <w:jc w:val="center"/>
        <w:rPr>
          <w:rFonts w:ascii="Times New Roman" w:hAnsi="Times New Roman" w:cs="Times New Roman"/>
          <w:color w:val="auto"/>
        </w:rPr>
      </w:pPr>
      <w:bookmarkStart w:id="4" w:name="_Toc163700099"/>
      <w:r w:rsidRPr="00CA08B2">
        <w:rPr>
          <w:rFonts w:ascii="Times New Roman" w:hAnsi="Times New Roman" w:cs="Times New Roman"/>
          <w:color w:val="auto"/>
        </w:rPr>
        <w:t xml:space="preserve">Figure </w:t>
      </w:r>
      <w:r w:rsidRPr="00CA08B2">
        <w:rPr>
          <w:rFonts w:ascii="Times New Roman" w:hAnsi="Times New Roman" w:cs="Times New Roman"/>
          <w:color w:val="auto"/>
        </w:rPr>
        <w:fldChar w:fldCharType="begin"/>
      </w:r>
      <w:r w:rsidRPr="00CA08B2">
        <w:rPr>
          <w:rFonts w:ascii="Times New Roman" w:hAnsi="Times New Roman" w:cs="Times New Roman"/>
          <w:color w:val="auto"/>
        </w:rPr>
        <w:instrText xml:space="preserve"> SEQ Figure \* ARABIC </w:instrText>
      </w:r>
      <w:r w:rsidRPr="00CA08B2">
        <w:rPr>
          <w:rFonts w:ascii="Times New Roman" w:hAnsi="Times New Roman" w:cs="Times New Roman"/>
          <w:color w:val="auto"/>
        </w:rPr>
        <w:fldChar w:fldCharType="separate"/>
      </w:r>
      <w:r w:rsidRPr="00CA08B2">
        <w:rPr>
          <w:rFonts w:ascii="Times New Roman" w:hAnsi="Times New Roman" w:cs="Times New Roman"/>
          <w:noProof/>
          <w:color w:val="auto"/>
        </w:rPr>
        <w:t>1</w:t>
      </w:r>
      <w:r w:rsidRPr="00CA08B2">
        <w:rPr>
          <w:rFonts w:ascii="Times New Roman" w:hAnsi="Times New Roman" w:cs="Times New Roman"/>
          <w:color w:val="auto"/>
        </w:rPr>
        <w:fldChar w:fldCharType="end"/>
      </w:r>
      <w:r w:rsidRPr="00CA08B2">
        <w:rPr>
          <w:rFonts w:ascii="Times New Roman" w:hAnsi="Times New Roman" w:cs="Times New Roman"/>
          <w:color w:val="auto"/>
        </w:rPr>
        <w:t xml:space="preserve"> </w:t>
      </w:r>
      <w:r w:rsidRPr="00CA08B2">
        <w:rPr>
          <w:rFonts w:ascii="Times New Roman" w:hAnsi="Times New Roman" w:cs="Times New Roman"/>
          <w:bCs/>
          <w:color w:val="auto"/>
        </w:rPr>
        <w:t>Supply Chain Resilience</w:t>
      </w:r>
      <w:bookmarkEnd w:id="4"/>
    </w:p>
    <w:p w14:paraId="7248D4E2" w14:textId="77777777" w:rsidR="00050527" w:rsidRPr="00960712" w:rsidRDefault="00050527" w:rsidP="00293140">
      <w:pPr>
        <w:spacing w:line="360" w:lineRule="auto"/>
        <w:jc w:val="both"/>
        <w:rPr>
          <w:rFonts w:ascii="Times New Roman" w:hAnsi="Times New Roman" w:cs="Times New Roman"/>
          <w:sz w:val="24"/>
          <w:szCs w:val="24"/>
        </w:rPr>
      </w:pPr>
    </w:p>
    <w:p w14:paraId="0EA70779" w14:textId="003D58DC" w:rsidR="00DF72B6" w:rsidRPr="00CA08B2" w:rsidRDefault="007A7198" w:rsidP="007A7198">
      <w:pPr>
        <w:pStyle w:val="Heading2"/>
        <w:rPr>
          <w:rFonts w:ascii="Times New Roman" w:hAnsi="Times New Roman" w:cs="Times New Roman"/>
          <w:color w:val="auto"/>
        </w:rPr>
      </w:pPr>
      <w:bookmarkStart w:id="5" w:name="_Toc163700020"/>
      <w:r w:rsidRPr="00CA08B2">
        <w:rPr>
          <w:rFonts w:ascii="Times New Roman" w:hAnsi="Times New Roman" w:cs="Times New Roman"/>
          <w:color w:val="auto"/>
        </w:rPr>
        <w:t xml:space="preserve">3.1 </w:t>
      </w:r>
      <w:r w:rsidR="00DF72B6" w:rsidRPr="00CA08B2">
        <w:rPr>
          <w:rFonts w:ascii="Times New Roman" w:hAnsi="Times New Roman" w:cs="Times New Roman"/>
          <w:color w:val="auto"/>
        </w:rPr>
        <w:t>Diversification of Suppliers:</w:t>
      </w:r>
      <w:bookmarkEnd w:id="5"/>
    </w:p>
    <w:p w14:paraId="53E8459C" w14:textId="492B4408" w:rsidR="00D21886" w:rsidRPr="00CA08B2" w:rsidRDefault="00D21886"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strategy is considered to be diversifying suppliers as the key element of lethargy reduction to any single source and the corresponding risk of supply non-conformity. But by dealing with multiples vendors spread across various geographical locations, businesses can cover the various fallout risks</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&lt;EndNote&gt;&lt;Cite&gt;&lt;Author&gt;Chod&lt;/Author&gt;&lt;Year&gt;2019&lt;/Year&gt;&lt;RecNum&gt;445&lt;/RecNum&gt;&lt;DisplayText&gt;(Chod et al., 2019)&lt;/DisplayText&gt;&lt;record&gt;&lt;rec-number&gt;445&lt;/rec-number&gt;&lt;foreign-keys&gt;&lt;key app="EN" db-id="vp0t0fz5q9wvv2etf21x9vp5rv92ew2dstft" timestamp="1712831831"&gt;445&lt;/key&gt;&lt;/foreign-keys&gt;&lt;ref-type name="Journal Article"&gt;17&lt;/ref-type&gt;&lt;contributors&gt;&lt;authors&gt;&lt;author&gt;Chod, Jiri&lt;/author&gt;&lt;author&gt;Trichakis, Nikolaos&lt;/author&gt;&lt;author&gt;Tsoukalas, Gerry %J Management Science&lt;/author&gt;&lt;/authors&gt;&lt;/contributors&gt;&lt;titles&gt;&lt;title&gt;Supplier diversification under buyer risk&lt;/title&gt;&lt;/titles&gt;&lt;pages&gt;3150-3173&lt;/pages&gt;&lt;volume&gt;65&lt;/volume&gt;&lt;number&gt;7&lt;/number&gt;&lt;dates&gt;&lt;year&gt;2019&lt;/year&gt;&lt;/dates&gt;&lt;isbn&gt;0025-1909&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(Chod et al., 2019)</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For example, a mobile manufacture designs and procure components from factories in Asia, Europe and north America. This strategy not only decreases the effect of regional disturbances like natural disasters or political flux virtually but also opens up more recruitment channels and the chance to see new knowledge and innovation.</w:t>
      </w:r>
    </w:p>
    <w:p w14:paraId="12471F1F" w14:textId="7F96FCE6" w:rsidR="00DF72B6" w:rsidRPr="00DF72B6" w:rsidRDefault="00D21886"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Hence, diversification helps companies build on a supplier’s competitive edge pertaining to wide profit margin, stable quality, and fast lead times amidst</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&lt;EndNote&gt;&lt;Cite&gt;&lt;Author&gt;He&lt;/Author&gt;&lt;Year&gt;2017&lt;/Year&gt;&lt;RecNum&gt;446&lt;/RecNum&gt;&lt;DisplayText&gt;(He et al., 2017)&lt;/DisplayText&gt;&lt;record&gt;&lt;rec-number&gt;446&lt;/rec-number&gt;&lt;foreign-keys&gt;&lt;key app="EN" db-id="vp0t0fz5q9wvv2etf21x9vp5rv92ew2dstft" timestamp="1712831849"&gt;446&lt;/key&gt;&lt;/foreign-keys&gt;&lt;ref-type name="Journal Article"&gt;17&lt;/ref-type&gt;&lt;contributors&gt;&lt;authors&gt;&lt;author&gt;He, Juan&lt;/author&gt;&lt;author&gt;Ma, Chao&lt;/author&gt;&lt;author&gt;Pan, Kai %J Transportation Research Part E: Logistics&lt;/author&gt;&lt;author&gt;Transportation Review&lt;/author&gt;&lt;/authors&gt;&lt;/contributors&gt;&lt;titles&gt;&lt;title&gt;Capacity investment in supply chain with risk averse supplier under risk diversification contract&lt;/title&gt;&lt;/titles&gt;&lt;pages&gt;255-275&lt;/pages&gt;&lt;volume&gt;106&lt;/volume&gt;&lt;dates&gt;&lt;year&gt;2017&lt;/year&gt;&lt;/dates&gt;&lt;isbn&gt;1366-5545&lt;/isbn&gt;&lt;urls&gt;&lt;/urls&gt;&lt;/record&gt;&lt;/Cite&gt;&lt;/EndNote&gt;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(He et al., 2017)</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Yet, it should be noted that thorough assessment and maintaining the delivery of quality and reliability standards which the suppliers must meet is of paramount importance</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&lt;EndNote&gt;&lt;Cite&gt;&lt;Author&gt;Li&lt;/Author&gt;&lt;Year&gt;2022&lt;/Year&gt;&lt;RecNum&gt;447&lt;/RecNum&gt;&lt;DisplayText&gt;(Li et al., 2022)&lt;/DisplayText&gt;&lt;record&gt;&lt;rec-number&gt;447&lt;/rec-number&gt;&lt;foreign-keys&gt;&lt;key app="EN" db-id="vp0t0fz5q9wvv2etf21x9vp5rv92ew2dstft" timestamp="1712831884"&gt;447&lt;/key&gt;&lt;/foreign-keys&gt;&lt;ref-type name="Journal Article"&gt;17&lt;/ref-type&gt;&lt;contributors&gt;&lt;authors&gt;&lt;author&gt;Li, Guo&lt;/author&gt;&lt;author&gt;Liu, Mengqi&lt;/author&gt;&lt;author&gt;Zheng, Hong %J Omega&lt;/author&gt;&lt;/authors&gt;&lt;/contributors&gt;&lt;titles&gt;&lt;title&gt;Subsidization or diversification? Mitigating supply disruption with manufacturer information sharing&lt;/title&gt;&lt;/titles&gt;&lt;pages&gt;102670&lt;/pages&gt;&lt;volume&gt;112&lt;/volume&gt;&lt;dates&gt;&lt;year&gt;2022&lt;/year&gt;&lt;/dates&gt;&lt;isbn&gt;0305-0483&lt;/isbn&gt;&lt;urls&gt;&lt;/urls&gt;&lt;/record&gt;&lt;/Cite&gt;&lt;/EndNote&gt;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(Li et al., 2022)</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xml:space="preserve">. Accounting for an exact audit and assessment on a regular basis will be helpful, in spotting out any developing risks or </w:t>
      </w:r>
      <w:r w:rsidRPr="00CA08B2">
        <w:rPr>
          <w:rFonts w:ascii="Times New Roman" w:hAnsi="Times New Roman" w:cs="Times New Roman"/>
          <w:sz w:val="24"/>
          <w:szCs w:val="24"/>
        </w:rPr>
        <w:lastRenderedPageBreak/>
        <w:t>weaknesses in the enterprise, therefore; proactive management of supplier relationships will become possible</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&lt;EndNote&gt;&lt;Cite&gt;&lt;Author&gt;Sadik-Zada&lt;/Author&gt;&lt;Year&gt;2021&lt;/Year&gt;&lt;RecNum&gt;448&lt;/RecNum&gt;&lt;DisplayText&gt;(Sadik-Zada et al., 2021)&lt;/DisplayText&gt;&lt;record&gt;&lt;rec-number&gt;448&lt;/rec-number&gt;&lt;foreign-keys&gt;&lt;key app="EN" db-id="vp0t0fz5q9wvv2etf21x9vp5rv92ew2dstft" timestamp="1712831920"&gt;448&lt;/key&gt;&lt;/foreign-keys&gt;&lt;ref-type name="Journal Article"&gt;17&lt;/ref-type&gt;&lt;contributors&gt;&lt;authors&gt;&lt;author&gt;Sadik-Zada, Elkhan Richard&lt;/author&gt;&lt;author&gt;Gatto, Andrea %J From Economic to Energy Transition: Three Decades of Transitions in Central&lt;/author&gt;&lt;author&gt;Eastern Europe&lt;/author&gt;&lt;/authors&gt;&lt;/contributors&gt;&lt;titles&gt;&lt;title&gt;Energy security pathways in South East Europe: Diversification of the natural gas supplies, energy transition, and energy futures&lt;/title&gt;&lt;/titles&gt;&lt;pages&gt;491-514&lt;/pages&gt;&lt;dates&gt;&lt;year&gt;2021&lt;/year&gt;&lt;/dates&gt;&lt;isbn&gt;3030550842&lt;/isbn&gt;&lt;urls&gt;&lt;/urls&gt;&lt;/record&gt;&lt;/Cite&gt;&lt;/EndNote&gt;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(Sadik-Zada et al., 2021)</w:t>
      </w:r>
      <w:r w:rsidR="00DA5FE4" w:rsidRPr="00CA08B2">
        <w:rPr>
          <w:rFonts w:ascii="Times New Roman" w:hAnsi="Times New Roman" w:cs="Times New Roman"/>
          <w:sz w:val="24"/>
          <w:szCs w:val="24"/>
        </w:rPr>
        <w:fldChar w:fldCharType="end"/>
      </w:r>
      <w:r w:rsidR="00DF72B6" w:rsidRPr="00DF72B6">
        <w:rPr>
          <w:rFonts w:ascii="Times New Roman" w:hAnsi="Times New Roman" w:cs="Times New Roman"/>
          <w:sz w:val="24"/>
          <w:szCs w:val="24"/>
        </w:rPr>
        <w:t>.</w:t>
      </w:r>
    </w:p>
    <w:p w14:paraId="4D81A46E" w14:textId="6C126C01" w:rsidR="00DF72B6" w:rsidRPr="00CA08B2" w:rsidRDefault="00370FA8" w:rsidP="00370FA8">
      <w:pPr>
        <w:pStyle w:val="Heading2"/>
        <w:rPr>
          <w:rFonts w:ascii="Times New Roman" w:hAnsi="Times New Roman" w:cs="Times New Roman"/>
          <w:color w:val="auto"/>
        </w:rPr>
      </w:pPr>
      <w:bookmarkStart w:id="6" w:name="_Toc163700021"/>
      <w:r w:rsidRPr="00CA08B2">
        <w:rPr>
          <w:rFonts w:ascii="Times New Roman" w:hAnsi="Times New Roman" w:cs="Times New Roman"/>
          <w:color w:val="auto"/>
        </w:rPr>
        <w:t xml:space="preserve">3.2 </w:t>
      </w:r>
      <w:r w:rsidR="00DF72B6" w:rsidRPr="00CA08B2">
        <w:rPr>
          <w:rFonts w:ascii="Times New Roman" w:hAnsi="Times New Roman" w:cs="Times New Roman"/>
          <w:color w:val="auto"/>
        </w:rPr>
        <w:t>Robust Risk Management Systems:</w:t>
      </w:r>
      <w:bookmarkEnd w:id="6"/>
    </w:p>
    <w:p w14:paraId="5D5C71AE" w14:textId="32F31401" w:rsidR="008648CE" w:rsidRPr="00CA08B2" w:rsidRDefault="008648CE"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deployment of risk management systems that are highly advanced to identify, analyze, and prevent risks on time is an imperative need</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&lt;EndNote&gt;&lt;Cite&gt;&lt;Author&gt;El Baz&lt;/Author&gt;&lt;Year&gt;2021&lt;/Year&gt;&lt;RecNum&gt;449&lt;/RecNum&gt;&lt;DisplayText&gt;(El Baz and Ruel, 2021)&lt;/DisplayText&gt;&lt;record&gt;&lt;rec-number&gt;449&lt;/rec-number&gt;&lt;foreign-keys&gt;&lt;key app="EN" db-id="vp0t0fz5q9wvv2etf21x9vp5rv92ew2dstft" timestamp="1712831962"&gt;449&lt;/key&gt;&lt;/foreign-keys&gt;&lt;ref-type name="Journal Article"&gt;17&lt;/ref-type&gt;&lt;contributors&gt;&lt;authors&gt;&lt;author&gt;El Baz, Jamal&lt;/author&gt;&lt;author&gt;Ruel, Salomée %J International journal of production economics&lt;/author&gt;&lt;/authors&gt;&lt;/contributors&gt;&lt;titles&gt;&lt;title&gt;Can supply chain risk management practices mitigate the disruption impacts on supply chains’ resilience and robustness? Evidence from an empirical survey in a COVID-19 outbreak era&lt;/title&gt;&lt;/titles&gt;&lt;pages&gt;107972&lt;/pages&gt;&lt;volume&gt;233&lt;/volume&gt;&lt;dates&gt;&lt;year&gt;2021&lt;/year&gt;&lt;/dates&gt;&lt;isbn&gt;0925-5273&lt;/isbn&gt;&lt;urls&gt;&lt;/urls&gt;&lt;/record&gt;&lt;/Cite&gt;&lt;/EndNote&gt;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(El Baz and Ruel, 2021)</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Through applying predictive analytics and AI technologies, the industry may get much information of the underlying emerging risks and trends which facilitate early intervention and prevention of the situation. As an example, such studying as market trends and geopolitical tensions is the forerunner to warning of disturbances and adopting supply chain strategies accordingly</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&lt;EndNote&gt;&lt;Cite&gt;&lt;Author&gt;Pettit&lt;/Author&gt;&lt;Year&gt;2019&lt;/Year&gt;&lt;RecNum&gt;450&lt;/RecNum&gt;&lt;DisplayText&gt;(Pettit et al., 2019)&lt;/DisplayText&gt;&lt;record&gt;&lt;rec-number&gt;450&lt;/rec-number&gt;&lt;foreign-keys&gt;&lt;key app="EN" db-id="vp0t0fz5q9wvv2etf21x9vp5rv92ew2dstft" timestamp="1712832009"&gt;450&lt;/key&gt;&lt;/foreign-keys&gt;&lt;ref-type name="Journal Article"&gt;17&lt;/ref-type&gt;&lt;contributors&gt;&lt;authors&gt;&lt;author&gt;Pettit, Timothy J&lt;/author&gt;&lt;author&gt;Croxton, Keely L&lt;/author&gt;&lt;author&gt;Fiksel, Joseph %J Journal of business logistics&lt;/author&gt;&lt;/authors&gt;&lt;/contributors&gt;&lt;titles&gt;&lt;title&gt;The evolution of resilience in supply chain management: a retrospective on ensuring supply chain resilience&lt;/title&gt;&lt;/titles&gt;&lt;pages&gt;56-65&lt;/pages&gt;&lt;volume&gt;40&lt;/volume&gt;&lt;number&gt;1&lt;/number&gt;&lt;dates&gt;&lt;year&gt;2019&lt;/year&gt;&lt;/dates&gt;&lt;isbn&gt;0735-3766&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(Pettit et al., 2019)</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w:t>
      </w:r>
    </w:p>
    <w:p w14:paraId="3B7D5896" w14:textId="7A68C2A4" w:rsidR="00DF72B6" w:rsidRPr="00DF72B6" w:rsidRDefault="008648CE"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Further more risk management system helps the firms to prioritize risks according to their category and probability for happening, this helps them to allocate the resources in the proper way. For </w:t>
      </w:r>
      <w:r w:rsidR="00DA5FE4" w:rsidRPr="00CA08B2">
        <w:rPr>
          <w:rFonts w:ascii="Times New Roman" w:hAnsi="Times New Roman" w:cs="Times New Roman"/>
          <w:sz w:val="24"/>
          <w:szCs w:val="24"/>
        </w:rPr>
        <w:t>example</w:t>
      </w:r>
      <w:r w:rsidRPr="00CA08B2">
        <w:rPr>
          <w:rFonts w:ascii="Times New Roman" w:hAnsi="Times New Roman" w:cs="Times New Roman"/>
          <w:sz w:val="24"/>
          <w:szCs w:val="24"/>
        </w:rPr>
        <w:t>, a semiconductor maker can be zeroed on the risk of supply delay or decreased production rate followed by the geopolitical problems in the critical regions</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&lt;EndNote&gt;&lt;Cite&gt;&lt;Author&gt;Min&lt;/Author&gt;&lt;Year&gt;2019&lt;/Year&gt;&lt;RecNum&gt;451&lt;/RecNum&gt;&lt;DisplayText&gt;(Min, 2019)&lt;/DisplayText&gt;&lt;record&gt;&lt;rec-number&gt;451&lt;/rec-number&gt;&lt;foreign-keys&gt;&lt;key app="EN" db-id="vp0t0fz5q9wvv2etf21x9vp5rv92ew2dstft" timestamp="1712832045"&gt;451&lt;/key&gt;&lt;/foreign-keys&gt;&lt;ref-type name="Journal Article"&gt;17&lt;/ref-type&gt;&lt;contributors&gt;&lt;authors&gt;&lt;author&gt;Min, Hokey %J Business Horizons&lt;/author&gt;&lt;/authors&gt;&lt;/contributors&gt;&lt;titles&gt;&lt;title&gt;Blockchain technology for enhancing supply chain resilience&lt;/title&gt;&lt;/titles&gt;&lt;pages&gt;35-45&lt;/pages&gt;&lt;volume&gt;62&lt;/volume&gt;&lt;number&gt;1&lt;/number&gt;&lt;dates&gt;&lt;year&gt;2019&lt;/year&gt;&lt;/dates&gt;&lt;isbn&gt;0007-6813&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(Min, 2019)</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Businesses can strengthen their risk management capabilities significantly, by coming up with contingency plans and response strategies for each identified risk. The companies will be in a better position to minimize losses and maintain continuity of operations</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&lt;EndNote&gt;&lt;Cite&gt;&lt;Author&gt;Shen&lt;/Author&gt;&lt;Year&gt;2023&lt;/Year&gt;&lt;RecNum&gt;452&lt;/RecNum&gt;&lt;DisplayText&gt;(Shen and Sun, 2023)&lt;/DisplayText&gt;&lt;record&gt;&lt;rec-number&gt;452&lt;/rec-number&gt;&lt;foreign-keys&gt;&lt;key app="EN" db-id="vp0t0fz5q9wvv2etf21x9vp5rv92ew2dstft" timestamp="1712832060"&gt;452&lt;/key&gt;&lt;/foreign-keys&gt;&lt;ref-type name="Journal Article"&gt;17&lt;/ref-type&gt;&lt;contributors&gt;&lt;authors&gt;&lt;author&gt;Shen, Zuojun Max&lt;/author&gt;&lt;author&gt;Sun, Yiqi %J Journal of Operations Management&lt;/author&gt;&lt;/authors&gt;&lt;/contributors&gt;&lt;titles&gt;&lt;title&gt;Strengthening supply chain resilience during COVID‐19: A case study of JD. com&lt;/title&gt;&lt;/titles&gt;&lt;pages&gt;359-383&lt;/pages&gt;&lt;volume&gt;69&lt;/volume&gt;&lt;number&gt;3&lt;/number&gt;&lt;dates&gt;&lt;year&gt;2023&lt;/year&gt;&lt;/dates&gt;&lt;isbn&gt;0272-6963&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(Shen and Sun, 2023)</w:t>
      </w:r>
      <w:r w:rsidR="00DA5FE4" w:rsidRPr="00CA08B2">
        <w:rPr>
          <w:rFonts w:ascii="Times New Roman" w:hAnsi="Times New Roman" w:cs="Times New Roman"/>
          <w:sz w:val="24"/>
          <w:szCs w:val="24"/>
        </w:rPr>
        <w:fldChar w:fldCharType="end"/>
      </w:r>
      <w:r w:rsidR="00DF72B6" w:rsidRPr="00DF72B6">
        <w:rPr>
          <w:rFonts w:ascii="Times New Roman" w:hAnsi="Times New Roman" w:cs="Times New Roman"/>
          <w:sz w:val="24"/>
          <w:szCs w:val="24"/>
        </w:rPr>
        <w:t>.</w:t>
      </w:r>
    </w:p>
    <w:p w14:paraId="52BC45D0" w14:textId="45DF89A3" w:rsidR="00DF72B6" w:rsidRPr="00CA08B2" w:rsidRDefault="00370FA8" w:rsidP="00370FA8">
      <w:pPr>
        <w:pStyle w:val="Heading2"/>
        <w:rPr>
          <w:rFonts w:ascii="Times New Roman" w:hAnsi="Times New Roman" w:cs="Times New Roman"/>
          <w:color w:val="auto"/>
        </w:rPr>
      </w:pPr>
      <w:bookmarkStart w:id="7" w:name="_Toc163700022"/>
      <w:r w:rsidRPr="00CA08B2">
        <w:rPr>
          <w:rFonts w:ascii="Times New Roman" w:hAnsi="Times New Roman" w:cs="Times New Roman"/>
          <w:color w:val="auto"/>
        </w:rPr>
        <w:t xml:space="preserve">3.3 </w:t>
      </w:r>
      <w:r w:rsidR="00DF72B6" w:rsidRPr="00CA08B2">
        <w:rPr>
          <w:rFonts w:ascii="Times New Roman" w:hAnsi="Times New Roman" w:cs="Times New Roman"/>
          <w:color w:val="auto"/>
        </w:rPr>
        <w:t>Collaboration and Information Sharing:</w:t>
      </w:r>
      <w:bookmarkEnd w:id="7"/>
    </w:p>
    <w:p w14:paraId="75216E27" w14:textId="6A260434" w:rsidR="00E6394B" w:rsidRPr="00CA08B2" w:rsidRDefault="00E6394B"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Enhancing connection and information sharing among supply chain partners is important in order to ensure transparency, coordination, and the ability to respond to changes. Technologies like blockchain can achieve the construction of a distributed ledger of all the transactions that would be identifiable and trackable across the supply chain</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&lt;EndNote&gt;&lt;Cite&gt;&lt;Author&gt;Yang&lt;/Author&gt;&lt;Year&gt;2022&lt;/Year&gt;&lt;RecNum&gt;453&lt;/RecNum&gt;&lt;DisplayText&gt;(Yang et al., 2022)&lt;/DisplayText&gt;&lt;record&gt;&lt;rec-number&gt;453&lt;/rec-number&gt;&lt;foreign-keys&gt;&lt;key app="EN" db-id="vp0t0fz5q9wvv2etf21x9vp5rv92ew2dstft" timestamp="1712832086"&gt;453&lt;/key&gt;&lt;/foreign-keys&gt;&lt;ref-type name="Journal Article"&gt;17&lt;/ref-type&gt;&lt;contributors&gt;&lt;authors&gt;&lt;author&gt;Yang, Longqi&lt;/author&gt;&lt;author&gt;Holtz, David&lt;/author&gt;&lt;author&gt;Jaffe, Sonia&lt;/author&gt;&lt;author&gt;Suri, Siddharth&lt;/author&gt;&lt;author&gt;Sinha, Shilpi&lt;/author&gt;&lt;author&gt;Weston, Jeffrey&lt;/author&gt;&lt;author&gt;Joyce, Connor&lt;/author&gt;&lt;author&gt;Shah, Neha&lt;/author&gt;&lt;author&gt;Sherman, Kevin&lt;/author&gt;&lt;author&gt;Hecht, Brent %J Nature human behaviour&lt;/author&gt;&lt;/authors&gt;&lt;/contributors&gt;&lt;titles&gt;&lt;title&gt;The effects of remote work on collaboration among information workers&lt;/title&gt;&lt;/titles&gt;&lt;pages&gt;43-54&lt;/pages&gt;&lt;volume&gt;6&lt;/volume&gt;&lt;number&gt;1&lt;/number&gt;&lt;dates&gt;&lt;year&gt;2022&lt;/year&gt;&lt;/dates&gt;&lt;isbn&gt;2397-3374&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(Yang et al., 2022)</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 Let’s say a pharmaceutical company implements blockchain in their operations so that they could track the movement of the raw materials also manufacturing processes and later distribution, these will go a long way in improving transparency and regulatory compliance</w:t>
      </w:r>
      <w:r w:rsidR="00DA5FE4" w:rsidRPr="00CA08B2">
        <w:rPr>
          <w:rFonts w:ascii="Times New Roman" w:hAnsi="Times New Roman" w:cs="Times New Roman"/>
          <w:sz w:val="24"/>
          <w:szCs w:val="24"/>
        </w:rPr>
        <w:fldChar w:fldCharType="begin"/>
      </w:r>
      <w:r w:rsidR="00DA5FE4" w:rsidRPr="00CA08B2">
        <w:rPr>
          <w:rFonts w:ascii="Times New Roman" w:hAnsi="Times New Roman" w:cs="Times New Roman"/>
          <w:sz w:val="24"/>
          <w:szCs w:val="24"/>
        </w:rPr>
        <w:instrText xml:space="preserve"> ADDIN EN.CITE &lt;EndNote&gt;&lt;Cite&gt;&lt;Author&gt;Shen&lt;/Author&gt;&lt;Year&gt;2023&lt;/Year&gt;&lt;RecNum&gt;454&lt;/RecNum&gt;&lt;DisplayText&gt;(Shen and Sun, 2023)&lt;/DisplayText&gt;&lt;record&gt;&lt;rec-number&gt;454&lt;/rec-number&gt;&lt;foreign-keys&gt;&lt;key app="EN" db-id="vp0t0fz5q9wvv2etf21x9vp5rv92ew2dstft" timestamp="1712832109"&gt;454&lt;/key&gt;&lt;/foreign-keys&gt;&lt;ref-type name="Journal Article"&gt;17&lt;/ref-type&gt;&lt;contributors&gt;&lt;authors&gt;&lt;author&gt;Shen, Zuojun Max&lt;/author&gt;&lt;author&gt;Sun, Yiqi %J Journal of Operations Management&lt;/author&gt;&lt;/authors&gt;&lt;/contributors&gt;&lt;titles&gt;&lt;title&gt;Strengthening supply chain resilience during COVID‐19: A case study of JD. com&lt;/title&gt;&lt;/titles&gt;&lt;pages&gt;359-383&lt;/pages&gt;&lt;volume&gt;69&lt;/volume&gt;&lt;number&gt;3&lt;/number&gt;&lt;dates&gt;&lt;year&gt;2023&lt;/year&gt;&lt;/dates&gt;&lt;isbn&gt;0272-6963&lt;/isbn&gt;&lt;urls&gt;&lt;/urls&gt;&lt;/record&gt;&lt;/Cite&gt;&lt;/EndNote&gt;</w:instrText>
      </w:r>
      <w:r w:rsidR="00DA5FE4" w:rsidRPr="00CA08B2">
        <w:rPr>
          <w:rFonts w:ascii="Times New Roman" w:hAnsi="Times New Roman" w:cs="Times New Roman"/>
          <w:sz w:val="24"/>
          <w:szCs w:val="24"/>
        </w:rPr>
        <w:fldChar w:fldCharType="separate"/>
      </w:r>
      <w:r w:rsidR="00DA5FE4" w:rsidRPr="00CA08B2">
        <w:rPr>
          <w:rFonts w:ascii="Times New Roman" w:hAnsi="Times New Roman" w:cs="Times New Roman"/>
          <w:noProof/>
          <w:sz w:val="24"/>
          <w:szCs w:val="24"/>
        </w:rPr>
        <w:t>(Shen and Sun, 2023)</w:t>
      </w:r>
      <w:r w:rsidR="00DA5FE4" w:rsidRPr="00CA08B2">
        <w:rPr>
          <w:rFonts w:ascii="Times New Roman" w:hAnsi="Times New Roman" w:cs="Times New Roman"/>
          <w:sz w:val="24"/>
          <w:szCs w:val="24"/>
        </w:rPr>
        <w:fldChar w:fldCharType="end"/>
      </w:r>
      <w:r w:rsidRPr="00CA08B2">
        <w:rPr>
          <w:rFonts w:ascii="Times New Roman" w:hAnsi="Times New Roman" w:cs="Times New Roman"/>
          <w:sz w:val="24"/>
          <w:szCs w:val="24"/>
        </w:rPr>
        <w:t>.</w:t>
      </w:r>
    </w:p>
    <w:p w14:paraId="743C0C56" w14:textId="4C9CE8B8" w:rsidR="00DF72B6" w:rsidRPr="00DF72B6" w:rsidRDefault="00E6394B"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During this assembling process, companies also get an avenue to connect their pool of resources and expertise to address the common issues and opportunities</w:t>
      </w:r>
      <w:r w:rsidR="00512B22" w:rsidRPr="00CA08B2">
        <w:rPr>
          <w:rFonts w:ascii="Times New Roman" w:hAnsi="Times New Roman" w:cs="Times New Roman"/>
          <w:sz w:val="24"/>
          <w:szCs w:val="24"/>
        </w:rPr>
        <w:fldChar w:fldCharType="begin"/>
      </w:r>
      <w:r w:rsidR="00512B22" w:rsidRPr="00CA08B2">
        <w:rPr>
          <w:rFonts w:ascii="Times New Roman" w:hAnsi="Times New Roman" w:cs="Times New Roman"/>
          <w:sz w:val="24"/>
          <w:szCs w:val="24"/>
        </w:rPr>
        <w:instrText xml:space="preserve"> ADDIN EN.CITE &lt;EndNote&gt;&lt;Cite&gt;&lt;Author&gt;Ivanov&lt;/Author&gt;&lt;Year&gt;2018&lt;/Year&gt;&lt;RecNum&gt;455&lt;/RecNum&gt;&lt;DisplayText&gt;(Ivanov, 2018)&lt;/DisplayText&gt;&lt;record&gt;&lt;rec-number&gt;455&lt;/rec-number&gt;&lt;foreign-keys&gt;&lt;key app="EN" db-id="vp0t0fz5q9wvv2etf21x9vp5rv92ew2dstft" timestamp="1712832176"&gt;455&lt;/key&gt;&lt;/foreign-keys&gt;&lt;ref-type name="Journal Article"&gt;17&lt;/ref-type&gt;&lt;contributors&gt;&lt;authors&gt;&lt;author&gt;Ivanov, Dmitry %J International Journal of Production Research&lt;/author&gt;&lt;/authors&gt;&lt;/contributors&gt;&lt;titles&gt;&lt;title&gt;Revealing interfaces of supply chain resilience and sustainability: a simulation study&lt;/title&gt;&lt;/titles&gt;&lt;pages&gt;3507-3523&lt;/pages&gt;&lt;volume&gt;56&lt;/volume&gt;&lt;number&gt;10&lt;/number&gt;&lt;dates&gt;&lt;year&gt;2018&lt;/year&gt;&lt;/dates&gt;&lt;isbn&gt;0020-7543&lt;/isbn&gt;&lt;urls&gt;&lt;/urls&gt;&lt;/record&gt;&lt;/Cite&gt;&lt;/EndNote&gt;</w:instrText>
      </w:r>
      <w:r w:rsidR="00512B22" w:rsidRPr="00CA08B2">
        <w:rPr>
          <w:rFonts w:ascii="Times New Roman" w:hAnsi="Times New Roman" w:cs="Times New Roman"/>
          <w:sz w:val="24"/>
          <w:szCs w:val="24"/>
        </w:rPr>
        <w:fldChar w:fldCharType="separate"/>
      </w:r>
      <w:r w:rsidR="00512B22" w:rsidRPr="00CA08B2">
        <w:rPr>
          <w:rFonts w:ascii="Times New Roman" w:hAnsi="Times New Roman" w:cs="Times New Roman"/>
          <w:noProof/>
          <w:sz w:val="24"/>
          <w:szCs w:val="24"/>
        </w:rPr>
        <w:t>(Ivanov, 2018)</w:t>
      </w:r>
      <w:r w:rsidR="00512B22" w:rsidRPr="00CA08B2">
        <w:rPr>
          <w:rFonts w:ascii="Times New Roman" w:hAnsi="Times New Roman" w:cs="Times New Roman"/>
          <w:sz w:val="24"/>
          <w:szCs w:val="24"/>
        </w:rPr>
        <w:fldChar w:fldCharType="end"/>
      </w:r>
      <w:r w:rsidRPr="00CA08B2">
        <w:rPr>
          <w:rFonts w:ascii="Times New Roman" w:hAnsi="Times New Roman" w:cs="Times New Roman"/>
          <w:sz w:val="24"/>
          <w:szCs w:val="24"/>
        </w:rPr>
        <w:t xml:space="preserve">. By way of illustration, manufacturers collaborate with suppliers and logisticians on demand forecasting, production scheduling and inventory management in order to increase supply chain efficiency (e.g. minimizing unnecessary transportation, which in turn lowers energy consumption). Through </w:t>
      </w:r>
      <w:r w:rsidRPr="00CA08B2">
        <w:rPr>
          <w:rFonts w:ascii="Times New Roman" w:hAnsi="Times New Roman" w:cs="Times New Roman"/>
          <w:sz w:val="24"/>
          <w:szCs w:val="24"/>
        </w:rPr>
        <w:lastRenderedPageBreak/>
        <w:t>immediate data pooling and experience exchange, businesses become more competitive, flexible, and are not subjected to delays in their analysis</w:t>
      </w:r>
      <w:r w:rsidR="00512B22" w:rsidRPr="00CA08B2">
        <w:rPr>
          <w:rFonts w:ascii="Times New Roman" w:hAnsi="Times New Roman" w:cs="Times New Roman"/>
          <w:sz w:val="24"/>
          <w:szCs w:val="24"/>
        </w:rPr>
        <w:fldChar w:fldCharType="begin"/>
      </w:r>
      <w:r w:rsidR="00512B22" w:rsidRPr="00CA08B2">
        <w:rPr>
          <w:rFonts w:ascii="Times New Roman" w:hAnsi="Times New Roman" w:cs="Times New Roman"/>
          <w:sz w:val="24"/>
          <w:szCs w:val="24"/>
        </w:rPr>
        <w:instrText xml:space="preserve"> ADDIN EN.CITE &lt;EndNote&gt;&lt;Cite&gt;&lt;Author&gt;Mubarik&lt;/Author&gt;&lt;Year&gt;2021&lt;/Year&gt;&lt;RecNum&gt;456&lt;/RecNum&gt;&lt;DisplayText&gt;(Mubarik et al., 2021)&lt;/DisplayText&gt;&lt;record&gt;&lt;rec-number&gt;456&lt;/rec-number&gt;&lt;foreign-keys&gt;&lt;key app="EN" db-id="vp0t0fz5q9wvv2etf21x9vp5rv92ew2dstft" timestamp="1712832194"&gt;456&lt;/key&gt;&lt;/foreign-keys&gt;&lt;ref-type name="Journal Article"&gt;17&lt;/ref-type&gt;&lt;contributors&gt;&lt;authors&gt;&lt;author&gt;Mubarik, Muhammad Shujaat&lt;/author&gt;&lt;author&gt;Naghavi, Navaz&lt;/author&gt;&lt;author&gt;Mubarik, Mobashar&lt;/author&gt;&lt;author&gt;Kusi-Sarpong, Simonov&lt;/author&gt;&lt;author&gt;Khan, Sharfuddin Ahmed&lt;/author&gt;&lt;author&gt;Zaman, Syed Imran&lt;/author&gt;&lt;author&gt;Kazmi, Syed Hasnain Alam %J Journal of cleaner production&lt;/author&gt;&lt;/authors&gt;&lt;/contributors&gt;&lt;titles&gt;&lt;title&gt;Resilience and cleaner production in industry 4.0: Role of supply chain mapping and visibility&lt;/title&gt;&lt;/titles&gt;&lt;pages&gt;126058&lt;/pages&gt;&lt;volume&gt;292&lt;/volume&gt;&lt;dates&gt;&lt;year&gt;2021&lt;/year&gt;&lt;/dates&gt;&lt;isbn&gt;0959-6526&lt;/isbn&gt;&lt;urls&gt;&lt;/urls&gt;&lt;/record&gt;&lt;/Cite&gt;&lt;/EndNote&gt;</w:instrText>
      </w:r>
      <w:r w:rsidR="00512B22" w:rsidRPr="00CA08B2">
        <w:rPr>
          <w:rFonts w:ascii="Times New Roman" w:hAnsi="Times New Roman" w:cs="Times New Roman"/>
          <w:sz w:val="24"/>
          <w:szCs w:val="24"/>
        </w:rPr>
        <w:fldChar w:fldCharType="separate"/>
      </w:r>
      <w:r w:rsidR="00512B22" w:rsidRPr="00CA08B2">
        <w:rPr>
          <w:rFonts w:ascii="Times New Roman" w:hAnsi="Times New Roman" w:cs="Times New Roman"/>
          <w:noProof/>
          <w:sz w:val="24"/>
          <w:szCs w:val="24"/>
        </w:rPr>
        <w:t>(Mubarik et al., 2021)</w:t>
      </w:r>
      <w:r w:rsidR="00512B22" w:rsidRPr="00CA08B2">
        <w:rPr>
          <w:rFonts w:ascii="Times New Roman" w:hAnsi="Times New Roman" w:cs="Times New Roman"/>
          <w:sz w:val="24"/>
          <w:szCs w:val="24"/>
        </w:rPr>
        <w:fldChar w:fldCharType="end"/>
      </w:r>
      <w:r w:rsidR="00DF72B6" w:rsidRPr="00DF72B6">
        <w:rPr>
          <w:rFonts w:ascii="Times New Roman" w:hAnsi="Times New Roman" w:cs="Times New Roman"/>
          <w:sz w:val="24"/>
          <w:szCs w:val="24"/>
        </w:rPr>
        <w:t>.</w:t>
      </w:r>
    </w:p>
    <w:p w14:paraId="3EB228E4" w14:textId="042CEAC3" w:rsidR="00DF72B6" w:rsidRPr="00CA08B2" w:rsidRDefault="00370FA8" w:rsidP="00370FA8">
      <w:pPr>
        <w:pStyle w:val="Heading2"/>
        <w:rPr>
          <w:rFonts w:ascii="Times New Roman" w:hAnsi="Times New Roman" w:cs="Times New Roman"/>
          <w:color w:val="auto"/>
        </w:rPr>
      </w:pPr>
      <w:bookmarkStart w:id="8" w:name="_Toc163700023"/>
      <w:r w:rsidRPr="00CA08B2">
        <w:rPr>
          <w:rFonts w:ascii="Times New Roman" w:hAnsi="Times New Roman" w:cs="Times New Roman"/>
          <w:color w:val="auto"/>
        </w:rPr>
        <w:t xml:space="preserve">3.4 </w:t>
      </w:r>
      <w:r w:rsidR="00DF72B6" w:rsidRPr="00CA08B2">
        <w:rPr>
          <w:rFonts w:ascii="Times New Roman" w:hAnsi="Times New Roman" w:cs="Times New Roman"/>
          <w:color w:val="auto"/>
        </w:rPr>
        <w:t>Resilient Logistics Infrastructure:</w:t>
      </w:r>
      <w:bookmarkEnd w:id="8"/>
    </w:p>
    <w:p w14:paraId="3816ED0A" w14:textId="70AE0A30" w:rsidR="00E201C6" w:rsidRPr="00CA08B2" w:rsidRDefault="00E201C6"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development of resilient transport infrastructure provides a basis for the effective movement of goods and minimizes negative effects of hustles on the mechanism of supply chains. Alternative routes, rail and air transport, and warehousing facilities fortified with disaster-resilient features have the potential to help abate interruptions in movement or destruction from disasters like transport congestion or destroyed warehouses</w:t>
      </w:r>
      <w:r w:rsidR="00512B22" w:rsidRPr="00CA08B2">
        <w:rPr>
          <w:rFonts w:ascii="Times New Roman" w:hAnsi="Times New Roman" w:cs="Times New Roman"/>
          <w:sz w:val="24"/>
          <w:szCs w:val="24"/>
        </w:rPr>
        <w:fldChar w:fldCharType="begin"/>
      </w:r>
      <w:r w:rsidR="00512B22" w:rsidRPr="00CA08B2">
        <w:rPr>
          <w:rFonts w:ascii="Times New Roman" w:hAnsi="Times New Roman" w:cs="Times New Roman"/>
          <w:sz w:val="24"/>
          <w:szCs w:val="24"/>
        </w:rPr>
        <w:instrText xml:space="preserve"> ADDIN EN.CITE &lt;EndNote&gt;&lt;Cite&gt;&lt;Author&gt;Brusset&lt;/Author&gt;&lt;Year&gt;2017&lt;/Year&gt;&lt;RecNum&gt;457&lt;/RecNum&gt;&lt;DisplayText&gt;(Brusset and Teller, 2017)&lt;/DisplayText&gt;&lt;record&gt;&lt;rec-number&gt;457&lt;/rec-number&gt;&lt;foreign-keys&gt;&lt;key app="EN" db-id="vp0t0fz5q9wvv2etf21x9vp5rv92ew2dstft" timestamp="1712832218"&gt;457&lt;/key&gt;&lt;/foreign-keys&gt;&lt;ref-type name="Journal Article"&gt;17&lt;/ref-type&gt;&lt;contributors&gt;&lt;authors&gt;&lt;author&gt;Brusset, Xavier&lt;/author&gt;&lt;author&gt;Teller, Christoph %J International Journal of Production Economics&lt;/author&gt;&lt;/authors&gt;&lt;/contributors&gt;&lt;titles&gt;&lt;title&gt;Supply chain capabilities, risks, and resilience&lt;/title&gt;&lt;/titles&gt;&lt;pages&gt;59-68&lt;/pages&gt;&lt;volume&gt;184&lt;/volume&gt;&lt;dates&gt;&lt;year&gt;2017&lt;/year&gt;&lt;/dates&gt;&lt;isbn&gt;0925-5273&lt;/isbn&gt;&lt;urls&gt;&lt;/urls&gt;&lt;/record&gt;&lt;/Cite&gt;&lt;/EndNote&gt;</w:instrText>
      </w:r>
      <w:r w:rsidR="00512B22" w:rsidRPr="00CA08B2">
        <w:rPr>
          <w:rFonts w:ascii="Times New Roman" w:hAnsi="Times New Roman" w:cs="Times New Roman"/>
          <w:sz w:val="24"/>
          <w:szCs w:val="24"/>
        </w:rPr>
        <w:fldChar w:fldCharType="separate"/>
      </w:r>
      <w:r w:rsidR="00512B22" w:rsidRPr="00CA08B2">
        <w:rPr>
          <w:rFonts w:ascii="Times New Roman" w:hAnsi="Times New Roman" w:cs="Times New Roman"/>
          <w:noProof/>
          <w:sz w:val="24"/>
          <w:szCs w:val="24"/>
        </w:rPr>
        <w:t>(Brusset and Teller, 2017)</w:t>
      </w:r>
      <w:r w:rsidR="00512B22" w:rsidRPr="00CA08B2">
        <w:rPr>
          <w:rFonts w:ascii="Times New Roman" w:hAnsi="Times New Roman" w:cs="Times New Roman"/>
          <w:sz w:val="24"/>
          <w:szCs w:val="24"/>
        </w:rPr>
        <w:fldChar w:fldCharType="end"/>
      </w:r>
      <w:r w:rsidRPr="00CA08B2">
        <w:rPr>
          <w:rFonts w:ascii="Times New Roman" w:hAnsi="Times New Roman" w:cs="Times New Roman"/>
          <w:sz w:val="24"/>
          <w:szCs w:val="24"/>
        </w:rPr>
        <w:t>. Investing in various backup distribution centers in key locations will help a food retailer provide perishable goods loading on time even when the roads are closed or the city is hit by natural calamities</w:t>
      </w:r>
      <w:r w:rsidR="00512B22" w:rsidRPr="00CA08B2">
        <w:rPr>
          <w:rFonts w:ascii="Times New Roman" w:hAnsi="Times New Roman" w:cs="Times New Roman"/>
          <w:sz w:val="24"/>
          <w:szCs w:val="24"/>
        </w:rPr>
        <w:fldChar w:fldCharType="begin"/>
      </w:r>
      <w:r w:rsidR="00512B22" w:rsidRPr="00CA08B2">
        <w:rPr>
          <w:rFonts w:ascii="Times New Roman" w:hAnsi="Times New Roman" w:cs="Times New Roman"/>
          <w:sz w:val="24"/>
          <w:szCs w:val="24"/>
        </w:rPr>
        <w:instrText xml:space="preserve"> ADDIN EN.CITE &lt;EndNote&gt;&lt;Cite&gt;&lt;Author&gt;Modgil&lt;/Author&gt;&lt;Year&gt;2022&lt;/Year&gt;&lt;RecNum&gt;458&lt;/RecNum&gt;&lt;DisplayText&gt;(Modgil et al., 2022)&lt;/DisplayText&gt;&lt;record&gt;&lt;rec-number&gt;458&lt;/rec-number&gt;&lt;foreign-keys&gt;&lt;key app="EN" db-id="vp0t0fz5q9wvv2etf21x9vp5rv92ew2dstft" timestamp="1712832405"&gt;458&lt;/key&gt;&lt;/foreign-keys&gt;&lt;ref-type name="Journal Article"&gt;17&lt;/ref-type&gt;&lt;contributors&gt;&lt;authors&gt;&lt;author&gt;Modgil, Sachin&lt;/author&gt;&lt;author&gt;Singh, Rohit Kumar&lt;/author&gt;&lt;author&gt;Hannibal, Claire %J The International Journal of Logistics Management&lt;/author&gt;&lt;/authors&gt;&lt;/contributors&gt;&lt;titles&gt;&lt;title&gt;Artificial intelligence for supply chain resilience: learning from Covid-19&lt;/title&gt;&lt;/titles&gt;&lt;pages&gt;1246-1268&lt;/pages&gt;&lt;volume&gt;33&lt;/volume&gt;&lt;number&gt;4&lt;/number&gt;&lt;dates&gt;&lt;year&gt;2022&lt;/year&gt;&lt;/dates&gt;&lt;isbn&gt;0957-4093&lt;/isbn&gt;&lt;urls&gt;&lt;/urls&gt;&lt;/record&gt;&lt;/Cite&gt;&lt;/EndNote&gt;</w:instrText>
      </w:r>
      <w:r w:rsidR="00512B22" w:rsidRPr="00CA08B2">
        <w:rPr>
          <w:rFonts w:ascii="Times New Roman" w:hAnsi="Times New Roman" w:cs="Times New Roman"/>
          <w:sz w:val="24"/>
          <w:szCs w:val="24"/>
        </w:rPr>
        <w:fldChar w:fldCharType="separate"/>
      </w:r>
      <w:r w:rsidR="00512B22" w:rsidRPr="00CA08B2">
        <w:rPr>
          <w:rFonts w:ascii="Times New Roman" w:hAnsi="Times New Roman" w:cs="Times New Roman"/>
          <w:noProof/>
          <w:sz w:val="24"/>
          <w:szCs w:val="24"/>
        </w:rPr>
        <w:t>(Modgil et al., 2022)</w:t>
      </w:r>
      <w:r w:rsidR="00512B22" w:rsidRPr="00CA08B2">
        <w:rPr>
          <w:rFonts w:ascii="Times New Roman" w:hAnsi="Times New Roman" w:cs="Times New Roman"/>
          <w:sz w:val="24"/>
          <w:szCs w:val="24"/>
        </w:rPr>
        <w:fldChar w:fldCharType="end"/>
      </w:r>
      <w:r w:rsidRPr="00CA08B2">
        <w:rPr>
          <w:rFonts w:ascii="Times New Roman" w:hAnsi="Times New Roman" w:cs="Times New Roman"/>
          <w:sz w:val="24"/>
          <w:szCs w:val="24"/>
        </w:rPr>
        <w:t>.</w:t>
      </w:r>
    </w:p>
    <w:p w14:paraId="0FE8C609" w14:textId="6EA0AA2F" w:rsidR="00DF72B6" w:rsidRPr="00DF72B6" w:rsidRDefault="00E201C6"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Also, using technologies like GPS tracking or real-time control helps companies to minimize the transportation time, and they are able to achieve a better visibility of their goods movement</w:t>
      </w:r>
      <w:r w:rsidR="00512B22" w:rsidRPr="00CA08B2">
        <w:rPr>
          <w:rFonts w:ascii="Times New Roman" w:hAnsi="Times New Roman" w:cs="Times New Roman"/>
          <w:sz w:val="24"/>
          <w:szCs w:val="24"/>
        </w:rPr>
        <w:fldChar w:fldCharType="begin"/>
      </w:r>
      <w:r w:rsidR="00512B22" w:rsidRPr="00CA08B2">
        <w:rPr>
          <w:rFonts w:ascii="Times New Roman" w:hAnsi="Times New Roman" w:cs="Times New Roman"/>
          <w:sz w:val="24"/>
          <w:szCs w:val="24"/>
        </w:rPr>
        <w:instrText xml:space="preserve"> ADDIN EN.CITE &lt;EndNote&gt;&lt;Cite&gt;&lt;Author&gt;Shashi&lt;/Author&gt;&lt;Year&gt;2020&lt;/Year&gt;&lt;RecNum&gt;459&lt;/RecNum&gt;&lt;DisplayText&gt;(Shashi et al., 2020)&lt;/DisplayText&gt;&lt;record&gt;&lt;rec-number&gt;459&lt;/rec-number&gt;&lt;foreign-keys&gt;&lt;key app="EN" db-id="vp0t0fz5q9wvv2etf21x9vp5rv92ew2dstft" timestamp="1712832429"&gt;459&lt;/key&gt;&lt;/foreign-keys&gt;&lt;ref-type name="Journal Article"&gt;17&lt;/ref-type&gt;&lt;contributors&gt;&lt;authors&gt;&lt;author&gt;Shashi&lt;/author&gt;&lt;author&gt;Centobelli, Piera&lt;/author&gt;&lt;author&gt;Cerchione, Roberto&lt;/author&gt;&lt;author&gt;Ertz, Myriam %J Business strategy&lt;/author&gt;&lt;author&gt;the environment&lt;/author&gt;&lt;/authors&gt;&lt;/contributors&gt;&lt;titles&gt;&lt;title&gt;Managing supply chain resilience to pursue business and environmental strategies&lt;/title&gt;&lt;/titles&gt;&lt;pages&gt;1215-1246&lt;/pages&gt;&lt;volume&gt;29&lt;/volume&gt;&lt;number&gt;3&lt;/number&gt;&lt;dates&gt;&lt;year&gt;2020&lt;/year&gt;&lt;/dates&gt;&lt;isbn&gt;0964-4733&lt;/isbn&gt;&lt;urls&gt;&lt;/urls&gt;&lt;/record&gt;&lt;/Cite&gt;&lt;/EndNote&gt;</w:instrText>
      </w:r>
      <w:r w:rsidR="00512B22" w:rsidRPr="00CA08B2">
        <w:rPr>
          <w:rFonts w:ascii="Times New Roman" w:hAnsi="Times New Roman" w:cs="Times New Roman"/>
          <w:sz w:val="24"/>
          <w:szCs w:val="24"/>
        </w:rPr>
        <w:fldChar w:fldCharType="separate"/>
      </w:r>
      <w:r w:rsidR="00512B22" w:rsidRPr="00CA08B2">
        <w:rPr>
          <w:rFonts w:ascii="Times New Roman" w:hAnsi="Times New Roman" w:cs="Times New Roman"/>
          <w:noProof/>
          <w:sz w:val="24"/>
          <w:szCs w:val="24"/>
        </w:rPr>
        <w:t>(Shashi et al., 2020)</w:t>
      </w:r>
      <w:r w:rsidR="00512B22" w:rsidRPr="00CA08B2">
        <w:rPr>
          <w:rFonts w:ascii="Times New Roman" w:hAnsi="Times New Roman" w:cs="Times New Roman"/>
          <w:sz w:val="24"/>
          <w:szCs w:val="24"/>
        </w:rPr>
        <w:fldChar w:fldCharType="end"/>
      </w:r>
      <w:r w:rsidRPr="00CA08B2">
        <w:rPr>
          <w:rFonts w:ascii="Times New Roman" w:hAnsi="Times New Roman" w:cs="Times New Roman"/>
          <w:sz w:val="24"/>
          <w:szCs w:val="24"/>
        </w:rPr>
        <w:t xml:space="preserve">. Through mixing different modes of transportation and suppliers, companies can access a broad range of carrier as a contingency plan to reduce concerns of a single provider failure and sustain business flow. In addition, automation and robotics </w:t>
      </w:r>
      <w:r w:rsidR="00512B22" w:rsidRPr="00CA08B2">
        <w:rPr>
          <w:rFonts w:ascii="Times New Roman" w:hAnsi="Times New Roman" w:cs="Times New Roman"/>
          <w:sz w:val="24"/>
          <w:szCs w:val="24"/>
        </w:rPr>
        <w:t>in</w:t>
      </w:r>
      <w:r w:rsidRPr="00CA08B2">
        <w:rPr>
          <w:rFonts w:ascii="Times New Roman" w:hAnsi="Times New Roman" w:cs="Times New Roman"/>
          <w:sz w:val="24"/>
          <w:szCs w:val="24"/>
        </w:rPr>
        <w:t xml:space="preserve"> mention as a technical solution can contribute to the reduction of the inaccuracy and delay of warehouse operations</w:t>
      </w:r>
      <w:r w:rsidR="00512B22" w:rsidRPr="00CA08B2">
        <w:rPr>
          <w:rFonts w:ascii="Times New Roman" w:hAnsi="Times New Roman" w:cs="Times New Roman"/>
          <w:sz w:val="24"/>
          <w:szCs w:val="24"/>
        </w:rPr>
        <w:fldChar w:fldCharType="begin"/>
      </w:r>
      <w:r w:rsidR="00512B22" w:rsidRPr="00CA08B2">
        <w:rPr>
          <w:rFonts w:ascii="Times New Roman" w:hAnsi="Times New Roman" w:cs="Times New Roman"/>
          <w:sz w:val="24"/>
          <w:szCs w:val="24"/>
        </w:rPr>
        <w:instrText xml:space="preserve"> ADDIN EN.CITE &lt;EndNote&gt;&lt;Cite&gt;&lt;Author&gt;Juan&lt;/Author&gt;&lt;Year&gt;2022&lt;/Year&gt;&lt;RecNum&gt;460&lt;/RecNum&gt;&lt;DisplayText&gt;(Juan et al., 2022)&lt;/DisplayText&gt;&lt;record&gt;&lt;rec-number&gt;460&lt;/rec-number&gt;&lt;foreign-keys&gt;&lt;key app="EN" db-id="vp0t0fz5q9wvv2etf21x9vp5rv92ew2dstft" timestamp="1712832453"&gt;460&lt;/key&gt;&lt;/foreign-keys&gt;&lt;ref-type name="Journal Article"&gt;17&lt;/ref-type&gt;&lt;contributors&gt;&lt;authors&gt;&lt;author&gt;Juan, Shih-Jung&lt;/author&gt;&lt;author&gt;Li, Eldon Y&lt;/author&gt;&lt;author&gt;Hung, Wei-Hsi %J The International Journal of Logistics Management&lt;/author&gt;&lt;/authors&gt;&lt;/contributors&gt;&lt;titles&gt;&lt;title&gt;An integrated model of supply chain resilience and its impact on supply chain performance under disruption&lt;/title&gt;&lt;/titles&gt;&lt;pages&gt;339-364&lt;/pages&gt;&lt;volume&gt;33&lt;/volume&gt;&lt;number&gt;1&lt;/number&gt;&lt;dates&gt;&lt;year&gt;2022&lt;/year&gt;&lt;/dates&gt;&lt;isbn&gt;0957-4093&lt;/isbn&gt;&lt;urls&gt;&lt;/urls&gt;&lt;/record&gt;&lt;/Cite&gt;&lt;/EndNote&gt;</w:instrText>
      </w:r>
      <w:r w:rsidR="00512B22" w:rsidRPr="00CA08B2">
        <w:rPr>
          <w:rFonts w:ascii="Times New Roman" w:hAnsi="Times New Roman" w:cs="Times New Roman"/>
          <w:sz w:val="24"/>
          <w:szCs w:val="24"/>
        </w:rPr>
        <w:fldChar w:fldCharType="separate"/>
      </w:r>
      <w:r w:rsidR="00512B22" w:rsidRPr="00CA08B2">
        <w:rPr>
          <w:rFonts w:ascii="Times New Roman" w:hAnsi="Times New Roman" w:cs="Times New Roman"/>
          <w:noProof/>
          <w:sz w:val="24"/>
          <w:szCs w:val="24"/>
        </w:rPr>
        <w:t>(Juan et al., 2022)</w:t>
      </w:r>
      <w:r w:rsidR="00512B22" w:rsidRPr="00CA08B2">
        <w:rPr>
          <w:rFonts w:ascii="Times New Roman" w:hAnsi="Times New Roman" w:cs="Times New Roman"/>
          <w:sz w:val="24"/>
          <w:szCs w:val="24"/>
        </w:rPr>
        <w:fldChar w:fldCharType="end"/>
      </w:r>
      <w:r w:rsidR="00DF72B6" w:rsidRPr="00DF72B6">
        <w:rPr>
          <w:rFonts w:ascii="Times New Roman" w:hAnsi="Times New Roman" w:cs="Times New Roman"/>
          <w:sz w:val="24"/>
          <w:szCs w:val="24"/>
        </w:rPr>
        <w:t>.</w:t>
      </w:r>
    </w:p>
    <w:p w14:paraId="70020F93" w14:textId="7F97289C" w:rsidR="00DF72B6" w:rsidRPr="00CA08B2" w:rsidRDefault="00370FA8" w:rsidP="00370FA8">
      <w:pPr>
        <w:pStyle w:val="Heading2"/>
        <w:rPr>
          <w:rFonts w:ascii="Times New Roman" w:hAnsi="Times New Roman" w:cs="Times New Roman"/>
          <w:color w:val="auto"/>
        </w:rPr>
      </w:pPr>
      <w:bookmarkStart w:id="9" w:name="_Toc163700024"/>
      <w:r w:rsidRPr="00CA08B2">
        <w:rPr>
          <w:rFonts w:ascii="Times New Roman" w:hAnsi="Times New Roman" w:cs="Times New Roman"/>
          <w:color w:val="auto"/>
        </w:rPr>
        <w:t xml:space="preserve">3.5 </w:t>
      </w:r>
      <w:r w:rsidR="00DF72B6" w:rsidRPr="00CA08B2">
        <w:rPr>
          <w:rFonts w:ascii="Times New Roman" w:hAnsi="Times New Roman" w:cs="Times New Roman"/>
          <w:color w:val="auto"/>
        </w:rPr>
        <w:t>Agile Supply Chain Design:</w:t>
      </w:r>
      <w:bookmarkEnd w:id="9"/>
    </w:p>
    <w:p w14:paraId="3AB98C4A" w14:textId="21AED038" w:rsidR="00601B8E" w:rsidRPr="00CA08B2" w:rsidRDefault="00601B8E"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The process of implementing agile supply chain practices is vital for building flexibility and for instantly reacting to shifts in market circumstances and the wakening of barriers. Through demand-driven production scheduling and dynamic inventory management, enterprises can reduce the amount of inventory on hand and ultimately avoid the negative consequences that result from demand volatility</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&lt;EndNote&gt;&lt;Cite&gt;&lt;Author&gt;Ivanov&lt;/Author&gt;&lt;Year&gt;2021&lt;/Year&gt;&lt;RecNum&gt;461&lt;/RecNum&gt;&lt;DisplayText&gt;(Ivanov et al., 2021)&lt;/DisplayText&gt;&lt;record&gt;&lt;rec-number&gt;461&lt;/rec-number&gt;&lt;foreign-keys&gt;&lt;key app="EN" db-id="vp0t0fz5q9wvv2etf21x9vp5rv92ew2dstft" timestamp="1712832512"&gt;461&lt;/key&gt;&lt;/foreign-keys&gt;&lt;ref-type name="Journal Article"&gt;17&lt;/ref-type&gt;&lt;contributors&gt;&lt;authors&gt;&lt;author&gt;Ivanov, Dmitry&lt;/author&gt;&lt;author&gt;Dolgui, Alexandre %J Production Planning&lt;/author&gt;&lt;author&gt;Control&lt;/author&gt;&lt;/authors&gt;&lt;/contributors&gt;&lt;titles&gt;&lt;title&gt;A digital supply chain twin for managing the disruption risks and resilience in the era of Industry 4.0&lt;/title&gt;&lt;/titles&gt;&lt;pages&gt;775-788&lt;/pages&gt;&lt;volume&gt;32&lt;/volume&gt;&lt;number&gt;9&lt;/number&gt;&lt;dates&gt;&lt;year&gt;2021&lt;/year&gt;&lt;/dates&gt;&lt;isbn&gt;0953-7287&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(Ivanov et al., 2021)</w:t>
      </w:r>
      <w:r w:rsidR="00C42D99" w:rsidRPr="00CA08B2">
        <w:rPr>
          <w:rFonts w:ascii="Times New Roman" w:hAnsi="Times New Roman" w:cs="Times New Roman"/>
          <w:sz w:val="24"/>
          <w:szCs w:val="24"/>
        </w:rPr>
        <w:fldChar w:fldCharType="end"/>
      </w:r>
      <w:r w:rsidRPr="00CA08B2">
        <w:rPr>
          <w:rFonts w:ascii="Times New Roman" w:hAnsi="Times New Roman" w:cs="Times New Roman"/>
          <w:sz w:val="24"/>
          <w:szCs w:val="24"/>
        </w:rPr>
        <w:t xml:space="preserve">. For </w:t>
      </w:r>
      <w:r w:rsidR="00512B22" w:rsidRPr="00CA08B2">
        <w:rPr>
          <w:rFonts w:ascii="Times New Roman" w:hAnsi="Times New Roman" w:cs="Times New Roman"/>
          <w:sz w:val="24"/>
          <w:szCs w:val="24"/>
        </w:rPr>
        <w:t>example</w:t>
      </w:r>
      <w:r w:rsidRPr="00CA08B2">
        <w:rPr>
          <w:rFonts w:ascii="Times New Roman" w:hAnsi="Times New Roman" w:cs="Times New Roman"/>
          <w:sz w:val="24"/>
          <w:szCs w:val="24"/>
        </w:rPr>
        <w:t>, a fashion brand may apply data analytics and machine learning algorithms to predict demand and adjust production cycles as a result, fleeing the danger of excess stock in the main stock and stockouts.</w:t>
      </w:r>
    </w:p>
    <w:p w14:paraId="4D796D71" w14:textId="3E771B6C" w:rsidR="00DF72B6" w:rsidRPr="00DF72B6" w:rsidRDefault="00601B8E"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Additionally, having a modular product design with flexible manufacturing processes helps company to apply new market trends and satisfy customer preferences very quickly</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&lt;EndNote&gt;&lt;Cite&gt;&lt;Author&gt;Ribeiro&lt;/Author&gt;&lt;Year&gt;2018&lt;/Year&gt;&lt;RecNum&gt;462&lt;/RecNum&gt;&lt;DisplayText&gt;(Ribeiro et al., 2018)&lt;/DisplayText&gt;&lt;record&gt;&lt;rec-number&gt;462&lt;/rec-number&gt;&lt;foreign-keys&gt;&lt;key app="EN" db-id="vp0t0fz5q9wvv2etf21x9vp5rv92ew2dstft" timestamp="1712832534"&gt;462&lt;/key&gt;&lt;/foreign-keys&gt;&lt;ref-type name="Journal Article"&gt;17&lt;/ref-type&gt;&lt;contributors&gt;&lt;authors&gt;&lt;author&gt;Ribeiro, Joao Pires&lt;/author&gt;&lt;author&gt;Barbosa-Povoa, Ana %J Computers&lt;/author&gt;&lt;author&gt;industrial engineering&lt;/author&gt;&lt;/authors&gt;&lt;/contributors&gt;&lt;titles&gt;&lt;title&gt;Supply Chain Resilience: Definitions and quantitative modelling approaches–A literature review&lt;/title&gt;&lt;/titles&gt;&lt;pages&gt;109-122&lt;/pages&gt;&lt;volume&gt;115&lt;/volume&gt;&lt;dates&gt;&lt;year&gt;2018&lt;/year&gt;&lt;/dates&gt;&lt;isbn&gt;0360-8352&lt;/isbn&gt;&lt;urls&gt;&lt;/urls&gt;&lt;/record&gt;&lt;/Cite&gt;&lt;/EndNote&gt;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(Ribeiro et al., 2018)</w:t>
      </w:r>
      <w:r w:rsidR="00C42D99" w:rsidRPr="00CA08B2">
        <w:rPr>
          <w:rFonts w:ascii="Times New Roman" w:hAnsi="Times New Roman" w:cs="Times New Roman"/>
          <w:sz w:val="24"/>
          <w:szCs w:val="24"/>
        </w:rPr>
        <w:fldChar w:fldCharType="end"/>
      </w:r>
      <w:r w:rsidRPr="00CA08B2">
        <w:rPr>
          <w:rFonts w:ascii="Times New Roman" w:hAnsi="Times New Roman" w:cs="Times New Roman"/>
          <w:sz w:val="24"/>
          <w:szCs w:val="24"/>
        </w:rPr>
        <w:t xml:space="preserve">. Therefore, one company that manufactures consumer electronic may design such products with interchangeable components which as a result can easily be reconfigured or adjusted to fit </w:t>
      </w:r>
      <w:r w:rsidRPr="00CA08B2">
        <w:rPr>
          <w:rFonts w:ascii="Times New Roman" w:hAnsi="Times New Roman" w:cs="Times New Roman"/>
          <w:sz w:val="24"/>
          <w:szCs w:val="24"/>
        </w:rPr>
        <w:lastRenderedPageBreak/>
        <w:t xml:space="preserve">shift consumer demands. The adoption of agility </w:t>
      </w:r>
      <w:r w:rsidR="00C42D99" w:rsidRPr="00CA08B2">
        <w:rPr>
          <w:rFonts w:ascii="Times New Roman" w:hAnsi="Times New Roman" w:cs="Times New Roman"/>
          <w:sz w:val="24"/>
          <w:szCs w:val="24"/>
        </w:rPr>
        <w:t>helps</w:t>
      </w:r>
      <w:r w:rsidRPr="00CA08B2">
        <w:rPr>
          <w:rFonts w:ascii="Times New Roman" w:hAnsi="Times New Roman" w:cs="Times New Roman"/>
          <w:sz w:val="24"/>
          <w:szCs w:val="24"/>
        </w:rPr>
        <w:t xml:space="preserve"> companies to cut lead </w:t>
      </w:r>
      <w:r w:rsidR="00C42D99" w:rsidRPr="00CA08B2">
        <w:rPr>
          <w:rFonts w:ascii="Times New Roman" w:hAnsi="Times New Roman" w:cs="Times New Roman"/>
          <w:sz w:val="24"/>
          <w:szCs w:val="24"/>
        </w:rPr>
        <w:t>times,</w:t>
      </w:r>
      <w:r w:rsidRPr="00CA08B2">
        <w:rPr>
          <w:rFonts w:ascii="Times New Roman" w:hAnsi="Times New Roman" w:cs="Times New Roman"/>
          <w:sz w:val="24"/>
          <w:szCs w:val="24"/>
        </w:rPr>
        <w:t xml:space="preserve"> institute a customer </w:t>
      </w:r>
      <w:r w:rsidR="00C42D99" w:rsidRPr="00CA08B2">
        <w:rPr>
          <w:rFonts w:ascii="Times New Roman" w:hAnsi="Times New Roman" w:cs="Times New Roman"/>
          <w:sz w:val="24"/>
          <w:szCs w:val="24"/>
        </w:rPr>
        <w:t>satisfaction,</w:t>
      </w:r>
      <w:r w:rsidRPr="00CA08B2">
        <w:rPr>
          <w:rFonts w:ascii="Times New Roman" w:hAnsi="Times New Roman" w:cs="Times New Roman"/>
          <w:sz w:val="24"/>
          <w:szCs w:val="24"/>
        </w:rPr>
        <w:t xml:space="preserve"> and gain an edge in the marketplace</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&lt;EndNote&gt;&lt;Cite&gt;&lt;Author&gt;Wieland&lt;/Author&gt;&lt;Year&gt;2021&lt;/Year&gt;&lt;RecNum&gt;463&lt;/RecNum&gt;&lt;DisplayText&gt;(Wieland and Durach, 2021)&lt;/DisplayText&gt;&lt;record&gt;&lt;rec-number&gt;463&lt;/rec-number&gt;&lt;foreign-keys&gt;&lt;key app="EN" db-id="vp0t0fz5q9wvv2etf21x9vp5rv92ew2dstft" timestamp="1712832560"&gt;463&lt;/key&gt;&lt;/foreign-keys&gt;&lt;ref-type name="Generic"&gt;13&lt;/ref-type&gt;&lt;contributors&gt;&lt;authors&gt;&lt;author&gt;Wieland, Andreas&lt;/author&gt;&lt;author&gt;Durach, Christian F %J Journal of Business Logistics&lt;/author&gt;&lt;/authors&gt;&lt;/contributors&gt;&lt;titles&gt;&lt;title&gt;Two perspectives on supply chain resilience&lt;/title&gt;&lt;/titles&gt;&lt;pages&gt;315-322&lt;/pages&gt;&lt;volume&gt;42&lt;/volume&gt;&lt;number&gt;3&lt;/number&gt;&lt;dates&gt;&lt;year&gt;2021&lt;/year&gt;&lt;/dates&gt;&lt;publisher&gt;Wiley Online Library&lt;/publisher&gt;&lt;isbn&gt;0735-3766&lt;/isbn&gt;&lt;urls&gt;&lt;/urls&gt;&lt;/record&gt;&lt;/Cite&gt;&lt;/EndNote&gt;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(Wieland and Durach, 2021)</w:t>
      </w:r>
      <w:r w:rsidR="00C42D99" w:rsidRPr="00CA08B2">
        <w:rPr>
          <w:rFonts w:ascii="Times New Roman" w:hAnsi="Times New Roman" w:cs="Times New Roman"/>
          <w:sz w:val="24"/>
          <w:szCs w:val="24"/>
        </w:rPr>
        <w:fldChar w:fldCharType="end"/>
      </w:r>
      <w:r w:rsidR="00DF72B6" w:rsidRPr="00DF72B6">
        <w:rPr>
          <w:rFonts w:ascii="Times New Roman" w:hAnsi="Times New Roman" w:cs="Times New Roman"/>
          <w:sz w:val="24"/>
          <w:szCs w:val="24"/>
        </w:rPr>
        <w:t>.</w:t>
      </w:r>
    </w:p>
    <w:p w14:paraId="466871B3" w14:textId="73C6D46F" w:rsidR="00DF72B6" w:rsidRPr="00CA08B2" w:rsidRDefault="00370FA8" w:rsidP="00370FA8">
      <w:pPr>
        <w:pStyle w:val="Heading2"/>
        <w:rPr>
          <w:rFonts w:ascii="Times New Roman" w:hAnsi="Times New Roman" w:cs="Times New Roman"/>
          <w:color w:val="auto"/>
        </w:rPr>
      </w:pPr>
      <w:bookmarkStart w:id="10" w:name="_Toc163700025"/>
      <w:r w:rsidRPr="00CA08B2">
        <w:rPr>
          <w:rFonts w:ascii="Times New Roman" w:hAnsi="Times New Roman" w:cs="Times New Roman"/>
          <w:color w:val="auto"/>
        </w:rPr>
        <w:t xml:space="preserve">3.6 </w:t>
      </w:r>
      <w:r w:rsidR="00DF72B6" w:rsidRPr="00CA08B2">
        <w:rPr>
          <w:rFonts w:ascii="Times New Roman" w:hAnsi="Times New Roman" w:cs="Times New Roman"/>
          <w:color w:val="auto"/>
        </w:rPr>
        <w:t>Continuous Improvement and Scenario Planning:</w:t>
      </w:r>
      <w:bookmarkEnd w:id="10"/>
    </w:p>
    <w:p w14:paraId="6FFBF00B" w14:textId="26AF060C" w:rsidR="001D51E5" w:rsidRPr="00CA08B2" w:rsidRDefault="001D51E5"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A constant evaluation and improvement of supply chain process are the key to building a chain more flexible and adaptive for the changing market environment</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&lt;EndNote&gt;&lt;Cite&gt;&lt;Author&gt;Adobor&lt;/Author&gt;&lt;Year&gt;2018&lt;/Year&gt;&lt;RecNum&gt;464&lt;/RecNum&gt;&lt;DisplayText&gt;(Adobor and McMullen, 2018)&lt;/DisplayText&gt;&lt;record&gt;&lt;rec-number&gt;464&lt;/rec-number&gt;&lt;foreign-keys&gt;&lt;key app="EN" db-id="vp0t0fz5q9wvv2etf21x9vp5rv92ew2dstft" timestamp="1712832583"&gt;464&lt;/key&gt;&lt;/foreign-keys&gt;&lt;ref-type name="Journal Article"&gt;17&lt;/ref-type&gt;&lt;contributors&gt;&lt;authors&gt;&lt;author&gt;Adobor, Henry&lt;/author&gt;&lt;author&gt;McMullen, Ronald S %J The International Journal of Logistics Management&lt;/author&gt;&lt;/authors&gt;&lt;/contributors&gt;&lt;titles&gt;&lt;title&gt;Supply chain resilience: a dynamic and multidimensional approach&lt;/title&gt;&lt;/titles&gt;&lt;pages&gt;1451-1471&lt;/pages&gt;&lt;volume&gt;29&lt;/volume&gt;&lt;number&gt;4&lt;/number&gt;&lt;dates&gt;&lt;year&gt;2018&lt;/year&gt;&lt;/dates&gt;&lt;isbn&gt;0957-4093&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(Adobor and McMullen, 2018)</w:t>
      </w:r>
      <w:r w:rsidR="00C42D99" w:rsidRPr="00CA08B2">
        <w:rPr>
          <w:rFonts w:ascii="Times New Roman" w:hAnsi="Times New Roman" w:cs="Times New Roman"/>
          <w:sz w:val="24"/>
          <w:szCs w:val="24"/>
        </w:rPr>
        <w:fldChar w:fldCharType="end"/>
      </w:r>
      <w:r w:rsidRPr="00CA08B2">
        <w:rPr>
          <w:rFonts w:ascii="Times New Roman" w:hAnsi="Times New Roman" w:cs="Times New Roman"/>
          <w:sz w:val="24"/>
          <w:szCs w:val="24"/>
        </w:rPr>
        <w:t>. Organizations can achieve this purpose by continuous monitoring and scenario analysis exercises that allow them to define possible hazards and evolve crisis plans that will help them put risks under control</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&lt;EndNote&gt;&lt;Cite&gt;&lt;Author&gt;Van Hoek&lt;/Author&gt;&lt;Year&gt;2020&lt;/Year&gt;&lt;RecNum&gt;465&lt;/RecNum&gt;&lt;DisplayText&gt;(Van Hoek and management, 2020)&lt;/DisplayText&gt;&lt;record&gt;&lt;rec-number&gt;465&lt;/rec-number&gt;&lt;foreign-keys&gt;&lt;key app="EN" db-id="vp0t0fz5q9wvv2etf21x9vp5rv92ew2dstft" timestamp="1712832601"&gt;465&lt;/key&gt;&lt;/foreign-keys&gt;&lt;ref-type name="Journal Article"&gt;17&lt;/ref-type&gt;&lt;contributors&gt;&lt;authors&gt;&lt;author&gt;Van Hoek, Remko %J International journal of operations&lt;/author&gt;&lt;author&gt;production management&lt;/author&gt;&lt;/authors&gt;&lt;/contributors&gt;&lt;titles&gt;&lt;title&gt;Research opportunities for a more resilient post-COVID-19 supply chain–closing the gap between research findings and industry practice&lt;/title&gt;&lt;/titles&gt;&lt;pages&gt;341-355&lt;/pages&gt;&lt;volume&gt;40&lt;/volume&gt;&lt;number&gt;4&lt;/number&gt;&lt;dates&gt;&lt;year&gt;2020&lt;/year&gt;&lt;/dates&gt;&lt;isbn&gt;0144-3577&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(Van Hoek and management, 2020)</w:t>
      </w:r>
      <w:r w:rsidR="00C42D99" w:rsidRPr="00CA08B2">
        <w:rPr>
          <w:rFonts w:ascii="Times New Roman" w:hAnsi="Times New Roman" w:cs="Times New Roman"/>
          <w:sz w:val="24"/>
          <w:szCs w:val="24"/>
        </w:rPr>
        <w:fldChar w:fldCharType="end"/>
      </w:r>
      <w:r w:rsidRPr="00CA08B2">
        <w:rPr>
          <w:rFonts w:ascii="Times New Roman" w:hAnsi="Times New Roman" w:cs="Times New Roman"/>
          <w:sz w:val="24"/>
          <w:szCs w:val="24"/>
        </w:rPr>
        <w:t>. A case in point is the attempt to replicate diverging instances like a supplier’s bankruptcy or a natural disaster so that the companies can make projections concerning potential weaknesses and come up with mitigation plans</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&lt;EndNote&gt;&lt;Cite&gt;&lt;Author&gt;Adobor&lt;/Author&gt;&lt;Year&gt;2019&lt;/Year&gt;&lt;RecNum&gt;466&lt;/RecNum&gt;&lt;DisplayText&gt;(Adobor and Applications, 2019)&lt;/DisplayText&gt;&lt;record&gt;&lt;rec-number&gt;466&lt;/rec-number&gt;&lt;foreign-keys&gt;&lt;key app="EN" db-id="vp0t0fz5q9wvv2etf21x9vp5rv92ew2dstft" timestamp="1712832617"&gt;466&lt;/key&gt;&lt;/foreign-keys&gt;&lt;ref-type name="Journal Article"&gt;17&lt;/ref-type&gt;&lt;contributors&gt;&lt;authors&gt;&lt;author&gt;Adobor, Henry %J International Journal of Logistics Research&lt;/author&gt;&lt;author&gt;Applications&lt;/author&gt;&lt;/authors&gt;&lt;/contributors&gt;&lt;titles&gt;&lt;title&gt;Supply chain resilience: a multi-level framework&lt;/title&gt;&lt;/titles&gt;&lt;pages&gt;533-556&lt;/pages&gt;&lt;volume&gt;22&lt;/volume&gt;&lt;number&gt;6&lt;/number&gt;&lt;dates&gt;&lt;year&gt;2019&lt;/year&gt;&lt;/dates&gt;&lt;isbn&gt;1367-5567&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(Adobor and Applications, 2019)</w:t>
      </w:r>
      <w:r w:rsidR="00C42D99" w:rsidRPr="00CA08B2">
        <w:rPr>
          <w:rFonts w:ascii="Times New Roman" w:hAnsi="Times New Roman" w:cs="Times New Roman"/>
          <w:sz w:val="24"/>
          <w:szCs w:val="24"/>
        </w:rPr>
        <w:fldChar w:fldCharType="end"/>
      </w:r>
      <w:r w:rsidRPr="00CA08B2">
        <w:rPr>
          <w:rFonts w:ascii="Times New Roman" w:hAnsi="Times New Roman" w:cs="Times New Roman"/>
          <w:sz w:val="24"/>
          <w:szCs w:val="24"/>
        </w:rPr>
        <w:t>.</w:t>
      </w:r>
    </w:p>
    <w:p w14:paraId="0F3403D3" w14:textId="137060AA" w:rsidR="00DF72B6" w:rsidRPr="00DF72B6" w:rsidRDefault="001D51E5"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A culture of continuous improvement, which promotes continuous employee discovery of inefficiency and improvement, is adopted throughout the supply chain. </w:t>
      </w:r>
      <w:r w:rsidR="00C42D99" w:rsidRPr="00CA08B2">
        <w:rPr>
          <w:rFonts w:ascii="Times New Roman" w:hAnsi="Times New Roman" w:cs="Times New Roman"/>
          <w:sz w:val="24"/>
          <w:szCs w:val="24"/>
        </w:rPr>
        <w:t>Stakeholders’</w:t>
      </w:r>
      <w:r w:rsidRPr="00CA08B2">
        <w:rPr>
          <w:rFonts w:ascii="Times New Roman" w:hAnsi="Times New Roman" w:cs="Times New Roman"/>
          <w:sz w:val="24"/>
          <w:szCs w:val="24"/>
        </w:rPr>
        <w:t xml:space="preserve"> evaluation and lessons drawn from the current immediate experience play a vital role in the refinement of the procedures and in the building of the capacity to overcome the challenges next</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&lt;EndNote&gt;&lt;Cite&gt;&lt;Author&gt;Belhadi&lt;/Author&gt;&lt;Year&gt;2024&lt;/Year&gt;&lt;RecNum&gt;467&lt;/RecNum&gt;&lt;DisplayText&gt;(Belhadi et al., 2024)&lt;/DisplayText&gt;&lt;record&gt;&lt;rec-number&gt;467&lt;/rec-number&gt;&lt;foreign-keys&gt;&lt;key app="EN" db-id="vp0t0fz5q9wvv2etf21x9vp5rv92ew2dstft" timestamp="1712832643"&gt;467&lt;/key&gt;&lt;/foreign-keys&gt;&lt;ref-type name="Journal Article"&gt;17&lt;/ref-type&gt;&lt;contributors&gt;&lt;authors&gt;&lt;author&gt;Belhadi, Amine&lt;/author&gt;&lt;author&gt;Mani, Venkatesh&lt;/author&gt;&lt;author&gt;Kamble, Sachin S&lt;/author&gt;&lt;author&gt;Khan, Syed Abdul Rehman&lt;/author&gt;&lt;author&gt;Verma, Surabhi %J Annals of Operations Research&lt;/author&gt;&lt;/authors&gt;&lt;/contributors&gt;&lt;titles&gt;&lt;title&gt;Artificial intelligence-driven innovation for enhancing supply chain resilience and performance under the effect of supply chain dynamism: an empirical investigation&lt;/title&gt;&lt;/titles&gt;&lt;pages&gt;627-652&lt;/pages&gt;&lt;volume&gt;333&lt;/volume&gt;&lt;number&gt;2&lt;/number&gt;&lt;dates&gt;&lt;year&gt;2024&lt;/year&gt;&lt;/dates&gt;&lt;isbn&gt;0254-5330&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(Belhadi et al., 2024)</w:t>
      </w:r>
      <w:r w:rsidR="00C42D99" w:rsidRPr="00CA08B2">
        <w:rPr>
          <w:rFonts w:ascii="Times New Roman" w:hAnsi="Times New Roman" w:cs="Times New Roman"/>
          <w:sz w:val="24"/>
          <w:szCs w:val="24"/>
        </w:rPr>
        <w:fldChar w:fldCharType="end"/>
      </w:r>
      <w:r w:rsidRPr="00CA08B2">
        <w:rPr>
          <w:rFonts w:ascii="Times New Roman" w:hAnsi="Times New Roman" w:cs="Times New Roman"/>
          <w:sz w:val="24"/>
          <w:szCs w:val="24"/>
        </w:rPr>
        <w:t>. Furthermore, staff training and developing can be seen as the basis of developing teams with the skills and knowledge necessary for overcoming difficult challenges associated with supply chains</w:t>
      </w:r>
      <w:r w:rsidR="00C42D99" w:rsidRPr="00CA08B2">
        <w:rPr>
          <w:rFonts w:ascii="Times New Roman" w:hAnsi="Times New Roman" w:cs="Times New Roman"/>
          <w:sz w:val="24"/>
          <w:szCs w:val="24"/>
        </w:rPr>
        <w:fldChar w:fldCharType="begin"/>
      </w:r>
      <w:r w:rsidR="00C42D99" w:rsidRPr="00CA08B2">
        <w:rPr>
          <w:rFonts w:ascii="Times New Roman" w:hAnsi="Times New Roman" w:cs="Times New Roman"/>
          <w:sz w:val="24"/>
          <w:szCs w:val="24"/>
        </w:rPr>
        <w:instrText xml:space="preserve"> ADDIN EN.CITE &lt;EndNote&gt;&lt;Cite&gt;&lt;Author&gt;Rajesh&lt;/Author&gt;&lt;Year&gt;2017&lt;/Year&gt;&lt;RecNum&gt;468&lt;/RecNum&gt;&lt;DisplayText&gt;(Rajesh and Change, 2017)&lt;/DisplayText&gt;&lt;record&gt;&lt;rec-number&gt;468&lt;/rec-number&gt;&lt;foreign-keys&gt;&lt;key app="EN" db-id="vp0t0fz5q9wvv2etf21x9vp5rv92ew2dstft" timestamp="1712832678"&gt;468&lt;/key&gt;&lt;/foreign-keys&gt;&lt;ref-type name="Journal Article"&gt;17&lt;/ref-type&gt;&lt;contributors&gt;&lt;authors&gt;&lt;author&gt;Rajesh, Rajagopal %J Technological Forecasting&lt;/author&gt;&lt;author&gt;Social Change&lt;/author&gt;&lt;/authors&gt;&lt;/contributors&gt;&lt;titles&gt;&lt;title&gt;Technological capabilities and supply chain resilience of firms: A relational analysis using Total Interpretive Structural Modeling (TISM)&lt;/title&gt;&lt;/titles&gt;&lt;pages&gt;161-169&lt;/pages&gt;&lt;volume&gt;118&lt;/volume&gt;&lt;dates&gt;&lt;year&gt;2017&lt;/year&gt;&lt;/dates&gt;&lt;isbn&gt;0040-1625&lt;/isbn&gt;&lt;urls&gt;&lt;/urls&gt;&lt;/record&gt;&lt;/Cite&gt;&lt;/EndNote&gt;</w:instrText>
      </w:r>
      <w:r w:rsidR="00C42D99" w:rsidRPr="00CA08B2">
        <w:rPr>
          <w:rFonts w:ascii="Times New Roman" w:hAnsi="Times New Roman" w:cs="Times New Roman"/>
          <w:sz w:val="24"/>
          <w:szCs w:val="24"/>
        </w:rPr>
        <w:fldChar w:fldCharType="separate"/>
      </w:r>
      <w:r w:rsidR="00C42D99" w:rsidRPr="00CA08B2">
        <w:rPr>
          <w:rFonts w:ascii="Times New Roman" w:hAnsi="Times New Roman" w:cs="Times New Roman"/>
          <w:noProof/>
          <w:sz w:val="24"/>
          <w:szCs w:val="24"/>
        </w:rPr>
        <w:t>(Rajesh and Change, 2017)</w:t>
      </w:r>
      <w:r w:rsidR="00C42D99" w:rsidRPr="00CA08B2">
        <w:rPr>
          <w:rFonts w:ascii="Times New Roman" w:hAnsi="Times New Roman" w:cs="Times New Roman"/>
          <w:sz w:val="24"/>
          <w:szCs w:val="24"/>
        </w:rPr>
        <w:fldChar w:fldCharType="end"/>
      </w:r>
      <w:r w:rsidR="00DF72B6" w:rsidRPr="00DF72B6">
        <w:rPr>
          <w:rFonts w:ascii="Times New Roman" w:hAnsi="Times New Roman" w:cs="Times New Roman"/>
          <w:sz w:val="24"/>
          <w:szCs w:val="24"/>
        </w:rPr>
        <w:t>.</w:t>
      </w:r>
    </w:p>
    <w:p w14:paraId="3E258CE5" w14:textId="77777777" w:rsidR="00F758A3" w:rsidRPr="00CA08B2" w:rsidRDefault="00F758A3" w:rsidP="00293140">
      <w:pPr>
        <w:spacing w:line="360" w:lineRule="auto"/>
        <w:jc w:val="both"/>
        <w:rPr>
          <w:rFonts w:ascii="Times New Roman" w:hAnsi="Times New Roman" w:cs="Times New Roman"/>
          <w:sz w:val="24"/>
          <w:szCs w:val="24"/>
        </w:rPr>
      </w:pPr>
    </w:p>
    <w:p w14:paraId="66E10A0A" w14:textId="15BFEFA2" w:rsidR="00960712" w:rsidRPr="00CA08B2" w:rsidRDefault="00370FA8" w:rsidP="00B806BE">
      <w:pPr>
        <w:pStyle w:val="Heading1"/>
        <w:rPr>
          <w:rFonts w:ascii="Times New Roman" w:hAnsi="Times New Roman" w:cs="Times New Roman"/>
          <w:color w:val="auto"/>
        </w:rPr>
      </w:pPr>
      <w:bookmarkStart w:id="11" w:name="_Toc163700026"/>
      <w:r w:rsidRPr="00CA08B2">
        <w:rPr>
          <w:rFonts w:ascii="Times New Roman" w:hAnsi="Times New Roman" w:cs="Times New Roman"/>
          <w:color w:val="auto"/>
        </w:rPr>
        <w:t xml:space="preserve">4.0 </w:t>
      </w:r>
      <w:r w:rsidR="00960712" w:rsidRPr="00CA08B2">
        <w:rPr>
          <w:rFonts w:ascii="Times New Roman" w:hAnsi="Times New Roman" w:cs="Times New Roman"/>
          <w:color w:val="auto"/>
        </w:rPr>
        <w:t>Conclusions and Suggestions for Further Work/Research:</w:t>
      </w:r>
      <w:bookmarkEnd w:id="11"/>
    </w:p>
    <w:p w14:paraId="7A772E91" w14:textId="125ECA7F" w:rsidR="00FF14F8" w:rsidRPr="00CA08B2" w:rsidRDefault="00FF14F8"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In </w:t>
      </w:r>
      <w:r w:rsidR="007F55B5" w:rsidRPr="00CA08B2">
        <w:rPr>
          <w:rFonts w:ascii="Times New Roman" w:hAnsi="Times New Roman" w:cs="Times New Roman"/>
          <w:sz w:val="24"/>
          <w:szCs w:val="24"/>
        </w:rPr>
        <w:t>conclusion</w:t>
      </w:r>
      <w:r w:rsidRPr="00CA08B2">
        <w:rPr>
          <w:rFonts w:ascii="Times New Roman" w:hAnsi="Times New Roman" w:cs="Times New Roman"/>
          <w:sz w:val="24"/>
          <w:szCs w:val="24"/>
        </w:rPr>
        <w:t>, the international supply chains of the electronic devices analyzed, revealed several harming risks and threats that have a high possibility to destroy processes and affect results. The risks and results from failure modes include risk priority numbers which support risk management and resilience-building within the supply chains' proactive efforts.</w:t>
      </w:r>
    </w:p>
    <w:p w14:paraId="49425FCB" w14:textId="77777777" w:rsidR="00FF14F8" w:rsidRPr="00CA08B2" w:rsidRDefault="00FF14F8" w:rsidP="00293140">
      <w:pPr>
        <w:spacing w:line="360" w:lineRule="auto"/>
        <w:jc w:val="both"/>
        <w:rPr>
          <w:rFonts w:ascii="Times New Roman" w:hAnsi="Times New Roman" w:cs="Times New Roman"/>
          <w:sz w:val="24"/>
          <w:szCs w:val="24"/>
        </w:rPr>
      </w:pPr>
    </w:p>
    <w:p w14:paraId="1261D6F9" w14:textId="4759F65B" w:rsidR="00FF14F8" w:rsidRPr="00CA08B2" w:rsidRDefault="00FF14F8"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Based on the findings, several key conclusions and suggestions for further work/research emerge:</w:t>
      </w:r>
    </w:p>
    <w:p w14:paraId="701A693E" w14:textId="5DD8A42D" w:rsidR="00F03857" w:rsidRPr="00CA08B2" w:rsidRDefault="00FF14F8"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The global product chain trading in electronic gadgets is prone to a number of risk factors such as the collapse of the suppliers, transportation delays, poor quality, political unrest, natural disasters, </w:t>
      </w:r>
      <w:r w:rsidRPr="00CA08B2">
        <w:rPr>
          <w:rFonts w:ascii="Times New Roman" w:hAnsi="Times New Roman" w:cs="Times New Roman"/>
          <w:sz w:val="24"/>
          <w:szCs w:val="24"/>
        </w:rPr>
        <w:lastRenderedPageBreak/>
        <w:t>and customers’ varied demand. The same goes for intensifying resilience, i.e. recovering and maintaining the preexisting level of performance in the complicated environment. The current situation requires not only the implementation of sophisticated risk management systems and practices, but also of the technologies that are at the top of the game, such as predictive analytics and AI that will help detect, assess and avert potential risks before it they become full-blown problems. The other side of implementing this is to develop collaboration, and information sharing among the supply chain partners. They are expected to make different aspects transparent, and more coherent through tools like blockchain which makes the visibility and traceability a shared responsibility process. The establishment of resilient logistics networks with replacement transport routes and disaster-proofed storage facilities is key in reducing the disruptive effect of disturbances on supply chain operations. Adopting an agile supply chain gives a possibility to run the business flexibly and quickly. The demand-oriented production and flexible management of stocks benefit the optimization of keeping stocks on the levels that do not affect the supply chain when the demand for goods changes. Moreover, it is the rational to do constant review, development of supply chain processes and conducting scenario planning activities for higher resilience and adaptivity to events</w:t>
      </w:r>
      <w:r w:rsidR="00F03857" w:rsidRPr="00CA08B2">
        <w:rPr>
          <w:rFonts w:ascii="Times New Roman" w:hAnsi="Times New Roman" w:cs="Times New Roman"/>
          <w:sz w:val="24"/>
          <w:szCs w:val="24"/>
        </w:rPr>
        <w:t xml:space="preserve">. </w:t>
      </w:r>
    </w:p>
    <w:p w14:paraId="32B5186F" w14:textId="4D5ABD03" w:rsidR="005E4156" w:rsidRPr="005E4156" w:rsidRDefault="003016AA"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t xml:space="preserve">There are following future </w:t>
      </w:r>
      <w:r w:rsidR="008F4AFE" w:rsidRPr="00CA08B2">
        <w:rPr>
          <w:rFonts w:ascii="Times New Roman" w:hAnsi="Times New Roman" w:cs="Times New Roman"/>
          <w:sz w:val="24"/>
          <w:szCs w:val="24"/>
        </w:rPr>
        <w:t>research</w:t>
      </w:r>
      <w:r w:rsidR="005E4156" w:rsidRPr="005E4156">
        <w:rPr>
          <w:rFonts w:ascii="Times New Roman" w:hAnsi="Times New Roman" w:cs="Times New Roman"/>
          <w:sz w:val="24"/>
          <w:szCs w:val="24"/>
        </w:rPr>
        <w:t>:</w:t>
      </w:r>
    </w:p>
    <w:p w14:paraId="68772BEB" w14:textId="0421F380" w:rsidR="005E4156" w:rsidRPr="005E4156" w:rsidRDefault="005E4156" w:rsidP="00293140">
      <w:pPr>
        <w:numPr>
          <w:ilvl w:val="0"/>
          <w:numId w:val="12"/>
        </w:numPr>
        <w:spacing w:line="360" w:lineRule="auto"/>
        <w:jc w:val="both"/>
        <w:rPr>
          <w:rFonts w:ascii="Times New Roman" w:hAnsi="Times New Roman" w:cs="Times New Roman"/>
          <w:sz w:val="24"/>
          <w:szCs w:val="24"/>
        </w:rPr>
      </w:pPr>
      <w:r w:rsidRPr="005E4156">
        <w:rPr>
          <w:rFonts w:ascii="Times New Roman" w:hAnsi="Times New Roman" w:cs="Times New Roman"/>
          <w:b/>
          <w:bCs/>
          <w:sz w:val="24"/>
          <w:szCs w:val="24"/>
        </w:rPr>
        <w:t>Advanced Risk Management Technologies</w:t>
      </w:r>
      <w:r w:rsidRPr="005E4156">
        <w:rPr>
          <w:rFonts w:ascii="Times New Roman" w:hAnsi="Times New Roman" w:cs="Times New Roman"/>
          <w:sz w:val="24"/>
          <w:szCs w:val="24"/>
        </w:rPr>
        <w:t xml:space="preserve">: </w:t>
      </w:r>
      <w:r w:rsidR="00D331AB" w:rsidRPr="00CA08B2">
        <w:rPr>
          <w:rFonts w:ascii="Times New Roman" w:hAnsi="Times New Roman" w:cs="Times New Roman"/>
          <w:sz w:val="24"/>
          <w:szCs w:val="24"/>
        </w:rPr>
        <w:t>Investigate concepts and techniques associated with technology development and mitigation of risks, such as machine learning, predictive analysis, and remote real-time monitoring systems</w:t>
      </w:r>
      <w:r w:rsidRPr="005E4156">
        <w:rPr>
          <w:rFonts w:ascii="Times New Roman" w:hAnsi="Times New Roman" w:cs="Times New Roman"/>
          <w:sz w:val="24"/>
          <w:szCs w:val="24"/>
        </w:rPr>
        <w:t>.</w:t>
      </w:r>
    </w:p>
    <w:p w14:paraId="3EDCCF28" w14:textId="1ECB1321" w:rsidR="005E4156" w:rsidRPr="005E4156" w:rsidRDefault="005E4156" w:rsidP="00293140">
      <w:pPr>
        <w:numPr>
          <w:ilvl w:val="0"/>
          <w:numId w:val="12"/>
        </w:numPr>
        <w:spacing w:line="360" w:lineRule="auto"/>
        <w:jc w:val="both"/>
        <w:rPr>
          <w:rFonts w:ascii="Times New Roman" w:hAnsi="Times New Roman" w:cs="Times New Roman"/>
          <w:sz w:val="24"/>
          <w:szCs w:val="24"/>
        </w:rPr>
      </w:pPr>
      <w:r w:rsidRPr="005E4156">
        <w:rPr>
          <w:rFonts w:ascii="Times New Roman" w:hAnsi="Times New Roman" w:cs="Times New Roman"/>
          <w:b/>
          <w:bCs/>
          <w:sz w:val="24"/>
          <w:szCs w:val="24"/>
        </w:rPr>
        <w:t>Supply Chain Collaboration Models</w:t>
      </w:r>
      <w:r w:rsidRPr="005E4156">
        <w:rPr>
          <w:rFonts w:ascii="Times New Roman" w:hAnsi="Times New Roman" w:cs="Times New Roman"/>
          <w:sz w:val="24"/>
          <w:szCs w:val="24"/>
        </w:rPr>
        <w:t xml:space="preserve">: </w:t>
      </w:r>
      <w:r w:rsidR="005A74BE" w:rsidRPr="00CA08B2">
        <w:rPr>
          <w:rFonts w:ascii="Times New Roman" w:hAnsi="Times New Roman" w:cs="Times New Roman"/>
          <w:sz w:val="24"/>
          <w:szCs w:val="24"/>
        </w:rPr>
        <w:t>Research and develop new collaborative systems which operates based on information capturing and cohesion among supply chain partners. On top of that the alternatives should be considered in unpredictable and uncontrollable environments</w:t>
      </w:r>
      <w:r w:rsidRPr="005E4156">
        <w:rPr>
          <w:rFonts w:ascii="Times New Roman" w:hAnsi="Times New Roman" w:cs="Times New Roman"/>
          <w:sz w:val="24"/>
          <w:szCs w:val="24"/>
        </w:rPr>
        <w:t>.</w:t>
      </w:r>
    </w:p>
    <w:p w14:paraId="380403E1" w14:textId="067FBAF4" w:rsidR="005E4156" w:rsidRPr="005E4156" w:rsidRDefault="005E4156" w:rsidP="00293140">
      <w:pPr>
        <w:numPr>
          <w:ilvl w:val="0"/>
          <w:numId w:val="12"/>
        </w:numPr>
        <w:spacing w:line="360" w:lineRule="auto"/>
        <w:jc w:val="both"/>
        <w:rPr>
          <w:rFonts w:ascii="Times New Roman" w:hAnsi="Times New Roman" w:cs="Times New Roman"/>
          <w:sz w:val="24"/>
          <w:szCs w:val="24"/>
        </w:rPr>
      </w:pPr>
      <w:r w:rsidRPr="005E4156">
        <w:rPr>
          <w:rFonts w:ascii="Times New Roman" w:hAnsi="Times New Roman" w:cs="Times New Roman"/>
          <w:b/>
          <w:bCs/>
          <w:sz w:val="24"/>
          <w:szCs w:val="24"/>
        </w:rPr>
        <w:t>Resilience in Digital Supply Chains</w:t>
      </w:r>
      <w:r w:rsidRPr="005E4156">
        <w:rPr>
          <w:rFonts w:ascii="Times New Roman" w:hAnsi="Times New Roman" w:cs="Times New Roman"/>
          <w:sz w:val="24"/>
          <w:szCs w:val="24"/>
        </w:rPr>
        <w:t xml:space="preserve">: </w:t>
      </w:r>
      <w:r w:rsidR="00763209" w:rsidRPr="00CA08B2">
        <w:rPr>
          <w:rFonts w:ascii="Times New Roman" w:hAnsi="Times New Roman" w:cs="Times New Roman"/>
          <w:sz w:val="24"/>
          <w:szCs w:val="24"/>
        </w:rPr>
        <w:t>Evaluate digitalization and technology inceptions on supply chain precocity, especially IoT, blockchain, and digital twins in the process of visibility and adaptability</w:t>
      </w:r>
      <w:r w:rsidRPr="005E4156">
        <w:rPr>
          <w:rFonts w:ascii="Times New Roman" w:hAnsi="Times New Roman" w:cs="Times New Roman"/>
          <w:sz w:val="24"/>
          <w:szCs w:val="24"/>
        </w:rPr>
        <w:t>.</w:t>
      </w:r>
    </w:p>
    <w:p w14:paraId="0D159A1F" w14:textId="6B661533" w:rsidR="005E4156" w:rsidRPr="005E4156" w:rsidRDefault="005E4156" w:rsidP="00293140">
      <w:pPr>
        <w:numPr>
          <w:ilvl w:val="0"/>
          <w:numId w:val="12"/>
        </w:numPr>
        <w:spacing w:line="360" w:lineRule="auto"/>
        <w:jc w:val="both"/>
        <w:rPr>
          <w:rFonts w:ascii="Times New Roman" w:hAnsi="Times New Roman" w:cs="Times New Roman"/>
          <w:sz w:val="24"/>
          <w:szCs w:val="24"/>
        </w:rPr>
      </w:pPr>
      <w:r w:rsidRPr="005E4156">
        <w:rPr>
          <w:rFonts w:ascii="Times New Roman" w:hAnsi="Times New Roman" w:cs="Times New Roman"/>
          <w:b/>
          <w:bCs/>
          <w:sz w:val="24"/>
          <w:szCs w:val="24"/>
        </w:rPr>
        <w:lastRenderedPageBreak/>
        <w:t>Sustainability and Ethical Considerations</w:t>
      </w:r>
      <w:r w:rsidRPr="005E4156">
        <w:rPr>
          <w:rFonts w:ascii="Times New Roman" w:hAnsi="Times New Roman" w:cs="Times New Roman"/>
          <w:sz w:val="24"/>
          <w:szCs w:val="24"/>
        </w:rPr>
        <w:t xml:space="preserve">: </w:t>
      </w:r>
      <w:r w:rsidR="002E78BC" w:rsidRPr="00CA08B2">
        <w:rPr>
          <w:rFonts w:ascii="Times New Roman" w:hAnsi="Times New Roman" w:cs="Times New Roman"/>
          <w:sz w:val="24"/>
          <w:szCs w:val="24"/>
        </w:rPr>
        <w:t>Combine sustainable and ethical parameters into strategies for supply chain resilience, which raises the topics like responsible sourcing, green preservation and social responsibility</w:t>
      </w:r>
      <w:r w:rsidRPr="005E4156">
        <w:rPr>
          <w:rFonts w:ascii="Times New Roman" w:hAnsi="Times New Roman" w:cs="Times New Roman"/>
          <w:sz w:val="24"/>
          <w:szCs w:val="24"/>
        </w:rPr>
        <w:t>.</w:t>
      </w:r>
    </w:p>
    <w:p w14:paraId="624B0C2E" w14:textId="4226767E" w:rsidR="00960712" w:rsidRPr="00960712" w:rsidRDefault="00960712" w:rsidP="00293140">
      <w:pPr>
        <w:spacing w:line="360" w:lineRule="auto"/>
        <w:jc w:val="both"/>
        <w:rPr>
          <w:rFonts w:ascii="Times New Roman" w:hAnsi="Times New Roman" w:cs="Times New Roman"/>
          <w:sz w:val="24"/>
          <w:szCs w:val="24"/>
        </w:rPr>
      </w:pPr>
    </w:p>
    <w:p w14:paraId="2C04AC41" w14:textId="77777777" w:rsidR="00A34845" w:rsidRPr="00CA08B2" w:rsidRDefault="00A34845" w:rsidP="00293140">
      <w:pPr>
        <w:spacing w:line="360" w:lineRule="auto"/>
        <w:jc w:val="both"/>
        <w:rPr>
          <w:rFonts w:ascii="Times New Roman" w:hAnsi="Times New Roman" w:cs="Times New Roman"/>
          <w:sz w:val="24"/>
          <w:szCs w:val="24"/>
        </w:rPr>
      </w:pPr>
    </w:p>
    <w:p w14:paraId="226D0DB4" w14:textId="77777777" w:rsidR="00C42D99" w:rsidRPr="00CA08B2" w:rsidRDefault="00C42D99" w:rsidP="00293140">
      <w:pPr>
        <w:spacing w:line="360" w:lineRule="auto"/>
        <w:jc w:val="both"/>
        <w:rPr>
          <w:rFonts w:ascii="Times New Roman" w:hAnsi="Times New Roman" w:cs="Times New Roman"/>
          <w:sz w:val="24"/>
          <w:szCs w:val="24"/>
        </w:rPr>
      </w:pPr>
    </w:p>
    <w:p w14:paraId="1DA4B5CA" w14:textId="77777777" w:rsidR="00C42D99" w:rsidRPr="00CA08B2" w:rsidRDefault="00C42D99" w:rsidP="00293140">
      <w:pPr>
        <w:spacing w:line="360" w:lineRule="auto"/>
        <w:jc w:val="both"/>
        <w:rPr>
          <w:rFonts w:ascii="Times New Roman" w:hAnsi="Times New Roman" w:cs="Times New Roman"/>
          <w:sz w:val="24"/>
          <w:szCs w:val="24"/>
        </w:rPr>
      </w:pPr>
    </w:p>
    <w:p w14:paraId="4A69A698" w14:textId="77777777" w:rsidR="00C42D99" w:rsidRPr="00CA08B2" w:rsidRDefault="00C42D99" w:rsidP="00293140">
      <w:pPr>
        <w:spacing w:line="360" w:lineRule="auto"/>
        <w:jc w:val="both"/>
        <w:rPr>
          <w:rFonts w:ascii="Times New Roman" w:hAnsi="Times New Roman" w:cs="Times New Roman"/>
          <w:sz w:val="24"/>
          <w:szCs w:val="24"/>
        </w:rPr>
      </w:pPr>
    </w:p>
    <w:p w14:paraId="0A2264B3" w14:textId="77777777" w:rsidR="00C42D99" w:rsidRPr="00CA08B2" w:rsidRDefault="00C42D99" w:rsidP="00293140">
      <w:pPr>
        <w:spacing w:line="360" w:lineRule="auto"/>
        <w:jc w:val="both"/>
        <w:rPr>
          <w:rFonts w:ascii="Times New Roman" w:hAnsi="Times New Roman" w:cs="Times New Roman"/>
          <w:sz w:val="24"/>
          <w:szCs w:val="24"/>
        </w:rPr>
      </w:pPr>
    </w:p>
    <w:p w14:paraId="4A8AC02A" w14:textId="77777777" w:rsidR="00C42D99" w:rsidRPr="00CA08B2" w:rsidRDefault="00C42D99" w:rsidP="00293140">
      <w:pPr>
        <w:spacing w:line="360" w:lineRule="auto"/>
        <w:jc w:val="both"/>
        <w:rPr>
          <w:rFonts w:ascii="Times New Roman" w:hAnsi="Times New Roman" w:cs="Times New Roman"/>
          <w:sz w:val="24"/>
          <w:szCs w:val="24"/>
        </w:rPr>
      </w:pPr>
    </w:p>
    <w:p w14:paraId="0113CC29" w14:textId="77777777" w:rsidR="00C42D99" w:rsidRPr="00CA08B2" w:rsidRDefault="00C42D99" w:rsidP="00293140">
      <w:pPr>
        <w:spacing w:line="360" w:lineRule="auto"/>
        <w:jc w:val="both"/>
        <w:rPr>
          <w:rFonts w:ascii="Times New Roman" w:hAnsi="Times New Roman" w:cs="Times New Roman"/>
          <w:sz w:val="24"/>
          <w:szCs w:val="24"/>
        </w:rPr>
      </w:pPr>
    </w:p>
    <w:p w14:paraId="67728EF3" w14:textId="77777777" w:rsidR="00C42D99" w:rsidRPr="00CA08B2" w:rsidRDefault="00C42D99" w:rsidP="00293140">
      <w:pPr>
        <w:spacing w:line="360" w:lineRule="auto"/>
        <w:jc w:val="both"/>
        <w:rPr>
          <w:rFonts w:ascii="Times New Roman" w:hAnsi="Times New Roman" w:cs="Times New Roman"/>
          <w:sz w:val="24"/>
          <w:szCs w:val="24"/>
        </w:rPr>
      </w:pPr>
    </w:p>
    <w:p w14:paraId="0D519A7C" w14:textId="77777777" w:rsidR="00C42D99" w:rsidRPr="00CA08B2" w:rsidRDefault="00C42D99" w:rsidP="00293140">
      <w:pPr>
        <w:spacing w:line="360" w:lineRule="auto"/>
        <w:jc w:val="both"/>
        <w:rPr>
          <w:rFonts w:ascii="Times New Roman" w:hAnsi="Times New Roman" w:cs="Times New Roman"/>
          <w:sz w:val="24"/>
          <w:szCs w:val="24"/>
        </w:rPr>
      </w:pPr>
    </w:p>
    <w:p w14:paraId="32260D0B" w14:textId="77777777" w:rsidR="00C42D99" w:rsidRPr="00CA08B2" w:rsidRDefault="00C42D99" w:rsidP="00293140">
      <w:pPr>
        <w:spacing w:line="360" w:lineRule="auto"/>
        <w:jc w:val="both"/>
        <w:rPr>
          <w:rFonts w:ascii="Times New Roman" w:hAnsi="Times New Roman" w:cs="Times New Roman"/>
          <w:sz w:val="24"/>
          <w:szCs w:val="24"/>
        </w:rPr>
      </w:pPr>
    </w:p>
    <w:p w14:paraId="41C6EFC6" w14:textId="77777777" w:rsidR="00C42D99" w:rsidRPr="00CA08B2" w:rsidRDefault="00C42D99" w:rsidP="00293140">
      <w:pPr>
        <w:spacing w:line="360" w:lineRule="auto"/>
        <w:jc w:val="both"/>
        <w:rPr>
          <w:rFonts w:ascii="Times New Roman" w:hAnsi="Times New Roman" w:cs="Times New Roman"/>
          <w:sz w:val="24"/>
          <w:szCs w:val="24"/>
        </w:rPr>
      </w:pPr>
    </w:p>
    <w:p w14:paraId="1FD6BA08" w14:textId="77777777" w:rsidR="00C42D99" w:rsidRPr="00CA08B2" w:rsidRDefault="00C42D99" w:rsidP="00293140">
      <w:pPr>
        <w:spacing w:line="360" w:lineRule="auto"/>
        <w:jc w:val="both"/>
        <w:rPr>
          <w:rFonts w:ascii="Times New Roman" w:hAnsi="Times New Roman" w:cs="Times New Roman"/>
          <w:sz w:val="24"/>
          <w:szCs w:val="24"/>
        </w:rPr>
      </w:pPr>
    </w:p>
    <w:p w14:paraId="4E5840B3" w14:textId="77777777" w:rsidR="00C42D99" w:rsidRPr="00CA08B2" w:rsidRDefault="00C42D99" w:rsidP="00293140">
      <w:pPr>
        <w:spacing w:line="360" w:lineRule="auto"/>
        <w:jc w:val="both"/>
        <w:rPr>
          <w:rFonts w:ascii="Times New Roman" w:hAnsi="Times New Roman" w:cs="Times New Roman"/>
          <w:sz w:val="24"/>
          <w:szCs w:val="24"/>
        </w:rPr>
      </w:pPr>
    </w:p>
    <w:p w14:paraId="49FCAC0A" w14:textId="77777777" w:rsidR="00C42D99" w:rsidRPr="00CA08B2" w:rsidRDefault="00C42D99" w:rsidP="00293140">
      <w:pPr>
        <w:spacing w:line="360" w:lineRule="auto"/>
        <w:jc w:val="both"/>
        <w:rPr>
          <w:rFonts w:ascii="Times New Roman" w:hAnsi="Times New Roman" w:cs="Times New Roman"/>
          <w:sz w:val="24"/>
          <w:szCs w:val="24"/>
        </w:rPr>
      </w:pPr>
    </w:p>
    <w:p w14:paraId="080407F5" w14:textId="77777777" w:rsidR="00C42D99" w:rsidRPr="00CA08B2" w:rsidRDefault="00C42D99" w:rsidP="00293140">
      <w:pPr>
        <w:spacing w:line="360" w:lineRule="auto"/>
        <w:jc w:val="both"/>
        <w:rPr>
          <w:rFonts w:ascii="Times New Roman" w:hAnsi="Times New Roman" w:cs="Times New Roman"/>
          <w:sz w:val="24"/>
          <w:szCs w:val="24"/>
        </w:rPr>
      </w:pPr>
    </w:p>
    <w:p w14:paraId="51C9A2D5" w14:textId="77777777" w:rsidR="00C42D99" w:rsidRPr="00CA08B2" w:rsidRDefault="00C42D99" w:rsidP="00293140">
      <w:pPr>
        <w:spacing w:line="360" w:lineRule="auto"/>
        <w:jc w:val="both"/>
        <w:rPr>
          <w:rFonts w:ascii="Times New Roman" w:hAnsi="Times New Roman" w:cs="Times New Roman"/>
          <w:sz w:val="24"/>
          <w:szCs w:val="24"/>
        </w:rPr>
      </w:pPr>
    </w:p>
    <w:p w14:paraId="152A0EDC" w14:textId="77777777" w:rsidR="00C42D99" w:rsidRPr="00CA08B2" w:rsidRDefault="00C42D99" w:rsidP="00293140">
      <w:pPr>
        <w:spacing w:line="360" w:lineRule="auto"/>
        <w:jc w:val="both"/>
        <w:rPr>
          <w:rFonts w:ascii="Times New Roman" w:hAnsi="Times New Roman" w:cs="Times New Roman"/>
          <w:sz w:val="24"/>
          <w:szCs w:val="24"/>
        </w:rPr>
      </w:pPr>
    </w:p>
    <w:p w14:paraId="5E4239CB" w14:textId="77777777" w:rsidR="00C42D99" w:rsidRPr="00CA08B2" w:rsidRDefault="00C42D99" w:rsidP="00293140">
      <w:pPr>
        <w:spacing w:line="360" w:lineRule="auto"/>
        <w:jc w:val="both"/>
        <w:rPr>
          <w:rFonts w:ascii="Times New Roman" w:hAnsi="Times New Roman" w:cs="Times New Roman"/>
          <w:sz w:val="24"/>
          <w:szCs w:val="24"/>
        </w:rPr>
      </w:pPr>
    </w:p>
    <w:p w14:paraId="68ED19FF" w14:textId="77777777" w:rsidR="004E1D8D" w:rsidRPr="00CA08B2" w:rsidRDefault="004E1D8D" w:rsidP="00293140">
      <w:pPr>
        <w:spacing w:line="360" w:lineRule="auto"/>
        <w:jc w:val="both"/>
        <w:rPr>
          <w:rFonts w:ascii="Times New Roman" w:hAnsi="Times New Roman" w:cs="Times New Roman"/>
          <w:sz w:val="24"/>
          <w:szCs w:val="24"/>
        </w:rPr>
      </w:pPr>
    </w:p>
    <w:p w14:paraId="1EA151A6" w14:textId="532B8446" w:rsidR="00A34845" w:rsidRPr="00CA08B2" w:rsidRDefault="00C42D99" w:rsidP="00C42D99">
      <w:pPr>
        <w:pStyle w:val="Heading1"/>
        <w:rPr>
          <w:rFonts w:ascii="Times New Roman" w:hAnsi="Times New Roman" w:cs="Times New Roman"/>
          <w:color w:val="auto"/>
        </w:rPr>
      </w:pPr>
      <w:bookmarkStart w:id="12" w:name="_Toc163700027"/>
      <w:r w:rsidRPr="00CA08B2">
        <w:rPr>
          <w:rFonts w:ascii="Times New Roman" w:hAnsi="Times New Roman" w:cs="Times New Roman"/>
          <w:color w:val="auto"/>
        </w:rPr>
        <w:lastRenderedPageBreak/>
        <w:t>References:</w:t>
      </w:r>
      <w:bookmarkEnd w:id="12"/>
    </w:p>
    <w:p w14:paraId="0C4258EC" w14:textId="77777777" w:rsidR="00C42D99" w:rsidRPr="00CA08B2" w:rsidRDefault="00A34845" w:rsidP="00C42D99">
      <w:pPr>
        <w:pStyle w:val="EndNoteBibliography"/>
        <w:spacing w:after="0"/>
        <w:ind w:left="720" w:hanging="720"/>
        <w:rPr>
          <w:rFonts w:ascii="Times New Roman" w:hAnsi="Times New Roman" w:cs="Times New Roman"/>
        </w:rPr>
      </w:pPr>
      <w:r w:rsidRPr="00CA08B2">
        <w:rPr>
          <w:rFonts w:ascii="Times New Roman" w:hAnsi="Times New Roman" w:cs="Times New Roman"/>
          <w:sz w:val="24"/>
          <w:szCs w:val="24"/>
        </w:rPr>
        <w:fldChar w:fldCharType="begin"/>
      </w:r>
      <w:r w:rsidRPr="00BC5F4E">
        <w:rPr>
          <w:rFonts w:ascii="Times New Roman" w:hAnsi="Times New Roman" w:cs="Times New Roman"/>
          <w:sz w:val="24"/>
          <w:szCs w:val="24"/>
        </w:rPr>
        <w:instrText xml:space="preserve"> ADDIN EN.REFLIST </w:instrText>
      </w:r>
      <w:r w:rsidRPr="00CA08B2">
        <w:rPr>
          <w:rFonts w:ascii="Times New Roman" w:hAnsi="Times New Roman" w:cs="Times New Roman"/>
          <w:sz w:val="24"/>
          <w:szCs w:val="24"/>
        </w:rPr>
        <w:fldChar w:fldCharType="separate"/>
      </w:r>
      <w:r w:rsidR="00C42D99" w:rsidRPr="00CA08B2">
        <w:rPr>
          <w:rFonts w:ascii="Times New Roman" w:hAnsi="Times New Roman" w:cs="Times New Roman"/>
        </w:rPr>
        <w:t>ADOBOR, H. &amp; MCMULLEN, R. S. J. T. I. J. O. L. M. 2018. Supply chain resilience: a dynamic and multidimensional approach. 29</w:t>
      </w:r>
      <w:r w:rsidR="00C42D99" w:rsidRPr="00CA08B2">
        <w:rPr>
          <w:rFonts w:ascii="Times New Roman" w:hAnsi="Times New Roman" w:cs="Times New Roman"/>
          <w:b/>
        </w:rPr>
        <w:t>,</w:t>
      </w:r>
      <w:r w:rsidR="00C42D99" w:rsidRPr="00CA08B2">
        <w:rPr>
          <w:rFonts w:ascii="Times New Roman" w:hAnsi="Times New Roman" w:cs="Times New Roman"/>
        </w:rPr>
        <w:t xml:space="preserve"> 1451-1471.</w:t>
      </w:r>
    </w:p>
    <w:p w14:paraId="631FD744"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ADOBOR, H. J. I. J. O. L. R. &amp; APPLICATIONS 2019. Supply chain resilience: a multi-level framework. 22</w:t>
      </w:r>
      <w:r w:rsidRPr="00CA08B2">
        <w:rPr>
          <w:rFonts w:ascii="Times New Roman" w:hAnsi="Times New Roman" w:cs="Times New Roman"/>
          <w:b/>
        </w:rPr>
        <w:t>,</w:t>
      </w:r>
      <w:r w:rsidRPr="00CA08B2">
        <w:rPr>
          <w:rFonts w:ascii="Times New Roman" w:hAnsi="Times New Roman" w:cs="Times New Roman"/>
        </w:rPr>
        <w:t xml:space="preserve"> 533-556.</w:t>
      </w:r>
    </w:p>
    <w:p w14:paraId="6748A957"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BELHADI, A., MANI, V., KAMBLE, S. S., KHAN, S. A. R. &amp; VERMA, S. J. A. O. O. R. 2024. Artificial intelligence-driven innovation for enhancing supply chain resilience and performance under the effect of supply chain dynamism: an empirical investigation. 333</w:t>
      </w:r>
      <w:r w:rsidRPr="00CA08B2">
        <w:rPr>
          <w:rFonts w:ascii="Times New Roman" w:hAnsi="Times New Roman" w:cs="Times New Roman"/>
          <w:b/>
        </w:rPr>
        <w:t>,</w:t>
      </w:r>
      <w:r w:rsidRPr="00CA08B2">
        <w:rPr>
          <w:rFonts w:ascii="Times New Roman" w:hAnsi="Times New Roman" w:cs="Times New Roman"/>
        </w:rPr>
        <w:t xml:space="preserve"> 627-652.</w:t>
      </w:r>
    </w:p>
    <w:p w14:paraId="2410D526"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BRUSSET, X. &amp; TELLER, C. J. I. J. O. P. E. 2017. Supply chain capabilities, risks, and resilience. 184</w:t>
      </w:r>
      <w:r w:rsidRPr="00CA08B2">
        <w:rPr>
          <w:rFonts w:ascii="Times New Roman" w:hAnsi="Times New Roman" w:cs="Times New Roman"/>
          <w:b/>
        </w:rPr>
        <w:t>,</w:t>
      </w:r>
      <w:r w:rsidRPr="00CA08B2">
        <w:rPr>
          <w:rFonts w:ascii="Times New Roman" w:hAnsi="Times New Roman" w:cs="Times New Roman"/>
        </w:rPr>
        <w:t xml:space="preserve"> 59-68.</w:t>
      </w:r>
    </w:p>
    <w:p w14:paraId="5A3310AA"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CHOD, J., TRICHAKIS, N. &amp; TSOUKALAS, G. J. M. S. 2019. Supplier diversification under buyer risk. 65</w:t>
      </w:r>
      <w:r w:rsidRPr="00CA08B2">
        <w:rPr>
          <w:rFonts w:ascii="Times New Roman" w:hAnsi="Times New Roman" w:cs="Times New Roman"/>
          <w:b/>
        </w:rPr>
        <w:t>,</w:t>
      </w:r>
      <w:r w:rsidRPr="00CA08B2">
        <w:rPr>
          <w:rFonts w:ascii="Times New Roman" w:hAnsi="Times New Roman" w:cs="Times New Roman"/>
        </w:rPr>
        <w:t xml:space="preserve"> 3150-3173.</w:t>
      </w:r>
    </w:p>
    <w:p w14:paraId="25CE00BA"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EL BAZ, J. &amp; RUEL, S. J. I. J. O. P. E. 2021. Can supply chain risk management practices mitigate the disruption impacts on supply chains’ resilience and robustness? Evidence from an empirical survey in a COVID-19 outbreak era. 233</w:t>
      </w:r>
      <w:r w:rsidRPr="00CA08B2">
        <w:rPr>
          <w:rFonts w:ascii="Times New Roman" w:hAnsi="Times New Roman" w:cs="Times New Roman"/>
          <w:b/>
        </w:rPr>
        <w:t>,</w:t>
      </w:r>
      <w:r w:rsidRPr="00CA08B2">
        <w:rPr>
          <w:rFonts w:ascii="Times New Roman" w:hAnsi="Times New Roman" w:cs="Times New Roman"/>
        </w:rPr>
        <w:t xml:space="preserve"> 107972.</w:t>
      </w:r>
    </w:p>
    <w:p w14:paraId="7AAAD9CD"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FU, W., CHIEN, C.-F. J. C. &amp; ENGINEERING, I. 2019. UNISON data-driven intermittent demand forecast framework to empower supply chain resilience and an empirical study in electronics distribution. 135</w:t>
      </w:r>
      <w:r w:rsidRPr="00CA08B2">
        <w:rPr>
          <w:rFonts w:ascii="Times New Roman" w:hAnsi="Times New Roman" w:cs="Times New Roman"/>
          <w:b/>
        </w:rPr>
        <w:t>,</w:t>
      </w:r>
      <w:r w:rsidRPr="00CA08B2">
        <w:rPr>
          <w:rFonts w:ascii="Times New Roman" w:hAnsi="Times New Roman" w:cs="Times New Roman"/>
        </w:rPr>
        <w:t xml:space="preserve"> 940-949.</w:t>
      </w:r>
    </w:p>
    <w:p w14:paraId="331D7398"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HE, J., MA, C., PAN, K. J. T. R. P. E. L. &amp; REVIEW, T. 2017. Capacity investment in supply chain with risk averse supplier under risk diversification contract. 106</w:t>
      </w:r>
      <w:r w:rsidRPr="00CA08B2">
        <w:rPr>
          <w:rFonts w:ascii="Times New Roman" w:hAnsi="Times New Roman" w:cs="Times New Roman"/>
          <w:b/>
        </w:rPr>
        <w:t>,</w:t>
      </w:r>
      <w:r w:rsidRPr="00CA08B2">
        <w:rPr>
          <w:rFonts w:ascii="Times New Roman" w:hAnsi="Times New Roman" w:cs="Times New Roman"/>
        </w:rPr>
        <w:t xml:space="preserve"> 255-275.</w:t>
      </w:r>
    </w:p>
    <w:p w14:paraId="6E6593B0"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ISONIEMI, S. 2024. SUPPLY CHAIN RESILIENCE IN ELECTRONIC COMPONENTS SUPPLY CHAIN.</w:t>
      </w:r>
    </w:p>
    <w:p w14:paraId="62B58150"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IVANOV, D., DOLGUI, A. J. P. P. &amp; CONTROL 2021. A digital supply chain twin for managing the disruption risks and resilience in the era of Industry 4.0. 32</w:t>
      </w:r>
      <w:r w:rsidRPr="00CA08B2">
        <w:rPr>
          <w:rFonts w:ascii="Times New Roman" w:hAnsi="Times New Roman" w:cs="Times New Roman"/>
          <w:b/>
        </w:rPr>
        <w:t>,</w:t>
      </w:r>
      <w:r w:rsidRPr="00CA08B2">
        <w:rPr>
          <w:rFonts w:ascii="Times New Roman" w:hAnsi="Times New Roman" w:cs="Times New Roman"/>
        </w:rPr>
        <w:t xml:space="preserve"> 775-788.</w:t>
      </w:r>
    </w:p>
    <w:p w14:paraId="62903866"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IVANOV, D. J. I. J. O. P. R. 2018. Revealing interfaces of supply chain resilience and sustainability: a simulation study. 56</w:t>
      </w:r>
      <w:r w:rsidRPr="00CA08B2">
        <w:rPr>
          <w:rFonts w:ascii="Times New Roman" w:hAnsi="Times New Roman" w:cs="Times New Roman"/>
          <w:b/>
        </w:rPr>
        <w:t>,</w:t>
      </w:r>
      <w:r w:rsidRPr="00CA08B2">
        <w:rPr>
          <w:rFonts w:ascii="Times New Roman" w:hAnsi="Times New Roman" w:cs="Times New Roman"/>
        </w:rPr>
        <w:t xml:space="preserve"> 3507-3523.</w:t>
      </w:r>
    </w:p>
    <w:p w14:paraId="346B581F"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JAIN, K. J. I. J. O. H. C. Q. A. 2017. Use of failure mode effect analysis (FMEA) to improve medication management process. 30</w:t>
      </w:r>
      <w:r w:rsidRPr="00CA08B2">
        <w:rPr>
          <w:rFonts w:ascii="Times New Roman" w:hAnsi="Times New Roman" w:cs="Times New Roman"/>
          <w:b/>
        </w:rPr>
        <w:t>,</w:t>
      </w:r>
      <w:r w:rsidRPr="00CA08B2">
        <w:rPr>
          <w:rFonts w:ascii="Times New Roman" w:hAnsi="Times New Roman" w:cs="Times New Roman"/>
        </w:rPr>
        <w:t xml:space="preserve"> 175-186.</w:t>
      </w:r>
    </w:p>
    <w:p w14:paraId="1A6EC7A5"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JAIN, V., KUMAR, S., SONI, U. &amp; CHANDRA, C. J. I. J. O. P. R. 2017. Supply chain resilience: model development and empirical analysis. 55</w:t>
      </w:r>
      <w:r w:rsidRPr="00CA08B2">
        <w:rPr>
          <w:rFonts w:ascii="Times New Roman" w:hAnsi="Times New Roman" w:cs="Times New Roman"/>
          <w:b/>
        </w:rPr>
        <w:t>,</w:t>
      </w:r>
      <w:r w:rsidRPr="00CA08B2">
        <w:rPr>
          <w:rFonts w:ascii="Times New Roman" w:hAnsi="Times New Roman" w:cs="Times New Roman"/>
        </w:rPr>
        <w:t xml:space="preserve"> 6779-6800.</w:t>
      </w:r>
    </w:p>
    <w:p w14:paraId="68E525D0"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JUAN, S.-J., LI, E. Y. &amp; HUNG, W.-H. J. T. I. J. O. L. M. 2022. An integrated model of supply chain resilience and its impact on supply chain performance under disruption. 33</w:t>
      </w:r>
      <w:r w:rsidRPr="00CA08B2">
        <w:rPr>
          <w:rFonts w:ascii="Times New Roman" w:hAnsi="Times New Roman" w:cs="Times New Roman"/>
          <w:b/>
        </w:rPr>
        <w:t>,</w:t>
      </w:r>
      <w:r w:rsidRPr="00CA08B2">
        <w:rPr>
          <w:rFonts w:ascii="Times New Roman" w:hAnsi="Times New Roman" w:cs="Times New Roman"/>
        </w:rPr>
        <w:t xml:space="preserve"> 339-364.</w:t>
      </w:r>
    </w:p>
    <w:p w14:paraId="1150AF50"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LI, G., LIU, M. &amp; ZHENG, H. J. O. 2022. Subsidization or diversification? Mitigating supply disruption with manufacturer information sharing. 112</w:t>
      </w:r>
      <w:r w:rsidRPr="00CA08B2">
        <w:rPr>
          <w:rFonts w:ascii="Times New Roman" w:hAnsi="Times New Roman" w:cs="Times New Roman"/>
          <w:b/>
        </w:rPr>
        <w:t>,</w:t>
      </w:r>
      <w:r w:rsidRPr="00CA08B2">
        <w:rPr>
          <w:rFonts w:ascii="Times New Roman" w:hAnsi="Times New Roman" w:cs="Times New Roman"/>
        </w:rPr>
        <w:t xml:space="preserve"> 102670.</w:t>
      </w:r>
    </w:p>
    <w:p w14:paraId="59D99EE1"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MIN, H. J. B. H. 2019. Blockchain technology for enhancing supply chain resilience. 62</w:t>
      </w:r>
      <w:r w:rsidRPr="00CA08B2">
        <w:rPr>
          <w:rFonts w:ascii="Times New Roman" w:hAnsi="Times New Roman" w:cs="Times New Roman"/>
          <w:b/>
        </w:rPr>
        <w:t>,</w:t>
      </w:r>
      <w:r w:rsidRPr="00CA08B2">
        <w:rPr>
          <w:rFonts w:ascii="Times New Roman" w:hAnsi="Times New Roman" w:cs="Times New Roman"/>
        </w:rPr>
        <w:t xml:space="preserve"> 35-45.</w:t>
      </w:r>
    </w:p>
    <w:p w14:paraId="79359B9F"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MODGIL, S., SINGH, R. K. &amp; HANNIBAL, C. J. T. I. J. O. L. M. 2022. Artificial intelligence for supply chain resilience: learning from Covid-19. 33</w:t>
      </w:r>
      <w:r w:rsidRPr="00CA08B2">
        <w:rPr>
          <w:rFonts w:ascii="Times New Roman" w:hAnsi="Times New Roman" w:cs="Times New Roman"/>
          <w:b/>
        </w:rPr>
        <w:t>,</w:t>
      </w:r>
      <w:r w:rsidRPr="00CA08B2">
        <w:rPr>
          <w:rFonts w:ascii="Times New Roman" w:hAnsi="Times New Roman" w:cs="Times New Roman"/>
        </w:rPr>
        <w:t xml:space="preserve"> 1246-1268.</w:t>
      </w:r>
    </w:p>
    <w:p w14:paraId="1D2E2460"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MUBARIK, M. S., NAGHAVI, N., MUBARIK, M., KUSI-SARPONG, S., KHAN, S. A., ZAMAN, S. I. &amp; KAZMI, S. H. A. J. J. O. C. P. 2021. Resilience and cleaner production in industry 4.0: Role of supply chain mapping and visibility. 292</w:t>
      </w:r>
      <w:r w:rsidRPr="00CA08B2">
        <w:rPr>
          <w:rFonts w:ascii="Times New Roman" w:hAnsi="Times New Roman" w:cs="Times New Roman"/>
          <w:b/>
        </w:rPr>
        <w:t>,</w:t>
      </w:r>
      <w:r w:rsidRPr="00CA08B2">
        <w:rPr>
          <w:rFonts w:ascii="Times New Roman" w:hAnsi="Times New Roman" w:cs="Times New Roman"/>
        </w:rPr>
        <w:t xml:space="preserve"> 126058.</w:t>
      </w:r>
    </w:p>
    <w:p w14:paraId="4EC45336"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PETTIT, T. J., CROXTON, K. L. &amp; FIKSEL, J. J. J. O. B. L. 2019. The evolution of resilience in supply chain management: a retrospective on ensuring supply chain resilience. 40</w:t>
      </w:r>
      <w:r w:rsidRPr="00CA08B2">
        <w:rPr>
          <w:rFonts w:ascii="Times New Roman" w:hAnsi="Times New Roman" w:cs="Times New Roman"/>
          <w:b/>
        </w:rPr>
        <w:t>,</w:t>
      </w:r>
      <w:r w:rsidRPr="00CA08B2">
        <w:rPr>
          <w:rFonts w:ascii="Times New Roman" w:hAnsi="Times New Roman" w:cs="Times New Roman"/>
        </w:rPr>
        <w:t xml:space="preserve"> 56-65.</w:t>
      </w:r>
    </w:p>
    <w:p w14:paraId="5C04960E"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RAJESH, R. J. T. F. &amp; CHANGE, S. 2017. Technological capabilities and supply chain resilience of firms: A relational analysis using Total Interpretive Structural Modeling (TISM). 118</w:t>
      </w:r>
      <w:r w:rsidRPr="00CA08B2">
        <w:rPr>
          <w:rFonts w:ascii="Times New Roman" w:hAnsi="Times New Roman" w:cs="Times New Roman"/>
          <w:b/>
        </w:rPr>
        <w:t>,</w:t>
      </w:r>
      <w:r w:rsidRPr="00CA08B2">
        <w:rPr>
          <w:rFonts w:ascii="Times New Roman" w:hAnsi="Times New Roman" w:cs="Times New Roman"/>
        </w:rPr>
        <w:t xml:space="preserve"> 161-169.</w:t>
      </w:r>
    </w:p>
    <w:p w14:paraId="5F1A907B"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RIBEIRO, J. P., BARBOSA-POVOA, A. J. C. &amp; ENGINEERING, I. 2018. Supply Chain Resilience: Definitions and quantitative modelling approaches–A literature review. 115</w:t>
      </w:r>
      <w:r w:rsidRPr="00CA08B2">
        <w:rPr>
          <w:rFonts w:ascii="Times New Roman" w:hAnsi="Times New Roman" w:cs="Times New Roman"/>
          <w:b/>
        </w:rPr>
        <w:t>,</w:t>
      </w:r>
      <w:r w:rsidRPr="00CA08B2">
        <w:rPr>
          <w:rFonts w:ascii="Times New Roman" w:hAnsi="Times New Roman" w:cs="Times New Roman"/>
        </w:rPr>
        <w:t xml:space="preserve"> 109-122.</w:t>
      </w:r>
    </w:p>
    <w:p w14:paraId="3814719E"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SADIK-ZADA, E. R., GATTO, A. J. F. E. T. E. T. T. D. O. T. I. C. &amp; EUROPE, E. 2021. Energy security pathways in South East Europe: Diversification of the natural gas supplies, energy transition, and energy futures. 491-514.</w:t>
      </w:r>
    </w:p>
    <w:p w14:paraId="7CA8E85E"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lastRenderedPageBreak/>
        <w:t>SASTRY, A., KULASEKARAN, S., FLICKER, J., AYYANAR, R., TAMIZHMANI, G., ROY, J., SRINIVASAN, D. &amp; TILFORD, I. Failure modes and effect analysis of module level power electronics.  2015 IEEE 42nd Photovoltaic Specialist Conference (PVSC), 2015. IEEE, 1-3.</w:t>
      </w:r>
    </w:p>
    <w:p w14:paraId="223B958D"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SHARMA, K. D. &amp; SRIVASTAVA, S. J. J. A. R. A. S. S. 2018. Failure mode and effect analysis (FMEA) implementation: a literature review. 5</w:t>
      </w:r>
      <w:r w:rsidRPr="00CA08B2">
        <w:rPr>
          <w:rFonts w:ascii="Times New Roman" w:hAnsi="Times New Roman" w:cs="Times New Roman"/>
          <w:b/>
        </w:rPr>
        <w:t>,</w:t>
      </w:r>
      <w:r w:rsidRPr="00CA08B2">
        <w:rPr>
          <w:rFonts w:ascii="Times New Roman" w:hAnsi="Times New Roman" w:cs="Times New Roman"/>
        </w:rPr>
        <w:t xml:space="preserve"> 1-17.</w:t>
      </w:r>
    </w:p>
    <w:p w14:paraId="0329E7CF"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SHASHI, CENTOBELLI, P., CERCHIONE, R., ERTZ, M. J. B. S. &amp; ENVIRONMENT, T. 2020. Managing supply chain resilience to pursue business and environmental strategies. 29</w:t>
      </w:r>
      <w:r w:rsidRPr="00CA08B2">
        <w:rPr>
          <w:rFonts w:ascii="Times New Roman" w:hAnsi="Times New Roman" w:cs="Times New Roman"/>
          <w:b/>
        </w:rPr>
        <w:t>,</w:t>
      </w:r>
      <w:r w:rsidRPr="00CA08B2">
        <w:rPr>
          <w:rFonts w:ascii="Times New Roman" w:hAnsi="Times New Roman" w:cs="Times New Roman"/>
        </w:rPr>
        <w:t xml:space="preserve"> 1215-1246.</w:t>
      </w:r>
    </w:p>
    <w:p w14:paraId="4BD6DE8A"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SHEN, Z. M. &amp; SUN, Y. J. J. O. O. M. 2023. Strengthening supply chain resilience during COVID‐19: A case study of JD. com. 69</w:t>
      </w:r>
      <w:r w:rsidRPr="00CA08B2">
        <w:rPr>
          <w:rFonts w:ascii="Times New Roman" w:hAnsi="Times New Roman" w:cs="Times New Roman"/>
          <w:b/>
        </w:rPr>
        <w:t>,</w:t>
      </w:r>
      <w:r w:rsidRPr="00CA08B2">
        <w:rPr>
          <w:rFonts w:ascii="Times New Roman" w:hAnsi="Times New Roman" w:cs="Times New Roman"/>
        </w:rPr>
        <w:t xml:space="preserve"> 359-383.</w:t>
      </w:r>
    </w:p>
    <w:p w14:paraId="3E8BEC12"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SPIESKE, A., BIRKEL, H. J. C. &amp; ENGINEERING, I. 2021. Improving supply chain resilience through industry 4.0: A systematic literature review under the impressions of the COVID-19 pandemic. 158</w:t>
      </w:r>
      <w:r w:rsidRPr="00CA08B2">
        <w:rPr>
          <w:rFonts w:ascii="Times New Roman" w:hAnsi="Times New Roman" w:cs="Times New Roman"/>
          <w:b/>
        </w:rPr>
        <w:t>,</w:t>
      </w:r>
      <w:r w:rsidRPr="00CA08B2">
        <w:rPr>
          <w:rFonts w:ascii="Times New Roman" w:hAnsi="Times New Roman" w:cs="Times New Roman"/>
        </w:rPr>
        <w:t xml:space="preserve"> 107452.</w:t>
      </w:r>
    </w:p>
    <w:p w14:paraId="18AED0A6"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SPIESKE, A., GEBHARDT, M., KOPYTO, M., BIRKEL, H. J. J. O. P. &amp; MANAGEMENT, S. 2022. Improving resilience of the healthcare supply chain in a pandemic: Evidence from Europe during the COVID-19 crisis. 28</w:t>
      </w:r>
      <w:r w:rsidRPr="00CA08B2">
        <w:rPr>
          <w:rFonts w:ascii="Times New Roman" w:hAnsi="Times New Roman" w:cs="Times New Roman"/>
          <w:b/>
        </w:rPr>
        <w:t>,</w:t>
      </w:r>
      <w:r w:rsidRPr="00CA08B2">
        <w:rPr>
          <w:rFonts w:ascii="Times New Roman" w:hAnsi="Times New Roman" w:cs="Times New Roman"/>
        </w:rPr>
        <w:t xml:space="preserve"> 100748.</w:t>
      </w:r>
    </w:p>
    <w:p w14:paraId="0C924CE9"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VAN HOEK, R. J. I. J. O. O. &amp; MANAGEMENT, P. 2020. Research opportunities for a more resilient post-COVID-19 supply chain–closing the gap between research findings and industry practice. 40</w:t>
      </w:r>
      <w:r w:rsidRPr="00CA08B2">
        <w:rPr>
          <w:rFonts w:ascii="Times New Roman" w:hAnsi="Times New Roman" w:cs="Times New Roman"/>
          <w:b/>
        </w:rPr>
        <w:t>,</w:t>
      </w:r>
      <w:r w:rsidRPr="00CA08B2">
        <w:rPr>
          <w:rFonts w:ascii="Times New Roman" w:hAnsi="Times New Roman" w:cs="Times New Roman"/>
        </w:rPr>
        <w:t xml:space="preserve"> 341-355.</w:t>
      </w:r>
    </w:p>
    <w:p w14:paraId="200DFCFB" w14:textId="77777777" w:rsidR="00C42D99" w:rsidRPr="00CA08B2" w:rsidRDefault="00C42D99" w:rsidP="00C42D99">
      <w:pPr>
        <w:pStyle w:val="EndNoteBibliography"/>
        <w:spacing w:after="0"/>
        <w:ind w:left="720" w:hanging="720"/>
        <w:rPr>
          <w:rFonts w:ascii="Times New Roman" w:hAnsi="Times New Roman" w:cs="Times New Roman"/>
        </w:rPr>
      </w:pPr>
      <w:r w:rsidRPr="00CA08B2">
        <w:rPr>
          <w:rFonts w:ascii="Times New Roman" w:hAnsi="Times New Roman" w:cs="Times New Roman"/>
        </w:rPr>
        <w:t>WIELAND, A. &amp; DURACH, C. F. J. J. O. B. L. 2021. Two perspectives on supply chain resilience. Wiley Online Library.</w:t>
      </w:r>
    </w:p>
    <w:p w14:paraId="6E10D4CF" w14:textId="77777777" w:rsidR="00C42D99" w:rsidRPr="00CA08B2" w:rsidRDefault="00C42D99" w:rsidP="00C42D99">
      <w:pPr>
        <w:pStyle w:val="EndNoteBibliography"/>
        <w:ind w:left="720" w:hanging="720"/>
        <w:rPr>
          <w:rFonts w:ascii="Times New Roman" w:hAnsi="Times New Roman" w:cs="Times New Roman"/>
        </w:rPr>
      </w:pPr>
      <w:r w:rsidRPr="00CA08B2">
        <w:rPr>
          <w:rFonts w:ascii="Times New Roman" w:hAnsi="Times New Roman" w:cs="Times New Roman"/>
        </w:rPr>
        <w:t>YANG, L., HOLTZ, D., JAFFE, S., SURI, S., SINHA, S., WESTON, J., JOYCE, C., SHAH, N., SHERMAN, K. &amp; HECHT, B. J. N. H. B. 2022. The effects of remote work on collaboration among information workers. 6</w:t>
      </w:r>
      <w:r w:rsidRPr="00CA08B2">
        <w:rPr>
          <w:rFonts w:ascii="Times New Roman" w:hAnsi="Times New Roman" w:cs="Times New Roman"/>
          <w:b/>
        </w:rPr>
        <w:t>,</w:t>
      </w:r>
      <w:r w:rsidRPr="00CA08B2">
        <w:rPr>
          <w:rFonts w:ascii="Times New Roman" w:hAnsi="Times New Roman" w:cs="Times New Roman"/>
        </w:rPr>
        <w:t xml:space="preserve"> 43-54.</w:t>
      </w:r>
    </w:p>
    <w:p w14:paraId="676411FB" w14:textId="7A0006C6" w:rsidR="00266BEF" w:rsidRPr="00CA08B2" w:rsidRDefault="00A34845" w:rsidP="00293140">
      <w:pPr>
        <w:spacing w:line="360" w:lineRule="auto"/>
        <w:jc w:val="both"/>
        <w:rPr>
          <w:rFonts w:ascii="Times New Roman" w:hAnsi="Times New Roman" w:cs="Times New Roman"/>
          <w:sz w:val="24"/>
          <w:szCs w:val="24"/>
        </w:rPr>
      </w:pPr>
      <w:r w:rsidRPr="00CA08B2">
        <w:rPr>
          <w:rFonts w:ascii="Times New Roman" w:hAnsi="Times New Roman" w:cs="Times New Roman"/>
          <w:sz w:val="24"/>
          <w:szCs w:val="24"/>
        </w:rPr>
        <w:fldChar w:fldCharType="end"/>
      </w:r>
    </w:p>
    <w:sectPr w:rsidR="00266BEF" w:rsidRPr="00CA08B2">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39749" w14:textId="77777777" w:rsidR="00F87B43" w:rsidRDefault="00F87B43" w:rsidP="00557066">
      <w:pPr>
        <w:spacing w:after="0" w:line="240" w:lineRule="auto"/>
      </w:pPr>
      <w:r>
        <w:separator/>
      </w:r>
    </w:p>
  </w:endnote>
  <w:endnote w:type="continuationSeparator" w:id="0">
    <w:p w14:paraId="023D9875" w14:textId="77777777" w:rsidR="00F87B43" w:rsidRDefault="00F87B43" w:rsidP="00557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989290"/>
      <w:docPartObj>
        <w:docPartGallery w:val="Page Numbers (Bottom of Page)"/>
        <w:docPartUnique/>
      </w:docPartObj>
    </w:sdtPr>
    <w:sdtEndPr>
      <w:rPr>
        <w:noProof/>
      </w:rPr>
    </w:sdtEndPr>
    <w:sdtContent>
      <w:p w14:paraId="35D9FBA4" w14:textId="7597BA21" w:rsidR="00557066" w:rsidRDefault="005570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C5EBC8" w14:textId="77777777" w:rsidR="005B30B6" w:rsidRDefault="005B30B6">
    <w:pPr>
      <w:pStyle w:val="Footer"/>
      <w:rPr>
        <w:rFonts w:ascii="Arial" w:hAnsi="Arial" w:cs="Arial"/>
        <w:b/>
      </w:rPr>
    </w:pPr>
  </w:p>
  <w:p w14:paraId="7AAF8423" w14:textId="0BEF7E1E" w:rsidR="00557066" w:rsidRDefault="005B30B6">
    <w:pPr>
      <w:pStyle w:val="Footer"/>
    </w:pPr>
    <w:r>
      <w:rPr>
        <w:rFonts w:ascii="Arial" w:hAnsi="Arial" w:cs="Arial"/>
        <w:b/>
      </w:rPr>
      <w:t>Procurement and Supply Chain Management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C63B8" w14:textId="77777777" w:rsidR="00F87B43" w:rsidRDefault="00F87B43" w:rsidP="00557066">
      <w:pPr>
        <w:spacing w:after="0" w:line="240" w:lineRule="auto"/>
      </w:pPr>
      <w:r>
        <w:separator/>
      </w:r>
    </w:p>
  </w:footnote>
  <w:footnote w:type="continuationSeparator" w:id="0">
    <w:p w14:paraId="0E72D4CD" w14:textId="77777777" w:rsidR="00F87B43" w:rsidRDefault="00F87B43" w:rsidP="00557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941DF" w14:textId="4E405676" w:rsidR="005B30B6" w:rsidRDefault="005B30B6">
    <w:pPr>
      <w:pStyle w:val="Header"/>
    </w:pPr>
    <w:r>
      <w:rPr>
        <w:rFonts w:ascii="Arial" w:hAnsi="Arial" w:cs="Arial"/>
        <w:b/>
      </w:rPr>
      <w:t>Procurement and Supply Chain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7E16"/>
    <w:multiLevelType w:val="multilevel"/>
    <w:tmpl w:val="E3EA16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42445"/>
    <w:multiLevelType w:val="multilevel"/>
    <w:tmpl w:val="3D764B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D354A9"/>
    <w:multiLevelType w:val="multilevel"/>
    <w:tmpl w:val="5C4C6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6A2C2D"/>
    <w:multiLevelType w:val="multilevel"/>
    <w:tmpl w:val="03A2A1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FA30D4"/>
    <w:multiLevelType w:val="multilevel"/>
    <w:tmpl w:val="E19E2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D9514B"/>
    <w:multiLevelType w:val="multilevel"/>
    <w:tmpl w:val="C8224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00031E"/>
    <w:multiLevelType w:val="multilevel"/>
    <w:tmpl w:val="AC468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3B2E33"/>
    <w:multiLevelType w:val="multilevel"/>
    <w:tmpl w:val="36E0B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60033E"/>
    <w:multiLevelType w:val="multilevel"/>
    <w:tmpl w:val="1F401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EC3412"/>
    <w:multiLevelType w:val="multilevel"/>
    <w:tmpl w:val="CBDEB7A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154D70"/>
    <w:multiLevelType w:val="multilevel"/>
    <w:tmpl w:val="316E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AA6555"/>
    <w:multiLevelType w:val="multilevel"/>
    <w:tmpl w:val="5056659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E270A42"/>
    <w:multiLevelType w:val="multilevel"/>
    <w:tmpl w:val="7916C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C74835"/>
    <w:multiLevelType w:val="multilevel"/>
    <w:tmpl w:val="BEC046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2647673">
    <w:abstractNumId w:val="8"/>
  </w:num>
  <w:num w:numId="2" w16cid:durableId="135682084">
    <w:abstractNumId w:val="2"/>
  </w:num>
  <w:num w:numId="3" w16cid:durableId="626080655">
    <w:abstractNumId w:val="6"/>
  </w:num>
  <w:num w:numId="4" w16cid:durableId="676269624">
    <w:abstractNumId w:val="7"/>
  </w:num>
  <w:num w:numId="5" w16cid:durableId="1323653646">
    <w:abstractNumId w:val="12"/>
  </w:num>
  <w:num w:numId="6" w16cid:durableId="885456922">
    <w:abstractNumId w:val="4"/>
  </w:num>
  <w:num w:numId="7" w16cid:durableId="717361122">
    <w:abstractNumId w:val="0"/>
  </w:num>
  <w:num w:numId="8" w16cid:durableId="1694957630">
    <w:abstractNumId w:val="1"/>
  </w:num>
  <w:num w:numId="9" w16cid:durableId="27488063">
    <w:abstractNumId w:val="13"/>
  </w:num>
  <w:num w:numId="10" w16cid:durableId="8529117">
    <w:abstractNumId w:val="3"/>
  </w:num>
  <w:num w:numId="11" w16cid:durableId="1233537898">
    <w:abstractNumId w:val="5"/>
  </w:num>
  <w:num w:numId="12" w16cid:durableId="1295864379">
    <w:abstractNumId w:val="10"/>
  </w:num>
  <w:num w:numId="13" w16cid:durableId="564225656">
    <w:abstractNumId w:val="9"/>
  </w:num>
  <w:num w:numId="14" w16cid:durableId="13400434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p0t0fz5q9wvv2etf21x9vp5rv92ew2dstft&quot;&gt;My EndNote Library&lt;record-ids&gt;&lt;item&gt;436&lt;/item&gt;&lt;item&gt;437&lt;/item&gt;&lt;item&gt;438&lt;/item&gt;&lt;item&gt;439&lt;/item&gt;&lt;item&gt;440&lt;/item&gt;&lt;item&gt;441&lt;/item&gt;&lt;item&gt;442&lt;/item&gt;&lt;item&gt;443&lt;/item&gt;&lt;item&gt;444&lt;/item&gt;&lt;item&gt;445&lt;/item&gt;&lt;item&gt;446&lt;/item&gt;&lt;item&gt;447&lt;/item&gt;&lt;item&gt;448&lt;/item&gt;&lt;item&gt;449&lt;/item&gt;&lt;item&gt;450&lt;/item&gt;&lt;item&gt;451&lt;/item&gt;&lt;item&gt;452&lt;/item&gt;&lt;item&gt;453&lt;/item&gt;&lt;item&gt;454&lt;/item&gt;&lt;item&gt;455&lt;/item&gt;&lt;item&gt;456&lt;/item&gt;&lt;item&gt;457&lt;/item&gt;&lt;item&gt;458&lt;/item&gt;&lt;item&gt;459&lt;/item&gt;&lt;item&gt;460&lt;/item&gt;&lt;item&gt;461&lt;/item&gt;&lt;item&gt;462&lt;/item&gt;&lt;item&gt;463&lt;/item&gt;&lt;item&gt;464&lt;/item&gt;&lt;item&gt;465&lt;/item&gt;&lt;item&gt;466&lt;/item&gt;&lt;item&gt;467&lt;/item&gt;&lt;item&gt;468&lt;/item&gt;&lt;/record-ids&gt;&lt;/item&gt;&lt;/Libraries&gt;"/>
  </w:docVars>
  <w:rsids>
    <w:rsidRoot w:val="00123816"/>
    <w:rsid w:val="00050527"/>
    <w:rsid w:val="00063ADB"/>
    <w:rsid w:val="00086A65"/>
    <w:rsid w:val="00123816"/>
    <w:rsid w:val="001644FC"/>
    <w:rsid w:val="001D51E5"/>
    <w:rsid w:val="00266BEF"/>
    <w:rsid w:val="00293140"/>
    <w:rsid w:val="002B51C8"/>
    <w:rsid w:val="002E78BC"/>
    <w:rsid w:val="002F4B42"/>
    <w:rsid w:val="003016AA"/>
    <w:rsid w:val="00370FA8"/>
    <w:rsid w:val="003B01FB"/>
    <w:rsid w:val="003E776A"/>
    <w:rsid w:val="0040065D"/>
    <w:rsid w:val="004E1D8D"/>
    <w:rsid w:val="00512B22"/>
    <w:rsid w:val="0052335A"/>
    <w:rsid w:val="00557066"/>
    <w:rsid w:val="0058222F"/>
    <w:rsid w:val="005A31B9"/>
    <w:rsid w:val="005A74BE"/>
    <w:rsid w:val="005B30B6"/>
    <w:rsid w:val="005E4156"/>
    <w:rsid w:val="00601B8E"/>
    <w:rsid w:val="007435F5"/>
    <w:rsid w:val="0075408F"/>
    <w:rsid w:val="00763209"/>
    <w:rsid w:val="007A7198"/>
    <w:rsid w:val="007B7272"/>
    <w:rsid w:val="007F55B5"/>
    <w:rsid w:val="008648CE"/>
    <w:rsid w:val="008B4D58"/>
    <w:rsid w:val="008B605A"/>
    <w:rsid w:val="008E266D"/>
    <w:rsid w:val="008F1B3D"/>
    <w:rsid w:val="008F4AFE"/>
    <w:rsid w:val="00960712"/>
    <w:rsid w:val="00971C8B"/>
    <w:rsid w:val="009967D2"/>
    <w:rsid w:val="009B1CC3"/>
    <w:rsid w:val="00A34845"/>
    <w:rsid w:val="00AF0E6E"/>
    <w:rsid w:val="00B462F0"/>
    <w:rsid w:val="00B806BE"/>
    <w:rsid w:val="00B93CAF"/>
    <w:rsid w:val="00BC5F4E"/>
    <w:rsid w:val="00C21A4C"/>
    <w:rsid w:val="00C25EB6"/>
    <w:rsid w:val="00C42D99"/>
    <w:rsid w:val="00C44343"/>
    <w:rsid w:val="00CA08B2"/>
    <w:rsid w:val="00CF7DAA"/>
    <w:rsid w:val="00D14CC0"/>
    <w:rsid w:val="00D21886"/>
    <w:rsid w:val="00D331AB"/>
    <w:rsid w:val="00DA5FE4"/>
    <w:rsid w:val="00DB43BF"/>
    <w:rsid w:val="00DB6C17"/>
    <w:rsid w:val="00DF72B6"/>
    <w:rsid w:val="00E201C6"/>
    <w:rsid w:val="00E6394B"/>
    <w:rsid w:val="00E7450D"/>
    <w:rsid w:val="00E746FB"/>
    <w:rsid w:val="00E9079A"/>
    <w:rsid w:val="00EF3EC7"/>
    <w:rsid w:val="00F03857"/>
    <w:rsid w:val="00F342BD"/>
    <w:rsid w:val="00F63155"/>
    <w:rsid w:val="00F758A3"/>
    <w:rsid w:val="00F87B43"/>
    <w:rsid w:val="00FB09E3"/>
    <w:rsid w:val="00FF14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B416"/>
  <w15:chartTrackingRefBased/>
  <w15:docId w15:val="{1B357B0C-6AE3-41B8-9900-A9541DEBD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6BE"/>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806BE"/>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0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5052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B806BE"/>
    <w:rPr>
      <w:rFonts w:asciiTheme="majorHAnsi" w:eastAsiaTheme="majorEastAsia" w:hAnsiTheme="majorHAnsi" w:cstheme="majorBidi"/>
      <w:b/>
      <w:color w:val="2F5496" w:themeColor="accent1" w:themeShade="BF"/>
      <w:sz w:val="32"/>
      <w:szCs w:val="32"/>
    </w:rPr>
  </w:style>
  <w:style w:type="paragraph" w:styleId="ListParagraph">
    <w:name w:val="List Paragraph"/>
    <w:basedOn w:val="Normal"/>
    <w:uiPriority w:val="34"/>
    <w:qFormat/>
    <w:rsid w:val="007A7198"/>
    <w:pPr>
      <w:ind w:left="720"/>
      <w:contextualSpacing/>
    </w:pPr>
  </w:style>
  <w:style w:type="character" w:customStyle="1" w:styleId="Heading2Char">
    <w:name w:val="Heading 2 Char"/>
    <w:basedOn w:val="DefaultParagraphFont"/>
    <w:link w:val="Heading2"/>
    <w:uiPriority w:val="9"/>
    <w:rsid w:val="00B806BE"/>
    <w:rPr>
      <w:rFonts w:asciiTheme="majorHAnsi" w:eastAsiaTheme="majorEastAsia" w:hAnsiTheme="majorHAnsi" w:cstheme="majorBidi"/>
      <w:b/>
      <w:color w:val="2F5496" w:themeColor="accent1" w:themeShade="BF"/>
      <w:sz w:val="26"/>
      <w:szCs w:val="26"/>
    </w:rPr>
  </w:style>
  <w:style w:type="paragraph" w:customStyle="1" w:styleId="EndNoteBibliographyTitle">
    <w:name w:val="EndNote Bibliography Title"/>
    <w:basedOn w:val="Normal"/>
    <w:link w:val="EndNoteBibliographyTitleChar"/>
    <w:rsid w:val="00A34845"/>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A34845"/>
    <w:rPr>
      <w:rFonts w:ascii="Calibri" w:hAnsi="Calibri" w:cs="Calibri"/>
      <w:noProof/>
    </w:rPr>
  </w:style>
  <w:style w:type="paragraph" w:customStyle="1" w:styleId="EndNoteBibliography">
    <w:name w:val="EndNote Bibliography"/>
    <w:basedOn w:val="Normal"/>
    <w:link w:val="EndNoteBibliographyChar"/>
    <w:rsid w:val="00A34845"/>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A34845"/>
    <w:rPr>
      <w:rFonts w:ascii="Calibri" w:hAnsi="Calibri" w:cs="Calibri"/>
      <w:noProof/>
    </w:rPr>
  </w:style>
  <w:style w:type="paragraph" w:styleId="Header">
    <w:name w:val="header"/>
    <w:basedOn w:val="Normal"/>
    <w:link w:val="HeaderChar"/>
    <w:uiPriority w:val="99"/>
    <w:unhideWhenUsed/>
    <w:rsid w:val="005570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066"/>
  </w:style>
  <w:style w:type="paragraph" w:styleId="Footer">
    <w:name w:val="footer"/>
    <w:basedOn w:val="Normal"/>
    <w:link w:val="FooterChar"/>
    <w:uiPriority w:val="99"/>
    <w:unhideWhenUsed/>
    <w:rsid w:val="005570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7066"/>
  </w:style>
  <w:style w:type="paragraph" w:styleId="TOCHeading">
    <w:name w:val="TOC Heading"/>
    <w:basedOn w:val="Heading1"/>
    <w:next w:val="Normal"/>
    <w:uiPriority w:val="39"/>
    <w:unhideWhenUsed/>
    <w:qFormat/>
    <w:rsid w:val="00557066"/>
    <w:pPr>
      <w:outlineLvl w:val="9"/>
    </w:pPr>
    <w:rPr>
      <w:b w:val="0"/>
      <w:kern w:val="0"/>
      <w14:ligatures w14:val="none"/>
    </w:rPr>
  </w:style>
  <w:style w:type="paragraph" w:styleId="TOC1">
    <w:name w:val="toc 1"/>
    <w:basedOn w:val="Normal"/>
    <w:next w:val="Normal"/>
    <w:autoRedefine/>
    <w:uiPriority w:val="39"/>
    <w:unhideWhenUsed/>
    <w:rsid w:val="00557066"/>
    <w:pPr>
      <w:spacing w:after="100"/>
    </w:pPr>
  </w:style>
  <w:style w:type="paragraph" w:styleId="TOC2">
    <w:name w:val="toc 2"/>
    <w:basedOn w:val="Normal"/>
    <w:next w:val="Normal"/>
    <w:autoRedefine/>
    <w:uiPriority w:val="39"/>
    <w:unhideWhenUsed/>
    <w:rsid w:val="00557066"/>
    <w:pPr>
      <w:spacing w:after="100"/>
      <w:ind w:left="220"/>
    </w:pPr>
  </w:style>
  <w:style w:type="character" w:styleId="Hyperlink">
    <w:name w:val="Hyperlink"/>
    <w:basedOn w:val="DefaultParagraphFont"/>
    <w:uiPriority w:val="99"/>
    <w:unhideWhenUsed/>
    <w:rsid w:val="00557066"/>
    <w:rPr>
      <w:color w:val="0563C1" w:themeColor="hyperlink"/>
      <w:u w:val="single"/>
    </w:rPr>
  </w:style>
  <w:style w:type="paragraph" w:styleId="Caption">
    <w:name w:val="caption"/>
    <w:basedOn w:val="Normal"/>
    <w:next w:val="Normal"/>
    <w:uiPriority w:val="35"/>
    <w:unhideWhenUsed/>
    <w:qFormat/>
    <w:rsid w:val="0055706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93CA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73185">
      <w:bodyDiv w:val="1"/>
      <w:marLeft w:val="0"/>
      <w:marRight w:val="0"/>
      <w:marTop w:val="0"/>
      <w:marBottom w:val="0"/>
      <w:divBdr>
        <w:top w:val="none" w:sz="0" w:space="0" w:color="auto"/>
        <w:left w:val="none" w:sz="0" w:space="0" w:color="auto"/>
        <w:bottom w:val="none" w:sz="0" w:space="0" w:color="auto"/>
        <w:right w:val="none" w:sz="0" w:space="0" w:color="auto"/>
      </w:divBdr>
      <w:divsChild>
        <w:div w:id="1792433506">
          <w:marLeft w:val="0"/>
          <w:marRight w:val="0"/>
          <w:marTop w:val="0"/>
          <w:marBottom w:val="0"/>
          <w:divBdr>
            <w:top w:val="single" w:sz="6" w:space="0" w:color="auto"/>
            <w:left w:val="single" w:sz="6" w:space="0" w:color="auto"/>
            <w:bottom w:val="single" w:sz="6" w:space="0" w:color="auto"/>
            <w:right w:val="single" w:sz="6" w:space="0" w:color="auto"/>
          </w:divBdr>
        </w:div>
      </w:divsChild>
    </w:div>
    <w:div w:id="86704364">
      <w:bodyDiv w:val="1"/>
      <w:marLeft w:val="0"/>
      <w:marRight w:val="0"/>
      <w:marTop w:val="0"/>
      <w:marBottom w:val="0"/>
      <w:divBdr>
        <w:top w:val="none" w:sz="0" w:space="0" w:color="auto"/>
        <w:left w:val="none" w:sz="0" w:space="0" w:color="auto"/>
        <w:bottom w:val="none" w:sz="0" w:space="0" w:color="auto"/>
        <w:right w:val="none" w:sz="0" w:space="0" w:color="auto"/>
      </w:divBdr>
    </w:div>
    <w:div w:id="278494145">
      <w:bodyDiv w:val="1"/>
      <w:marLeft w:val="0"/>
      <w:marRight w:val="0"/>
      <w:marTop w:val="0"/>
      <w:marBottom w:val="0"/>
      <w:divBdr>
        <w:top w:val="none" w:sz="0" w:space="0" w:color="auto"/>
        <w:left w:val="none" w:sz="0" w:space="0" w:color="auto"/>
        <w:bottom w:val="none" w:sz="0" w:space="0" w:color="auto"/>
        <w:right w:val="none" w:sz="0" w:space="0" w:color="auto"/>
      </w:divBdr>
    </w:div>
    <w:div w:id="287662745">
      <w:bodyDiv w:val="1"/>
      <w:marLeft w:val="0"/>
      <w:marRight w:val="0"/>
      <w:marTop w:val="0"/>
      <w:marBottom w:val="0"/>
      <w:divBdr>
        <w:top w:val="none" w:sz="0" w:space="0" w:color="auto"/>
        <w:left w:val="none" w:sz="0" w:space="0" w:color="auto"/>
        <w:bottom w:val="none" w:sz="0" w:space="0" w:color="auto"/>
        <w:right w:val="none" w:sz="0" w:space="0" w:color="auto"/>
      </w:divBdr>
    </w:div>
    <w:div w:id="580530772">
      <w:bodyDiv w:val="1"/>
      <w:marLeft w:val="0"/>
      <w:marRight w:val="0"/>
      <w:marTop w:val="0"/>
      <w:marBottom w:val="0"/>
      <w:divBdr>
        <w:top w:val="none" w:sz="0" w:space="0" w:color="auto"/>
        <w:left w:val="none" w:sz="0" w:space="0" w:color="auto"/>
        <w:bottom w:val="none" w:sz="0" w:space="0" w:color="auto"/>
        <w:right w:val="none" w:sz="0" w:space="0" w:color="auto"/>
      </w:divBdr>
    </w:div>
    <w:div w:id="630869849">
      <w:bodyDiv w:val="1"/>
      <w:marLeft w:val="0"/>
      <w:marRight w:val="0"/>
      <w:marTop w:val="0"/>
      <w:marBottom w:val="0"/>
      <w:divBdr>
        <w:top w:val="none" w:sz="0" w:space="0" w:color="auto"/>
        <w:left w:val="none" w:sz="0" w:space="0" w:color="auto"/>
        <w:bottom w:val="none" w:sz="0" w:space="0" w:color="auto"/>
        <w:right w:val="none" w:sz="0" w:space="0" w:color="auto"/>
      </w:divBdr>
    </w:div>
    <w:div w:id="769394656">
      <w:bodyDiv w:val="1"/>
      <w:marLeft w:val="0"/>
      <w:marRight w:val="0"/>
      <w:marTop w:val="0"/>
      <w:marBottom w:val="0"/>
      <w:divBdr>
        <w:top w:val="none" w:sz="0" w:space="0" w:color="auto"/>
        <w:left w:val="none" w:sz="0" w:space="0" w:color="auto"/>
        <w:bottom w:val="none" w:sz="0" w:space="0" w:color="auto"/>
        <w:right w:val="none" w:sz="0" w:space="0" w:color="auto"/>
      </w:divBdr>
    </w:div>
    <w:div w:id="979577018">
      <w:bodyDiv w:val="1"/>
      <w:marLeft w:val="0"/>
      <w:marRight w:val="0"/>
      <w:marTop w:val="0"/>
      <w:marBottom w:val="0"/>
      <w:divBdr>
        <w:top w:val="none" w:sz="0" w:space="0" w:color="auto"/>
        <w:left w:val="none" w:sz="0" w:space="0" w:color="auto"/>
        <w:bottom w:val="none" w:sz="0" w:space="0" w:color="auto"/>
        <w:right w:val="none" w:sz="0" w:space="0" w:color="auto"/>
      </w:divBdr>
    </w:div>
    <w:div w:id="1222642776">
      <w:bodyDiv w:val="1"/>
      <w:marLeft w:val="0"/>
      <w:marRight w:val="0"/>
      <w:marTop w:val="0"/>
      <w:marBottom w:val="0"/>
      <w:divBdr>
        <w:top w:val="none" w:sz="0" w:space="0" w:color="auto"/>
        <w:left w:val="none" w:sz="0" w:space="0" w:color="auto"/>
        <w:bottom w:val="none" w:sz="0" w:space="0" w:color="auto"/>
        <w:right w:val="none" w:sz="0" w:space="0" w:color="auto"/>
      </w:divBdr>
      <w:divsChild>
        <w:div w:id="1348170262">
          <w:marLeft w:val="0"/>
          <w:marRight w:val="0"/>
          <w:marTop w:val="0"/>
          <w:marBottom w:val="0"/>
          <w:divBdr>
            <w:top w:val="single" w:sz="2" w:space="0" w:color="E3E3E3"/>
            <w:left w:val="single" w:sz="2" w:space="0" w:color="E3E3E3"/>
            <w:bottom w:val="single" w:sz="2" w:space="0" w:color="E3E3E3"/>
            <w:right w:val="single" w:sz="2" w:space="0" w:color="E3E3E3"/>
          </w:divBdr>
          <w:divsChild>
            <w:div w:id="1330132040">
              <w:marLeft w:val="0"/>
              <w:marRight w:val="0"/>
              <w:marTop w:val="0"/>
              <w:marBottom w:val="0"/>
              <w:divBdr>
                <w:top w:val="single" w:sz="2" w:space="0" w:color="E3E3E3"/>
                <w:left w:val="single" w:sz="2" w:space="0" w:color="E3E3E3"/>
                <w:bottom w:val="single" w:sz="2" w:space="0" w:color="E3E3E3"/>
                <w:right w:val="single" w:sz="2" w:space="0" w:color="E3E3E3"/>
              </w:divBdr>
              <w:divsChild>
                <w:div w:id="474176590">
                  <w:marLeft w:val="0"/>
                  <w:marRight w:val="0"/>
                  <w:marTop w:val="0"/>
                  <w:marBottom w:val="0"/>
                  <w:divBdr>
                    <w:top w:val="single" w:sz="2" w:space="0" w:color="E3E3E3"/>
                    <w:left w:val="single" w:sz="2" w:space="0" w:color="E3E3E3"/>
                    <w:bottom w:val="single" w:sz="2" w:space="0" w:color="E3E3E3"/>
                    <w:right w:val="single" w:sz="2" w:space="0" w:color="E3E3E3"/>
                  </w:divBdr>
                  <w:divsChild>
                    <w:div w:id="1390955973">
                      <w:marLeft w:val="0"/>
                      <w:marRight w:val="0"/>
                      <w:marTop w:val="0"/>
                      <w:marBottom w:val="0"/>
                      <w:divBdr>
                        <w:top w:val="single" w:sz="2" w:space="0" w:color="E3E3E3"/>
                        <w:left w:val="single" w:sz="2" w:space="0" w:color="E3E3E3"/>
                        <w:bottom w:val="single" w:sz="2" w:space="0" w:color="E3E3E3"/>
                        <w:right w:val="single" w:sz="2" w:space="0" w:color="E3E3E3"/>
                      </w:divBdr>
                      <w:divsChild>
                        <w:div w:id="2049986704">
                          <w:marLeft w:val="0"/>
                          <w:marRight w:val="0"/>
                          <w:marTop w:val="0"/>
                          <w:marBottom w:val="0"/>
                          <w:divBdr>
                            <w:top w:val="single" w:sz="2" w:space="0" w:color="E3E3E3"/>
                            <w:left w:val="single" w:sz="2" w:space="0" w:color="E3E3E3"/>
                            <w:bottom w:val="single" w:sz="2" w:space="0" w:color="E3E3E3"/>
                            <w:right w:val="single" w:sz="2" w:space="0" w:color="E3E3E3"/>
                          </w:divBdr>
                          <w:divsChild>
                            <w:div w:id="1535801345">
                              <w:marLeft w:val="0"/>
                              <w:marRight w:val="0"/>
                              <w:marTop w:val="0"/>
                              <w:marBottom w:val="0"/>
                              <w:divBdr>
                                <w:top w:val="single" w:sz="2" w:space="0" w:color="E3E3E3"/>
                                <w:left w:val="single" w:sz="2" w:space="0" w:color="E3E3E3"/>
                                <w:bottom w:val="single" w:sz="2" w:space="0" w:color="E3E3E3"/>
                                <w:right w:val="single" w:sz="2" w:space="0" w:color="E3E3E3"/>
                              </w:divBdr>
                              <w:divsChild>
                                <w:div w:id="2011831844">
                                  <w:marLeft w:val="0"/>
                                  <w:marRight w:val="0"/>
                                  <w:marTop w:val="100"/>
                                  <w:marBottom w:val="100"/>
                                  <w:divBdr>
                                    <w:top w:val="single" w:sz="2" w:space="0" w:color="E3E3E3"/>
                                    <w:left w:val="single" w:sz="2" w:space="0" w:color="E3E3E3"/>
                                    <w:bottom w:val="single" w:sz="2" w:space="0" w:color="E3E3E3"/>
                                    <w:right w:val="single" w:sz="2" w:space="0" w:color="E3E3E3"/>
                                  </w:divBdr>
                                  <w:divsChild>
                                    <w:div w:id="1736395441">
                                      <w:marLeft w:val="0"/>
                                      <w:marRight w:val="0"/>
                                      <w:marTop w:val="0"/>
                                      <w:marBottom w:val="0"/>
                                      <w:divBdr>
                                        <w:top w:val="single" w:sz="2" w:space="0" w:color="E3E3E3"/>
                                        <w:left w:val="single" w:sz="2" w:space="0" w:color="E3E3E3"/>
                                        <w:bottom w:val="single" w:sz="2" w:space="0" w:color="E3E3E3"/>
                                        <w:right w:val="single" w:sz="2" w:space="0" w:color="E3E3E3"/>
                                      </w:divBdr>
                                      <w:divsChild>
                                        <w:div w:id="697438385">
                                          <w:marLeft w:val="0"/>
                                          <w:marRight w:val="0"/>
                                          <w:marTop w:val="0"/>
                                          <w:marBottom w:val="0"/>
                                          <w:divBdr>
                                            <w:top w:val="single" w:sz="2" w:space="0" w:color="E3E3E3"/>
                                            <w:left w:val="single" w:sz="2" w:space="0" w:color="E3E3E3"/>
                                            <w:bottom w:val="single" w:sz="2" w:space="0" w:color="E3E3E3"/>
                                            <w:right w:val="single" w:sz="2" w:space="0" w:color="E3E3E3"/>
                                          </w:divBdr>
                                          <w:divsChild>
                                            <w:div w:id="589702391">
                                              <w:marLeft w:val="0"/>
                                              <w:marRight w:val="0"/>
                                              <w:marTop w:val="0"/>
                                              <w:marBottom w:val="0"/>
                                              <w:divBdr>
                                                <w:top w:val="single" w:sz="2" w:space="0" w:color="E3E3E3"/>
                                                <w:left w:val="single" w:sz="2" w:space="0" w:color="E3E3E3"/>
                                                <w:bottom w:val="single" w:sz="2" w:space="0" w:color="E3E3E3"/>
                                                <w:right w:val="single" w:sz="2" w:space="0" w:color="E3E3E3"/>
                                              </w:divBdr>
                                              <w:divsChild>
                                                <w:div w:id="1348676742">
                                                  <w:marLeft w:val="0"/>
                                                  <w:marRight w:val="0"/>
                                                  <w:marTop w:val="0"/>
                                                  <w:marBottom w:val="0"/>
                                                  <w:divBdr>
                                                    <w:top w:val="single" w:sz="2" w:space="0" w:color="E3E3E3"/>
                                                    <w:left w:val="single" w:sz="2" w:space="0" w:color="E3E3E3"/>
                                                    <w:bottom w:val="single" w:sz="2" w:space="0" w:color="E3E3E3"/>
                                                    <w:right w:val="single" w:sz="2" w:space="0" w:color="E3E3E3"/>
                                                  </w:divBdr>
                                                  <w:divsChild>
                                                    <w:div w:id="1460143096">
                                                      <w:marLeft w:val="0"/>
                                                      <w:marRight w:val="0"/>
                                                      <w:marTop w:val="0"/>
                                                      <w:marBottom w:val="0"/>
                                                      <w:divBdr>
                                                        <w:top w:val="single" w:sz="2" w:space="0" w:color="E3E3E3"/>
                                                        <w:left w:val="single" w:sz="2" w:space="0" w:color="E3E3E3"/>
                                                        <w:bottom w:val="single" w:sz="2" w:space="0" w:color="E3E3E3"/>
                                                        <w:right w:val="single" w:sz="2" w:space="0" w:color="E3E3E3"/>
                                                      </w:divBdr>
                                                      <w:divsChild>
                                                        <w:div w:id="1638216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64689362">
          <w:marLeft w:val="0"/>
          <w:marRight w:val="0"/>
          <w:marTop w:val="0"/>
          <w:marBottom w:val="0"/>
          <w:divBdr>
            <w:top w:val="none" w:sz="0" w:space="0" w:color="auto"/>
            <w:left w:val="none" w:sz="0" w:space="0" w:color="auto"/>
            <w:bottom w:val="none" w:sz="0" w:space="0" w:color="auto"/>
            <w:right w:val="none" w:sz="0" w:space="0" w:color="auto"/>
          </w:divBdr>
        </w:div>
      </w:divsChild>
    </w:div>
    <w:div w:id="1263798822">
      <w:bodyDiv w:val="1"/>
      <w:marLeft w:val="0"/>
      <w:marRight w:val="0"/>
      <w:marTop w:val="0"/>
      <w:marBottom w:val="0"/>
      <w:divBdr>
        <w:top w:val="none" w:sz="0" w:space="0" w:color="auto"/>
        <w:left w:val="none" w:sz="0" w:space="0" w:color="auto"/>
        <w:bottom w:val="none" w:sz="0" w:space="0" w:color="auto"/>
        <w:right w:val="none" w:sz="0" w:space="0" w:color="auto"/>
      </w:divBdr>
    </w:div>
    <w:div w:id="1343824408">
      <w:bodyDiv w:val="1"/>
      <w:marLeft w:val="0"/>
      <w:marRight w:val="0"/>
      <w:marTop w:val="0"/>
      <w:marBottom w:val="0"/>
      <w:divBdr>
        <w:top w:val="none" w:sz="0" w:space="0" w:color="auto"/>
        <w:left w:val="none" w:sz="0" w:space="0" w:color="auto"/>
        <w:bottom w:val="none" w:sz="0" w:space="0" w:color="auto"/>
        <w:right w:val="none" w:sz="0" w:space="0" w:color="auto"/>
      </w:divBdr>
    </w:div>
    <w:div w:id="1499032923">
      <w:bodyDiv w:val="1"/>
      <w:marLeft w:val="0"/>
      <w:marRight w:val="0"/>
      <w:marTop w:val="0"/>
      <w:marBottom w:val="0"/>
      <w:divBdr>
        <w:top w:val="none" w:sz="0" w:space="0" w:color="auto"/>
        <w:left w:val="none" w:sz="0" w:space="0" w:color="auto"/>
        <w:bottom w:val="none" w:sz="0" w:space="0" w:color="auto"/>
        <w:right w:val="none" w:sz="0" w:space="0" w:color="auto"/>
      </w:divBdr>
      <w:divsChild>
        <w:div w:id="1761608685">
          <w:marLeft w:val="0"/>
          <w:marRight w:val="0"/>
          <w:marTop w:val="0"/>
          <w:marBottom w:val="0"/>
          <w:divBdr>
            <w:top w:val="single" w:sz="2" w:space="0" w:color="E3E3E3"/>
            <w:left w:val="single" w:sz="2" w:space="0" w:color="E3E3E3"/>
            <w:bottom w:val="single" w:sz="2" w:space="0" w:color="E3E3E3"/>
            <w:right w:val="single" w:sz="2" w:space="0" w:color="E3E3E3"/>
          </w:divBdr>
          <w:divsChild>
            <w:div w:id="1533759583">
              <w:marLeft w:val="0"/>
              <w:marRight w:val="0"/>
              <w:marTop w:val="0"/>
              <w:marBottom w:val="0"/>
              <w:divBdr>
                <w:top w:val="single" w:sz="2" w:space="0" w:color="E3E3E3"/>
                <w:left w:val="single" w:sz="2" w:space="0" w:color="E3E3E3"/>
                <w:bottom w:val="single" w:sz="2" w:space="0" w:color="E3E3E3"/>
                <w:right w:val="single" w:sz="2" w:space="0" w:color="E3E3E3"/>
              </w:divBdr>
              <w:divsChild>
                <w:div w:id="1607232181">
                  <w:marLeft w:val="0"/>
                  <w:marRight w:val="0"/>
                  <w:marTop w:val="0"/>
                  <w:marBottom w:val="0"/>
                  <w:divBdr>
                    <w:top w:val="single" w:sz="2" w:space="0" w:color="E3E3E3"/>
                    <w:left w:val="single" w:sz="2" w:space="0" w:color="E3E3E3"/>
                    <w:bottom w:val="single" w:sz="2" w:space="0" w:color="E3E3E3"/>
                    <w:right w:val="single" w:sz="2" w:space="0" w:color="E3E3E3"/>
                  </w:divBdr>
                  <w:divsChild>
                    <w:div w:id="577982946">
                      <w:marLeft w:val="0"/>
                      <w:marRight w:val="0"/>
                      <w:marTop w:val="0"/>
                      <w:marBottom w:val="0"/>
                      <w:divBdr>
                        <w:top w:val="single" w:sz="2" w:space="0" w:color="E3E3E3"/>
                        <w:left w:val="single" w:sz="2" w:space="0" w:color="E3E3E3"/>
                        <w:bottom w:val="single" w:sz="2" w:space="0" w:color="E3E3E3"/>
                        <w:right w:val="single" w:sz="2" w:space="0" w:color="E3E3E3"/>
                      </w:divBdr>
                      <w:divsChild>
                        <w:div w:id="40177175">
                          <w:marLeft w:val="0"/>
                          <w:marRight w:val="0"/>
                          <w:marTop w:val="0"/>
                          <w:marBottom w:val="0"/>
                          <w:divBdr>
                            <w:top w:val="single" w:sz="2" w:space="0" w:color="E3E3E3"/>
                            <w:left w:val="single" w:sz="2" w:space="0" w:color="E3E3E3"/>
                            <w:bottom w:val="single" w:sz="2" w:space="0" w:color="E3E3E3"/>
                            <w:right w:val="single" w:sz="2" w:space="0" w:color="E3E3E3"/>
                          </w:divBdr>
                          <w:divsChild>
                            <w:div w:id="814223748">
                              <w:marLeft w:val="0"/>
                              <w:marRight w:val="0"/>
                              <w:marTop w:val="0"/>
                              <w:marBottom w:val="0"/>
                              <w:divBdr>
                                <w:top w:val="single" w:sz="2" w:space="0" w:color="E3E3E3"/>
                                <w:left w:val="single" w:sz="2" w:space="0" w:color="E3E3E3"/>
                                <w:bottom w:val="single" w:sz="2" w:space="0" w:color="E3E3E3"/>
                                <w:right w:val="single" w:sz="2" w:space="0" w:color="E3E3E3"/>
                              </w:divBdr>
                              <w:divsChild>
                                <w:div w:id="1620338146">
                                  <w:marLeft w:val="0"/>
                                  <w:marRight w:val="0"/>
                                  <w:marTop w:val="100"/>
                                  <w:marBottom w:val="100"/>
                                  <w:divBdr>
                                    <w:top w:val="single" w:sz="2" w:space="0" w:color="E3E3E3"/>
                                    <w:left w:val="single" w:sz="2" w:space="0" w:color="E3E3E3"/>
                                    <w:bottom w:val="single" w:sz="2" w:space="0" w:color="E3E3E3"/>
                                    <w:right w:val="single" w:sz="2" w:space="0" w:color="E3E3E3"/>
                                  </w:divBdr>
                                  <w:divsChild>
                                    <w:div w:id="1566649803">
                                      <w:marLeft w:val="0"/>
                                      <w:marRight w:val="0"/>
                                      <w:marTop w:val="0"/>
                                      <w:marBottom w:val="0"/>
                                      <w:divBdr>
                                        <w:top w:val="single" w:sz="2" w:space="0" w:color="E3E3E3"/>
                                        <w:left w:val="single" w:sz="2" w:space="0" w:color="E3E3E3"/>
                                        <w:bottom w:val="single" w:sz="2" w:space="0" w:color="E3E3E3"/>
                                        <w:right w:val="single" w:sz="2" w:space="0" w:color="E3E3E3"/>
                                      </w:divBdr>
                                      <w:divsChild>
                                        <w:div w:id="1929577424">
                                          <w:marLeft w:val="0"/>
                                          <w:marRight w:val="0"/>
                                          <w:marTop w:val="0"/>
                                          <w:marBottom w:val="0"/>
                                          <w:divBdr>
                                            <w:top w:val="single" w:sz="2" w:space="0" w:color="E3E3E3"/>
                                            <w:left w:val="single" w:sz="2" w:space="0" w:color="E3E3E3"/>
                                            <w:bottom w:val="single" w:sz="2" w:space="0" w:color="E3E3E3"/>
                                            <w:right w:val="single" w:sz="2" w:space="0" w:color="E3E3E3"/>
                                          </w:divBdr>
                                          <w:divsChild>
                                            <w:div w:id="182407390">
                                              <w:marLeft w:val="0"/>
                                              <w:marRight w:val="0"/>
                                              <w:marTop w:val="0"/>
                                              <w:marBottom w:val="0"/>
                                              <w:divBdr>
                                                <w:top w:val="single" w:sz="2" w:space="0" w:color="E3E3E3"/>
                                                <w:left w:val="single" w:sz="2" w:space="0" w:color="E3E3E3"/>
                                                <w:bottom w:val="single" w:sz="2" w:space="0" w:color="E3E3E3"/>
                                                <w:right w:val="single" w:sz="2" w:space="0" w:color="E3E3E3"/>
                                              </w:divBdr>
                                              <w:divsChild>
                                                <w:div w:id="898591662">
                                                  <w:marLeft w:val="0"/>
                                                  <w:marRight w:val="0"/>
                                                  <w:marTop w:val="0"/>
                                                  <w:marBottom w:val="0"/>
                                                  <w:divBdr>
                                                    <w:top w:val="single" w:sz="2" w:space="0" w:color="E3E3E3"/>
                                                    <w:left w:val="single" w:sz="2" w:space="0" w:color="E3E3E3"/>
                                                    <w:bottom w:val="single" w:sz="2" w:space="0" w:color="E3E3E3"/>
                                                    <w:right w:val="single" w:sz="2" w:space="0" w:color="E3E3E3"/>
                                                  </w:divBdr>
                                                  <w:divsChild>
                                                    <w:div w:id="560210968">
                                                      <w:marLeft w:val="0"/>
                                                      <w:marRight w:val="0"/>
                                                      <w:marTop w:val="0"/>
                                                      <w:marBottom w:val="0"/>
                                                      <w:divBdr>
                                                        <w:top w:val="single" w:sz="2" w:space="0" w:color="E3E3E3"/>
                                                        <w:left w:val="single" w:sz="2" w:space="0" w:color="E3E3E3"/>
                                                        <w:bottom w:val="single" w:sz="2" w:space="0" w:color="E3E3E3"/>
                                                        <w:right w:val="single" w:sz="2" w:space="0" w:color="E3E3E3"/>
                                                      </w:divBdr>
                                                      <w:divsChild>
                                                        <w:div w:id="15052406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947027">
          <w:marLeft w:val="0"/>
          <w:marRight w:val="0"/>
          <w:marTop w:val="0"/>
          <w:marBottom w:val="0"/>
          <w:divBdr>
            <w:top w:val="none" w:sz="0" w:space="0" w:color="auto"/>
            <w:left w:val="none" w:sz="0" w:space="0" w:color="auto"/>
            <w:bottom w:val="none" w:sz="0" w:space="0" w:color="auto"/>
            <w:right w:val="none" w:sz="0" w:space="0" w:color="auto"/>
          </w:divBdr>
        </w:div>
      </w:divsChild>
    </w:div>
    <w:div w:id="1714113223">
      <w:bodyDiv w:val="1"/>
      <w:marLeft w:val="0"/>
      <w:marRight w:val="0"/>
      <w:marTop w:val="0"/>
      <w:marBottom w:val="0"/>
      <w:divBdr>
        <w:top w:val="none" w:sz="0" w:space="0" w:color="auto"/>
        <w:left w:val="none" w:sz="0" w:space="0" w:color="auto"/>
        <w:bottom w:val="none" w:sz="0" w:space="0" w:color="auto"/>
        <w:right w:val="none" w:sz="0" w:space="0" w:color="auto"/>
      </w:divBdr>
    </w:div>
    <w:div w:id="188910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A01DE-28DA-4913-A3A9-458FA8DC5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13</Pages>
  <Words>7595</Words>
  <Characters>43296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Waleed Al-Anesi (2306909)</cp:lastModifiedBy>
  <cp:revision>65</cp:revision>
  <dcterms:created xsi:type="dcterms:W3CDTF">2024-04-10T19:02:00Z</dcterms:created>
  <dcterms:modified xsi:type="dcterms:W3CDTF">2024-04-18T08:12:00Z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http://www.zotero.org/styles/harvard-cite-them-right</vt:lpwstr>
  </property>
  <property fmtid="{D5CDD505-2E9C-101B-9397-08002B2CF9AE}" pid="23" name="Mendeley Document_1">
    <vt:lpwstr>True</vt:lpwstr>
  </property>
</Properties>
</file>