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vertAlign w:val="baseline"/>
        </w:rPr>
      </w:pPr>
      <w:r w:rsidDel="00000000" w:rsidR="00000000" w:rsidRPr="00000000">
        <w:rPr>
          <w:rFonts w:ascii="Times New Roman" w:cs="Times New Roman" w:eastAsia="Times New Roman" w:hAnsi="Times New Roman"/>
          <w:color w:val="333333"/>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2">
      <w:pPr>
        <w:spacing w:line="360" w:lineRule="auto"/>
        <w:jc w:val="both"/>
        <w:rPr>
          <w:vertAlign w:val="baseline"/>
        </w:rPr>
      </w:pPr>
      <w:r w:rsidDel="00000000" w:rsidR="00000000" w:rsidRPr="00000000">
        <w:rPr>
          <w:rFonts w:ascii="Times New Roman" w:cs="Times New Roman" w:eastAsia="Times New Roman" w:hAnsi="Times New Roman"/>
          <w:color w:val="333333"/>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3">
      <w:pPr>
        <w:spacing w:line="360" w:lineRule="auto"/>
        <w:jc w:val="both"/>
        <w:rPr>
          <w:vertAlign w:val="baseline"/>
        </w:rPr>
      </w:pPr>
      <w:r w:rsidDel="00000000" w:rsidR="00000000" w:rsidRPr="00000000">
        <w:rPr>
          <w:rFonts w:ascii="Times New Roman" w:cs="Times New Roman" w:eastAsia="Times New Roman" w:hAnsi="Times New Roman"/>
          <w:color w:val="333333"/>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4">
      <w:pPr>
        <w:spacing w:line="360" w:lineRule="auto"/>
        <w:jc w:val="both"/>
        <w:rPr>
          <w:vertAlign w:val="baseline"/>
        </w:rPr>
      </w:pPr>
      <w:r w:rsidDel="00000000" w:rsidR="00000000" w:rsidRPr="00000000">
        <w:rPr>
          <w:rFonts w:ascii="Times New Roman" w:cs="Times New Roman" w:eastAsia="Times New Roman" w:hAnsi="Times New Roman"/>
          <w:color w:val="333333"/>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color w:val="333333"/>
          <w:sz w:val="24"/>
          <w:szCs w:val="24"/>
          <w:highlight w:val="white"/>
          <w:vertAlign w:val="baseline"/>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color w:val="333333"/>
          <w:sz w:val="24"/>
          <w:szCs w:val="24"/>
          <w:highlight w:val="white"/>
          <w:vertAlign w:val="baseline"/>
        </w:rPr>
      </w:pPr>
      <w:r w:rsidDel="00000000" w:rsidR="00000000" w:rsidRPr="00000000">
        <w:rPr>
          <w:rtl w:val="0"/>
        </w:rPr>
      </w:r>
    </w:p>
    <w:p w:rsidR="00000000" w:rsidDel="00000000" w:rsidP="00000000" w:rsidRDefault="00000000" w:rsidRPr="00000000" w14:paraId="00000007">
      <w:pPr>
        <w:jc w:val="center"/>
        <w:rPr>
          <w:vertAlign w:val="baseline"/>
        </w:rPr>
      </w:pPr>
      <w:r w:rsidDel="00000000" w:rsidR="00000000" w:rsidRPr="00000000">
        <w:rPr>
          <w:rFonts w:ascii="Times New Roman" w:cs="Times New Roman" w:eastAsia="Times New Roman" w:hAnsi="Times New Roman"/>
          <w:b w:val="1"/>
          <w:color w:val="333333"/>
          <w:sz w:val="72"/>
          <w:szCs w:val="72"/>
          <w:highlight w:val="white"/>
          <w:u w:val="single"/>
          <w:vertAlign w:val="baseline"/>
          <w:rtl w:val="0"/>
        </w:rPr>
        <w:t xml:space="preserve">HIV/AIDS ORGANISATION CAMPAIGN </w:t>
      </w: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pStyle w:val="Heading1"/>
        <w:numPr>
          <w:ilvl w:val="0"/>
          <w:numId w:val="1"/>
        </w:numPr>
        <w:ind w:left="0" w:firstLine="0"/>
        <w:rPr/>
      </w:pPr>
      <w:r w:rsidDel="00000000" w:rsidR="00000000" w:rsidRPr="00000000">
        <w:rPr>
          <w:rtl w:val="0"/>
        </w:rPr>
      </w:r>
    </w:p>
    <w:p w:rsidR="00000000" w:rsidDel="00000000" w:rsidP="00000000" w:rsidRDefault="00000000" w:rsidRPr="00000000" w14:paraId="0000000D">
      <w:pPr>
        <w:pStyle w:val="Heading1"/>
        <w:numPr>
          <w:ilvl w:val="0"/>
          <w:numId w:val="1"/>
        </w:numPr>
        <w:ind w:left="0" w:firstLine="0"/>
        <w:rPr/>
      </w:pPr>
      <w:r w:rsidDel="00000000" w:rsidR="00000000" w:rsidRPr="00000000">
        <w:rPr>
          <w:rtl w:val="0"/>
        </w:rPr>
      </w:r>
    </w:p>
    <w:p w:rsidR="00000000" w:rsidDel="00000000" w:rsidP="00000000" w:rsidRDefault="00000000" w:rsidRPr="00000000" w14:paraId="0000000E">
      <w:pPr>
        <w:pStyle w:val="Heading1"/>
        <w:numPr>
          <w:ilvl w:val="0"/>
          <w:numId w:val="1"/>
        </w:numPr>
        <w:ind w:left="0" w:firstLine="0"/>
        <w:rPr/>
      </w:pPr>
      <w:r w:rsidDel="00000000" w:rsidR="00000000" w:rsidRPr="00000000">
        <w:rPr>
          <w:rtl w:val="0"/>
        </w:rPr>
      </w:r>
    </w:p>
    <w:p w:rsidR="00000000" w:rsidDel="00000000" w:rsidP="00000000" w:rsidRDefault="00000000" w:rsidRPr="00000000" w14:paraId="0000000F">
      <w:pPr>
        <w:pStyle w:val="Heading1"/>
        <w:numPr>
          <w:ilvl w:val="0"/>
          <w:numId w:val="1"/>
        </w:numPr>
        <w:ind w:left="0" w:firstLine="0"/>
        <w:rPr/>
      </w:pPr>
      <w:bookmarkStart w:colFirst="0" w:colLast="0" w:name="_gjdgxs" w:id="0"/>
      <w:bookmarkEnd w:id="0"/>
      <w:r w:rsidDel="00000000" w:rsidR="00000000" w:rsidRPr="00000000">
        <w:rPr>
          <w:rtl w:val="0"/>
        </w:rPr>
      </w:r>
    </w:p>
    <w:p w:rsidR="00000000" w:rsidDel="00000000" w:rsidP="00000000" w:rsidRDefault="00000000" w:rsidRPr="00000000" w14:paraId="00000010">
      <w:pPr>
        <w:pStyle w:val="Heading1"/>
        <w:numPr>
          <w:ilvl w:val="0"/>
          <w:numId w:val="1"/>
        </w:numPr>
        <w:ind w:left="0" w:firstLine="0"/>
        <w:rPr/>
      </w:pPr>
      <w:bookmarkStart w:colFirst="0" w:colLast="0" w:name="_30j0zll" w:id="1"/>
      <w:bookmarkEnd w:id="1"/>
      <w:r w:rsidDel="00000000" w:rsidR="00000000" w:rsidRPr="00000000">
        <w:rPr>
          <w:b w:val="1"/>
          <w:color w:val="000000"/>
          <w:vertAlign w:val="baseline"/>
          <w:rtl w:val="0"/>
        </w:rPr>
        <w:t xml:space="preserve">PART B</w:t>
      </w:r>
      <w:r w:rsidDel="00000000" w:rsidR="00000000" w:rsidRPr="00000000">
        <w:rPr>
          <w:rtl w:val="0"/>
        </w:rPr>
      </w:r>
    </w:p>
    <w:p w:rsidR="00000000" w:rsidDel="00000000" w:rsidP="00000000" w:rsidRDefault="00000000" w:rsidRPr="00000000" w14:paraId="00000011">
      <w:pPr>
        <w:pStyle w:val="Heading1"/>
        <w:numPr>
          <w:ilvl w:val="0"/>
          <w:numId w:val="1"/>
        </w:numPr>
        <w:spacing w:line="360" w:lineRule="auto"/>
        <w:ind w:left="0" w:firstLine="0"/>
        <w:jc w:val="both"/>
        <w:rPr/>
      </w:pPr>
      <w:r w:rsidDel="00000000" w:rsidR="00000000" w:rsidRPr="00000000">
        <w:rPr>
          <w:b w:val="1"/>
          <w:color w:val="000000"/>
          <w:vertAlign w:val="baseline"/>
          <w:rtl w:val="0"/>
        </w:rPr>
        <w:t xml:space="preserve">INTRODUCTION</w:t>
      </w:r>
      <w:r w:rsidDel="00000000" w:rsidR="00000000" w:rsidRPr="00000000">
        <w:rPr>
          <w:rtl w:val="0"/>
        </w:rPr>
      </w:r>
    </w:p>
    <w:p w:rsidR="00000000" w:rsidDel="00000000" w:rsidP="00000000" w:rsidRDefault="00000000" w:rsidRPr="00000000" w14:paraId="00000012">
      <w:pPr>
        <w:spacing w:line="360" w:lineRule="auto"/>
        <w:jc w:val="both"/>
        <w:rPr>
          <w:vertAlign w:val="baseline"/>
        </w:rPr>
      </w:pPr>
      <w:bookmarkStart w:colFirst="0" w:colLast="0" w:name="_1fob9te" w:id="2"/>
      <w:bookmarkEnd w:id="2"/>
      <w:r w:rsidDel="00000000" w:rsidR="00000000" w:rsidRPr="00000000">
        <w:rPr>
          <w:vertAlign w:val="baseline"/>
          <w:rtl w:val="0"/>
        </w:rPr>
        <w:tab/>
      </w:r>
      <w:r w:rsidDel="00000000" w:rsidR="00000000" w:rsidRPr="00000000">
        <w:rPr>
          <w:rFonts w:ascii="Times New Roman" w:cs="Times New Roman" w:eastAsia="Times New Roman" w:hAnsi="Times New Roman"/>
          <w:sz w:val="24"/>
          <w:szCs w:val="24"/>
          <w:vertAlign w:val="baseline"/>
          <w:rtl w:val="0"/>
        </w:rPr>
        <w:t xml:space="preserve">HIV/AIDS campaign is known for providing best social care services, new welfare engagement activities within communities around global parameters where there are varied keen new advanced services expanding. The report will be analysing in detail reflective cycle analysis, using Gibbs reflective model where there are various aspects and stages further implementing detailed work experience. Study will discuss varied knowledge aspects, keen productive directive skills enhanced within performances by people  which competently bring on functional varied expertise. Research done on report will also further conclude new synergies., professional experienced evolved towards gaining best long term skills and talents which harness productivity. The study will also analyse how report analysis on HIV/ AIDS campaign brings on technical rise among professional experience growth, evocative gained practical knowledge towards crucial aspects. Project will also evolve towards new experiences and social learning opportunities, where there is functional scope for wider scale expansion rapidly. This furthermore also builds on potential growth towards integral understandings, new work experiences growth and enlarged vision productivity for synchronising new scale experience fundamentally. Gibbs reflective analysis further evolved new connective benchmarks within skills and experiences, for stringent growth and untapped fundamental work targets.</w:t>
      </w:r>
      <w:r w:rsidDel="00000000" w:rsidR="00000000" w:rsidRPr="00000000">
        <w:rPr>
          <w:rtl w:val="0"/>
        </w:rPr>
      </w:r>
    </w:p>
    <w:p w:rsidR="00000000" w:rsidDel="00000000" w:rsidP="00000000" w:rsidRDefault="00000000" w:rsidRPr="00000000" w14:paraId="00000013">
      <w:pPr>
        <w:pStyle w:val="Heading2"/>
        <w:numPr>
          <w:ilvl w:val="1"/>
          <w:numId w:val="1"/>
        </w:numPr>
        <w:spacing w:line="360" w:lineRule="auto"/>
        <w:ind w:left="0" w:firstLine="0"/>
        <w:jc w:val="both"/>
        <w:rPr/>
      </w:pPr>
      <w:r w:rsidDel="00000000" w:rsidR="00000000" w:rsidRPr="00000000">
        <w:rPr>
          <w:b w:val="1"/>
          <w:color w:val="000000"/>
          <w:u w:val="single"/>
          <w:vertAlign w:val="baseline"/>
          <w:rtl w:val="0"/>
        </w:rPr>
        <w:t xml:space="preserve">Gibbs reflective analysis</w:t>
      </w:r>
      <w:r w:rsidDel="00000000" w:rsidR="00000000" w:rsidRPr="00000000">
        <w:rPr>
          <w:rtl w:val="0"/>
        </w:rPr>
      </w:r>
    </w:p>
    <w:p w:rsidR="00000000" w:rsidDel="00000000" w:rsidP="00000000" w:rsidRDefault="00000000" w:rsidRPr="00000000" w14:paraId="00000014">
      <w:pPr>
        <w:spacing w:line="360" w:lineRule="auto"/>
        <w:jc w:val="both"/>
        <w:rPr>
          <w:vertAlign w:val="baseline"/>
        </w:rPr>
      </w:pPr>
      <w:r w:rsidDel="00000000" w:rsidR="00000000" w:rsidRPr="00000000">
        <w:rPr>
          <w:vertAlign w:val="baseline"/>
          <w:rtl w:val="0"/>
        </w:rPr>
        <w:tab/>
      </w:r>
      <w:r w:rsidDel="00000000" w:rsidR="00000000" w:rsidRPr="00000000">
        <w:rPr>
          <w:rFonts w:ascii="Times New Roman" w:cs="Times New Roman" w:eastAsia="Times New Roman" w:hAnsi="Times New Roman"/>
          <w:sz w:val="24"/>
          <w:szCs w:val="24"/>
          <w:vertAlign w:val="baseline"/>
          <w:rtl w:val="0"/>
        </w:rPr>
        <w:t xml:space="preserve">From the above analysis done on social project among company, it can be analysed that the study done within analysis have helped me to gain varied scale experience of learning new skills and stronger diverse parameters.  The analysis worked on towards social project analysis further enhanced my critical understanding to gain new skills, knowledge and larger practical vision for strategic growth competencies functionally. HIV/Aids campaign has been successfully growing to be one of the best social campaign, providing healthcare facilities to millions around world. Further, various new skills learned and evolved can be analysed as follows (</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Sahoo and Pany, 2020).</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u w:val="none"/>
          <w:shd w:fill="auto" w:val="clear"/>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Description: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first stage, i was able to describe and work towards attaining varied new work operatives functional parameters where further this enhances stronger scale growth rise. While description phase, i was able to evolve towards gaining new specific parameters towards  learning varied research writing aspects and to be integral towards varied projects. The description stage, further enhanced my  knowledge and integrity to gain expertise for stringent growth evolved which further evolved my knowledge for connective benchmarks. I was able to gain varied specific synergies about HIV aids campaign, which is one of the widely expanding NGO further synchronising new specific skills informatively. This further also enhanced my practical understandings, towards untapped aspects and skills bringing on competent productivity fundamentals within growth. I was also able to gain research on communities engagement activities and programmes, evolved by company for gaining specific detailed understanding within project.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functional data management skill has enhanced, where NGO successfully improved my detailed growth rise for stringent rise and keen fundamental diversity horizons. The project enhanced my keen understandings for competent productive efficacy, and eager analysis to gain accurate knowledge and critical analysis working within project. Furthermore, community’s evolvement for welfare among health care service, motivated me to bring on detailed functional growth evolved on for consistent dynamic standards. While taking up project, my work inspiration goals have been also dynamically evolving towards stringent professional quality standards. Report also further cultivated understandings of deep understandings, new performance productive diversification for bringing on new scale rise and  to be actively connected as per time targets. I have been also keely focused on attaining regular feedbacks form supervisors, for project which motivated me to work on my weakness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Bartlett and Derrington, 2021).</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u w:val="none"/>
          <w:shd w:fill="auto" w:val="clear"/>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Feelings: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feelings stage further enhanced my understandings, research skills and report writing skills for specific competent synergies for scaling up new competencies fundamentally. Report further created dynamic synergies and scaled up larger specific technical rise within analytical skills,  where NGO services are further dynamically evolving towards new untapped parameters. It can be understood that social welfare campaign, has been competently evolving towards rapid consistent growth factors and towards attaining new varied growth targets. My innovation and creative working frameworks have been also consistently growing, for enlarged productivity and determinants related to consistent expertise ((What You Can Learn From Gibbs’ Reflective Cycle,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The training sessions are well planned among management, with stringent growth rise for wider scale goals and functional expansion for bringing on varied connective benchmarks rapidly. While at this stage, i was also able to further synchronise new keen synergies for scaled up competencies imperatively, as per HIV/AIDS campaign goals. The campaign has been diversifying services such as symptom management, mental health services among society and for bringing on resourceful growth.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further also enhanced my vision for specific competent analysis, where my time management and decision making skill has also improved rapidly. I was able to work innovatively with my team members, and gain productive diversity standards functionally for larger specific competent productivity working goals. The report analysis done on HIV/AIDS enhanced my rapid connective diversity goals for specific connectivity, and for  profound  practical engagement  for project skills rise. Furthermore, i have been able to gain knowledge that stakeholders participation by campaign has been growing to international levels, where global standards diversifications further adds to new value.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varied scale effective engagement generated my keen understandings towards untapped skills development, and for bringing on productive development strategically. I have been also able to further gain expertise, stringent expertise goals and working practically towards untapped new targets for consistent diversification standards. My performance analysis done by supervisors, helped me to work towards correcting my skills and knowledge for varied project related goals and enabled me to be competently active. Furthermore, my skills within project engagement has also diversified for bringing on technical expertise rise functionally and for gaining best productive standards actively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Pieper and et.al., 2020).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further can be understood to be most crucial aspect, further  bringing practical work diversity experience within various subjects and projects and towards extending, new work engagement goals functionally. There has been  also diversified new specific competent scale expansion, for keen productive diversity standards where my confidence has been also enhanced.</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u w:val="none"/>
          <w:shd w:fill="auto" w:val="clear"/>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At evaluation stage,  i have been further successful gaining detailed functional growth synergies rapidly towards various services and campaign programmes by</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HIV/aids. It is empowering to further note that awareness of participants within communities enhances management diversity functionally, where resources and training is effectively focused on. This is further integral to notice that by working on report within campaign programmes and services, lifestyle changes experience for consistent fundamental expansion rapidly. Evaluation stage further adds to new vital connective strengths, wider specific understandings for new enlarged understandings and varied diversity aspects.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research analytical knowledge has also functionally expanded for gaining new rise on well fare communities services organised by social campaigns. Furthermore, there is consistent growth on innovation fundamental practical experience, where report enhanced my vision to gain keen analysed productivity parameters actively. This further also enabled me to gain knowledge and expertise connected to well fare communities engagement goals and practical stakeholders participation. Resources used by company are well deployed innovatively, to bring on keen rise for consistent new advanced scope towards strengthened benchmarks rapidly. There is also diversity further focused on rapidly, where globally initiatives taken by campaign are widely evocative for consistent new fundamental growth. This further also potentially enhanced my work experience and strategic understandings, and effective consistent usage of data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Ekelin and et.al 2020 ).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u w:val="none"/>
          <w:shd w:fill="auto" w:val="clear"/>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Conclusion: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 while concluding the report at this stage, my work experience and detailed understandings for critical analysis and enlarged practical growth for gaining new fundamental expertise has been consistently grown. The report analysis done on HIV/ AIDS further also further enhanced my understandings towards new specific competent productive working goals, for technical rise on varied stringent growth domains which elaborated my work experience strategically. This can be also analysed that reflecting on procedures and understandings, evolving among training stakeholders participation engagement has enhanced my vision effectively within longer run. There has been also consistent to bring on detailed practical growth for specific functional scale rise, rapid  keen productive pace and to consistently bring on rapid rise towards innovative work functioning. I have been able to work in groups, gain best competent scope worked on for strengthened ideologies and towards detailed functional expansion rapidly.</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conclusive stage also motivated me to consistently become diversified for technical expansion, larger specific competent performance goals and towards new benchmarks. HIV/AIDS campaign further determined me to be competently productive within longer strategic run, for consistent work productivity aspects and for larger dynamic profession all growth. The analysis further also enhanced my keen understandings and detailed keen productive scale functional expansion rapidly, towards stringent growth functionally and for technical expansion innovation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Stodter, Cope and Townsend, 2021).</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u w:val="none"/>
          <w:shd w:fill="auto" w:val="clear"/>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Action: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this stage, i further plan to research towards new specific varied range of projects, technical understandings and working phenomenon for further diversified keen productive goals. Project enhanced my keen productivity work engagement, towards expertise knowledge and for consistent new dynamic parameters for specific scale competencies informatively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Adeani, Febriani and Syafryadin,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aspects further synchronised strategically my keen productive efficacy for consistent diversification goals, analysed functional specific competencies and expertise. I further also aim to work towards leadership skills, develop strategic monitoring goals for fundamental specific diversity paradigms. I also further will aim to work on more complicated research projects which will also gain up new specific determinants connected towards stringent rise on mty professional goals. These aspects have further concluded my aims to be practically diversified, and towards evocative functional expansion for consistent new synergies related to best productive goals.  </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reflecting on work knowledge and practical diversified skills, platforms for engagement and new specific scale rise further developed motivation in my performance. My career plans have been also potentially shaped, towards stringent specific rise for functional enhancement competencies within practical subjects engagement. I have been confident to further leverage expertise paradigms, and new keen specific diversified subjects for elaborative goals towards untapped paradigms. The actions further also enhanced my specific interests for projects timely completion, further practical engagement scenarios for expertise engagement within employees. HIV and aids campaigns  by campaign have helped  millions people globally, for bringing on new specific rise fundamentally and towards specific effective understandings.</w:t>
      </w:r>
      <w:r w:rsidDel="00000000" w:rsidR="00000000" w:rsidRPr="00000000">
        <w:rPr>
          <w:rtl w:val="0"/>
        </w:rPr>
      </w:r>
    </w:p>
    <w:p w:rsidR="00000000" w:rsidDel="00000000" w:rsidP="00000000" w:rsidRDefault="00000000" w:rsidRPr="00000000" w14:paraId="00000020">
      <w:pPr>
        <w:spacing w:line="360" w:lineRule="auto"/>
        <w:ind w:left="0" w:right="0" w:firstLine="360"/>
        <w:jc w:val="both"/>
        <w:rPr>
          <w:vertAlign w:val="baseline"/>
        </w:rPr>
      </w:pPr>
      <w:bookmarkStart w:colFirst="0" w:colLast="0" w:name="_3znysh7" w:id="3"/>
      <w:bookmarkEnd w:id="3"/>
      <w:r w:rsidDel="00000000" w:rsidR="00000000" w:rsidRPr="00000000">
        <w:rPr>
          <w:rFonts w:ascii="Times New Roman" w:cs="Times New Roman" w:eastAsia="Times New Roman" w:hAnsi="Times New Roman"/>
          <w:sz w:val="24"/>
          <w:szCs w:val="24"/>
          <w:vertAlign w:val="baseline"/>
          <w:rtl w:val="0"/>
        </w:rPr>
        <w:t xml:space="preserve">From the above analysed aspects within Gibb reflective cycle, i have been able to bring on varied detailed understandings and specific competencies worked on for stringent new benchmarks standards. HIV/AIDS campaign further enhanced my vision for wider scale leveraging pace which practically enhanced my knowledge and diversity within my performance goals (</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Markkanen and et.al, 2020).</w:t>
      </w:r>
      <w:r w:rsidDel="00000000" w:rsidR="00000000" w:rsidRPr="00000000">
        <w:rPr>
          <w:rtl w:val="0"/>
        </w:rPr>
      </w:r>
    </w:p>
    <w:p w:rsidR="00000000" w:rsidDel="00000000" w:rsidP="00000000" w:rsidRDefault="00000000" w:rsidRPr="00000000" w14:paraId="00000021">
      <w:pPr>
        <w:pStyle w:val="Heading1"/>
        <w:numPr>
          <w:ilvl w:val="0"/>
          <w:numId w:val="1"/>
        </w:numPr>
        <w:spacing w:line="360" w:lineRule="auto"/>
        <w:ind w:left="0" w:firstLine="0"/>
        <w:jc w:val="both"/>
        <w:rPr/>
      </w:pPr>
      <w:r w:rsidDel="00000000" w:rsidR="00000000" w:rsidRPr="00000000">
        <w:rPr>
          <w:b w:val="1"/>
          <w:color w:val="000000"/>
          <w:vertAlign w:val="baseline"/>
          <w:rtl w:val="0"/>
        </w:rPr>
        <w:t xml:space="preserve">CONCLUSION</w:t>
      </w:r>
      <w:r w:rsidDel="00000000" w:rsidR="00000000" w:rsidRPr="00000000">
        <w:rPr>
          <w:rtl w:val="0"/>
        </w:rPr>
      </w:r>
    </w:p>
    <w:p w:rsidR="00000000" w:rsidDel="00000000" w:rsidP="00000000" w:rsidRDefault="00000000" w:rsidRPr="00000000" w14:paraId="00000022">
      <w:pPr>
        <w:spacing w:line="360" w:lineRule="auto"/>
        <w:jc w:val="both"/>
        <w:rPr>
          <w:vertAlign w:val="baseline"/>
        </w:rPr>
      </w:pPr>
      <w:r w:rsidDel="00000000" w:rsidR="00000000" w:rsidRPr="00000000">
        <w:rPr>
          <w:vertAlign w:val="baseline"/>
          <w:rtl w:val="0"/>
        </w:rPr>
        <w:tab/>
      </w:r>
      <w:r w:rsidDel="00000000" w:rsidR="00000000" w:rsidRPr="00000000">
        <w:rPr>
          <w:rFonts w:ascii="Times New Roman" w:cs="Times New Roman" w:eastAsia="Times New Roman" w:hAnsi="Times New Roman"/>
          <w:sz w:val="24"/>
          <w:szCs w:val="24"/>
          <w:vertAlign w:val="baseline"/>
          <w:rtl w:val="0"/>
        </w:rPr>
        <w:t xml:space="preserve">From the above analysed aspects within report, it can be concluded further strategically that report reflectively concluded varied detailed aspects within reflective analysis done on various learning done from HIV/AIDS campaign report. It can be further concluded that study developed detailed crucial understandings towards  varied skills, professional research understandings and detailed functional growth parameters among project. Further the research concluded development and evolving specific knowledge towards parameters, where HIV/Aids campaign is widely growing for continuous community evolvement. The report concluded detailed skills and experiences worked on for consistent effective overall productive expansion, where social services and community welfare services are widely expanded as per best quality standards rise. Further study done on report also concluded that various new untapped skills, such as effective report writing and analytical understanding, time management have helped me to be further diversified. Report further concluded detailed analysis within practical competent surge, where  personal professional enhancement further adds to long term competencies development.</w:t>
      </w:r>
      <w:r w:rsidDel="00000000" w:rsidR="00000000" w:rsidRPr="00000000">
        <w:rPr>
          <w:rtl w:val="0"/>
        </w:rPr>
      </w:r>
    </w:p>
    <w:p w:rsidR="00000000" w:rsidDel="00000000" w:rsidP="00000000" w:rsidRDefault="00000000" w:rsidRPr="00000000" w14:paraId="00000023">
      <w:pPr>
        <w:spacing w:line="360" w:lineRule="auto"/>
        <w:ind w:left="0" w:right="0" w:firstLine="720"/>
        <w:jc w:val="both"/>
        <w:rPr>
          <w:vertAlign w:val="baseline"/>
        </w:rPr>
      </w:pPr>
      <w:r w:rsidDel="00000000" w:rsidR="00000000" w:rsidRPr="00000000">
        <w:rPr>
          <w:rFonts w:ascii="Times New Roman" w:cs="Times New Roman" w:eastAsia="Times New Roman" w:hAnsi="Times New Roman"/>
          <w:sz w:val="24"/>
          <w:szCs w:val="24"/>
          <w:vertAlign w:val="baseline"/>
          <w:rtl w:val="0"/>
        </w:rPr>
        <w:t xml:space="preserve">  The study done within research also concluded that expertise factors further strengthen new scale growth rise, for performance enhancement and rapid innovation management which scales up  results. It can be also further analyzed that such gibb reflective cycle further enhanced accurate understandings, for strategic diversity paradigms and untapped new specific  goals for gaining enlarged productive targets worked on.. This further also connected focus on business services operations, where HIV/Aids campaign has been specifically investing to evolve on best social welfare services and also expanding internationally. There has been specific keen understanding evolved on strategic competencies, functional knowledge worked on for gaining best results form report which also enabled new synergies to be practically in built.</w:t>
      </w: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Fonts w:ascii="Times New Roman" w:cs="Times New Roman" w:eastAsia="Times New Roman" w:hAnsi="Times New Roman"/>
          <w:i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2B">
      <w:pPr>
        <w:rPr>
          <w:vertAlign w:val="baseline"/>
        </w:rPr>
      </w:pPr>
      <w:bookmarkStart w:colFirst="0" w:colLast="0" w:name="_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numPr>
          <w:ilvl w:val="0"/>
          <w:numId w:val="1"/>
        </w:numPr>
        <w:ind w:left="0" w:firstLine="0"/>
        <w:rPr/>
      </w:pPr>
      <w:r w:rsidDel="00000000" w:rsidR="00000000" w:rsidRPr="00000000">
        <w:rPr>
          <w:rFonts w:ascii="Times New Roman" w:cs="Times New Roman" w:eastAsia="Times New Roman" w:hAnsi="Times New Roman"/>
          <w:b w:val="1"/>
          <w:i w:val="0"/>
          <w:color w:val="000000"/>
          <w:sz w:val="24"/>
          <w:szCs w:val="24"/>
          <w:u w:val="none"/>
          <w:vertAlign w:val="baseline"/>
          <w:rtl w:val="0"/>
        </w:rPr>
        <w:t xml:space="preserve">REFERENCES</w:t>
      </w:r>
      <w:r w:rsidDel="00000000" w:rsidR="00000000" w:rsidRPr="00000000">
        <w:rPr>
          <w:rtl w:val="0"/>
        </w:rPr>
      </w:r>
    </w:p>
    <w:p w:rsidR="00000000" w:rsidDel="00000000" w:rsidP="00000000" w:rsidRDefault="00000000" w:rsidRPr="00000000" w14:paraId="0000002D">
      <w:pPr>
        <w:spacing w:line="360" w:lineRule="auto"/>
        <w:ind w:left="360" w:right="0" w:firstLine="0"/>
        <w:jc w:val="both"/>
        <w:rPr>
          <w:vertAlign w:val="baseline"/>
        </w:rPr>
      </w:pPr>
      <w:r w:rsidDel="00000000" w:rsidR="00000000" w:rsidRPr="00000000">
        <w:rPr>
          <w:rFonts w:ascii="Times New Roman" w:cs="Times New Roman" w:eastAsia="Times New Roman" w:hAnsi="Times New Roman"/>
          <w:i w:val="0"/>
          <w:color w:val="000000"/>
          <w:sz w:val="24"/>
          <w:szCs w:val="24"/>
          <w:u w:val="single"/>
          <w:vertAlign w:val="baseline"/>
          <w:rtl w:val="0"/>
        </w:rPr>
        <w:t xml:space="preserve">Books and journals</w:t>
      </w:r>
      <w:r w:rsidDel="00000000" w:rsidR="00000000" w:rsidRPr="00000000">
        <w:rPr>
          <w:rtl w:val="0"/>
        </w:rPr>
      </w:r>
    </w:p>
    <w:p w:rsidR="00000000" w:rsidDel="00000000" w:rsidP="00000000" w:rsidRDefault="00000000" w:rsidRPr="00000000" w14:paraId="0000002E">
      <w:pPr>
        <w:tabs>
          <w:tab w:val="left" w:pos="-270"/>
        </w:tabs>
        <w:spacing w:line="240" w:lineRule="auto"/>
        <w:ind w:left="1080" w:right="0" w:hanging="1080"/>
        <w:jc w:val="both"/>
        <w:rPr>
          <w:vertAlign w:val="baseline"/>
        </w:rPr>
      </w:pPr>
      <w:r w:rsidDel="00000000" w:rsidR="00000000" w:rsidRPr="00000000">
        <w:rPr>
          <w:rtl w:val="0"/>
        </w:rPr>
      </w:r>
    </w:p>
    <w:p w:rsidR="00000000" w:rsidDel="00000000" w:rsidP="00000000" w:rsidRDefault="00000000" w:rsidRPr="00000000" w14:paraId="0000002F">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Mottiar, S. and Lodge, T., 2017. How social movements survive: the Treatment Action Campaign and the South African state, 2009–2016.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Social Dynamics</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43(1). pp.103-117.</w:t>
      </w:r>
      <w:r w:rsidDel="00000000" w:rsidR="00000000" w:rsidRPr="00000000">
        <w:rPr>
          <w:rtl w:val="0"/>
        </w:rPr>
      </w:r>
    </w:p>
    <w:p w:rsidR="00000000" w:rsidDel="00000000" w:rsidP="00000000" w:rsidRDefault="00000000" w:rsidRPr="00000000" w14:paraId="00000030">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Pieper, M., and et.al., 2020. Feedback in reflective journals fosters reflection skills of student teachers.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Psychology Learning &amp; Teaching</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p.1475725720966190.</w:t>
      </w:r>
      <w:r w:rsidDel="00000000" w:rsidR="00000000" w:rsidRPr="00000000">
        <w:rPr>
          <w:rtl w:val="0"/>
        </w:rPr>
      </w:r>
    </w:p>
    <w:p w:rsidR="00000000" w:rsidDel="00000000" w:rsidP="00000000" w:rsidRDefault="00000000" w:rsidRPr="00000000" w14:paraId="00000031">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Popping, S., and et.al.,  2019. The global campaign to eliminate HBV and HCV infection: International Viral Hepatitis Elimination Meeting and core indicators for development towards the 2030 elimination goals.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Journal of virus eradication</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5(1). pp.60-66.</w:t>
      </w:r>
      <w:r w:rsidDel="00000000" w:rsidR="00000000" w:rsidRPr="00000000">
        <w:rPr>
          <w:rtl w:val="0"/>
        </w:rPr>
      </w:r>
    </w:p>
    <w:p w:rsidR="00000000" w:rsidDel="00000000" w:rsidP="00000000" w:rsidRDefault="00000000" w:rsidRPr="00000000" w14:paraId="00000032">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Sabi, S. C. and Rieker, M., 2017. The role of civil society in health policy making in South Africa: a review of the strategies adopted by the Treatment Action Campaign.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African Journal of AIDS Research</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16(1). pp.57-64.</w:t>
      </w:r>
      <w:r w:rsidDel="00000000" w:rsidR="00000000" w:rsidRPr="00000000">
        <w:rPr>
          <w:rtl w:val="0"/>
        </w:rPr>
      </w:r>
    </w:p>
    <w:p w:rsidR="00000000" w:rsidDel="00000000" w:rsidP="00000000" w:rsidRDefault="00000000" w:rsidRPr="00000000" w14:paraId="00000033">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Sahoo, P. K. and Pany, S.,2020 Exploring Methods for Reflective Thinking: Synthesis of Reviews.</w:t>
      </w:r>
      <w:r w:rsidDel="00000000" w:rsidR="00000000" w:rsidRPr="00000000">
        <w:rPr>
          <w:rtl w:val="0"/>
        </w:rPr>
      </w:r>
    </w:p>
    <w:p w:rsidR="00000000" w:rsidDel="00000000" w:rsidP="00000000" w:rsidRDefault="00000000" w:rsidRPr="00000000" w14:paraId="00000034">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Stodter, A., Cope, E. and Townsend, R.C., 2021. Reflective conversations as a basis for sport coaches’ learning: a theory-informed pedagogic design for educating reflective practitioners.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Professional Development in Education</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pp.1-16.</w:t>
      </w:r>
      <w:r w:rsidDel="00000000" w:rsidR="00000000" w:rsidRPr="00000000">
        <w:rPr>
          <w:rtl w:val="0"/>
        </w:rPr>
      </w:r>
    </w:p>
    <w:p w:rsidR="00000000" w:rsidDel="00000000" w:rsidP="00000000" w:rsidRDefault="00000000" w:rsidRPr="00000000" w14:paraId="00000035">
      <w:pPr>
        <w:tabs>
          <w:tab w:val="left" w:pos="-270"/>
        </w:tabs>
        <w:spacing w:line="240" w:lineRule="auto"/>
        <w:ind w:left="1080" w:right="0" w:hanging="1080"/>
        <w:jc w:val="both"/>
        <w:rPr>
          <w:vertAlign w:val="baseline"/>
        </w:rPr>
      </w:pPr>
      <w:r w:rsidDel="00000000" w:rsidR="00000000" w:rsidRPr="00000000">
        <w:rPr>
          <w:rFonts w:ascii="Times New Roman" w:cs="Times New Roman" w:eastAsia="Times New Roman" w:hAnsi="Times New Roman"/>
          <w:color w:val="222222"/>
          <w:sz w:val="24"/>
          <w:szCs w:val="24"/>
          <w:highlight w:val="white"/>
          <w:vertAlign w:val="baseline"/>
          <w:rtl w:val="0"/>
        </w:rPr>
        <w:t xml:space="preserve">Tan, R. K. J., and et.al., 2020. Effect of a web drama video series on HIV and other sexually transmitted infection testing among gay, bisexual and queer men: study protocol for a community-based, pragmatic randomised controlled trial in Singapore: the People Like Us (PLU) Evaluation Study. </w:t>
      </w:r>
      <w:r w:rsidDel="00000000" w:rsidR="00000000" w:rsidRPr="00000000">
        <w:rPr>
          <w:rFonts w:ascii="Times New Roman" w:cs="Times New Roman" w:eastAsia="Times New Roman" w:hAnsi="Times New Roman"/>
          <w:i w:val="1"/>
          <w:color w:val="222222"/>
          <w:sz w:val="24"/>
          <w:szCs w:val="24"/>
          <w:highlight w:val="white"/>
          <w:vertAlign w:val="baseline"/>
          <w:rtl w:val="0"/>
        </w:rPr>
        <w:t xml:space="preserve">BMJ open</w:t>
      </w:r>
      <w:r w:rsidDel="00000000" w:rsidR="00000000" w:rsidRPr="00000000">
        <w:rPr>
          <w:rFonts w:ascii="Times New Roman" w:cs="Times New Roman" w:eastAsia="Times New Roman" w:hAnsi="Times New Roman"/>
          <w:color w:val="222222"/>
          <w:sz w:val="24"/>
          <w:szCs w:val="24"/>
          <w:highlight w:val="white"/>
          <w:vertAlign w:val="baseline"/>
          <w:rtl w:val="0"/>
        </w:rPr>
        <w:t xml:space="preserve">. 10(4). p.e033855.</w:t>
      </w:r>
      <w:r w:rsidDel="00000000" w:rsidR="00000000" w:rsidRPr="00000000">
        <w:rPr>
          <w:rtl w:val="0"/>
        </w:rPr>
      </w:r>
    </w:p>
    <w:p w:rsidR="00000000" w:rsidDel="00000000" w:rsidP="00000000" w:rsidRDefault="00000000" w:rsidRPr="00000000" w14:paraId="00000036">
      <w:pPr>
        <w:spacing w:line="240" w:lineRule="auto"/>
        <w:ind w:left="1440" w:right="0" w:hanging="1440"/>
        <w:jc w:val="both"/>
        <w:rPr>
          <w:rFonts w:ascii="Times New Roman" w:cs="Times New Roman" w:eastAsia="Times New Roman" w:hAnsi="Times New Roman"/>
          <w:color w:val="222222"/>
          <w:sz w:val="24"/>
          <w:szCs w:val="24"/>
          <w:highlight w:val="white"/>
          <w:u w:val="single"/>
          <w:vertAlign w:val="baseline"/>
        </w:rPr>
      </w:pPr>
      <w:r w:rsidDel="00000000" w:rsidR="00000000" w:rsidRPr="00000000">
        <w:rPr>
          <w:rtl w:val="0"/>
        </w:rPr>
      </w:r>
    </w:p>
    <w:p w:rsidR="00000000" w:rsidDel="00000000" w:rsidP="00000000" w:rsidRDefault="00000000" w:rsidRPr="00000000" w14:paraId="00000037">
      <w:pPr>
        <w:spacing w:line="240" w:lineRule="auto"/>
        <w:ind w:left="1440" w:right="0" w:hanging="1440"/>
        <w:jc w:val="both"/>
        <w:rPr>
          <w:vertAlign w:val="baseline"/>
        </w:rPr>
      </w:pPr>
      <w:r w:rsidDel="00000000" w:rsidR="00000000" w:rsidRPr="00000000">
        <w:rPr>
          <w:rFonts w:ascii="Times New Roman" w:cs="Times New Roman" w:eastAsia="Times New Roman" w:hAnsi="Times New Roman"/>
          <w:color w:val="222222"/>
          <w:sz w:val="24"/>
          <w:szCs w:val="24"/>
          <w:highlight w:val="white"/>
          <w:u w:val="single"/>
          <w:vertAlign w:val="baseline"/>
          <w:rtl w:val="0"/>
        </w:rPr>
        <w:t xml:space="preserve">Online</w:t>
      </w:r>
      <w:r w:rsidDel="00000000" w:rsidR="00000000" w:rsidRPr="00000000">
        <w:rPr>
          <w:rtl w:val="0"/>
        </w:rPr>
      </w:r>
    </w:p>
    <w:p w:rsidR="00000000" w:rsidDel="00000000" w:rsidP="00000000" w:rsidRDefault="00000000" w:rsidRPr="00000000" w14:paraId="00000038">
      <w:pPr>
        <w:spacing w:line="240" w:lineRule="auto"/>
        <w:ind w:left="1440" w:right="0" w:hanging="1440"/>
        <w:jc w:val="both"/>
        <w:rPr>
          <w:vertAlign w:val="baseline"/>
        </w:rPr>
      </w:pPr>
      <w:r w:rsidDel="00000000" w:rsidR="00000000" w:rsidRPr="00000000">
        <w:rPr>
          <w:rFonts w:ascii="Times New Roman" w:cs="Times New Roman" w:eastAsia="Times New Roman" w:hAnsi="Times New Roman"/>
          <w:i w:val="1"/>
          <w:sz w:val="24"/>
          <w:szCs w:val="24"/>
          <w:vertAlign w:val="baseline"/>
          <w:rtl w:val="0"/>
        </w:rPr>
        <w:t xml:space="preserve">What You Can Learn From Gibbs’ Reflective Cycle.</w:t>
      </w:r>
      <w:r w:rsidDel="00000000" w:rsidR="00000000" w:rsidRPr="00000000">
        <w:rPr>
          <w:rFonts w:ascii="Times New Roman" w:cs="Times New Roman" w:eastAsia="Times New Roman" w:hAnsi="Times New Roman"/>
          <w:sz w:val="24"/>
          <w:szCs w:val="24"/>
          <w:vertAlign w:val="baseline"/>
          <w:rtl w:val="0"/>
        </w:rPr>
        <w:t xml:space="preserve"> 2021. [Online]. Available Through :&lt; https://harappa.education/harappa-diaries/gibbs-reflective-cycle&gt;</w:t>
      </w:r>
      <w:r w:rsidDel="00000000" w:rsidR="00000000" w:rsidRPr="00000000">
        <w:rPr>
          <w:rtl w:val="0"/>
        </w:rPr>
      </w:r>
    </w:p>
    <w:p w:rsidR="00000000" w:rsidDel="00000000" w:rsidP="00000000" w:rsidRDefault="00000000" w:rsidRPr="00000000" w14:paraId="00000039">
      <w:pPr>
        <w:spacing w:line="240" w:lineRule="auto"/>
        <w:ind w:left="1440" w:right="0" w:hanging="1440"/>
        <w:jc w:val="both"/>
        <w:rPr>
          <w:rFonts w:ascii="Times New Roman" w:cs="Times New Roman" w:eastAsia="Times New Roman" w:hAnsi="Times New Roman"/>
          <w:color w:val="222222"/>
          <w:sz w:val="24"/>
          <w:szCs w:val="24"/>
          <w:highlight w:val="white"/>
          <w:vertAlign w:val="baseline"/>
        </w:rPr>
      </w:pPr>
      <w:r w:rsidDel="00000000" w:rsidR="00000000" w:rsidRPr="00000000">
        <w:rPr>
          <w:rtl w:val="0"/>
        </w:rPr>
      </w:r>
    </w:p>
    <w:p w:rsidR="00000000" w:rsidDel="00000000" w:rsidP="00000000" w:rsidRDefault="00000000" w:rsidRPr="00000000" w14:paraId="0000003A">
      <w:pPr>
        <w:spacing w:line="240" w:lineRule="auto"/>
        <w:ind w:left="1440" w:right="0" w:hanging="1440"/>
        <w:jc w:val="both"/>
        <w:rPr>
          <w:rFonts w:ascii="Times New Roman" w:cs="Times New Roman" w:eastAsia="Times New Roman" w:hAnsi="Times New Roman"/>
          <w:color w:val="222222"/>
          <w:sz w:val="24"/>
          <w:szCs w:val="24"/>
          <w:highlight w:val="white"/>
          <w:u w:val="single"/>
          <w:vertAlign w:val="baseline"/>
        </w:rPr>
      </w:pPr>
      <w:r w:rsidDel="00000000" w:rsidR="00000000" w:rsidRPr="00000000">
        <w:rPr>
          <w:rtl w:val="0"/>
        </w:rPr>
      </w:r>
    </w:p>
    <w:p w:rsidR="00000000" w:rsidDel="00000000" w:rsidP="00000000" w:rsidRDefault="00000000" w:rsidRPr="00000000" w14:paraId="0000003B">
      <w:pPr>
        <w:spacing w:line="240" w:lineRule="auto"/>
        <w:ind w:left="1440" w:right="0" w:hanging="1440"/>
        <w:jc w:val="both"/>
        <w:rPr>
          <w:rFonts w:ascii="Times New Roman" w:cs="Times New Roman" w:eastAsia="Times New Roman" w:hAnsi="Times New Roman"/>
          <w:sz w:val="24"/>
          <w:szCs w:val="24"/>
          <w:u w:val="single"/>
          <w:vertAlign w:val="baseline"/>
        </w:rPr>
      </w:pPr>
      <w:bookmarkStart w:colFirst="0" w:colLast="0" w:name="_tyjcwt" w:id="5"/>
      <w:bookmarkEnd w:id="5"/>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u w:val="single"/>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pacing w:after="0" w:before="480" w:line="276" w:lineRule="auto"/>
      <w:ind w:left="0" w:firstLine="0"/>
    </w:pPr>
    <w:rPr>
      <w:rFonts w:ascii="Times New Roman" w:cs="Times New Roman" w:eastAsia="Times New Roman" w:hAnsi="Times New Roman"/>
      <w:b w:val="1"/>
      <w:color w:val="000000"/>
      <w:sz w:val="24"/>
      <w:szCs w:val="24"/>
      <w:vertAlign w:val="baseline"/>
    </w:rPr>
  </w:style>
  <w:style w:type="paragraph" w:styleId="Heading2">
    <w:name w:val="heading 2"/>
    <w:basedOn w:val="Normal"/>
    <w:next w:val="Normal"/>
    <w:pPr>
      <w:keepNext w:val="1"/>
      <w:keepLines w:val="1"/>
      <w:widowControl w:val="1"/>
      <w:spacing w:after="0" w:before="200" w:line="276" w:lineRule="auto"/>
      <w:ind w:left="0" w:firstLine="0"/>
    </w:pPr>
    <w:rPr>
      <w:rFonts w:ascii="Times New Roman" w:cs="Times New Roman" w:eastAsia="Times New Roman" w:hAnsi="Times New Roman"/>
      <w:color w:val="000000"/>
      <w:sz w:val="24"/>
      <w:szCs w:val="24"/>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widowControl w:val="1"/>
      <w:spacing w:after="200" w:before="0" w:line="276" w:lineRule="auto"/>
    </w:pPr>
    <w:rPr>
      <w:rFonts w:ascii="Times New Roman" w:cs="Times New Roman" w:eastAsia="Times New Roman" w:hAnsi="Times New Roman"/>
      <w:i w:val="1"/>
      <w:color w:val="000000"/>
      <w:sz w:val="24"/>
      <w:szCs w:val="24"/>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